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0E0A" w:rsidRDefault="00C20E0A" w:rsidP="003A6DB5">
      <w:pPr>
        <w:rPr>
          <w:rFonts w:ascii="Arial Narrow" w:hAnsi="Arial Narrow"/>
        </w:rPr>
      </w:pPr>
    </w:p>
    <w:p w:rsidR="00C175E2" w:rsidRDefault="00C175E2" w:rsidP="00C175E2">
      <w:pPr>
        <w:tabs>
          <w:tab w:val="left" w:pos="7860"/>
        </w:tabs>
        <w:spacing w:before="0" w:after="0" w:line="240" w:lineRule="auto"/>
        <w:rPr>
          <w:rFonts w:ascii="Arial" w:eastAsia="Calibri" w:hAnsi="Arial" w:cs="Arial"/>
          <w:sz w:val="22"/>
          <w:lang w:val="it-IT"/>
        </w:rPr>
      </w:pPr>
      <w:r>
        <w:rPr>
          <w:rFonts w:ascii="Arial" w:eastAsia="Calibri" w:hAnsi="Arial" w:cs="Arial"/>
          <w:sz w:val="22"/>
          <w:lang w:val="it-IT"/>
        </w:rPr>
        <w:tab/>
      </w:r>
    </w:p>
    <w:p w:rsidR="00FD6B4A" w:rsidRDefault="00C175E2" w:rsidP="00FD6B4A">
      <w:pPr>
        <w:tabs>
          <w:tab w:val="right" w:pos="3402"/>
        </w:tabs>
        <w:spacing w:before="0" w:after="0" w:line="240" w:lineRule="auto"/>
        <w:rPr>
          <w:rFonts w:ascii="Arial" w:eastAsia="Calibri" w:hAnsi="Arial" w:cs="Arial"/>
          <w:sz w:val="22"/>
          <w:lang w:val="it-IT"/>
        </w:rPr>
      </w:pPr>
      <w:r>
        <w:rPr>
          <w:rFonts w:ascii="Arial" w:eastAsia="Calibri" w:hAnsi="Arial" w:cs="Arial"/>
          <w:sz w:val="22"/>
          <w:lang w:val="it-IT"/>
        </w:rPr>
        <w:t xml:space="preserve"> </w:t>
      </w:r>
    </w:p>
    <w:p w:rsidR="00FF15B5" w:rsidRDefault="00FF15B5" w:rsidP="00FD6B4A">
      <w:pPr>
        <w:tabs>
          <w:tab w:val="right" w:pos="3402"/>
        </w:tabs>
        <w:spacing w:before="0" w:after="0" w:line="240" w:lineRule="auto"/>
        <w:rPr>
          <w:rFonts w:ascii="Arial" w:eastAsia="Calibri" w:hAnsi="Arial" w:cs="Arial"/>
          <w:sz w:val="22"/>
          <w:lang w:val="it-IT"/>
        </w:rPr>
      </w:pPr>
    </w:p>
    <w:p w:rsidR="00FF15B5" w:rsidRDefault="00FF15B5" w:rsidP="00FD6B4A">
      <w:pPr>
        <w:tabs>
          <w:tab w:val="right" w:pos="3402"/>
        </w:tabs>
        <w:spacing w:before="0" w:after="0" w:line="240" w:lineRule="auto"/>
        <w:rPr>
          <w:rFonts w:ascii="Arial" w:eastAsia="Calibri" w:hAnsi="Arial" w:cs="Arial"/>
          <w:sz w:val="22"/>
          <w:lang w:val="it-IT"/>
        </w:rPr>
      </w:pPr>
    </w:p>
    <w:p w:rsidR="00FF15B5" w:rsidRDefault="00FF15B5" w:rsidP="00FD6B4A">
      <w:pPr>
        <w:tabs>
          <w:tab w:val="right" w:pos="3402"/>
        </w:tabs>
        <w:spacing w:before="0" w:after="0" w:line="240" w:lineRule="auto"/>
        <w:rPr>
          <w:rFonts w:ascii="Arial" w:eastAsia="Calibri" w:hAnsi="Arial" w:cs="Arial"/>
          <w:sz w:val="22"/>
          <w:lang w:val="it-IT"/>
        </w:rPr>
      </w:pPr>
    </w:p>
    <w:p w:rsidR="00FF15B5" w:rsidRDefault="00FF15B5" w:rsidP="00FD6B4A">
      <w:pPr>
        <w:tabs>
          <w:tab w:val="right" w:pos="3402"/>
        </w:tabs>
        <w:spacing w:before="0" w:after="0" w:line="240" w:lineRule="auto"/>
        <w:rPr>
          <w:rFonts w:ascii="Arial" w:eastAsia="Calibri" w:hAnsi="Arial" w:cs="Arial"/>
          <w:sz w:val="22"/>
          <w:lang w:val="it-IT"/>
        </w:rPr>
      </w:pPr>
    </w:p>
    <w:p w:rsidR="00FF15B5" w:rsidRDefault="00FF15B5" w:rsidP="00FD6B4A">
      <w:pPr>
        <w:tabs>
          <w:tab w:val="right" w:pos="3402"/>
        </w:tabs>
        <w:spacing w:before="0" w:after="0" w:line="240" w:lineRule="auto"/>
        <w:rPr>
          <w:rFonts w:ascii="Arial" w:eastAsia="Calibri" w:hAnsi="Arial" w:cs="Arial"/>
          <w:sz w:val="22"/>
          <w:lang w:val="it-IT"/>
        </w:rPr>
      </w:pPr>
    </w:p>
    <w:p w:rsidR="00FF15B5" w:rsidRDefault="00FF15B5" w:rsidP="00FD6B4A">
      <w:pPr>
        <w:tabs>
          <w:tab w:val="right" w:pos="3402"/>
        </w:tabs>
        <w:spacing w:before="0" w:after="0" w:line="240" w:lineRule="auto"/>
        <w:rPr>
          <w:rFonts w:ascii="Arial" w:eastAsia="Calibri" w:hAnsi="Arial" w:cs="Arial"/>
          <w:sz w:val="22"/>
          <w:lang w:val="it-IT"/>
        </w:rPr>
      </w:pPr>
    </w:p>
    <w:p w:rsidR="00FF15B5" w:rsidRDefault="00FF15B5" w:rsidP="00FF15B5">
      <w:pPr>
        <w:tabs>
          <w:tab w:val="right" w:pos="3402"/>
        </w:tabs>
        <w:spacing w:before="0" w:after="0" w:line="240" w:lineRule="auto"/>
        <w:jc w:val="center"/>
        <w:rPr>
          <w:rFonts w:eastAsia="Calibri" w:cs="Arial"/>
          <w:sz w:val="28"/>
          <w:szCs w:val="28"/>
          <w:lang w:val="it-IT"/>
        </w:rPr>
      </w:pPr>
    </w:p>
    <w:p w:rsidR="00FF15B5" w:rsidRDefault="00FF15B5" w:rsidP="00FF15B5">
      <w:pPr>
        <w:tabs>
          <w:tab w:val="right" w:pos="3402"/>
        </w:tabs>
        <w:spacing w:before="0" w:after="0" w:line="240" w:lineRule="auto"/>
        <w:jc w:val="center"/>
        <w:rPr>
          <w:rFonts w:eastAsia="Calibri" w:cs="Arial"/>
          <w:sz w:val="28"/>
          <w:szCs w:val="28"/>
          <w:lang w:val="it-IT"/>
        </w:rPr>
      </w:pPr>
    </w:p>
    <w:p w:rsidR="006B60BA" w:rsidRDefault="006B60BA" w:rsidP="00FF15B5">
      <w:pPr>
        <w:tabs>
          <w:tab w:val="right" w:pos="3402"/>
        </w:tabs>
        <w:spacing w:before="0" w:after="0" w:line="240" w:lineRule="auto"/>
        <w:jc w:val="center"/>
        <w:rPr>
          <w:rFonts w:eastAsia="Calibri" w:cs="Arial"/>
          <w:sz w:val="28"/>
          <w:szCs w:val="28"/>
          <w:lang w:val="it-IT"/>
        </w:rPr>
      </w:pPr>
    </w:p>
    <w:p w:rsidR="00D67BE7" w:rsidRDefault="00D67BE7" w:rsidP="00FF15B5">
      <w:pPr>
        <w:tabs>
          <w:tab w:val="right" w:pos="3402"/>
        </w:tabs>
        <w:spacing w:before="0" w:after="0" w:line="240" w:lineRule="auto"/>
        <w:jc w:val="center"/>
        <w:rPr>
          <w:rFonts w:eastAsia="Calibri" w:cs="Arial"/>
          <w:sz w:val="28"/>
          <w:szCs w:val="28"/>
          <w:lang w:val="it-IT"/>
        </w:rPr>
      </w:pPr>
    </w:p>
    <w:p w:rsidR="00D67BE7" w:rsidRDefault="00D67BE7" w:rsidP="00FF15B5">
      <w:pPr>
        <w:tabs>
          <w:tab w:val="right" w:pos="3402"/>
        </w:tabs>
        <w:spacing w:before="0" w:after="0" w:line="240" w:lineRule="auto"/>
        <w:jc w:val="center"/>
        <w:rPr>
          <w:rFonts w:eastAsia="Calibri" w:cs="Arial"/>
          <w:sz w:val="28"/>
          <w:szCs w:val="28"/>
          <w:lang w:val="it-IT"/>
        </w:rPr>
      </w:pPr>
    </w:p>
    <w:p w:rsidR="00D67BE7" w:rsidRDefault="00942F98" w:rsidP="00FF15B5">
      <w:pPr>
        <w:tabs>
          <w:tab w:val="right" w:pos="3402"/>
        </w:tabs>
        <w:spacing w:before="0" w:after="0" w:line="240" w:lineRule="auto"/>
        <w:jc w:val="center"/>
        <w:rPr>
          <w:rFonts w:eastAsia="Calibri" w:cs="Arial"/>
          <w:sz w:val="28"/>
          <w:szCs w:val="28"/>
          <w:lang w:val="it-IT"/>
        </w:rPr>
      </w:pPr>
      <w:r>
        <w:rPr>
          <w:rFonts w:eastAsia="Calibri" w:cs="Arial"/>
          <w:noProof/>
          <w:sz w:val="28"/>
          <w:szCs w:val="28"/>
          <w:lang w:val="sr-Latn-RS" w:eastAsia="sr-Latn-RS"/>
        </w:rPr>
        <mc:AlternateContent>
          <mc:Choice Requires="wps">
            <w:drawing>
              <wp:anchor distT="0" distB="0" distL="114300" distR="114300" simplePos="0" relativeHeight="251660288" behindDoc="0" locked="0" layoutInCell="1" allowOverlap="1" wp14:anchorId="0213C22B" wp14:editId="4B0C99B4">
                <wp:simplePos x="0" y="0"/>
                <wp:positionH relativeFrom="margin">
                  <wp:align>right</wp:align>
                </wp:positionH>
                <wp:positionV relativeFrom="paragraph">
                  <wp:posOffset>117475</wp:posOffset>
                </wp:positionV>
                <wp:extent cx="6096000" cy="1524000"/>
                <wp:effectExtent l="0" t="0" r="19050" b="19050"/>
                <wp:wrapNone/>
                <wp:docPr id="2" name="Double Bracket 2"/>
                <wp:cNvGraphicFramePr/>
                <a:graphic xmlns:a="http://schemas.openxmlformats.org/drawingml/2006/main">
                  <a:graphicData uri="http://schemas.microsoft.com/office/word/2010/wordprocessingShape">
                    <wps:wsp>
                      <wps:cNvSpPr/>
                      <wps:spPr>
                        <a:xfrm>
                          <a:off x="0" y="0"/>
                          <a:ext cx="6096000" cy="1524000"/>
                        </a:xfrm>
                        <a:prstGeom prst="bracketPair">
                          <a:avLst/>
                        </a:prstGeom>
                        <a:ln>
                          <a:solidFill>
                            <a:schemeClr val="accent2">
                              <a:lumMod val="40000"/>
                              <a:lumOff val="6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87002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margin-left:428.8pt;margin-top:9.25pt;width:480pt;height:120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" strokecolor="#e99c92 [1301]">
                <w10:wrap anchorx="margin"/>
              </v:shape>
            </w:pict>
          </mc:Fallback>
        </mc:AlternateContent>
      </w:r>
    </w:p>
    <w:p w:rsidR="00D67BE7" w:rsidRDefault="00D67BE7" w:rsidP="00FF15B5">
      <w:pPr>
        <w:tabs>
          <w:tab w:val="right" w:pos="3402"/>
        </w:tabs>
        <w:spacing w:before="0" w:after="0" w:line="240" w:lineRule="auto"/>
        <w:jc w:val="center"/>
        <w:rPr>
          <w:rFonts w:eastAsia="Calibri" w:cs="Arial"/>
          <w:sz w:val="28"/>
          <w:szCs w:val="28"/>
          <w:lang w:val="it-IT"/>
        </w:rPr>
      </w:pPr>
    </w:p>
    <w:p w:rsidR="00FF15B5" w:rsidRDefault="00FF15B5" w:rsidP="00FF15B5">
      <w:pPr>
        <w:tabs>
          <w:tab w:val="right" w:pos="3402"/>
        </w:tabs>
        <w:spacing w:before="0" w:after="0" w:line="240" w:lineRule="auto"/>
        <w:jc w:val="center"/>
        <w:rPr>
          <w:rFonts w:eastAsia="Calibri" w:cs="Arial"/>
          <w:sz w:val="28"/>
          <w:szCs w:val="28"/>
          <w:lang w:val="it-IT"/>
        </w:rPr>
      </w:pPr>
    </w:p>
    <w:p w:rsidR="00E776C7" w:rsidRPr="00E776C7" w:rsidRDefault="00D0672B" w:rsidP="00D0672B">
      <w:pPr>
        <w:tabs>
          <w:tab w:val="right" w:pos="3402"/>
        </w:tabs>
        <w:spacing w:before="0" w:after="0" w:line="240" w:lineRule="auto"/>
        <w:jc w:val="center"/>
        <w:rPr>
          <w:rFonts w:asciiTheme="majorHAnsi" w:eastAsia="Calibri" w:hAnsiTheme="majorHAnsi" w:cs="Arial"/>
          <w:b/>
          <w:sz w:val="26"/>
          <w:szCs w:val="26"/>
          <w:lang w:val="it-IT"/>
        </w:rPr>
      </w:pPr>
      <w:r w:rsidRPr="00E776C7">
        <w:rPr>
          <w:rFonts w:asciiTheme="majorHAnsi" w:eastAsia="Calibri" w:hAnsiTheme="majorHAnsi" w:cs="Arial"/>
          <w:b/>
          <w:sz w:val="26"/>
          <w:szCs w:val="26"/>
          <w:lang w:val="it-IT"/>
        </w:rPr>
        <w:t xml:space="preserve">IZVJEŠTAJ </w:t>
      </w:r>
      <w:r w:rsidR="00E776C7" w:rsidRPr="00E776C7">
        <w:rPr>
          <w:rFonts w:asciiTheme="majorHAnsi" w:eastAsia="Calibri" w:hAnsiTheme="majorHAnsi" w:cs="Arial"/>
          <w:b/>
          <w:sz w:val="26"/>
          <w:szCs w:val="26"/>
          <w:lang w:val="it-IT"/>
        </w:rPr>
        <w:t>MINISTARSTVA FINANSIJA</w:t>
      </w:r>
    </w:p>
    <w:p w:rsidR="00D0672B" w:rsidRPr="00E776C7" w:rsidRDefault="00D0672B" w:rsidP="00E776C7">
      <w:pPr>
        <w:tabs>
          <w:tab w:val="right" w:pos="3402"/>
        </w:tabs>
        <w:spacing w:before="0" w:after="0" w:line="240" w:lineRule="auto"/>
        <w:jc w:val="center"/>
        <w:rPr>
          <w:rFonts w:asciiTheme="majorHAnsi" w:eastAsia="Calibri" w:hAnsiTheme="majorHAnsi" w:cs="Arial"/>
          <w:b/>
          <w:sz w:val="26"/>
          <w:szCs w:val="26"/>
          <w:lang w:val="it-IT"/>
        </w:rPr>
      </w:pPr>
      <w:r w:rsidRPr="00E776C7">
        <w:rPr>
          <w:rFonts w:asciiTheme="majorHAnsi" w:eastAsia="Calibri" w:hAnsiTheme="majorHAnsi" w:cs="Arial"/>
          <w:b/>
          <w:sz w:val="26"/>
          <w:szCs w:val="26"/>
          <w:lang w:val="it-IT"/>
        </w:rPr>
        <w:t xml:space="preserve">O RADU I STANJU U UPRAVNIM OBLASTIMA </w:t>
      </w:r>
      <w:r w:rsidR="00E776C7" w:rsidRPr="00E776C7">
        <w:rPr>
          <w:rFonts w:asciiTheme="majorHAnsi" w:eastAsia="Calibri" w:hAnsiTheme="majorHAnsi" w:cs="Arial"/>
          <w:b/>
          <w:sz w:val="26"/>
          <w:szCs w:val="26"/>
          <w:lang w:val="it-IT"/>
        </w:rPr>
        <w:t>ZA</w:t>
      </w:r>
      <w:r w:rsidR="00E776C7">
        <w:rPr>
          <w:rFonts w:asciiTheme="majorHAnsi" w:eastAsia="Calibri" w:hAnsiTheme="majorHAnsi" w:cs="Arial"/>
          <w:b/>
          <w:sz w:val="26"/>
          <w:szCs w:val="26"/>
          <w:lang w:val="it-IT"/>
        </w:rPr>
        <w:t xml:space="preserve"> 2020. GODINU</w:t>
      </w:r>
    </w:p>
    <w:p w:rsidR="00FF15B5" w:rsidRDefault="00FF15B5" w:rsidP="00FF15B5">
      <w:pPr>
        <w:tabs>
          <w:tab w:val="right" w:pos="3402"/>
        </w:tabs>
        <w:spacing w:before="0" w:after="0" w:line="240" w:lineRule="auto"/>
        <w:jc w:val="center"/>
        <w:rPr>
          <w:rFonts w:eastAsia="Calibri" w:cs="Arial"/>
          <w:sz w:val="28"/>
          <w:szCs w:val="28"/>
          <w:lang w:val="it-IT"/>
        </w:rPr>
      </w:pPr>
    </w:p>
    <w:p w:rsidR="00FF15B5" w:rsidRDefault="00FF15B5" w:rsidP="00FF15B5">
      <w:pPr>
        <w:tabs>
          <w:tab w:val="right" w:pos="3402"/>
        </w:tabs>
        <w:spacing w:before="0" w:after="0" w:line="240" w:lineRule="auto"/>
        <w:jc w:val="center"/>
        <w:rPr>
          <w:rFonts w:eastAsia="Calibri" w:cs="Arial"/>
          <w:sz w:val="28"/>
          <w:szCs w:val="28"/>
          <w:lang w:val="it-IT"/>
        </w:rPr>
      </w:pPr>
    </w:p>
    <w:p w:rsidR="00FF15B5" w:rsidRDefault="00FF15B5" w:rsidP="00FF15B5">
      <w:pPr>
        <w:tabs>
          <w:tab w:val="right" w:pos="3402"/>
        </w:tabs>
        <w:spacing w:before="0" w:after="0" w:line="240" w:lineRule="auto"/>
        <w:jc w:val="center"/>
        <w:rPr>
          <w:rFonts w:eastAsia="Calibri" w:cs="Arial"/>
          <w:sz w:val="28"/>
          <w:szCs w:val="28"/>
          <w:lang w:val="it-IT"/>
        </w:rPr>
      </w:pPr>
    </w:p>
    <w:p w:rsidR="00FF15B5" w:rsidRDefault="00FF15B5" w:rsidP="00FF15B5">
      <w:pPr>
        <w:tabs>
          <w:tab w:val="right" w:pos="3402"/>
        </w:tabs>
        <w:spacing w:before="0" w:after="0" w:line="240" w:lineRule="auto"/>
        <w:jc w:val="center"/>
        <w:rPr>
          <w:rFonts w:eastAsia="Calibri" w:cs="Arial"/>
          <w:sz w:val="28"/>
          <w:szCs w:val="28"/>
          <w:lang w:val="it-IT"/>
        </w:rPr>
      </w:pPr>
    </w:p>
    <w:p w:rsidR="00FF15B5" w:rsidRDefault="00FF15B5" w:rsidP="00FF15B5">
      <w:pPr>
        <w:tabs>
          <w:tab w:val="right" w:pos="3402"/>
        </w:tabs>
        <w:spacing w:before="0" w:after="0" w:line="240" w:lineRule="auto"/>
        <w:jc w:val="center"/>
        <w:rPr>
          <w:rFonts w:eastAsia="Calibri" w:cs="Arial"/>
          <w:sz w:val="28"/>
          <w:szCs w:val="28"/>
          <w:lang w:val="it-IT"/>
        </w:rPr>
      </w:pPr>
    </w:p>
    <w:p w:rsidR="00FF15B5" w:rsidRDefault="00FF15B5" w:rsidP="00FF15B5">
      <w:pPr>
        <w:tabs>
          <w:tab w:val="right" w:pos="3402"/>
        </w:tabs>
        <w:spacing w:before="0" w:after="0" w:line="240" w:lineRule="auto"/>
        <w:jc w:val="center"/>
        <w:rPr>
          <w:rFonts w:eastAsia="Calibri" w:cs="Arial"/>
          <w:sz w:val="28"/>
          <w:szCs w:val="28"/>
          <w:lang w:val="it-IT"/>
        </w:rPr>
      </w:pPr>
    </w:p>
    <w:p w:rsidR="00FF15B5" w:rsidRDefault="00FF15B5" w:rsidP="00FF15B5">
      <w:pPr>
        <w:tabs>
          <w:tab w:val="right" w:pos="3402"/>
        </w:tabs>
        <w:spacing w:before="0" w:after="0" w:line="240" w:lineRule="auto"/>
        <w:jc w:val="center"/>
        <w:rPr>
          <w:rFonts w:eastAsia="Calibri" w:cs="Arial"/>
          <w:sz w:val="28"/>
          <w:szCs w:val="28"/>
          <w:lang w:val="it-IT"/>
        </w:rPr>
      </w:pPr>
    </w:p>
    <w:p w:rsidR="00FF15B5" w:rsidRDefault="00FF15B5" w:rsidP="00FF15B5">
      <w:pPr>
        <w:tabs>
          <w:tab w:val="right" w:pos="3402"/>
        </w:tabs>
        <w:spacing w:before="0" w:after="0" w:line="240" w:lineRule="auto"/>
        <w:jc w:val="center"/>
        <w:rPr>
          <w:rFonts w:eastAsia="Calibri" w:cs="Arial"/>
          <w:sz w:val="28"/>
          <w:szCs w:val="28"/>
          <w:lang w:val="it-IT"/>
        </w:rPr>
      </w:pPr>
    </w:p>
    <w:p w:rsidR="00FF15B5" w:rsidRDefault="00FF15B5" w:rsidP="00FF15B5">
      <w:pPr>
        <w:tabs>
          <w:tab w:val="right" w:pos="3402"/>
        </w:tabs>
        <w:spacing w:before="0" w:after="0" w:line="240" w:lineRule="auto"/>
        <w:jc w:val="center"/>
        <w:rPr>
          <w:rFonts w:eastAsia="Calibri" w:cs="Arial"/>
          <w:sz w:val="28"/>
          <w:szCs w:val="28"/>
          <w:lang w:val="it-IT"/>
        </w:rPr>
      </w:pPr>
    </w:p>
    <w:p w:rsidR="00FF15B5" w:rsidRDefault="00FF15B5" w:rsidP="00FF15B5">
      <w:pPr>
        <w:tabs>
          <w:tab w:val="right" w:pos="3402"/>
        </w:tabs>
        <w:spacing w:before="0" w:after="0" w:line="240" w:lineRule="auto"/>
        <w:jc w:val="center"/>
        <w:rPr>
          <w:rFonts w:eastAsia="Calibri" w:cs="Arial"/>
          <w:sz w:val="28"/>
          <w:szCs w:val="28"/>
          <w:lang w:val="it-IT"/>
        </w:rPr>
      </w:pPr>
    </w:p>
    <w:p w:rsidR="00FF15B5" w:rsidRDefault="00FF15B5" w:rsidP="00FF15B5">
      <w:pPr>
        <w:tabs>
          <w:tab w:val="right" w:pos="3402"/>
        </w:tabs>
        <w:spacing w:before="0" w:after="0" w:line="240" w:lineRule="auto"/>
        <w:jc w:val="center"/>
        <w:rPr>
          <w:rFonts w:eastAsia="Calibri" w:cs="Arial"/>
          <w:sz w:val="28"/>
          <w:szCs w:val="28"/>
          <w:lang w:val="it-IT"/>
        </w:rPr>
      </w:pPr>
    </w:p>
    <w:p w:rsidR="00FF15B5" w:rsidRDefault="00FF15B5" w:rsidP="00FF15B5">
      <w:pPr>
        <w:tabs>
          <w:tab w:val="right" w:pos="3402"/>
        </w:tabs>
        <w:spacing w:before="0" w:after="0" w:line="240" w:lineRule="auto"/>
        <w:jc w:val="center"/>
        <w:rPr>
          <w:rFonts w:eastAsia="Calibri" w:cs="Arial"/>
          <w:sz w:val="28"/>
          <w:szCs w:val="28"/>
          <w:lang w:val="it-IT"/>
        </w:rPr>
      </w:pPr>
    </w:p>
    <w:p w:rsidR="00FF15B5" w:rsidRDefault="00FF15B5" w:rsidP="00FF15B5">
      <w:pPr>
        <w:tabs>
          <w:tab w:val="right" w:pos="3402"/>
        </w:tabs>
        <w:spacing w:before="0" w:after="0" w:line="240" w:lineRule="auto"/>
        <w:jc w:val="center"/>
        <w:rPr>
          <w:rFonts w:eastAsia="Calibri" w:cs="Arial"/>
          <w:sz w:val="28"/>
          <w:szCs w:val="28"/>
          <w:lang w:val="it-IT"/>
        </w:rPr>
      </w:pPr>
    </w:p>
    <w:p w:rsidR="00D67BE7" w:rsidRDefault="00D67BE7" w:rsidP="00FF15B5">
      <w:pPr>
        <w:tabs>
          <w:tab w:val="right" w:pos="3402"/>
        </w:tabs>
        <w:spacing w:before="0" w:after="0" w:line="240" w:lineRule="auto"/>
        <w:jc w:val="center"/>
        <w:rPr>
          <w:rFonts w:eastAsia="Calibri" w:cs="Arial"/>
          <w:sz w:val="28"/>
          <w:szCs w:val="28"/>
          <w:lang w:val="it-IT"/>
        </w:rPr>
      </w:pPr>
    </w:p>
    <w:p w:rsidR="00FF15B5" w:rsidRDefault="00FF15B5" w:rsidP="00FF15B5">
      <w:pPr>
        <w:tabs>
          <w:tab w:val="right" w:pos="3402"/>
        </w:tabs>
        <w:spacing w:before="0" w:after="0" w:line="240" w:lineRule="auto"/>
        <w:jc w:val="center"/>
        <w:rPr>
          <w:rFonts w:eastAsia="Calibri" w:cs="Arial"/>
          <w:sz w:val="28"/>
          <w:szCs w:val="28"/>
          <w:lang w:val="it-IT"/>
        </w:rPr>
      </w:pPr>
    </w:p>
    <w:p w:rsidR="00FF15B5" w:rsidRDefault="00FF15B5" w:rsidP="00FF15B5">
      <w:pPr>
        <w:tabs>
          <w:tab w:val="right" w:pos="3402"/>
        </w:tabs>
        <w:spacing w:before="0" w:after="0" w:line="240" w:lineRule="auto"/>
        <w:jc w:val="center"/>
        <w:rPr>
          <w:rFonts w:eastAsia="Calibri" w:cs="Arial"/>
          <w:sz w:val="28"/>
          <w:szCs w:val="28"/>
          <w:lang w:val="it-IT"/>
        </w:rPr>
      </w:pPr>
    </w:p>
    <w:p w:rsidR="00FF15B5" w:rsidRDefault="00FF15B5" w:rsidP="00FF15B5">
      <w:pPr>
        <w:tabs>
          <w:tab w:val="right" w:pos="3402"/>
        </w:tabs>
        <w:spacing w:before="0" w:after="0" w:line="240" w:lineRule="auto"/>
        <w:jc w:val="center"/>
        <w:rPr>
          <w:rFonts w:eastAsia="Calibri" w:cs="Arial"/>
          <w:sz w:val="28"/>
          <w:szCs w:val="28"/>
          <w:lang w:val="it-IT"/>
        </w:rPr>
      </w:pPr>
    </w:p>
    <w:p w:rsidR="00FF15B5" w:rsidRDefault="00FF15B5" w:rsidP="00FF15B5">
      <w:pPr>
        <w:tabs>
          <w:tab w:val="right" w:pos="3402"/>
        </w:tabs>
        <w:spacing w:before="0" w:after="0" w:line="240" w:lineRule="auto"/>
        <w:jc w:val="center"/>
        <w:rPr>
          <w:rFonts w:eastAsia="Calibri" w:cs="Arial"/>
          <w:sz w:val="28"/>
          <w:szCs w:val="28"/>
          <w:lang w:val="it-IT"/>
        </w:rPr>
      </w:pPr>
    </w:p>
    <w:p w:rsidR="00FF15B5" w:rsidRDefault="00FF15B5" w:rsidP="00FF15B5">
      <w:pPr>
        <w:tabs>
          <w:tab w:val="right" w:pos="3402"/>
        </w:tabs>
        <w:spacing w:before="0" w:after="0" w:line="240" w:lineRule="auto"/>
        <w:jc w:val="center"/>
        <w:rPr>
          <w:rFonts w:eastAsia="Calibri" w:cs="Arial"/>
          <w:sz w:val="28"/>
          <w:szCs w:val="28"/>
          <w:lang w:val="it-IT"/>
        </w:rPr>
      </w:pPr>
    </w:p>
    <w:p w:rsidR="00FF15B5" w:rsidRDefault="00FF15B5" w:rsidP="006B60BA">
      <w:pPr>
        <w:tabs>
          <w:tab w:val="right" w:pos="3402"/>
        </w:tabs>
        <w:spacing w:before="0" w:after="0" w:line="240" w:lineRule="auto"/>
        <w:rPr>
          <w:rFonts w:eastAsia="Calibri" w:cs="Arial"/>
          <w:sz w:val="28"/>
          <w:szCs w:val="28"/>
          <w:lang w:val="it-IT"/>
        </w:rPr>
      </w:pPr>
    </w:p>
    <w:p w:rsidR="00E776C7" w:rsidRDefault="00E776C7" w:rsidP="006B60BA">
      <w:pPr>
        <w:tabs>
          <w:tab w:val="right" w:pos="3402"/>
        </w:tabs>
        <w:spacing w:before="0" w:after="0" w:line="240" w:lineRule="auto"/>
        <w:rPr>
          <w:rFonts w:eastAsia="Calibri" w:cs="Arial"/>
          <w:sz w:val="28"/>
          <w:szCs w:val="28"/>
          <w:lang w:val="it-IT"/>
        </w:rPr>
      </w:pPr>
    </w:p>
    <w:p w:rsidR="00FF15B5" w:rsidRDefault="00FF15B5" w:rsidP="00FF15B5">
      <w:pPr>
        <w:tabs>
          <w:tab w:val="right" w:pos="3402"/>
        </w:tabs>
        <w:spacing w:before="0" w:after="0" w:line="240" w:lineRule="auto"/>
        <w:jc w:val="center"/>
        <w:rPr>
          <w:rFonts w:eastAsia="Calibri" w:cs="Arial"/>
          <w:sz w:val="28"/>
          <w:szCs w:val="28"/>
          <w:lang w:val="it-IT"/>
        </w:rPr>
      </w:pPr>
    </w:p>
    <w:p w:rsidR="00A61EAA" w:rsidRDefault="006B60BA" w:rsidP="00B67B60">
      <w:pPr>
        <w:tabs>
          <w:tab w:val="left" w:pos="2205"/>
          <w:tab w:val="right" w:pos="3402"/>
          <w:tab w:val="center" w:pos="4819"/>
        </w:tabs>
        <w:spacing w:before="0" w:after="0" w:line="240" w:lineRule="auto"/>
        <w:jc w:val="center"/>
        <w:rPr>
          <w:rFonts w:eastAsia="Calibri" w:cs="Arial"/>
          <w:sz w:val="28"/>
          <w:szCs w:val="28"/>
          <w:lang w:val="it-IT"/>
        </w:rPr>
      </w:pPr>
      <w:r>
        <w:rPr>
          <w:rFonts w:eastAsia="Calibri" w:cs="Arial"/>
          <w:sz w:val="28"/>
          <w:szCs w:val="28"/>
          <w:lang w:val="it-IT"/>
        </w:rPr>
        <w:t>Podgorica, mart</w:t>
      </w:r>
      <w:r w:rsidR="00FF15B5">
        <w:rPr>
          <w:rFonts w:eastAsia="Calibri" w:cs="Arial"/>
          <w:sz w:val="28"/>
          <w:szCs w:val="28"/>
          <w:lang w:val="it-IT"/>
        </w:rPr>
        <w:t xml:space="preserve"> 2021. godine</w:t>
      </w:r>
    </w:p>
    <w:p w:rsidR="00D67BE7" w:rsidRDefault="00D67BE7" w:rsidP="00A61EAA">
      <w:pPr>
        <w:pStyle w:val="NoSpacing"/>
        <w:jc w:val="both"/>
        <w:rPr>
          <w:rFonts w:asciiTheme="minorHAnsi" w:hAnsiTheme="minorHAnsi" w:cs="Arial"/>
          <w:sz w:val="28"/>
          <w:szCs w:val="28"/>
          <w:lang w:val="it-IT"/>
        </w:rPr>
      </w:pPr>
    </w:p>
    <w:p w:rsidR="00A61EAA" w:rsidRPr="00F938E8" w:rsidRDefault="00A61EAA" w:rsidP="00CF098B">
      <w:pPr>
        <w:pStyle w:val="NoSpacing"/>
        <w:shd w:val="clear" w:color="auto" w:fill="EE8C69" w:themeFill="accent1" w:themeFillTint="99"/>
        <w:jc w:val="center"/>
        <w:rPr>
          <w:rFonts w:asciiTheme="minorHAnsi" w:hAnsiTheme="minorHAnsi" w:cs="Arial"/>
          <w:sz w:val="24"/>
          <w:szCs w:val="24"/>
          <w:lang w:val="sl-SI"/>
        </w:rPr>
      </w:pPr>
      <w:r w:rsidRPr="00F938E8">
        <w:rPr>
          <w:rFonts w:asciiTheme="minorHAnsi" w:hAnsiTheme="minorHAnsi" w:cs="Arial"/>
          <w:sz w:val="24"/>
          <w:szCs w:val="24"/>
          <w:lang w:val="sl-SI"/>
        </w:rPr>
        <w:lastRenderedPageBreak/>
        <w:t>S A D R Ž A J:</w:t>
      </w:r>
    </w:p>
    <w:p w:rsidR="00A61EAA" w:rsidRPr="00F938E8" w:rsidRDefault="00A61EAA" w:rsidP="00A61EAA">
      <w:pPr>
        <w:pStyle w:val="NoSpacing"/>
        <w:jc w:val="both"/>
        <w:rPr>
          <w:rFonts w:asciiTheme="minorHAnsi" w:hAnsiTheme="minorHAnsi" w:cs="Arial"/>
          <w:sz w:val="24"/>
          <w:szCs w:val="24"/>
          <w:lang w:val="sl-SI"/>
        </w:rPr>
      </w:pPr>
    </w:p>
    <w:p w:rsidR="00A61EAA" w:rsidRPr="00F938E8" w:rsidRDefault="00A61EAA" w:rsidP="00276064">
      <w:pPr>
        <w:pStyle w:val="NoSpacing"/>
        <w:shd w:val="clear" w:color="auto" w:fill="F1EFEB"/>
        <w:tabs>
          <w:tab w:val="right" w:pos="9638"/>
        </w:tabs>
        <w:jc w:val="both"/>
        <w:rPr>
          <w:rFonts w:asciiTheme="minorHAnsi" w:hAnsiTheme="minorHAnsi" w:cs="Arial"/>
          <w:sz w:val="24"/>
          <w:szCs w:val="24"/>
          <w:lang w:val="sl-SI"/>
        </w:rPr>
      </w:pPr>
      <w:r w:rsidRPr="00F938E8">
        <w:rPr>
          <w:rFonts w:asciiTheme="minorHAnsi" w:hAnsiTheme="minorHAnsi" w:cs="Arial"/>
          <w:sz w:val="24"/>
          <w:szCs w:val="24"/>
          <w:lang w:val="sl-SI"/>
        </w:rPr>
        <w:t xml:space="preserve">Rezime                                                                                                                                              </w:t>
      </w:r>
      <w:r w:rsidR="005B5FA2">
        <w:rPr>
          <w:rFonts w:asciiTheme="minorHAnsi" w:hAnsiTheme="minorHAnsi" w:cs="Arial"/>
          <w:sz w:val="24"/>
          <w:szCs w:val="24"/>
          <w:lang w:val="sl-SI"/>
        </w:rPr>
        <w:tab/>
        <w:t>3</w:t>
      </w:r>
    </w:p>
    <w:p w:rsidR="00A61EAA" w:rsidRPr="002F329D" w:rsidRDefault="001E77FB" w:rsidP="00276064">
      <w:pPr>
        <w:pStyle w:val="NoSpacing"/>
        <w:shd w:val="clear" w:color="auto" w:fill="F1EFEB"/>
        <w:tabs>
          <w:tab w:val="right" w:pos="9638"/>
        </w:tabs>
        <w:jc w:val="both"/>
        <w:rPr>
          <w:rFonts w:asciiTheme="minorHAnsi" w:hAnsiTheme="minorHAnsi" w:cs="Arial"/>
          <w:sz w:val="24"/>
          <w:szCs w:val="24"/>
          <w:lang w:val="sl-SI"/>
        </w:rPr>
      </w:pPr>
      <w:r>
        <w:rPr>
          <w:rFonts w:asciiTheme="minorHAnsi" w:hAnsiTheme="minorHAnsi" w:cs="Arial"/>
          <w:sz w:val="24"/>
          <w:szCs w:val="24"/>
          <w:lang w:val="sl-SI"/>
        </w:rPr>
        <w:t>I</w:t>
      </w:r>
      <w:r w:rsidR="005B5FA2">
        <w:rPr>
          <w:rFonts w:asciiTheme="minorHAnsi" w:hAnsiTheme="minorHAnsi" w:cs="Arial"/>
          <w:sz w:val="24"/>
          <w:szCs w:val="24"/>
          <w:lang w:val="sl-SI"/>
        </w:rPr>
        <w:t xml:space="preserve"> </w:t>
      </w:r>
      <w:r w:rsidR="00A61EAA" w:rsidRPr="002F329D">
        <w:rPr>
          <w:rFonts w:asciiTheme="minorHAnsi" w:hAnsiTheme="minorHAnsi" w:cs="Arial"/>
          <w:sz w:val="24"/>
          <w:szCs w:val="24"/>
          <w:lang w:val="sl-SI"/>
        </w:rPr>
        <w:t xml:space="preserve">Uvod                                                                                                                                                  </w:t>
      </w:r>
      <w:r w:rsidR="007D5C55" w:rsidRPr="002F329D">
        <w:rPr>
          <w:rFonts w:asciiTheme="minorHAnsi" w:hAnsiTheme="minorHAnsi" w:cs="Arial"/>
          <w:sz w:val="24"/>
          <w:szCs w:val="24"/>
          <w:lang w:val="sl-SI"/>
        </w:rPr>
        <w:tab/>
        <w:t>5</w:t>
      </w:r>
    </w:p>
    <w:p w:rsidR="001E77FB" w:rsidRPr="002F329D" w:rsidRDefault="001E77FB" w:rsidP="00276064">
      <w:pPr>
        <w:pStyle w:val="NoSpacing"/>
        <w:shd w:val="clear" w:color="auto" w:fill="F1EFEB"/>
        <w:tabs>
          <w:tab w:val="right" w:pos="9638"/>
        </w:tabs>
        <w:rPr>
          <w:rFonts w:asciiTheme="minorHAnsi" w:hAnsiTheme="minorHAnsi" w:cs="Arial"/>
          <w:sz w:val="24"/>
          <w:szCs w:val="24"/>
          <w:lang w:val="sl-SI"/>
        </w:rPr>
      </w:pPr>
      <w:r w:rsidRPr="002F329D">
        <w:rPr>
          <w:rFonts w:asciiTheme="minorHAnsi" w:hAnsiTheme="minorHAnsi" w:cs="Arial"/>
          <w:sz w:val="24"/>
          <w:szCs w:val="24"/>
          <w:lang w:val="sl-SI"/>
        </w:rPr>
        <w:t>II Realizacija aktivnosti iz programa rada Vlade Crne Gore</w:t>
      </w:r>
      <w:r w:rsidR="007D5C55" w:rsidRPr="002F329D">
        <w:rPr>
          <w:rFonts w:asciiTheme="minorHAnsi" w:hAnsiTheme="minorHAnsi" w:cs="Arial"/>
          <w:sz w:val="24"/>
          <w:szCs w:val="24"/>
          <w:lang w:val="sl-SI"/>
        </w:rPr>
        <w:tab/>
        <w:t>7</w:t>
      </w:r>
    </w:p>
    <w:p w:rsidR="001E77FB" w:rsidRPr="002F329D" w:rsidRDefault="001E77FB" w:rsidP="00276064">
      <w:pPr>
        <w:pStyle w:val="NoSpacing"/>
        <w:shd w:val="clear" w:color="auto" w:fill="F1EFEB"/>
        <w:tabs>
          <w:tab w:val="right" w:pos="9638"/>
        </w:tabs>
        <w:rPr>
          <w:rFonts w:asciiTheme="minorHAnsi" w:hAnsiTheme="minorHAnsi" w:cs="Arial"/>
          <w:sz w:val="24"/>
          <w:szCs w:val="24"/>
          <w:lang w:val="sl-SI"/>
        </w:rPr>
      </w:pPr>
      <w:r w:rsidRPr="002F329D">
        <w:rPr>
          <w:rFonts w:asciiTheme="minorHAnsi" w:hAnsiTheme="minorHAnsi" w:cs="Arial"/>
          <w:sz w:val="24"/>
          <w:szCs w:val="24"/>
          <w:lang w:val="sl-SI"/>
        </w:rPr>
        <w:t xml:space="preserve">III Realizacija aktivnosti iz programa rada Ministarstva </w:t>
      </w:r>
      <w:r w:rsidR="008D0B16">
        <w:rPr>
          <w:rFonts w:asciiTheme="minorHAnsi" w:hAnsiTheme="minorHAnsi" w:cs="Arial"/>
          <w:sz w:val="24"/>
          <w:szCs w:val="24"/>
          <w:lang w:val="sl-SI"/>
        </w:rPr>
        <w:t>finansija</w:t>
      </w:r>
      <w:r w:rsidR="009C392C" w:rsidRPr="002F329D">
        <w:rPr>
          <w:rFonts w:asciiTheme="minorHAnsi" w:hAnsiTheme="minorHAnsi" w:cs="Arial"/>
          <w:sz w:val="24"/>
          <w:szCs w:val="24"/>
          <w:lang w:val="sl-SI"/>
        </w:rPr>
        <w:tab/>
        <w:t>9</w:t>
      </w:r>
    </w:p>
    <w:p w:rsidR="00A9450D" w:rsidRPr="002F329D" w:rsidRDefault="00A9450D" w:rsidP="00276064">
      <w:pPr>
        <w:pStyle w:val="NoSpacing"/>
        <w:shd w:val="clear" w:color="auto" w:fill="F1EFEB"/>
        <w:tabs>
          <w:tab w:val="right" w:pos="9638"/>
        </w:tabs>
        <w:rPr>
          <w:rFonts w:asciiTheme="minorHAnsi" w:hAnsiTheme="minorHAnsi" w:cs="Arial"/>
          <w:sz w:val="24"/>
          <w:szCs w:val="24"/>
          <w:lang w:val="sl-SI"/>
        </w:rPr>
      </w:pPr>
      <w:r w:rsidRPr="002F329D">
        <w:rPr>
          <w:rFonts w:asciiTheme="minorHAnsi" w:hAnsiTheme="minorHAnsi" w:cs="Arial"/>
          <w:sz w:val="24"/>
          <w:szCs w:val="24"/>
          <w:lang w:val="sl-SI"/>
        </w:rPr>
        <w:t>IV Realizacija aktivnost</w:t>
      </w:r>
      <w:r w:rsidR="00314B45" w:rsidRPr="002F329D">
        <w:rPr>
          <w:rFonts w:asciiTheme="minorHAnsi" w:hAnsiTheme="minorHAnsi" w:cs="Arial"/>
          <w:sz w:val="24"/>
          <w:szCs w:val="24"/>
          <w:lang w:val="sl-SI"/>
        </w:rPr>
        <w:t xml:space="preserve">i u vršenju upravnog nadzora </w:t>
      </w:r>
      <w:r w:rsidR="00314B45" w:rsidRPr="002F329D">
        <w:rPr>
          <w:rFonts w:asciiTheme="minorHAnsi" w:hAnsiTheme="minorHAnsi" w:cs="Arial"/>
          <w:sz w:val="24"/>
          <w:szCs w:val="24"/>
          <w:lang w:val="sl-SI"/>
        </w:rPr>
        <w:tab/>
        <w:t>9</w:t>
      </w:r>
    </w:p>
    <w:p w:rsidR="00A61EAA" w:rsidRPr="00F938E8" w:rsidRDefault="001E77FB" w:rsidP="00276064">
      <w:pPr>
        <w:pStyle w:val="NoSpacing"/>
        <w:shd w:val="clear" w:color="auto" w:fill="F1EFEB"/>
        <w:tabs>
          <w:tab w:val="left" w:pos="9450"/>
          <w:tab w:val="left" w:pos="9570"/>
          <w:tab w:val="right" w:pos="9638"/>
        </w:tabs>
        <w:rPr>
          <w:rFonts w:asciiTheme="minorHAnsi" w:hAnsiTheme="minorHAnsi" w:cs="Arial"/>
          <w:sz w:val="24"/>
          <w:szCs w:val="24"/>
          <w:lang w:val="sl-SI"/>
        </w:rPr>
      </w:pPr>
      <w:r w:rsidRPr="002F329D">
        <w:rPr>
          <w:rFonts w:asciiTheme="minorHAnsi" w:hAnsiTheme="minorHAnsi" w:cs="Arial"/>
          <w:sz w:val="24"/>
          <w:szCs w:val="24"/>
          <w:lang w:val="sl-SI"/>
        </w:rPr>
        <w:t xml:space="preserve">V </w:t>
      </w:r>
      <w:r w:rsidR="00646244" w:rsidRPr="002F329D">
        <w:rPr>
          <w:rFonts w:asciiTheme="minorHAnsi" w:hAnsiTheme="minorHAnsi" w:cs="Arial"/>
          <w:sz w:val="24"/>
          <w:szCs w:val="24"/>
          <w:lang w:val="sl-SI"/>
        </w:rPr>
        <w:t xml:space="preserve">Programske aktivnosti Ministarstva </w:t>
      </w:r>
      <w:r w:rsidR="002A7E7D" w:rsidRPr="002F329D">
        <w:rPr>
          <w:rFonts w:asciiTheme="minorHAnsi" w:hAnsiTheme="minorHAnsi" w:cs="Arial"/>
          <w:sz w:val="24"/>
          <w:szCs w:val="24"/>
          <w:lang w:val="sl-SI"/>
        </w:rPr>
        <w:t>finansija</w:t>
      </w:r>
      <w:r w:rsidR="00A9450D" w:rsidRPr="002F329D">
        <w:rPr>
          <w:rFonts w:asciiTheme="minorHAnsi" w:hAnsiTheme="minorHAnsi" w:cs="Arial"/>
          <w:sz w:val="24"/>
          <w:szCs w:val="24"/>
          <w:lang w:val="sl-SI"/>
        </w:rPr>
        <w:t xml:space="preserve">                                                         </w:t>
      </w:r>
      <w:r w:rsidR="009C392C" w:rsidRPr="002F329D">
        <w:rPr>
          <w:rFonts w:asciiTheme="minorHAnsi" w:hAnsiTheme="minorHAnsi" w:cs="Arial"/>
          <w:sz w:val="24"/>
          <w:szCs w:val="24"/>
          <w:lang w:val="sl-SI"/>
        </w:rPr>
        <w:t xml:space="preserve"> </w:t>
      </w:r>
      <w:r w:rsidR="00B92D5F" w:rsidRPr="002F329D">
        <w:rPr>
          <w:rFonts w:asciiTheme="minorHAnsi" w:hAnsiTheme="minorHAnsi" w:cs="Arial"/>
          <w:sz w:val="24"/>
          <w:szCs w:val="24"/>
          <w:lang w:val="sl-SI"/>
        </w:rPr>
        <w:t xml:space="preserve">                          </w:t>
      </w:r>
      <w:r w:rsidR="00B92D5F">
        <w:rPr>
          <w:rFonts w:asciiTheme="minorHAnsi" w:hAnsiTheme="minorHAnsi" w:cs="Arial"/>
          <w:sz w:val="24"/>
          <w:szCs w:val="24"/>
          <w:lang w:val="sl-SI"/>
        </w:rPr>
        <w:t>10-90</w:t>
      </w:r>
    </w:p>
    <w:p w:rsidR="000C4B04" w:rsidRDefault="00B67B60" w:rsidP="00276064">
      <w:pPr>
        <w:pStyle w:val="NoSpacing"/>
        <w:shd w:val="clear" w:color="auto" w:fill="F4F3F0"/>
        <w:tabs>
          <w:tab w:val="right" w:pos="9638"/>
        </w:tabs>
        <w:jc w:val="right"/>
        <w:rPr>
          <w:rFonts w:asciiTheme="minorHAnsi" w:hAnsiTheme="minorHAnsi" w:cs="Arial"/>
          <w:sz w:val="24"/>
          <w:szCs w:val="24"/>
          <w:lang w:val="sl-SI"/>
        </w:rPr>
      </w:pPr>
      <w:r w:rsidRPr="00305293">
        <w:rPr>
          <w:rFonts w:asciiTheme="minorHAnsi" w:hAnsiTheme="minorHAnsi" w:cs="Arial"/>
          <w:i/>
          <w:sz w:val="24"/>
          <w:szCs w:val="24"/>
          <w:lang w:val="sl-SI"/>
        </w:rPr>
        <w:t xml:space="preserve">    </w:t>
      </w:r>
      <w:r w:rsidR="001E77FB" w:rsidRPr="00305293">
        <w:rPr>
          <w:rFonts w:asciiTheme="minorHAnsi" w:hAnsiTheme="minorHAnsi" w:cs="Arial"/>
          <w:i/>
          <w:sz w:val="24"/>
          <w:szCs w:val="24"/>
          <w:lang w:val="sl-SI"/>
        </w:rPr>
        <w:t>1)</w:t>
      </w:r>
      <w:r w:rsidR="000C4B04" w:rsidRPr="00305293">
        <w:rPr>
          <w:rFonts w:asciiTheme="minorHAnsi" w:hAnsiTheme="minorHAnsi" w:cs="Arial"/>
          <w:i/>
          <w:sz w:val="24"/>
          <w:szCs w:val="24"/>
          <w:lang w:val="sl-SI"/>
        </w:rPr>
        <w:t xml:space="preserve"> Direktorat za ekonomsku i razvojnu politiku</w:t>
      </w:r>
      <w:r w:rsidR="000C4B04">
        <w:rPr>
          <w:rFonts w:asciiTheme="minorHAnsi" w:hAnsiTheme="minorHAnsi" w:cs="Arial"/>
          <w:sz w:val="24"/>
          <w:szCs w:val="24"/>
          <w:lang w:val="sl-SI"/>
        </w:rPr>
        <w:tab/>
      </w:r>
    </w:p>
    <w:p w:rsidR="000C4B04" w:rsidRDefault="00B67B60" w:rsidP="00276064">
      <w:pPr>
        <w:pStyle w:val="NoSpacing"/>
        <w:shd w:val="clear" w:color="auto" w:fill="F4F3F0"/>
        <w:tabs>
          <w:tab w:val="right" w:pos="9638"/>
        </w:tabs>
        <w:jc w:val="both"/>
        <w:rPr>
          <w:rFonts w:asciiTheme="minorHAnsi" w:hAnsiTheme="minorHAnsi" w:cs="Arial"/>
          <w:sz w:val="24"/>
          <w:szCs w:val="24"/>
          <w:lang w:val="sl-SI"/>
        </w:rPr>
      </w:pPr>
      <w:r w:rsidRPr="00305293">
        <w:rPr>
          <w:rFonts w:asciiTheme="minorHAnsi" w:hAnsiTheme="minorHAnsi" w:cs="Arial"/>
          <w:i/>
          <w:sz w:val="24"/>
          <w:szCs w:val="24"/>
          <w:lang w:val="sl-SI"/>
        </w:rPr>
        <w:t xml:space="preserve">    </w:t>
      </w:r>
      <w:r w:rsidR="001E77FB" w:rsidRPr="00305293">
        <w:rPr>
          <w:rFonts w:asciiTheme="minorHAnsi" w:hAnsiTheme="minorHAnsi" w:cs="Arial"/>
          <w:i/>
          <w:sz w:val="24"/>
          <w:szCs w:val="24"/>
          <w:lang w:val="sl-SI"/>
        </w:rPr>
        <w:t>2)</w:t>
      </w:r>
      <w:r w:rsidR="000C4B04" w:rsidRPr="00305293">
        <w:rPr>
          <w:rFonts w:asciiTheme="minorHAnsi" w:hAnsiTheme="minorHAnsi" w:cs="Arial"/>
          <w:i/>
          <w:sz w:val="24"/>
          <w:szCs w:val="24"/>
          <w:lang w:val="sl-SI"/>
        </w:rPr>
        <w:t xml:space="preserve"> Direktorat za</w:t>
      </w:r>
      <w:r w:rsidR="009B2C99">
        <w:rPr>
          <w:rFonts w:asciiTheme="minorHAnsi" w:hAnsiTheme="minorHAnsi" w:cs="Arial"/>
          <w:i/>
          <w:sz w:val="24"/>
          <w:szCs w:val="24"/>
          <w:lang w:val="sl-SI"/>
        </w:rPr>
        <w:t xml:space="preserve"> državni</w:t>
      </w:r>
      <w:r w:rsidR="000C4B04" w:rsidRPr="00305293">
        <w:rPr>
          <w:rFonts w:asciiTheme="minorHAnsi" w:hAnsiTheme="minorHAnsi" w:cs="Arial"/>
          <w:i/>
          <w:sz w:val="24"/>
          <w:szCs w:val="24"/>
          <w:lang w:val="sl-SI"/>
        </w:rPr>
        <w:t xml:space="preserve"> budžet</w:t>
      </w:r>
      <w:r w:rsidR="002675E5">
        <w:rPr>
          <w:rFonts w:asciiTheme="minorHAnsi" w:hAnsiTheme="minorHAnsi" w:cs="Arial"/>
          <w:sz w:val="24"/>
          <w:szCs w:val="24"/>
          <w:lang w:val="sl-SI"/>
        </w:rPr>
        <w:tab/>
      </w:r>
    </w:p>
    <w:p w:rsidR="00A61EAA" w:rsidRPr="00305293" w:rsidRDefault="00B67B60" w:rsidP="00276064">
      <w:pPr>
        <w:pStyle w:val="NoSpacing"/>
        <w:shd w:val="clear" w:color="auto" w:fill="F4F3F0"/>
        <w:tabs>
          <w:tab w:val="right" w:pos="9638"/>
        </w:tabs>
        <w:jc w:val="both"/>
        <w:rPr>
          <w:rFonts w:asciiTheme="minorHAnsi" w:hAnsiTheme="minorHAnsi" w:cs="Arial"/>
          <w:i/>
          <w:sz w:val="24"/>
          <w:szCs w:val="24"/>
          <w:lang w:val="sl-SI"/>
        </w:rPr>
      </w:pPr>
      <w:r>
        <w:rPr>
          <w:rFonts w:asciiTheme="minorHAnsi" w:hAnsiTheme="minorHAnsi" w:cs="Arial"/>
          <w:sz w:val="24"/>
          <w:szCs w:val="24"/>
          <w:lang w:val="sl-SI"/>
        </w:rPr>
        <w:t xml:space="preserve">    </w:t>
      </w:r>
      <w:r w:rsidR="001E77FB" w:rsidRPr="00305293">
        <w:rPr>
          <w:rFonts w:asciiTheme="minorHAnsi" w:hAnsiTheme="minorHAnsi" w:cs="Arial"/>
          <w:i/>
          <w:sz w:val="24"/>
          <w:szCs w:val="24"/>
          <w:lang w:val="sl-SI"/>
        </w:rPr>
        <w:t>3)</w:t>
      </w:r>
      <w:r w:rsidR="00A711E8" w:rsidRPr="00305293">
        <w:rPr>
          <w:rFonts w:asciiTheme="minorHAnsi" w:hAnsiTheme="minorHAnsi" w:cs="Arial"/>
          <w:i/>
          <w:sz w:val="24"/>
          <w:szCs w:val="24"/>
          <w:lang w:val="sl-SI"/>
        </w:rPr>
        <w:t xml:space="preserve"> Direktorat državnog trezora</w:t>
      </w:r>
      <w:r w:rsidR="00A61EAA" w:rsidRPr="00305293">
        <w:rPr>
          <w:rFonts w:asciiTheme="minorHAnsi" w:hAnsiTheme="minorHAnsi" w:cs="Arial"/>
          <w:i/>
          <w:sz w:val="24"/>
          <w:szCs w:val="24"/>
          <w:lang w:val="sl-SI"/>
        </w:rPr>
        <w:t xml:space="preserve">                                                                                              </w:t>
      </w:r>
      <w:r w:rsidR="00B92D5F">
        <w:rPr>
          <w:rFonts w:asciiTheme="minorHAnsi" w:hAnsiTheme="minorHAnsi" w:cs="Arial"/>
          <w:i/>
          <w:sz w:val="24"/>
          <w:szCs w:val="24"/>
          <w:lang w:val="sl-SI"/>
        </w:rPr>
        <w:tab/>
      </w:r>
    </w:p>
    <w:p w:rsidR="00A61EAA" w:rsidRPr="00305293" w:rsidRDefault="00B67B60" w:rsidP="00276064">
      <w:pPr>
        <w:pStyle w:val="NoSpacing"/>
        <w:shd w:val="clear" w:color="auto" w:fill="F4F3F0"/>
        <w:tabs>
          <w:tab w:val="right" w:pos="9638"/>
        </w:tabs>
        <w:rPr>
          <w:rFonts w:asciiTheme="minorHAnsi" w:hAnsiTheme="minorHAnsi" w:cs="Arial"/>
          <w:i/>
          <w:sz w:val="24"/>
          <w:szCs w:val="24"/>
          <w:lang w:val="sl-SI"/>
        </w:rPr>
      </w:pPr>
      <w:r w:rsidRPr="00305293">
        <w:rPr>
          <w:rFonts w:asciiTheme="minorHAnsi" w:hAnsiTheme="minorHAnsi" w:cs="Arial"/>
          <w:i/>
          <w:sz w:val="24"/>
          <w:szCs w:val="24"/>
          <w:lang w:val="sl-SI"/>
        </w:rPr>
        <w:t xml:space="preserve">    </w:t>
      </w:r>
      <w:r w:rsidR="001E77FB" w:rsidRPr="00305293">
        <w:rPr>
          <w:rFonts w:asciiTheme="minorHAnsi" w:hAnsiTheme="minorHAnsi" w:cs="Arial"/>
          <w:i/>
          <w:sz w:val="24"/>
          <w:szCs w:val="24"/>
          <w:lang w:val="sl-SI"/>
        </w:rPr>
        <w:t>4)</w:t>
      </w:r>
      <w:r w:rsidR="00A61EAA" w:rsidRPr="00305293">
        <w:rPr>
          <w:rFonts w:asciiTheme="minorHAnsi" w:hAnsiTheme="minorHAnsi" w:cs="Arial"/>
          <w:i/>
          <w:sz w:val="24"/>
          <w:szCs w:val="24"/>
          <w:lang w:val="sl-SI"/>
        </w:rPr>
        <w:t xml:space="preserve"> </w:t>
      </w:r>
      <w:r w:rsidR="000C4B04" w:rsidRPr="00305293">
        <w:rPr>
          <w:rFonts w:asciiTheme="minorHAnsi" w:hAnsiTheme="minorHAnsi" w:cs="Arial"/>
          <w:i/>
          <w:sz w:val="24"/>
          <w:szCs w:val="24"/>
          <w:lang w:val="sl-SI"/>
        </w:rPr>
        <w:t>Direktorat za poreski i carinski sistem</w:t>
      </w:r>
      <w:r w:rsidR="00A61EAA" w:rsidRPr="00305293">
        <w:rPr>
          <w:rFonts w:asciiTheme="minorHAnsi" w:hAnsiTheme="minorHAnsi" w:cs="Arial"/>
          <w:i/>
          <w:sz w:val="24"/>
          <w:szCs w:val="24"/>
          <w:lang w:val="sl-SI"/>
        </w:rPr>
        <w:t xml:space="preserve">                   </w:t>
      </w:r>
    </w:p>
    <w:p w:rsidR="00A61EAA" w:rsidRPr="00F938E8" w:rsidRDefault="00B67B60" w:rsidP="00276064">
      <w:pPr>
        <w:pStyle w:val="NoSpacing"/>
        <w:shd w:val="clear" w:color="auto" w:fill="F4F3F0"/>
        <w:tabs>
          <w:tab w:val="right" w:pos="9638"/>
        </w:tabs>
        <w:rPr>
          <w:rFonts w:asciiTheme="minorHAnsi" w:hAnsiTheme="minorHAnsi" w:cs="Arial"/>
          <w:sz w:val="24"/>
          <w:szCs w:val="24"/>
          <w:lang w:val="sl-SI"/>
        </w:rPr>
      </w:pPr>
      <w:r>
        <w:rPr>
          <w:rFonts w:asciiTheme="minorHAnsi" w:hAnsiTheme="minorHAnsi" w:cs="Arial"/>
          <w:sz w:val="24"/>
          <w:szCs w:val="24"/>
          <w:lang w:val="sl-SI"/>
        </w:rPr>
        <w:t xml:space="preserve">    </w:t>
      </w:r>
      <w:r w:rsidR="001E77FB" w:rsidRPr="00305293">
        <w:rPr>
          <w:rFonts w:asciiTheme="minorHAnsi" w:hAnsiTheme="minorHAnsi" w:cs="Arial"/>
          <w:i/>
          <w:sz w:val="24"/>
          <w:szCs w:val="24"/>
          <w:lang w:val="sl-SI"/>
        </w:rPr>
        <w:t>5)</w:t>
      </w:r>
      <w:r w:rsidR="00A711E8" w:rsidRPr="00305293">
        <w:rPr>
          <w:rFonts w:asciiTheme="minorHAnsi" w:hAnsiTheme="minorHAnsi" w:cs="Arial"/>
          <w:i/>
          <w:sz w:val="24"/>
          <w:szCs w:val="24"/>
          <w:lang w:val="sl-SI"/>
        </w:rPr>
        <w:t xml:space="preserve"> Direktorat za finansijski sistem i unapređenje</w:t>
      </w:r>
      <w:r w:rsidR="00A711E8" w:rsidRPr="00F938E8">
        <w:rPr>
          <w:rFonts w:asciiTheme="minorHAnsi" w:hAnsiTheme="minorHAnsi" w:cs="Arial"/>
          <w:sz w:val="24"/>
          <w:szCs w:val="24"/>
          <w:lang w:val="sl-SI"/>
        </w:rPr>
        <w:t xml:space="preserve"> </w:t>
      </w:r>
      <w:r w:rsidR="00A711E8" w:rsidRPr="00305293">
        <w:rPr>
          <w:rFonts w:asciiTheme="minorHAnsi" w:hAnsiTheme="minorHAnsi" w:cs="Arial"/>
          <w:i/>
          <w:sz w:val="24"/>
          <w:szCs w:val="24"/>
          <w:lang w:val="sl-SI"/>
        </w:rPr>
        <w:t>poslovnog ambijenta</w:t>
      </w:r>
      <w:r w:rsidR="00A61EAA" w:rsidRPr="00F938E8">
        <w:rPr>
          <w:rFonts w:asciiTheme="minorHAnsi" w:hAnsiTheme="minorHAnsi" w:cs="Arial"/>
          <w:sz w:val="24"/>
          <w:szCs w:val="24"/>
          <w:lang w:val="sl-SI"/>
        </w:rPr>
        <w:t xml:space="preserve">                                                                                 </w:t>
      </w:r>
    </w:p>
    <w:p w:rsidR="00A61EAA" w:rsidRPr="00305293" w:rsidRDefault="00B67B60" w:rsidP="00276064">
      <w:pPr>
        <w:pStyle w:val="NoSpacing"/>
        <w:shd w:val="clear" w:color="auto" w:fill="F4F3F0"/>
        <w:tabs>
          <w:tab w:val="left" w:pos="255"/>
          <w:tab w:val="right" w:pos="9638"/>
        </w:tabs>
        <w:rPr>
          <w:rFonts w:asciiTheme="minorHAnsi" w:hAnsiTheme="minorHAnsi" w:cs="Arial"/>
          <w:i/>
          <w:sz w:val="24"/>
          <w:szCs w:val="24"/>
          <w:lang w:val="sl-SI"/>
        </w:rPr>
      </w:pPr>
      <w:r>
        <w:rPr>
          <w:rFonts w:asciiTheme="minorHAnsi" w:hAnsiTheme="minorHAnsi" w:cs="Arial"/>
          <w:sz w:val="24"/>
          <w:szCs w:val="24"/>
          <w:lang w:val="sl-SI"/>
        </w:rPr>
        <w:t xml:space="preserve">    </w:t>
      </w:r>
      <w:r w:rsidR="001E77FB" w:rsidRPr="00305293">
        <w:rPr>
          <w:rFonts w:asciiTheme="minorHAnsi" w:hAnsiTheme="minorHAnsi" w:cs="Arial"/>
          <w:i/>
          <w:sz w:val="24"/>
          <w:szCs w:val="24"/>
          <w:lang w:val="sl-SI"/>
        </w:rPr>
        <w:t>6)</w:t>
      </w:r>
      <w:r w:rsidR="00A711E8" w:rsidRPr="00305293">
        <w:rPr>
          <w:rFonts w:asciiTheme="minorHAnsi" w:hAnsiTheme="minorHAnsi" w:cs="Arial"/>
          <w:i/>
          <w:sz w:val="24"/>
          <w:szCs w:val="24"/>
          <w:lang w:val="sl-SI"/>
        </w:rPr>
        <w:t xml:space="preserve"> Direktorat za centralnu harmonizaciju</w:t>
      </w:r>
      <w:r w:rsidR="00A61EAA" w:rsidRPr="00305293">
        <w:rPr>
          <w:rFonts w:asciiTheme="minorHAnsi" w:hAnsiTheme="minorHAnsi" w:cs="Arial"/>
          <w:i/>
          <w:sz w:val="24"/>
          <w:szCs w:val="24"/>
          <w:lang w:val="sl-SI"/>
        </w:rPr>
        <w:t xml:space="preserve">                                 </w:t>
      </w:r>
      <w:r w:rsidR="00A61EAA" w:rsidRPr="00305293">
        <w:rPr>
          <w:rFonts w:asciiTheme="minorHAnsi" w:hAnsiTheme="minorHAnsi" w:cs="Arial"/>
          <w:i/>
          <w:sz w:val="24"/>
          <w:szCs w:val="24"/>
          <w:lang w:val="sl-SI"/>
        </w:rPr>
        <w:tab/>
      </w:r>
    </w:p>
    <w:p w:rsidR="00A61EAA" w:rsidRPr="00305293" w:rsidRDefault="00B67B60" w:rsidP="00276064">
      <w:pPr>
        <w:pStyle w:val="NoSpacing"/>
        <w:shd w:val="clear" w:color="auto" w:fill="F4F3F0"/>
        <w:tabs>
          <w:tab w:val="right" w:pos="9638"/>
        </w:tabs>
        <w:rPr>
          <w:rFonts w:asciiTheme="minorHAnsi" w:hAnsiTheme="minorHAnsi" w:cs="Arial"/>
          <w:i/>
          <w:sz w:val="24"/>
          <w:szCs w:val="24"/>
          <w:lang w:val="sl-SI"/>
        </w:rPr>
      </w:pPr>
      <w:r>
        <w:rPr>
          <w:rFonts w:asciiTheme="minorHAnsi" w:hAnsiTheme="minorHAnsi" w:cs="Arial"/>
          <w:sz w:val="24"/>
          <w:szCs w:val="24"/>
          <w:lang w:val="sl-SI"/>
        </w:rPr>
        <w:t xml:space="preserve">    </w:t>
      </w:r>
      <w:r w:rsidR="001E77FB" w:rsidRPr="00305293">
        <w:rPr>
          <w:rFonts w:asciiTheme="minorHAnsi" w:hAnsiTheme="minorHAnsi" w:cs="Arial"/>
          <w:i/>
          <w:sz w:val="24"/>
          <w:szCs w:val="24"/>
          <w:lang w:val="sl-SI"/>
        </w:rPr>
        <w:t>7)</w:t>
      </w:r>
      <w:r w:rsidR="00A711E8" w:rsidRPr="00305293">
        <w:rPr>
          <w:rFonts w:asciiTheme="minorHAnsi" w:hAnsiTheme="minorHAnsi" w:cs="Arial"/>
          <w:i/>
          <w:sz w:val="24"/>
          <w:szCs w:val="24"/>
          <w:lang w:val="sl-SI"/>
        </w:rPr>
        <w:t xml:space="preserve"> Direktorat za lokalnu samoupravu i privredna društva u većinskom vlasništvu države</w:t>
      </w:r>
      <w:r w:rsidR="00A61EAA" w:rsidRPr="00305293">
        <w:rPr>
          <w:rFonts w:asciiTheme="minorHAnsi" w:hAnsiTheme="minorHAnsi" w:cs="Arial"/>
          <w:i/>
          <w:sz w:val="24"/>
          <w:szCs w:val="24"/>
          <w:lang w:val="sl-SI"/>
        </w:rPr>
        <w:tab/>
      </w:r>
    </w:p>
    <w:p w:rsidR="00A61EAA" w:rsidRPr="00305293" w:rsidRDefault="00B67B60" w:rsidP="00276064">
      <w:pPr>
        <w:pStyle w:val="NoSpacing"/>
        <w:shd w:val="clear" w:color="auto" w:fill="F4F3F0"/>
        <w:tabs>
          <w:tab w:val="left" w:pos="180"/>
          <w:tab w:val="right" w:pos="9638"/>
        </w:tabs>
        <w:jc w:val="both"/>
        <w:rPr>
          <w:rFonts w:asciiTheme="minorHAnsi" w:hAnsiTheme="minorHAnsi" w:cs="Arial"/>
          <w:i/>
          <w:sz w:val="24"/>
          <w:szCs w:val="24"/>
          <w:lang w:val="sl-SI"/>
        </w:rPr>
      </w:pPr>
      <w:r>
        <w:rPr>
          <w:rFonts w:asciiTheme="minorHAnsi" w:hAnsiTheme="minorHAnsi" w:cs="Arial"/>
          <w:sz w:val="24"/>
          <w:szCs w:val="24"/>
          <w:lang w:val="sl-SI"/>
        </w:rPr>
        <w:t xml:space="preserve">    </w:t>
      </w:r>
      <w:r w:rsidR="001E77FB" w:rsidRPr="00305293">
        <w:rPr>
          <w:rFonts w:asciiTheme="minorHAnsi" w:hAnsiTheme="minorHAnsi" w:cs="Arial"/>
          <w:i/>
          <w:sz w:val="24"/>
          <w:szCs w:val="24"/>
          <w:lang w:val="sl-SI"/>
        </w:rPr>
        <w:t>8)</w:t>
      </w:r>
      <w:r w:rsidR="005B5FA2" w:rsidRPr="00305293">
        <w:rPr>
          <w:rFonts w:asciiTheme="minorHAnsi" w:hAnsiTheme="minorHAnsi" w:cs="Arial"/>
          <w:i/>
          <w:sz w:val="24"/>
          <w:szCs w:val="24"/>
          <w:lang w:val="sl-SI"/>
        </w:rPr>
        <w:t xml:space="preserve"> </w:t>
      </w:r>
      <w:r w:rsidR="00A61EAA" w:rsidRPr="00305293">
        <w:rPr>
          <w:rFonts w:asciiTheme="minorHAnsi" w:hAnsiTheme="minorHAnsi" w:cs="Arial"/>
          <w:i/>
          <w:sz w:val="24"/>
          <w:szCs w:val="24"/>
          <w:lang w:val="sl-SI"/>
        </w:rPr>
        <w:t>Direktorat za finansiranje i ugovaranje sredstava EU pomoći</w:t>
      </w:r>
      <w:r w:rsidR="00A61EAA" w:rsidRPr="00305293">
        <w:rPr>
          <w:rFonts w:asciiTheme="minorHAnsi" w:hAnsiTheme="minorHAnsi" w:cs="Arial"/>
          <w:i/>
          <w:sz w:val="24"/>
          <w:szCs w:val="24"/>
          <w:lang w:val="sl-SI"/>
        </w:rPr>
        <w:tab/>
      </w:r>
    </w:p>
    <w:p w:rsidR="00A711E8" w:rsidRPr="00305293" w:rsidRDefault="00B67B60" w:rsidP="00276064">
      <w:pPr>
        <w:pStyle w:val="NoSpacing"/>
        <w:shd w:val="clear" w:color="auto" w:fill="F4F3F0"/>
        <w:tabs>
          <w:tab w:val="left" w:pos="180"/>
          <w:tab w:val="right" w:pos="9638"/>
        </w:tabs>
        <w:jc w:val="both"/>
        <w:rPr>
          <w:rFonts w:asciiTheme="minorHAnsi" w:hAnsiTheme="minorHAnsi" w:cs="Arial"/>
          <w:i/>
          <w:sz w:val="24"/>
          <w:szCs w:val="24"/>
          <w:lang w:val="sl-SI"/>
        </w:rPr>
      </w:pPr>
      <w:r w:rsidRPr="00305293">
        <w:rPr>
          <w:rFonts w:asciiTheme="minorHAnsi" w:hAnsiTheme="minorHAnsi" w:cs="Arial"/>
          <w:i/>
          <w:sz w:val="24"/>
          <w:szCs w:val="24"/>
          <w:lang w:val="sl-SI"/>
        </w:rPr>
        <w:t xml:space="preserve">    </w:t>
      </w:r>
      <w:r w:rsidR="001E77FB" w:rsidRPr="00305293">
        <w:rPr>
          <w:rFonts w:asciiTheme="minorHAnsi" w:hAnsiTheme="minorHAnsi" w:cs="Arial"/>
          <w:i/>
          <w:sz w:val="24"/>
          <w:szCs w:val="24"/>
          <w:lang w:val="sl-SI"/>
        </w:rPr>
        <w:t>9)</w:t>
      </w:r>
      <w:r w:rsidR="00A711E8" w:rsidRPr="00305293">
        <w:rPr>
          <w:rFonts w:asciiTheme="minorHAnsi" w:hAnsiTheme="minorHAnsi" w:cs="Arial"/>
          <w:i/>
          <w:sz w:val="24"/>
          <w:szCs w:val="24"/>
          <w:lang w:val="sl-SI"/>
        </w:rPr>
        <w:t xml:space="preserve"> Direktorat za upravljačku strukturu</w:t>
      </w:r>
    </w:p>
    <w:p w:rsidR="00A61EAA" w:rsidRPr="00305293" w:rsidRDefault="00B67B60" w:rsidP="00276064">
      <w:pPr>
        <w:pStyle w:val="NoSpacing"/>
        <w:shd w:val="clear" w:color="auto" w:fill="F4F3F0"/>
        <w:tabs>
          <w:tab w:val="left" w:pos="930"/>
          <w:tab w:val="left" w:pos="9570"/>
          <w:tab w:val="right" w:pos="9638"/>
        </w:tabs>
        <w:rPr>
          <w:rFonts w:asciiTheme="minorHAnsi" w:hAnsiTheme="minorHAnsi" w:cs="Arial"/>
          <w:i/>
          <w:sz w:val="24"/>
          <w:szCs w:val="24"/>
          <w:lang w:val="sl-SI"/>
        </w:rPr>
      </w:pPr>
      <w:r>
        <w:rPr>
          <w:rFonts w:asciiTheme="minorHAnsi" w:hAnsiTheme="minorHAnsi" w:cs="Arial"/>
          <w:sz w:val="24"/>
          <w:szCs w:val="24"/>
          <w:lang w:val="sl-SI"/>
        </w:rPr>
        <w:t xml:space="preserve">    </w:t>
      </w:r>
      <w:r w:rsidR="001E77FB" w:rsidRPr="00305293">
        <w:rPr>
          <w:rFonts w:asciiTheme="minorHAnsi" w:hAnsiTheme="minorHAnsi" w:cs="Arial"/>
          <w:i/>
          <w:sz w:val="24"/>
          <w:szCs w:val="24"/>
          <w:lang w:val="sl-SI"/>
        </w:rPr>
        <w:t>10)</w:t>
      </w:r>
      <w:r w:rsidR="005B5FA2" w:rsidRPr="00305293">
        <w:rPr>
          <w:rFonts w:asciiTheme="minorHAnsi" w:hAnsiTheme="minorHAnsi" w:cs="Arial"/>
          <w:i/>
          <w:sz w:val="24"/>
          <w:szCs w:val="24"/>
          <w:lang w:val="sl-SI"/>
        </w:rPr>
        <w:t xml:space="preserve"> </w:t>
      </w:r>
      <w:r w:rsidR="00A61EAA" w:rsidRPr="00305293">
        <w:rPr>
          <w:rFonts w:asciiTheme="minorHAnsi" w:hAnsiTheme="minorHAnsi" w:cs="Arial"/>
          <w:i/>
          <w:sz w:val="24"/>
          <w:szCs w:val="24"/>
          <w:lang w:val="sl-SI"/>
        </w:rPr>
        <w:t xml:space="preserve">Direktorat za imovinsko pravne poslove                                                                                          </w:t>
      </w:r>
    </w:p>
    <w:p w:rsidR="00C57083" w:rsidRPr="00305293" w:rsidRDefault="00B67B60" w:rsidP="00276064">
      <w:pPr>
        <w:pStyle w:val="NoSpacing"/>
        <w:shd w:val="clear" w:color="auto" w:fill="F4F3F0"/>
        <w:tabs>
          <w:tab w:val="right" w:pos="9638"/>
        </w:tabs>
        <w:rPr>
          <w:rFonts w:asciiTheme="minorHAnsi" w:hAnsiTheme="minorHAnsi" w:cs="Arial"/>
          <w:i/>
          <w:sz w:val="24"/>
          <w:szCs w:val="24"/>
          <w:lang w:val="sl-SI"/>
        </w:rPr>
      </w:pPr>
      <w:r>
        <w:rPr>
          <w:rFonts w:asciiTheme="minorHAnsi" w:hAnsiTheme="minorHAnsi" w:cs="Arial"/>
          <w:sz w:val="24"/>
          <w:szCs w:val="24"/>
          <w:lang w:val="sl-SI"/>
        </w:rPr>
        <w:t xml:space="preserve">    </w:t>
      </w:r>
      <w:r w:rsidR="001E77FB" w:rsidRPr="00305293">
        <w:rPr>
          <w:rFonts w:asciiTheme="minorHAnsi" w:hAnsiTheme="minorHAnsi" w:cs="Arial"/>
          <w:i/>
          <w:sz w:val="24"/>
          <w:szCs w:val="24"/>
          <w:lang w:val="sl-SI"/>
        </w:rPr>
        <w:t>11)</w:t>
      </w:r>
      <w:r w:rsidR="005B5FA2" w:rsidRPr="00305293">
        <w:rPr>
          <w:rFonts w:asciiTheme="minorHAnsi" w:hAnsiTheme="minorHAnsi" w:cs="Arial"/>
          <w:i/>
          <w:sz w:val="24"/>
          <w:szCs w:val="24"/>
          <w:lang w:val="sl-SI"/>
        </w:rPr>
        <w:t xml:space="preserve"> </w:t>
      </w:r>
      <w:r w:rsidR="00A61EAA" w:rsidRPr="00305293">
        <w:rPr>
          <w:rFonts w:asciiTheme="minorHAnsi" w:hAnsiTheme="minorHAnsi" w:cs="Arial"/>
          <w:i/>
          <w:sz w:val="24"/>
          <w:szCs w:val="24"/>
          <w:lang w:val="sl-SI"/>
        </w:rPr>
        <w:t xml:space="preserve">Direktorat za politiku javnih nabavki     </w:t>
      </w:r>
    </w:p>
    <w:p w:rsidR="00A61EAA" w:rsidRPr="00305293" w:rsidRDefault="00B67B60" w:rsidP="00276064">
      <w:pPr>
        <w:pStyle w:val="NoSpacing"/>
        <w:shd w:val="clear" w:color="auto" w:fill="F4F3F0"/>
        <w:tabs>
          <w:tab w:val="right" w:pos="9638"/>
        </w:tabs>
        <w:rPr>
          <w:rFonts w:asciiTheme="minorHAnsi" w:hAnsiTheme="minorHAnsi" w:cs="Arial"/>
          <w:i/>
          <w:sz w:val="24"/>
          <w:szCs w:val="24"/>
          <w:lang w:val="sl-SI"/>
        </w:rPr>
      </w:pPr>
      <w:r>
        <w:rPr>
          <w:rFonts w:asciiTheme="minorHAnsi" w:hAnsiTheme="minorHAnsi" w:cs="Arial"/>
          <w:sz w:val="24"/>
          <w:szCs w:val="24"/>
          <w:lang w:val="sl-SI"/>
        </w:rPr>
        <w:t xml:space="preserve">    </w:t>
      </w:r>
      <w:r w:rsidR="001E77FB" w:rsidRPr="00305293">
        <w:rPr>
          <w:rFonts w:asciiTheme="minorHAnsi" w:hAnsiTheme="minorHAnsi" w:cs="Arial"/>
          <w:i/>
          <w:sz w:val="24"/>
          <w:szCs w:val="24"/>
          <w:lang w:val="sl-SI"/>
        </w:rPr>
        <w:t xml:space="preserve">12) </w:t>
      </w:r>
      <w:r w:rsidR="00C57083" w:rsidRPr="00305293">
        <w:rPr>
          <w:rFonts w:asciiTheme="minorHAnsi" w:hAnsiTheme="minorHAnsi" w:cs="Arial"/>
          <w:i/>
          <w:sz w:val="24"/>
          <w:szCs w:val="24"/>
          <w:lang w:val="sl-SI"/>
        </w:rPr>
        <w:t>Direktorat za digitalizaciju i informacione sisteme</w:t>
      </w:r>
      <w:r w:rsidR="00A61EAA" w:rsidRPr="00305293">
        <w:rPr>
          <w:rFonts w:asciiTheme="minorHAnsi" w:hAnsiTheme="minorHAnsi" w:cs="Arial"/>
          <w:i/>
          <w:sz w:val="24"/>
          <w:szCs w:val="24"/>
          <w:lang w:val="sl-SI"/>
        </w:rPr>
        <w:t xml:space="preserve">                                                                          </w:t>
      </w:r>
      <w:r w:rsidR="00A61EAA" w:rsidRPr="00305293">
        <w:rPr>
          <w:rFonts w:asciiTheme="minorHAnsi" w:hAnsiTheme="minorHAnsi" w:cs="Arial"/>
          <w:i/>
          <w:sz w:val="24"/>
          <w:szCs w:val="24"/>
          <w:lang w:val="sl-SI"/>
        </w:rPr>
        <w:tab/>
      </w:r>
    </w:p>
    <w:p w:rsidR="00A61EAA" w:rsidRPr="00305293" w:rsidRDefault="00B67B60" w:rsidP="00276064">
      <w:pPr>
        <w:pStyle w:val="NoSpacing"/>
        <w:shd w:val="clear" w:color="auto" w:fill="F4F3F0"/>
        <w:tabs>
          <w:tab w:val="right" w:pos="9638"/>
        </w:tabs>
        <w:rPr>
          <w:rFonts w:asciiTheme="minorHAnsi" w:hAnsiTheme="minorHAnsi" w:cs="Arial"/>
          <w:i/>
          <w:sz w:val="24"/>
          <w:szCs w:val="24"/>
          <w:lang w:val="sl-SI"/>
        </w:rPr>
      </w:pPr>
      <w:r>
        <w:rPr>
          <w:rFonts w:asciiTheme="minorHAnsi" w:hAnsiTheme="minorHAnsi" w:cs="Arial"/>
          <w:sz w:val="24"/>
          <w:szCs w:val="24"/>
          <w:lang w:val="sl-SI"/>
        </w:rPr>
        <w:t xml:space="preserve">    </w:t>
      </w:r>
      <w:r w:rsidR="001E77FB" w:rsidRPr="00305293">
        <w:rPr>
          <w:rFonts w:asciiTheme="minorHAnsi" w:hAnsiTheme="minorHAnsi" w:cs="Arial"/>
          <w:i/>
          <w:sz w:val="24"/>
          <w:szCs w:val="24"/>
          <w:lang w:val="sl-SI"/>
        </w:rPr>
        <w:t>13)</w:t>
      </w:r>
      <w:r w:rsidR="00C913B2" w:rsidRPr="00305293">
        <w:rPr>
          <w:rFonts w:asciiTheme="minorHAnsi" w:hAnsiTheme="minorHAnsi" w:cs="Arial"/>
          <w:i/>
          <w:sz w:val="24"/>
          <w:szCs w:val="24"/>
          <w:lang w:val="sl-SI"/>
        </w:rPr>
        <w:t xml:space="preserve"> Odjeljenje za evoprske integracije</w:t>
      </w:r>
      <w:r w:rsidR="00A61EAA" w:rsidRPr="00305293">
        <w:rPr>
          <w:rFonts w:asciiTheme="minorHAnsi" w:hAnsiTheme="minorHAnsi" w:cs="Arial"/>
          <w:i/>
          <w:sz w:val="24"/>
          <w:szCs w:val="24"/>
          <w:lang w:val="sl-SI"/>
        </w:rPr>
        <w:tab/>
      </w:r>
    </w:p>
    <w:p w:rsidR="00C913B2" w:rsidRPr="00305293" w:rsidRDefault="00B67B60" w:rsidP="00276064">
      <w:pPr>
        <w:pStyle w:val="NoSpacing"/>
        <w:shd w:val="clear" w:color="auto" w:fill="F4F3F0"/>
        <w:tabs>
          <w:tab w:val="right" w:pos="9638"/>
        </w:tabs>
        <w:rPr>
          <w:rFonts w:asciiTheme="minorHAnsi" w:hAnsiTheme="minorHAnsi" w:cs="Arial"/>
          <w:i/>
          <w:sz w:val="24"/>
          <w:szCs w:val="24"/>
          <w:lang w:val="sl-SI"/>
        </w:rPr>
      </w:pPr>
      <w:r>
        <w:rPr>
          <w:rFonts w:asciiTheme="minorHAnsi" w:hAnsiTheme="minorHAnsi" w:cs="Arial"/>
          <w:sz w:val="24"/>
          <w:szCs w:val="24"/>
          <w:lang w:val="sl-SI"/>
        </w:rPr>
        <w:t xml:space="preserve">    </w:t>
      </w:r>
      <w:r w:rsidR="001E77FB" w:rsidRPr="00305293">
        <w:rPr>
          <w:rFonts w:asciiTheme="minorHAnsi" w:hAnsiTheme="minorHAnsi" w:cs="Arial"/>
          <w:i/>
          <w:sz w:val="24"/>
          <w:szCs w:val="24"/>
          <w:lang w:val="sl-SI"/>
        </w:rPr>
        <w:t>14)</w:t>
      </w:r>
      <w:r w:rsidR="005B5FA2" w:rsidRPr="00305293">
        <w:rPr>
          <w:rFonts w:asciiTheme="minorHAnsi" w:hAnsiTheme="minorHAnsi" w:cs="Arial"/>
          <w:i/>
          <w:sz w:val="24"/>
          <w:szCs w:val="24"/>
          <w:lang w:val="sl-SI"/>
        </w:rPr>
        <w:t xml:space="preserve"> </w:t>
      </w:r>
      <w:r w:rsidR="00A61EAA" w:rsidRPr="00305293">
        <w:rPr>
          <w:rFonts w:asciiTheme="minorHAnsi" w:hAnsiTheme="minorHAnsi" w:cs="Arial"/>
          <w:i/>
          <w:sz w:val="24"/>
          <w:szCs w:val="24"/>
          <w:lang w:val="sl-SI"/>
        </w:rPr>
        <w:t>Odjeljenje za suzbijanje nepravilnosti i prevara</w:t>
      </w:r>
    </w:p>
    <w:p w:rsidR="00A61EAA" w:rsidRPr="00305293" w:rsidRDefault="00446CEC" w:rsidP="00276064">
      <w:pPr>
        <w:pStyle w:val="NoSpacing"/>
        <w:shd w:val="clear" w:color="auto" w:fill="F4F3F0"/>
        <w:tabs>
          <w:tab w:val="right" w:pos="9638"/>
        </w:tabs>
        <w:rPr>
          <w:rFonts w:asciiTheme="minorHAnsi" w:hAnsiTheme="minorHAnsi" w:cs="Arial"/>
          <w:i/>
          <w:sz w:val="24"/>
          <w:szCs w:val="24"/>
          <w:lang w:val="sl-SI"/>
        </w:rPr>
      </w:pPr>
      <w:r>
        <w:rPr>
          <w:rFonts w:asciiTheme="minorHAnsi" w:hAnsiTheme="minorHAnsi" w:cs="Arial"/>
          <w:sz w:val="24"/>
          <w:szCs w:val="24"/>
          <w:lang w:val="sl-SI"/>
        </w:rPr>
        <w:t xml:space="preserve">    </w:t>
      </w:r>
      <w:r w:rsidRPr="00305293">
        <w:rPr>
          <w:rFonts w:asciiTheme="minorHAnsi" w:hAnsiTheme="minorHAnsi" w:cs="Arial"/>
          <w:i/>
          <w:sz w:val="24"/>
          <w:szCs w:val="24"/>
          <w:lang w:val="sl-SI"/>
        </w:rPr>
        <w:t>15</w:t>
      </w:r>
      <w:r w:rsidR="00C913B2" w:rsidRPr="00305293">
        <w:rPr>
          <w:rFonts w:asciiTheme="minorHAnsi" w:hAnsiTheme="minorHAnsi" w:cs="Arial"/>
          <w:i/>
          <w:sz w:val="24"/>
          <w:szCs w:val="24"/>
          <w:lang w:val="sl-SI"/>
        </w:rPr>
        <w:t>) Odjeljenje za unutrašnju reviziju</w:t>
      </w:r>
      <w:r w:rsidR="00A61EAA" w:rsidRPr="00305293">
        <w:rPr>
          <w:rFonts w:asciiTheme="minorHAnsi" w:hAnsiTheme="minorHAnsi" w:cs="Arial"/>
          <w:i/>
          <w:sz w:val="24"/>
          <w:szCs w:val="24"/>
          <w:lang w:val="sl-SI"/>
        </w:rPr>
        <w:tab/>
      </w:r>
    </w:p>
    <w:p w:rsidR="00A61EAA" w:rsidRPr="00305293" w:rsidRDefault="00B67B60" w:rsidP="00276064">
      <w:pPr>
        <w:pStyle w:val="NoSpacing"/>
        <w:shd w:val="clear" w:color="auto" w:fill="F4F3F0"/>
        <w:tabs>
          <w:tab w:val="right" w:pos="9638"/>
        </w:tabs>
        <w:rPr>
          <w:rFonts w:asciiTheme="minorHAnsi" w:hAnsiTheme="minorHAnsi" w:cs="Arial"/>
          <w:i/>
          <w:sz w:val="24"/>
          <w:szCs w:val="24"/>
          <w:lang w:val="sl-SI"/>
        </w:rPr>
      </w:pPr>
      <w:r w:rsidRPr="00305293">
        <w:rPr>
          <w:rFonts w:asciiTheme="minorHAnsi" w:hAnsiTheme="minorHAnsi" w:cs="Arial"/>
          <w:i/>
          <w:sz w:val="24"/>
          <w:szCs w:val="24"/>
          <w:lang w:val="sl-SI"/>
        </w:rPr>
        <w:t xml:space="preserve">    </w:t>
      </w:r>
      <w:r w:rsidR="001E77FB" w:rsidRPr="00305293">
        <w:rPr>
          <w:rFonts w:asciiTheme="minorHAnsi" w:hAnsiTheme="minorHAnsi" w:cs="Arial"/>
          <w:i/>
          <w:sz w:val="24"/>
          <w:szCs w:val="24"/>
          <w:lang w:val="sl-SI"/>
        </w:rPr>
        <w:t>16)</w:t>
      </w:r>
      <w:r w:rsidR="005B5FA2" w:rsidRPr="00305293">
        <w:rPr>
          <w:rFonts w:asciiTheme="minorHAnsi" w:hAnsiTheme="minorHAnsi" w:cs="Arial"/>
          <w:i/>
          <w:sz w:val="24"/>
          <w:szCs w:val="24"/>
          <w:lang w:val="sl-SI"/>
        </w:rPr>
        <w:t xml:space="preserve"> </w:t>
      </w:r>
      <w:r w:rsidR="00C57083" w:rsidRPr="00305293">
        <w:rPr>
          <w:rFonts w:asciiTheme="minorHAnsi" w:hAnsiTheme="minorHAnsi" w:cs="Arial"/>
          <w:i/>
          <w:sz w:val="24"/>
          <w:szCs w:val="24"/>
          <w:lang w:val="sl-SI"/>
        </w:rPr>
        <w:t>Odjeljenje za unutrašnju reviziju fondova Evropske unije u javnom sektoru</w:t>
      </w:r>
      <w:r w:rsidR="00A61EAA" w:rsidRPr="00305293">
        <w:rPr>
          <w:rFonts w:asciiTheme="minorHAnsi" w:hAnsiTheme="minorHAnsi" w:cs="Arial"/>
          <w:i/>
          <w:sz w:val="24"/>
          <w:szCs w:val="24"/>
          <w:lang w:val="sl-SI"/>
        </w:rPr>
        <w:tab/>
      </w:r>
    </w:p>
    <w:p w:rsidR="00A61EAA" w:rsidRPr="00305293" w:rsidRDefault="00B67B60" w:rsidP="00276064">
      <w:pPr>
        <w:pStyle w:val="NoSpacing"/>
        <w:shd w:val="clear" w:color="auto" w:fill="F4F3F0"/>
        <w:tabs>
          <w:tab w:val="right" w:pos="9638"/>
        </w:tabs>
        <w:rPr>
          <w:rFonts w:asciiTheme="minorHAnsi" w:hAnsiTheme="minorHAnsi" w:cs="Arial"/>
          <w:i/>
          <w:sz w:val="24"/>
          <w:szCs w:val="24"/>
          <w:lang w:val="sl-SI"/>
        </w:rPr>
      </w:pPr>
      <w:r>
        <w:rPr>
          <w:rFonts w:asciiTheme="minorHAnsi" w:hAnsiTheme="minorHAnsi" w:cs="Arial"/>
          <w:sz w:val="24"/>
          <w:szCs w:val="24"/>
          <w:lang w:val="sl-SI"/>
        </w:rPr>
        <w:t xml:space="preserve">    </w:t>
      </w:r>
      <w:r w:rsidR="001E77FB" w:rsidRPr="00305293">
        <w:rPr>
          <w:rFonts w:asciiTheme="minorHAnsi" w:hAnsiTheme="minorHAnsi" w:cs="Arial"/>
          <w:i/>
          <w:sz w:val="24"/>
          <w:szCs w:val="24"/>
          <w:lang w:val="sl-SI"/>
        </w:rPr>
        <w:t>17)</w:t>
      </w:r>
      <w:r w:rsidR="005B5FA2" w:rsidRPr="00305293">
        <w:rPr>
          <w:rFonts w:asciiTheme="minorHAnsi" w:hAnsiTheme="minorHAnsi" w:cs="Arial"/>
          <w:i/>
          <w:sz w:val="24"/>
          <w:szCs w:val="24"/>
          <w:lang w:val="sl-SI"/>
        </w:rPr>
        <w:t xml:space="preserve"> </w:t>
      </w:r>
      <w:r w:rsidR="008F33B9">
        <w:rPr>
          <w:rFonts w:asciiTheme="minorHAnsi" w:hAnsiTheme="minorHAnsi" w:cs="Arial"/>
          <w:i/>
          <w:sz w:val="24"/>
          <w:szCs w:val="24"/>
          <w:lang w:val="sl-SI"/>
        </w:rPr>
        <w:t xml:space="preserve">Služba za opšte </w:t>
      </w:r>
      <w:r w:rsidR="00A61EAA" w:rsidRPr="00305293">
        <w:rPr>
          <w:rFonts w:asciiTheme="minorHAnsi" w:hAnsiTheme="minorHAnsi" w:cs="Arial"/>
          <w:i/>
          <w:sz w:val="24"/>
          <w:szCs w:val="24"/>
          <w:lang w:val="sl-SI"/>
        </w:rPr>
        <w:t>poslove</w:t>
      </w:r>
      <w:r w:rsidR="00A61EAA" w:rsidRPr="00305293">
        <w:rPr>
          <w:rFonts w:asciiTheme="minorHAnsi" w:hAnsiTheme="minorHAnsi" w:cs="Arial"/>
          <w:i/>
          <w:sz w:val="24"/>
          <w:szCs w:val="24"/>
          <w:lang w:val="sl-SI"/>
        </w:rPr>
        <w:tab/>
      </w:r>
    </w:p>
    <w:p w:rsidR="005B5FA2" w:rsidRPr="00305293" w:rsidRDefault="00B67B60" w:rsidP="00276064">
      <w:pPr>
        <w:pStyle w:val="NoSpacing"/>
        <w:shd w:val="clear" w:color="auto" w:fill="F4F3F0"/>
        <w:tabs>
          <w:tab w:val="right" w:pos="9638"/>
        </w:tabs>
        <w:rPr>
          <w:rFonts w:asciiTheme="minorHAnsi" w:hAnsiTheme="minorHAnsi" w:cs="Arial"/>
          <w:i/>
          <w:sz w:val="24"/>
          <w:szCs w:val="24"/>
          <w:lang w:val="sl-SI"/>
        </w:rPr>
      </w:pPr>
      <w:r>
        <w:rPr>
          <w:rFonts w:asciiTheme="minorHAnsi" w:hAnsiTheme="minorHAnsi" w:cs="Arial"/>
          <w:sz w:val="24"/>
          <w:szCs w:val="24"/>
          <w:lang w:val="sl-SI"/>
        </w:rPr>
        <w:t xml:space="preserve">    </w:t>
      </w:r>
      <w:r w:rsidR="001E77FB" w:rsidRPr="00305293">
        <w:rPr>
          <w:rFonts w:asciiTheme="minorHAnsi" w:hAnsiTheme="minorHAnsi" w:cs="Arial"/>
          <w:i/>
          <w:sz w:val="24"/>
          <w:szCs w:val="24"/>
          <w:lang w:val="sl-SI"/>
        </w:rPr>
        <w:t>18)</w:t>
      </w:r>
      <w:r w:rsidR="005B5FA2" w:rsidRPr="00305293">
        <w:rPr>
          <w:rFonts w:asciiTheme="minorHAnsi" w:hAnsiTheme="minorHAnsi" w:cs="Arial"/>
          <w:i/>
          <w:sz w:val="24"/>
          <w:szCs w:val="24"/>
          <w:lang w:val="sl-SI"/>
        </w:rPr>
        <w:t xml:space="preserve"> </w:t>
      </w:r>
      <w:r w:rsidR="00A61EAA" w:rsidRPr="00305293">
        <w:rPr>
          <w:rFonts w:asciiTheme="minorHAnsi" w:hAnsiTheme="minorHAnsi" w:cs="Arial"/>
          <w:i/>
          <w:sz w:val="24"/>
          <w:szCs w:val="24"/>
          <w:lang w:val="sl-SI"/>
        </w:rPr>
        <w:t>Služba za materijalno-finansij</w:t>
      </w:r>
      <w:r w:rsidR="00D76FAA" w:rsidRPr="00305293">
        <w:rPr>
          <w:rFonts w:asciiTheme="minorHAnsi" w:hAnsiTheme="minorHAnsi" w:cs="Arial"/>
          <w:i/>
          <w:sz w:val="24"/>
          <w:szCs w:val="24"/>
          <w:lang w:val="sl-SI"/>
        </w:rPr>
        <w:t xml:space="preserve">ske, </w:t>
      </w:r>
      <w:r w:rsidR="00A61EAA" w:rsidRPr="00305293">
        <w:rPr>
          <w:rFonts w:asciiTheme="minorHAnsi" w:hAnsiTheme="minorHAnsi" w:cs="Arial"/>
          <w:i/>
          <w:sz w:val="24"/>
          <w:szCs w:val="24"/>
          <w:lang w:val="sl-SI"/>
        </w:rPr>
        <w:t>računovodstvene poslove</w:t>
      </w:r>
      <w:r w:rsidR="00D76FAA" w:rsidRPr="00305293">
        <w:rPr>
          <w:rFonts w:asciiTheme="minorHAnsi" w:hAnsiTheme="minorHAnsi" w:cs="Arial"/>
          <w:i/>
          <w:sz w:val="24"/>
          <w:szCs w:val="24"/>
          <w:lang w:val="sl-SI"/>
        </w:rPr>
        <w:t xml:space="preserve"> i javne nabavke</w:t>
      </w:r>
    </w:p>
    <w:p w:rsidR="00A61EAA" w:rsidRPr="002F329D" w:rsidRDefault="00B67B60" w:rsidP="00276064">
      <w:pPr>
        <w:pStyle w:val="NoSpacing"/>
        <w:shd w:val="clear" w:color="auto" w:fill="F1EFEB"/>
        <w:tabs>
          <w:tab w:val="right" w:pos="9638"/>
        </w:tabs>
        <w:rPr>
          <w:rFonts w:asciiTheme="minorHAnsi" w:hAnsiTheme="minorHAnsi" w:cs="Arial"/>
          <w:sz w:val="24"/>
          <w:szCs w:val="24"/>
          <w:lang w:val="sl-SI"/>
        </w:rPr>
      </w:pPr>
      <w:r>
        <w:rPr>
          <w:rFonts w:asciiTheme="minorHAnsi" w:hAnsiTheme="minorHAnsi" w:cs="Arial"/>
          <w:sz w:val="24"/>
          <w:szCs w:val="24"/>
          <w:lang w:val="sl-SI"/>
        </w:rPr>
        <w:t>V</w:t>
      </w:r>
      <w:r w:rsidR="00316886">
        <w:rPr>
          <w:rFonts w:asciiTheme="minorHAnsi" w:hAnsiTheme="minorHAnsi" w:cs="Arial"/>
          <w:sz w:val="24"/>
          <w:szCs w:val="24"/>
          <w:lang w:val="sl-SI"/>
        </w:rPr>
        <w:t>I</w:t>
      </w:r>
      <w:r w:rsidR="005B5FA2">
        <w:rPr>
          <w:rFonts w:asciiTheme="minorHAnsi" w:hAnsiTheme="minorHAnsi" w:cs="Arial"/>
          <w:sz w:val="24"/>
          <w:szCs w:val="24"/>
          <w:lang w:val="sl-SI"/>
        </w:rPr>
        <w:t xml:space="preserve"> </w:t>
      </w:r>
      <w:r w:rsidR="005B5FA2" w:rsidRPr="002F329D">
        <w:rPr>
          <w:rFonts w:asciiTheme="minorHAnsi" w:hAnsiTheme="minorHAnsi" w:cs="Arial"/>
          <w:sz w:val="24"/>
          <w:szCs w:val="24"/>
          <w:lang w:val="sl-SI"/>
        </w:rPr>
        <w:t>Predlog mjera za unapređenje</w:t>
      </w:r>
      <w:r w:rsidR="00B92D5F" w:rsidRPr="002F329D">
        <w:rPr>
          <w:rFonts w:asciiTheme="minorHAnsi" w:hAnsiTheme="minorHAnsi" w:cs="Arial"/>
          <w:sz w:val="24"/>
          <w:szCs w:val="24"/>
          <w:lang w:val="sl-SI"/>
        </w:rPr>
        <w:t xml:space="preserve"> </w:t>
      </w:r>
      <w:r w:rsidR="00A61EAA" w:rsidRPr="002F329D">
        <w:rPr>
          <w:rFonts w:asciiTheme="minorHAnsi" w:hAnsiTheme="minorHAnsi" w:cs="Arial"/>
          <w:sz w:val="24"/>
          <w:szCs w:val="24"/>
          <w:lang w:val="sl-SI"/>
        </w:rPr>
        <w:tab/>
      </w:r>
      <w:r w:rsidR="00B92D5F" w:rsidRPr="002F329D">
        <w:rPr>
          <w:rFonts w:asciiTheme="minorHAnsi" w:hAnsiTheme="minorHAnsi" w:cs="Arial"/>
          <w:sz w:val="24"/>
          <w:szCs w:val="24"/>
          <w:lang w:val="sl-SI"/>
        </w:rPr>
        <w:t>90</w:t>
      </w:r>
    </w:p>
    <w:p w:rsidR="00F938E8" w:rsidRPr="002F329D" w:rsidRDefault="00B67B60" w:rsidP="00276064">
      <w:pPr>
        <w:pStyle w:val="NoSpacing"/>
        <w:shd w:val="clear" w:color="auto" w:fill="F1EFEB"/>
        <w:tabs>
          <w:tab w:val="right" w:pos="9638"/>
        </w:tabs>
        <w:jc w:val="both"/>
        <w:rPr>
          <w:rFonts w:asciiTheme="minorHAnsi" w:hAnsiTheme="minorHAnsi" w:cs="Arial"/>
          <w:sz w:val="24"/>
          <w:szCs w:val="24"/>
          <w:lang w:val="sl-SI"/>
        </w:rPr>
      </w:pPr>
      <w:r w:rsidRPr="002F329D">
        <w:rPr>
          <w:rFonts w:asciiTheme="minorHAnsi" w:hAnsiTheme="minorHAnsi" w:cs="Arial"/>
          <w:sz w:val="24"/>
          <w:szCs w:val="24"/>
          <w:lang w:val="sl-SI"/>
        </w:rPr>
        <w:t>VI</w:t>
      </w:r>
      <w:r w:rsidR="00316886" w:rsidRPr="002F329D">
        <w:rPr>
          <w:rFonts w:asciiTheme="minorHAnsi" w:hAnsiTheme="minorHAnsi" w:cs="Arial"/>
          <w:sz w:val="24"/>
          <w:szCs w:val="24"/>
          <w:lang w:val="sl-SI"/>
        </w:rPr>
        <w:t>I</w:t>
      </w:r>
      <w:r w:rsidRPr="002F329D">
        <w:rPr>
          <w:rFonts w:asciiTheme="minorHAnsi" w:hAnsiTheme="minorHAnsi" w:cs="Arial"/>
          <w:sz w:val="24"/>
          <w:szCs w:val="24"/>
          <w:lang w:val="sl-SI"/>
        </w:rPr>
        <w:t xml:space="preserve"> </w:t>
      </w:r>
      <w:r w:rsidR="00A61EAA" w:rsidRPr="002F329D">
        <w:rPr>
          <w:rFonts w:asciiTheme="minorHAnsi" w:hAnsiTheme="minorHAnsi" w:cs="Arial"/>
          <w:sz w:val="24"/>
          <w:szCs w:val="24"/>
          <w:lang w:val="sl-SI"/>
        </w:rPr>
        <w:t xml:space="preserve">Izvještaj o radu </w:t>
      </w:r>
      <w:r w:rsidR="0039737E" w:rsidRPr="002F329D">
        <w:rPr>
          <w:rFonts w:asciiTheme="minorHAnsi" w:hAnsiTheme="minorHAnsi" w:cs="Arial"/>
          <w:sz w:val="24"/>
          <w:szCs w:val="24"/>
          <w:lang w:val="sl-SI"/>
        </w:rPr>
        <w:t>Uprave carina</w:t>
      </w:r>
      <w:r w:rsidR="00FB45F9" w:rsidRPr="002F329D">
        <w:rPr>
          <w:rFonts w:asciiTheme="minorHAnsi" w:hAnsiTheme="minorHAnsi" w:cs="Arial"/>
          <w:sz w:val="24"/>
          <w:szCs w:val="24"/>
          <w:lang w:val="sl-SI"/>
        </w:rPr>
        <w:tab/>
        <w:t>92</w:t>
      </w:r>
    </w:p>
    <w:p w:rsidR="00A61EAA" w:rsidRPr="002F329D" w:rsidRDefault="00B67B60" w:rsidP="00276064">
      <w:pPr>
        <w:pStyle w:val="NoSpacing"/>
        <w:shd w:val="clear" w:color="auto" w:fill="F1EFEB"/>
        <w:tabs>
          <w:tab w:val="right" w:pos="9638"/>
        </w:tabs>
        <w:jc w:val="both"/>
        <w:rPr>
          <w:rFonts w:asciiTheme="minorHAnsi" w:hAnsiTheme="minorHAnsi" w:cs="Arial"/>
          <w:sz w:val="24"/>
          <w:szCs w:val="24"/>
          <w:lang w:val="sl-SI"/>
        </w:rPr>
      </w:pPr>
      <w:r w:rsidRPr="002F329D">
        <w:rPr>
          <w:rFonts w:asciiTheme="minorHAnsi" w:hAnsiTheme="minorHAnsi" w:cs="Arial"/>
          <w:sz w:val="24"/>
          <w:szCs w:val="24"/>
          <w:lang w:val="sl-SI"/>
        </w:rPr>
        <w:t>VII</w:t>
      </w:r>
      <w:r w:rsidR="00316886" w:rsidRPr="002F329D">
        <w:rPr>
          <w:rFonts w:asciiTheme="minorHAnsi" w:hAnsiTheme="minorHAnsi" w:cs="Arial"/>
          <w:sz w:val="24"/>
          <w:szCs w:val="24"/>
          <w:lang w:val="sl-SI"/>
        </w:rPr>
        <w:t>I</w:t>
      </w:r>
      <w:r w:rsidRPr="002F329D">
        <w:rPr>
          <w:rFonts w:asciiTheme="minorHAnsi" w:hAnsiTheme="minorHAnsi" w:cs="Arial"/>
          <w:sz w:val="24"/>
          <w:szCs w:val="24"/>
          <w:lang w:val="sl-SI"/>
        </w:rPr>
        <w:t xml:space="preserve"> </w:t>
      </w:r>
      <w:r w:rsidR="00F938E8" w:rsidRPr="002F329D">
        <w:rPr>
          <w:rFonts w:asciiTheme="minorHAnsi" w:hAnsiTheme="minorHAnsi" w:cs="Arial"/>
          <w:sz w:val="24"/>
          <w:szCs w:val="24"/>
          <w:lang w:val="sl-SI"/>
        </w:rPr>
        <w:t>Izvještaj o radu</w:t>
      </w:r>
      <w:r w:rsidR="0039737E" w:rsidRPr="002F329D">
        <w:rPr>
          <w:rFonts w:asciiTheme="minorHAnsi" w:hAnsiTheme="minorHAnsi" w:cs="Arial"/>
          <w:sz w:val="24"/>
          <w:szCs w:val="24"/>
          <w:lang w:val="sl-SI"/>
        </w:rPr>
        <w:t xml:space="preserve"> Poreske uprave</w:t>
      </w:r>
      <w:r w:rsidR="00A61EAA" w:rsidRPr="002F329D">
        <w:rPr>
          <w:rFonts w:asciiTheme="minorHAnsi" w:hAnsiTheme="minorHAnsi" w:cs="Arial"/>
          <w:sz w:val="24"/>
          <w:szCs w:val="24"/>
          <w:lang w:val="sl-SI"/>
        </w:rPr>
        <w:t xml:space="preserve">                                                                                                    </w:t>
      </w:r>
      <w:r w:rsidR="00FB45F9" w:rsidRPr="002F329D">
        <w:rPr>
          <w:rFonts w:asciiTheme="minorHAnsi" w:hAnsiTheme="minorHAnsi" w:cs="Arial"/>
          <w:sz w:val="24"/>
          <w:szCs w:val="24"/>
          <w:lang w:val="sl-SI"/>
        </w:rPr>
        <w:tab/>
        <w:t>129</w:t>
      </w:r>
    </w:p>
    <w:p w:rsidR="00A61EAA" w:rsidRDefault="00316886" w:rsidP="00276064">
      <w:pPr>
        <w:pStyle w:val="NoSpacing"/>
        <w:shd w:val="clear" w:color="auto" w:fill="F1EFEB"/>
        <w:tabs>
          <w:tab w:val="right" w:pos="9638"/>
        </w:tabs>
        <w:jc w:val="both"/>
        <w:rPr>
          <w:rFonts w:asciiTheme="minorHAnsi" w:hAnsiTheme="minorHAnsi" w:cs="Arial"/>
          <w:sz w:val="24"/>
          <w:szCs w:val="24"/>
          <w:lang w:val="sl-SI"/>
        </w:rPr>
      </w:pPr>
      <w:r w:rsidRPr="002F329D">
        <w:rPr>
          <w:rFonts w:asciiTheme="minorHAnsi" w:hAnsiTheme="minorHAnsi" w:cs="Arial"/>
          <w:sz w:val="24"/>
          <w:szCs w:val="24"/>
          <w:lang w:val="sl-SI"/>
        </w:rPr>
        <w:t>IX</w:t>
      </w:r>
      <w:r w:rsidR="00B67B60" w:rsidRPr="002F329D">
        <w:rPr>
          <w:rFonts w:asciiTheme="minorHAnsi" w:hAnsiTheme="minorHAnsi" w:cs="Arial"/>
          <w:sz w:val="24"/>
          <w:szCs w:val="24"/>
          <w:lang w:val="sl-SI"/>
        </w:rPr>
        <w:t xml:space="preserve"> </w:t>
      </w:r>
      <w:r w:rsidR="00A61EAA" w:rsidRPr="002F329D">
        <w:rPr>
          <w:rFonts w:asciiTheme="minorHAnsi" w:hAnsiTheme="minorHAnsi" w:cs="Arial"/>
          <w:sz w:val="24"/>
          <w:szCs w:val="24"/>
          <w:lang w:val="sl-SI"/>
        </w:rPr>
        <w:t>Izvještaj o radu</w:t>
      </w:r>
      <w:r w:rsidR="0039737E" w:rsidRPr="002F329D">
        <w:rPr>
          <w:rFonts w:asciiTheme="minorHAnsi" w:hAnsiTheme="minorHAnsi" w:cs="Arial"/>
          <w:sz w:val="24"/>
          <w:szCs w:val="24"/>
          <w:lang w:val="sl-SI"/>
        </w:rPr>
        <w:t xml:space="preserve"> Uprave za igre na sreću</w:t>
      </w:r>
      <w:r w:rsidR="00A61EAA" w:rsidRPr="002F329D">
        <w:rPr>
          <w:rFonts w:asciiTheme="minorHAnsi" w:hAnsiTheme="minorHAnsi" w:cs="Arial"/>
          <w:sz w:val="24"/>
          <w:szCs w:val="24"/>
          <w:lang w:val="sl-SI"/>
        </w:rPr>
        <w:tab/>
      </w:r>
      <w:r w:rsidR="00DF47AE">
        <w:rPr>
          <w:rFonts w:asciiTheme="minorHAnsi" w:hAnsiTheme="minorHAnsi" w:cs="Arial"/>
          <w:sz w:val="24"/>
          <w:szCs w:val="24"/>
          <w:lang w:val="sl-SI"/>
        </w:rPr>
        <w:t>180</w:t>
      </w:r>
    </w:p>
    <w:p w:rsidR="001E521A" w:rsidRDefault="001E521A" w:rsidP="00276064">
      <w:pPr>
        <w:pStyle w:val="NoSpacing"/>
        <w:shd w:val="clear" w:color="auto" w:fill="F1EFEB"/>
        <w:tabs>
          <w:tab w:val="right" w:pos="9638"/>
        </w:tabs>
        <w:jc w:val="both"/>
        <w:rPr>
          <w:rFonts w:asciiTheme="minorHAnsi" w:hAnsiTheme="minorHAnsi" w:cs="Arial"/>
          <w:sz w:val="24"/>
          <w:szCs w:val="24"/>
          <w:lang w:val="sl-SI"/>
        </w:rPr>
      </w:pPr>
      <w:r>
        <w:rPr>
          <w:rFonts w:asciiTheme="minorHAnsi" w:hAnsiTheme="minorHAnsi" w:cs="Arial"/>
          <w:sz w:val="24"/>
          <w:szCs w:val="24"/>
          <w:lang w:val="sl-SI"/>
        </w:rPr>
        <w:t>X Izvještaj</w:t>
      </w:r>
      <w:r w:rsidR="00DF47AE">
        <w:rPr>
          <w:rFonts w:asciiTheme="minorHAnsi" w:hAnsiTheme="minorHAnsi" w:cs="Arial"/>
          <w:sz w:val="24"/>
          <w:szCs w:val="24"/>
          <w:lang w:val="sl-SI"/>
        </w:rPr>
        <w:t xml:space="preserve"> o radu Uprave za nekretnine</w:t>
      </w:r>
      <w:r w:rsidR="00DF47AE">
        <w:rPr>
          <w:rFonts w:asciiTheme="minorHAnsi" w:hAnsiTheme="minorHAnsi" w:cs="Arial"/>
          <w:sz w:val="24"/>
          <w:szCs w:val="24"/>
          <w:lang w:val="sl-SI"/>
        </w:rPr>
        <w:tab/>
        <w:t>190</w:t>
      </w:r>
    </w:p>
    <w:p w:rsidR="001E521A" w:rsidRPr="002F329D" w:rsidRDefault="001E521A" w:rsidP="00276064">
      <w:pPr>
        <w:pStyle w:val="NoSpacing"/>
        <w:shd w:val="clear" w:color="auto" w:fill="F1EFEB"/>
        <w:tabs>
          <w:tab w:val="right" w:pos="9638"/>
        </w:tabs>
        <w:jc w:val="both"/>
        <w:rPr>
          <w:rFonts w:asciiTheme="minorHAnsi" w:hAnsiTheme="minorHAnsi" w:cs="Arial"/>
          <w:sz w:val="24"/>
          <w:szCs w:val="24"/>
          <w:lang w:val="sl-SI"/>
        </w:rPr>
      </w:pPr>
      <w:r>
        <w:rPr>
          <w:rFonts w:asciiTheme="minorHAnsi" w:hAnsiTheme="minorHAnsi" w:cs="Arial"/>
          <w:sz w:val="24"/>
          <w:szCs w:val="24"/>
          <w:lang w:val="sl-SI"/>
        </w:rPr>
        <w:t>XI Izvještaj o radu Uprave za imovinu</w:t>
      </w:r>
      <w:r w:rsidR="00610B7A">
        <w:rPr>
          <w:rFonts w:asciiTheme="minorHAnsi" w:hAnsiTheme="minorHAnsi" w:cs="Arial"/>
          <w:sz w:val="24"/>
          <w:szCs w:val="24"/>
          <w:lang w:val="sl-SI"/>
        </w:rPr>
        <w:tab/>
      </w:r>
      <w:r w:rsidR="00DF47AE">
        <w:rPr>
          <w:rFonts w:asciiTheme="minorHAnsi" w:hAnsiTheme="minorHAnsi" w:cs="Arial"/>
          <w:sz w:val="24"/>
          <w:szCs w:val="24"/>
          <w:lang w:val="sl-SI"/>
        </w:rPr>
        <w:t>219</w:t>
      </w:r>
    </w:p>
    <w:p w:rsidR="00A61EAA" w:rsidRPr="00F938E8" w:rsidRDefault="00B67B60" w:rsidP="00276064">
      <w:pPr>
        <w:pStyle w:val="NoSpacing"/>
        <w:shd w:val="clear" w:color="auto" w:fill="F1EFEB"/>
        <w:tabs>
          <w:tab w:val="right" w:pos="9638"/>
        </w:tabs>
        <w:jc w:val="both"/>
        <w:rPr>
          <w:rFonts w:asciiTheme="minorHAnsi" w:hAnsiTheme="minorHAnsi" w:cs="Arial"/>
          <w:sz w:val="24"/>
          <w:szCs w:val="24"/>
          <w:lang w:val="sl-SI"/>
        </w:rPr>
      </w:pPr>
      <w:r w:rsidRPr="002F329D">
        <w:rPr>
          <w:rFonts w:asciiTheme="minorHAnsi" w:hAnsiTheme="minorHAnsi" w:cs="Arial"/>
          <w:sz w:val="24"/>
          <w:szCs w:val="24"/>
          <w:lang w:val="sl-SI"/>
        </w:rPr>
        <w:t>X</w:t>
      </w:r>
      <w:r w:rsidR="00A32D14">
        <w:rPr>
          <w:rFonts w:asciiTheme="minorHAnsi" w:hAnsiTheme="minorHAnsi" w:cs="Arial"/>
          <w:sz w:val="24"/>
          <w:szCs w:val="24"/>
          <w:lang w:val="sl-SI"/>
        </w:rPr>
        <w:t>II</w:t>
      </w:r>
      <w:r w:rsidRPr="002F329D">
        <w:rPr>
          <w:rFonts w:asciiTheme="minorHAnsi" w:hAnsiTheme="minorHAnsi" w:cs="Arial"/>
          <w:sz w:val="24"/>
          <w:szCs w:val="24"/>
          <w:lang w:val="sl-SI"/>
        </w:rPr>
        <w:t xml:space="preserve"> </w:t>
      </w:r>
      <w:r w:rsidR="00A61EAA" w:rsidRPr="002F329D">
        <w:rPr>
          <w:rFonts w:asciiTheme="minorHAnsi" w:hAnsiTheme="minorHAnsi" w:cs="Arial"/>
          <w:sz w:val="24"/>
          <w:szCs w:val="24"/>
          <w:lang w:val="sl-SI"/>
        </w:rPr>
        <w:t>Izvještaj o radu</w:t>
      </w:r>
      <w:r w:rsidR="0039737E" w:rsidRPr="002F329D">
        <w:rPr>
          <w:rFonts w:asciiTheme="minorHAnsi" w:hAnsiTheme="minorHAnsi" w:cs="Arial"/>
          <w:sz w:val="24"/>
          <w:szCs w:val="24"/>
          <w:lang w:val="sl-SI"/>
        </w:rPr>
        <w:t xml:space="preserve"> Uprave za statistiku</w:t>
      </w:r>
      <w:r w:rsidR="00A61EAA" w:rsidRPr="00F938E8">
        <w:rPr>
          <w:rFonts w:asciiTheme="minorHAnsi" w:hAnsiTheme="minorHAnsi" w:cs="Arial"/>
          <w:sz w:val="24"/>
          <w:szCs w:val="24"/>
          <w:lang w:val="sl-SI"/>
        </w:rPr>
        <w:tab/>
      </w:r>
      <w:r w:rsidR="00DF47AE">
        <w:rPr>
          <w:rFonts w:asciiTheme="minorHAnsi" w:hAnsiTheme="minorHAnsi" w:cs="Arial"/>
          <w:sz w:val="24"/>
          <w:szCs w:val="24"/>
          <w:lang w:val="sl-SI"/>
        </w:rPr>
        <w:t>242</w:t>
      </w:r>
    </w:p>
    <w:p w:rsidR="00A61EAA" w:rsidRPr="00F938E8" w:rsidRDefault="00A61EAA" w:rsidP="00FF15B5">
      <w:pPr>
        <w:tabs>
          <w:tab w:val="right" w:pos="3402"/>
        </w:tabs>
        <w:spacing w:before="0" w:after="0" w:line="240" w:lineRule="auto"/>
        <w:jc w:val="center"/>
        <w:rPr>
          <w:rFonts w:eastAsia="Calibri" w:cs="Arial"/>
          <w:szCs w:val="24"/>
          <w:lang w:val="it-IT"/>
        </w:rPr>
      </w:pPr>
    </w:p>
    <w:p w:rsidR="002E4F7C" w:rsidRPr="00F938E8" w:rsidRDefault="002E4F7C" w:rsidP="00FF15B5">
      <w:pPr>
        <w:tabs>
          <w:tab w:val="right" w:pos="3402"/>
        </w:tabs>
        <w:spacing w:before="0" w:after="0" w:line="240" w:lineRule="auto"/>
        <w:jc w:val="center"/>
        <w:rPr>
          <w:rFonts w:eastAsia="Calibri" w:cs="Arial"/>
          <w:szCs w:val="24"/>
          <w:lang w:val="it-IT"/>
        </w:rPr>
      </w:pPr>
    </w:p>
    <w:p w:rsidR="002E4F7C" w:rsidRPr="00F938E8" w:rsidRDefault="002E4F7C" w:rsidP="00FF15B5">
      <w:pPr>
        <w:tabs>
          <w:tab w:val="right" w:pos="3402"/>
        </w:tabs>
        <w:spacing w:before="0" w:after="0" w:line="240" w:lineRule="auto"/>
        <w:jc w:val="center"/>
        <w:rPr>
          <w:rFonts w:eastAsia="Calibri" w:cs="Arial"/>
          <w:szCs w:val="24"/>
          <w:lang w:val="it-IT"/>
        </w:rPr>
      </w:pPr>
    </w:p>
    <w:p w:rsidR="002E4F7C" w:rsidRPr="00F938E8" w:rsidRDefault="002E4F7C" w:rsidP="00FF15B5">
      <w:pPr>
        <w:tabs>
          <w:tab w:val="right" w:pos="3402"/>
        </w:tabs>
        <w:spacing w:before="0" w:after="0" w:line="240" w:lineRule="auto"/>
        <w:jc w:val="center"/>
        <w:rPr>
          <w:rFonts w:eastAsia="Calibri" w:cs="Arial"/>
          <w:szCs w:val="24"/>
          <w:lang w:val="it-IT"/>
        </w:rPr>
      </w:pPr>
    </w:p>
    <w:p w:rsidR="002E4F7C" w:rsidRPr="00F938E8" w:rsidRDefault="002E4F7C" w:rsidP="00FF15B5">
      <w:pPr>
        <w:tabs>
          <w:tab w:val="right" w:pos="3402"/>
        </w:tabs>
        <w:spacing w:before="0" w:after="0" w:line="240" w:lineRule="auto"/>
        <w:jc w:val="center"/>
        <w:rPr>
          <w:rFonts w:eastAsia="Calibri" w:cs="Arial"/>
          <w:szCs w:val="24"/>
          <w:lang w:val="it-IT"/>
        </w:rPr>
      </w:pPr>
    </w:p>
    <w:p w:rsidR="002E4F7C" w:rsidRDefault="002E4F7C" w:rsidP="00FF15B5">
      <w:pPr>
        <w:tabs>
          <w:tab w:val="right" w:pos="3402"/>
        </w:tabs>
        <w:spacing w:before="0" w:after="0" w:line="240" w:lineRule="auto"/>
        <w:jc w:val="center"/>
        <w:rPr>
          <w:rFonts w:eastAsia="Calibri" w:cs="Arial"/>
          <w:sz w:val="28"/>
          <w:szCs w:val="28"/>
          <w:lang w:val="it-IT"/>
        </w:rPr>
      </w:pPr>
    </w:p>
    <w:p w:rsidR="002E4F7C" w:rsidRDefault="002E4F7C" w:rsidP="00FF15B5">
      <w:pPr>
        <w:tabs>
          <w:tab w:val="right" w:pos="3402"/>
        </w:tabs>
        <w:spacing w:before="0" w:after="0" w:line="240" w:lineRule="auto"/>
        <w:jc w:val="center"/>
        <w:rPr>
          <w:rFonts w:eastAsia="Calibri" w:cs="Arial"/>
          <w:sz w:val="28"/>
          <w:szCs w:val="28"/>
          <w:lang w:val="it-IT"/>
        </w:rPr>
      </w:pPr>
    </w:p>
    <w:p w:rsidR="002E4F7C" w:rsidRDefault="002E4F7C" w:rsidP="00FF15B5">
      <w:pPr>
        <w:tabs>
          <w:tab w:val="right" w:pos="3402"/>
        </w:tabs>
        <w:spacing w:before="0" w:after="0" w:line="240" w:lineRule="auto"/>
        <w:jc w:val="center"/>
        <w:rPr>
          <w:rFonts w:eastAsia="Calibri" w:cs="Arial"/>
          <w:sz w:val="28"/>
          <w:szCs w:val="28"/>
          <w:lang w:val="it-IT"/>
        </w:rPr>
      </w:pPr>
    </w:p>
    <w:p w:rsidR="001F7FE1" w:rsidRDefault="001F7FE1" w:rsidP="00B67B60">
      <w:pPr>
        <w:tabs>
          <w:tab w:val="right" w:pos="3402"/>
        </w:tabs>
        <w:spacing w:before="0" w:after="0" w:line="240" w:lineRule="auto"/>
        <w:rPr>
          <w:rFonts w:eastAsia="Calibri" w:cs="Arial"/>
          <w:sz w:val="28"/>
          <w:szCs w:val="28"/>
          <w:lang w:val="it-IT"/>
        </w:rPr>
      </w:pPr>
    </w:p>
    <w:p w:rsidR="00B67B60" w:rsidRDefault="00B67B60" w:rsidP="00B67B60">
      <w:pPr>
        <w:tabs>
          <w:tab w:val="right" w:pos="3402"/>
        </w:tabs>
        <w:spacing w:before="0" w:after="0" w:line="240" w:lineRule="auto"/>
        <w:rPr>
          <w:rFonts w:eastAsia="Calibri" w:cs="Arial"/>
          <w:sz w:val="28"/>
          <w:szCs w:val="28"/>
          <w:lang w:val="it-IT"/>
        </w:rPr>
      </w:pPr>
    </w:p>
    <w:p w:rsidR="00B67B60" w:rsidRDefault="00B67B60" w:rsidP="00B67B60">
      <w:pPr>
        <w:tabs>
          <w:tab w:val="right" w:pos="3402"/>
        </w:tabs>
        <w:spacing w:before="0" w:after="0" w:line="240" w:lineRule="auto"/>
        <w:rPr>
          <w:rFonts w:eastAsia="Calibri" w:cs="Arial"/>
          <w:sz w:val="28"/>
          <w:szCs w:val="28"/>
          <w:lang w:val="it-IT"/>
        </w:rPr>
      </w:pPr>
    </w:p>
    <w:p w:rsidR="00F938E8" w:rsidRDefault="00F938E8" w:rsidP="002E4F7C">
      <w:pPr>
        <w:pStyle w:val="NoSpacing"/>
        <w:jc w:val="both"/>
        <w:rPr>
          <w:rFonts w:asciiTheme="minorHAnsi" w:hAnsiTheme="minorHAnsi" w:cs="Arial"/>
          <w:sz w:val="28"/>
          <w:szCs w:val="28"/>
          <w:lang w:val="it-IT"/>
        </w:rPr>
      </w:pPr>
    </w:p>
    <w:p w:rsidR="001E521A" w:rsidRDefault="001E521A" w:rsidP="002E4F7C">
      <w:pPr>
        <w:pStyle w:val="NoSpacing"/>
        <w:jc w:val="both"/>
        <w:rPr>
          <w:rFonts w:asciiTheme="minorHAnsi" w:hAnsiTheme="minorHAnsi" w:cs="Arial"/>
          <w:sz w:val="28"/>
          <w:szCs w:val="28"/>
          <w:lang w:val="it-IT"/>
        </w:rPr>
      </w:pPr>
    </w:p>
    <w:p w:rsidR="00CF7512" w:rsidRDefault="00CF7512" w:rsidP="002E4F7C">
      <w:pPr>
        <w:pStyle w:val="NoSpacing"/>
        <w:jc w:val="both"/>
        <w:rPr>
          <w:rFonts w:asciiTheme="minorHAnsi" w:hAnsiTheme="minorHAnsi" w:cs="Arial"/>
          <w:sz w:val="28"/>
          <w:szCs w:val="28"/>
          <w:lang w:val="it-IT"/>
        </w:rPr>
      </w:pPr>
    </w:p>
    <w:p w:rsidR="002E4F7C" w:rsidRPr="00435880" w:rsidRDefault="002E4F7C" w:rsidP="00CF098B">
      <w:pPr>
        <w:pStyle w:val="NoSpacing"/>
        <w:shd w:val="clear" w:color="auto" w:fill="EE8C69" w:themeFill="accent1" w:themeFillTint="99"/>
        <w:jc w:val="center"/>
        <w:rPr>
          <w:rFonts w:asciiTheme="minorHAnsi" w:hAnsiTheme="minorHAnsi" w:cs="Arial"/>
          <w:b/>
          <w:sz w:val="26"/>
          <w:szCs w:val="26"/>
        </w:rPr>
      </w:pPr>
      <w:r w:rsidRPr="00435880">
        <w:rPr>
          <w:rFonts w:asciiTheme="minorHAnsi" w:hAnsiTheme="minorHAnsi" w:cs="Arial"/>
          <w:b/>
          <w:sz w:val="26"/>
          <w:szCs w:val="26"/>
        </w:rPr>
        <w:lastRenderedPageBreak/>
        <w:t>R E Z I M E</w:t>
      </w:r>
    </w:p>
    <w:p w:rsidR="002E4F7C" w:rsidRPr="00F938E8" w:rsidRDefault="002E4F7C" w:rsidP="002E4F7C">
      <w:pPr>
        <w:pStyle w:val="NoSpacing"/>
        <w:jc w:val="both"/>
        <w:rPr>
          <w:rFonts w:asciiTheme="minorHAnsi" w:hAnsiTheme="minorHAnsi" w:cs="Arial"/>
          <w:sz w:val="24"/>
          <w:szCs w:val="24"/>
        </w:rPr>
      </w:pPr>
    </w:p>
    <w:p w:rsidR="002E4F7C" w:rsidRPr="005D0B80" w:rsidRDefault="002E4F7C" w:rsidP="002D34A1">
      <w:pPr>
        <w:pStyle w:val="Standard"/>
        <w:spacing w:after="0" w:line="240" w:lineRule="auto"/>
        <w:ind w:firstLine="709"/>
        <w:jc w:val="both"/>
        <w:rPr>
          <w:rFonts w:asciiTheme="minorHAnsi" w:hAnsiTheme="minorHAnsi" w:cs="Arial"/>
          <w:sz w:val="24"/>
          <w:szCs w:val="24"/>
        </w:rPr>
      </w:pPr>
      <w:r w:rsidRPr="00F938E8">
        <w:rPr>
          <w:rFonts w:asciiTheme="minorHAnsi" w:hAnsiTheme="minorHAnsi" w:cs="Arial"/>
          <w:sz w:val="24"/>
          <w:szCs w:val="24"/>
        </w:rPr>
        <w:t xml:space="preserve">Ministarstvo finansija je u toku 2020. godine, pored usmjerenja na ostvarenju zadataka iz Programa rada Vlade Crne Gore za 2020. godinu, bilo posvećeno i ispunjavanju ostalih prioritetnih zadataka </w:t>
      </w:r>
      <w:r w:rsidRPr="00F938E8">
        <w:rPr>
          <w:rFonts w:asciiTheme="minorHAnsi" w:hAnsiTheme="minorHAnsi" w:cs="Arial"/>
          <w:sz w:val="24"/>
          <w:szCs w:val="24"/>
          <w:lang w:val="sl-SI"/>
        </w:rPr>
        <w:t>iz svoje nadležnosti</w:t>
      </w:r>
      <w:r w:rsidRPr="00F938E8">
        <w:rPr>
          <w:rFonts w:asciiTheme="minorHAnsi" w:hAnsiTheme="minorHAnsi" w:cs="Arial"/>
          <w:sz w:val="24"/>
          <w:szCs w:val="24"/>
        </w:rPr>
        <w:t>.</w:t>
      </w:r>
      <w:r w:rsidR="002D34A1" w:rsidRPr="002D34A1">
        <w:rPr>
          <w:rFonts w:asciiTheme="minorHAnsi" w:hAnsiTheme="minorHAnsi" w:cs="Arial"/>
          <w:sz w:val="24"/>
          <w:szCs w:val="24"/>
        </w:rPr>
        <w:t xml:space="preserve"> </w:t>
      </w:r>
      <w:r w:rsidR="002D34A1" w:rsidRPr="00EC000F">
        <w:rPr>
          <w:rFonts w:asciiTheme="minorHAnsi" w:hAnsiTheme="minorHAnsi" w:cs="Arial"/>
          <w:sz w:val="24"/>
          <w:szCs w:val="24"/>
        </w:rPr>
        <w:t>Ostvarenje ciljeva u izvještajnom periodu doprinijelo je usaglašavanju pravnog sistem</w:t>
      </w:r>
      <w:r w:rsidR="002D34A1">
        <w:rPr>
          <w:rFonts w:asciiTheme="minorHAnsi" w:hAnsiTheme="minorHAnsi" w:cs="Arial"/>
          <w:sz w:val="24"/>
          <w:szCs w:val="24"/>
        </w:rPr>
        <w:t xml:space="preserve">a iz ove oblasti sa savremenim </w:t>
      </w:r>
      <w:r w:rsidR="002D34A1" w:rsidRPr="00EC000F">
        <w:rPr>
          <w:rFonts w:asciiTheme="minorHAnsi" w:hAnsiTheme="minorHAnsi" w:cs="Arial"/>
          <w:sz w:val="24"/>
          <w:szCs w:val="24"/>
        </w:rPr>
        <w:t>međunarodno priznatim standardima.</w:t>
      </w:r>
    </w:p>
    <w:p w:rsidR="005D0B80" w:rsidRPr="00D77B49" w:rsidRDefault="005D0B80" w:rsidP="00D77B49">
      <w:pPr>
        <w:pStyle w:val="Default"/>
        <w:ind w:firstLine="709"/>
        <w:jc w:val="both"/>
        <w:rPr>
          <w:rFonts w:asciiTheme="minorHAnsi" w:hAnsiTheme="minorHAnsi" w:cstheme="minorHAnsi"/>
          <w:color w:val="auto"/>
          <w:lang w:val="sr-Latn-ME"/>
        </w:rPr>
      </w:pPr>
      <w:r>
        <w:rPr>
          <w:rFonts w:asciiTheme="minorHAnsi" w:hAnsiTheme="minorHAnsi" w:cstheme="minorHAnsi"/>
          <w:color w:val="auto"/>
          <w:lang w:val="sr-Latn-ME"/>
        </w:rPr>
        <w:t>U izvještajnom periodu realizovale su se</w:t>
      </w:r>
      <w:r w:rsidRPr="00CF7989">
        <w:rPr>
          <w:rFonts w:asciiTheme="minorHAnsi" w:hAnsiTheme="minorHAnsi" w:cstheme="minorHAnsi"/>
          <w:color w:val="auto"/>
          <w:lang w:val="sr-Latn-ME"/>
        </w:rPr>
        <w:t xml:space="preserve"> </w:t>
      </w:r>
      <w:r w:rsidR="002D34A1">
        <w:rPr>
          <w:rFonts w:asciiTheme="minorHAnsi" w:hAnsiTheme="minorHAnsi" w:cstheme="minorHAnsi"/>
          <w:color w:val="auto"/>
          <w:lang w:val="sr-Latn-ME"/>
        </w:rPr>
        <w:t>aktivnosti koje su se odnosile</w:t>
      </w:r>
      <w:r w:rsidRPr="00CF7989">
        <w:rPr>
          <w:rFonts w:asciiTheme="minorHAnsi" w:hAnsiTheme="minorHAnsi" w:cstheme="minorHAnsi"/>
          <w:color w:val="auto"/>
          <w:lang w:val="sr-Latn-ME"/>
        </w:rPr>
        <w:t xml:space="preserve"> na: proces makroekonomskog projektovanja i analiziranja, sagledavanje i izbor sistemskih mjera za utvrđivanje i realizaciju ekonomske i razvojne politike; analizu ostvarivanja strateških razvojnih opredjeljenja i strukturnih promjena u ekonomiji Crne Gore; te praćenje globalnih kretanja i njihovog uticaja na performanse razvoja Crne Gore. </w:t>
      </w:r>
      <w:r w:rsidRPr="00D77B49">
        <w:rPr>
          <w:rFonts w:asciiTheme="minorHAnsi" w:eastAsia="AgfaRotisSemisans-Light" w:hAnsiTheme="minorHAnsi" w:cstheme="minorHAnsi"/>
          <w:lang w:val="sr-Latn-ME"/>
        </w:rPr>
        <w:t>S tim u vezi, a u</w:t>
      </w:r>
      <w:r w:rsidRPr="00D77B49">
        <w:rPr>
          <w:rFonts w:asciiTheme="minorHAnsi" w:hAnsiTheme="minorHAnsi" w:cstheme="minorHAnsi"/>
          <w:lang w:val="sr-Latn-ME"/>
        </w:rPr>
        <w:t xml:space="preserve"> skladu sa Programom rada Vlade Crne Gore i Programom rada Ministarstva finansija za 2020. godi</w:t>
      </w:r>
      <w:r w:rsidR="00D77B49">
        <w:rPr>
          <w:rFonts w:asciiTheme="minorHAnsi" w:hAnsiTheme="minorHAnsi" w:cstheme="minorHAnsi"/>
          <w:lang w:val="sr-Latn-ME"/>
        </w:rPr>
        <w:t>nu usvojena su sljedeća dokumen</w:t>
      </w:r>
      <w:r w:rsidRPr="00D77B49">
        <w:rPr>
          <w:rFonts w:asciiTheme="minorHAnsi" w:hAnsiTheme="minorHAnsi" w:cstheme="minorHAnsi"/>
          <w:lang w:val="sr-Latn-ME"/>
        </w:rPr>
        <w:t>ta:</w:t>
      </w:r>
    </w:p>
    <w:p w:rsidR="005D0B80" w:rsidRPr="00B50ABA" w:rsidRDefault="005D0B80" w:rsidP="005D0B80">
      <w:pPr>
        <w:spacing w:before="0" w:after="0" w:line="240" w:lineRule="auto"/>
        <w:rPr>
          <w:rFonts w:cstheme="minorHAnsi"/>
          <w:i/>
          <w:color w:val="000000" w:themeColor="text1"/>
          <w:szCs w:val="24"/>
          <w:lang w:val="sr-Latn-ME"/>
        </w:rPr>
      </w:pPr>
      <w:r w:rsidRPr="00B81CBB">
        <w:rPr>
          <w:rFonts w:cstheme="minorHAnsi"/>
          <w:i/>
          <w:color w:val="000000" w:themeColor="text1"/>
          <w:szCs w:val="24"/>
          <w:lang w:val="sr-Latn-ME"/>
        </w:rPr>
        <w:t xml:space="preserve"> - Program ekonomskih reformi za Crnu </w:t>
      </w:r>
      <w:r w:rsidR="00B81CBB" w:rsidRPr="00B81CBB">
        <w:rPr>
          <w:rFonts w:cstheme="minorHAnsi"/>
          <w:i/>
          <w:color w:val="000000" w:themeColor="text1"/>
          <w:szCs w:val="24"/>
          <w:lang w:val="sr-Latn-ME"/>
        </w:rPr>
        <w:t>G</w:t>
      </w:r>
      <w:r w:rsidR="00B50ABA">
        <w:rPr>
          <w:rFonts w:cstheme="minorHAnsi"/>
          <w:i/>
          <w:color w:val="000000" w:themeColor="text1"/>
          <w:szCs w:val="24"/>
          <w:lang w:val="sr-Latn-ME"/>
        </w:rPr>
        <w:t xml:space="preserve">oru za period 2020-2022 godine, </w:t>
      </w:r>
      <w:r w:rsidR="00B50ABA" w:rsidRPr="00B50ABA">
        <w:rPr>
          <w:rFonts w:cstheme="minorHAnsi"/>
          <w:color w:val="000000" w:themeColor="text1"/>
          <w:szCs w:val="24"/>
          <w:lang w:val="sr-Latn-ME"/>
        </w:rPr>
        <w:t>koji</w:t>
      </w:r>
      <w:r w:rsidR="00B50ABA">
        <w:rPr>
          <w:rFonts w:cstheme="minorHAnsi"/>
          <w:i/>
          <w:color w:val="000000" w:themeColor="text1"/>
          <w:szCs w:val="24"/>
          <w:lang w:val="sr-Latn-ME"/>
        </w:rPr>
        <w:t xml:space="preserve"> </w:t>
      </w:r>
      <w:r w:rsidR="00B50ABA" w:rsidRPr="00AF2F9C">
        <w:rPr>
          <w:rFonts w:eastAsia="Verdana" w:cs="Calibri"/>
          <w:color w:val="000000"/>
          <w:kern w:val="3"/>
          <w:szCs w:val="24"/>
          <w:lang w:val="sr-Latn-ME" w:eastAsia="zh-CN"/>
        </w:rPr>
        <w:t>predstavlja najznačajniji dokument u okviru ekonomskog dijaloga Crne Gore i Evropske komisije.</w:t>
      </w:r>
    </w:p>
    <w:p w:rsidR="00D95EB6" w:rsidRPr="00B50ABA" w:rsidRDefault="005D0B80" w:rsidP="005D0B80">
      <w:pPr>
        <w:spacing w:before="0" w:after="0" w:line="240" w:lineRule="auto"/>
        <w:rPr>
          <w:rFonts w:cstheme="minorHAnsi"/>
          <w:i/>
          <w:szCs w:val="24"/>
          <w:lang w:val="sr-Latn-ME"/>
        </w:rPr>
      </w:pPr>
      <w:r w:rsidRPr="00B81CBB">
        <w:rPr>
          <w:rFonts w:cstheme="minorHAnsi"/>
          <w:i/>
          <w:color w:val="000000" w:themeColor="text1"/>
          <w:szCs w:val="24"/>
          <w:lang w:val="sr-Latn-ME"/>
        </w:rPr>
        <w:t xml:space="preserve">- </w:t>
      </w:r>
      <w:r w:rsidRPr="00B81CBB">
        <w:rPr>
          <w:rFonts w:cstheme="minorHAnsi"/>
          <w:i/>
          <w:szCs w:val="24"/>
          <w:lang w:val="sr-Latn-ME"/>
        </w:rPr>
        <w:t xml:space="preserve">Predlog proljećne analize makroekonomskih </w:t>
      </w:r>
      <w:r w:rsidR="00B50ABA">
        <w:rPr>
          <w:rFonts w:cstheme="minorHAnsi"/>
          <w:i/>
          <w:szCs w:val="24"/>
          <w:lang w:val="sr-Latn-ME"/>
        </w:rPr>
        <w:t>kretanja i strukturnih reformi</w:t>
      </w:r>
      <w:r w:rsidRPr="00B81CBB">
        <w:rPr>
          <w:rFonts w:cstheme="minorHAnsi"/>
          <w:i/>
          <w:szCs w:val="24"/>
          <w:lang w:val="sr-Latn-ME"/>
        </w:rPr>
        <w:t xml:space="preserve"> 2020</w:t>
      </w:r>
      <w:r w:rsidR="00B50ABA">
        <w:rPr>
          <w:rFonts w:cstheme="minorHAnsi"/>
          <w:i/>
          <w:szCs w:val="24"/>
          <w:lang w:val="sr-Latn-ME"/>
        </w:rPr>
        <w:t xml:space="preserve"> - </w:t>
      </w:r>
      <w:r w:rsidR="00D95EB6" w:rsidRPr="00B81CBB">
        <w:rPr>
          <w:rFonts w:eastAsia="Calibri Light" w:cstheme="minorHAnsi"/>
          <w:szCs w:val="24"/>
          <w:lang w:val="sr-Latn-ME" w:eastAsia="en-GB"/>
        </w:rPr>
        <w:t>Analiza</w:t>
      </w:r>
      <w:r w:rsidRPr="00B81CBB">
        <w:rPr>
          <w:rFonts w:eastAsia="Calibri Light" w:cstheme="minorHAnsi"/>
          <w:szCs w:val="24"/>
          <w:lang w:val="sr-Latn-ME" w:eastAsia="en-GB"/>
        </w:rPr>
        <w:t xml:space="preserve"> makroekonomskih kretanja i strukturnih reformi, odnosno kretanja osnovnih makroekonomskih indikatora (BDP, cijene, tržište rada, monetarni i eksterni sektor, javne finansije) i kretanja po sektorskim politikama. Pored navedenog, predmet analize bila su i ekonomska kretanja na globalnom i regionalnom nivou, posebno u uslovima početka pandemije virusa Covid-19, uzimajući u obzir i projekcije relevantnih međunarodnih institucija (MMF, SB i EK). </w:t>
      </w:r>
    </w:p>
    <w:p w:rsidR="005D0B80" w:rsidRDefault="005D0B80" w:rsidP="005D0B80">
      <w:pPr>
        <w:spacing w:before="0" w:after="0" w:line="240" w:lineRule="auto"/>
        <w:rPr>
          <w:rFonts w:cstheme="minorHAnsi"/>
          <w:szCs w:val="24"/>
          <w:lang w:val="sr-Latn-ME"/>
        </w:rPr>
      </w:pPr>
      <w:r w:rsidRPr="00B81CBB">
        <w:rPr>
          <w:rFonts w:cstheme="minorHAnsi"/>
          <w:i/>
          <w:szCs w:val="24"/>
          <w:lang w:val="sr-Latn-ME"/>
        </w:rPr>
        <w:t>-Predlog smjernica makroekonomske i fiskalne politike</w:t>
      </w:r>
      <w:r w:rsidR="00B81CBB" w:rsidRPr="00B81CBB">
        <w:rPr>
          <w:rFonts w:cstheme="minorHAnsi"/>
          <w:i/>
          <w:szCs w:val="24"/>
          <w:lang w:val="sr-Latn-ME"/>
        </w:rPr>
        <w:t xml:space="preserve"> </w:t>
      </w:r>
      <w:r w:rsidR="00B50ABA">
        <w:rPr>
          <w:rFonts w:cstheme="minorHAnsi"/>
          <w:i/>
          <w:szCs w:val="24"/>
          <w:lang w:val="sr-Latn-ME"/>
        </w:rPr>
        <w:t xml:space="preserve">za period od 2020-2023. godine - </w:t>
      </w:r>
      <w:r w:rsidRPr="00B81CBB">
        <w:rPr>
          <w:rFonts w:cstheme="minorHAnsi"/>
          <w:szCs w:val="24"/>
          <w:lang w:val="sr-Latn-ME"/>
        </w:rPr>
        <w:t>Smjernicama su dati srednjoročni ciljevi ekonomske</w:t>
      </w:r>
      <w:r w:rsidRPr="005D0B80">
        <w:rPr>
          <w:rFonts w:cstheme="minorHAnsi"/>
          <w:szCs w:val="24"/>
          <w:lang w:val="sr-Latn-ME"/>
        </w:rPr>
        <w:t xml:space="preserve"> i fiskalne politike, srednjoročni makroekonomski i fiskalni okvir, planirani javni prihodi i rashodi za 2021. godinu, a sadržane su i projekcije prihoda i r</w:t>
      </w:r>
      <w:r w:rsidR="00046B07">
        <w:rPr>
          <w:rFonts w:cstheme="minorHAnsi"/>
          <w:szCs w:val="24"/>
          <w:lang w:val="sr-Latn-ME"/>
        </w:rPr>
        <w:t>ashoda za 2022. i 2023. godinu.</w:t>
      </w:r>
    </w:p>
    <w:p w:rsidR="00046B07" w:rsidRPr="00046B07" w:rsidRDefault="00046B07" w:rsidP="00046B07">
      <w:pPr>
        <w:spacing w:before="0" w:after="0" w:line="240" w:lineRule="auto"/>
        <w:ind w:firstLine="709"/>
        <w:contextualSpacing/>
        <w:rPr>
          <w:rFonts w:ascii="Calibri" w:eastAsia="Calibri" w:hAnsi="Calibri" w:cs="Arial"/>
          <w:bCs/>
          <w:szCs w:val="24"/>
          <w:lang w:val="en-US"/>
        </w:rPr>
      </w:pPr>
      <w:r w:rsidRPr="002F16DA">
        <w:rPr>
          <w:rFonts w:eastAsia="Calibri" w:cs="Arial"/>
          <w:bCs/>
          <w:szCs w:val="24"/>
          <w:lang w:val="pl-PL"/>
        </w:rPr>
        <w:t xml:space="preserve">U toku 2020. godine, nastavljena je implementacija projekta </w:t>
      </w:r>
      <w:r w:rsidRPr="002F16DA">
        <w:rPr>
          <w:rFonts w:eastAsia="Calibri" w:cs="Arial"/>
          <w:bCs/>
          <w:i/>
          <w:szCs w:val="24"/>
          <w:lang w:val="pl-PL"/>
        </w:rPr>
        <w:t>„Unapređenje i jačanje institucionalnog uređenja i zakonskog okvira u oblastima javnih nabavki i državne pomoći</w:t>
      </w:r>
      <w:r w:rsidRPr="002F16DA">
        <w:rPr>
          <w:rFonts w:eastAsia="Calibri" w:cs="Arial"/>
          <w:bCs/>
          <w:szCs w:val="24"/>
          <w:lang w:val="pl-PL"/>
        </w:rPr>
        <w:t xml:space="preserve">”, koji ima za cilj harmonizaciju pravnog okvira u oblasti javnih nabavki sa pravnom tekovinom i standardima EU, kao i izradu sveobuhvatnog programa obuke i kampanje podizanja javne svijesti. Projekat </w:t>
      </w:r>
      <w:r w:rsidRPr="002F16DA">
        <w:rPr>
          <w:rFonts w:eastAsia="Calibri" w:cs="Arial"/>
          <w:bCs/>
          <w:szCs w:val="24"/>
          <w:lang w:val="en-US"/>
        </w:rPr>
        <w:t>“</w:t>
      </w:r>
      <w:r w:rsidRPr="002F16DA">
        <w:rPr>
          <w:rFonts w:eastAsia="Calibri" w:cs="Arial"/>
          <w:bCs/>
          <w:i/>
          <w:szCs w:val="24"/>
          <w:lang w:val="en-US"/>
        </w:rPr>
        <w:t>Uvođenje elektronskog sistema javnih nabavki u Crnoj Gori</w:t>
      </w:r>
      <w:r w:rsidRPr="002F16DA">
        <w:rPr>
          <w:rFonts w:eastAsia="Calibri" w:cs="Arial"/>
          <w:bCs/>
          <w:szCs w:val="24"/>
          <w:lang w:val="en-US"/>
        </w:rPr>
        <w:t>” je tekao planiranom dinamikom u toku 2020. godine, što je rezultiralo stavljanjem u funkciju elektronskog sistema 1. januara 2021. godine</w:t>
      </w:r>
      <w:r>
        <w:rPr>
          <w:rFonts w:ascii="Calibri" w:eastAsia="Calibri" w:hAnsi="Calibri" w:cs="Arial"/>
          <w:bCs/>
          <w:szCs w:val="24"/>
          <w:lang w:val="en-US"/>
        </w:rPr>
        <w:t>.</w:t>
      </w:r>
    </w:p>
    <w:p w:rsidR="00BE1E99" w:rsidRDefault="00BE1E99" w:rsidP="00BE1E99">
      <w:pPr>
        <w:spacing w:before="0" w:after="0" w:line="240" w:lineRule="auto"/>
        <w:ind w:firstLine="709"/>
        <w:rPr>
          <w:rFonts w:ascii="Cambria" w:eastAsia="Times New Roman" w:hAnsi="Cambria" w:cs="Times New Roman"/>
          <w:noProof/>
          <w:szCs w:val="24"/>
          <w:lang w:eastAsia="sr-Latn-CS"/>
        </w:rPr>
      </w:pPr>
      <w:r w:rsidRPr="00BE1E99">
        <w:rPr>
          <w:rFonts w:ascii="Cambria" w:eastAsia="Times New Roman" w:hAnsi="Cambria" w:cs="Arial"/>
          <w:noProof/>
          <w:color w:val="000000"/>
          <w:szCs w:val="24"/>
          <w:lang w:eastAsia="sr-Latn-CS"/>
        </w:rPr>
        <w:t xml:space="preserve">U okviru Direkcije za unaprijeđenje poslovnog ambijenta </w:t>
      </w:r>
      <w:r w:rsidRPr="00BE1E99">
        <w:rPr>
          <w:rFonts w:ascii="Cambria" w:eastAsia="Times New Roman" w:hAnsi="Cambria" w:cs="Times New Roman"/>
          <w:noProof/>
          <w:szCs w:val="24"/>
          <w:lang w:eastAsia="sr-Latn-CS"/>
        </w:rPr>
        <w:t xml:space="preserve">nastavljene su aktivnosti na implementaciji: </w:t>
      </w:r>
      <w:r w:rsidRPr="00BE1E99">
        <w:rPr>
          <w:rFonts w:ascii="Cambria" w:eastAsia="Calibri" w:hAnsi="Cambria" w:cs="Times New Roman"/>
          <w:noProof/>
          <w:szCs w:val="24"/>
          <w:lang w:eastAsia="sr-Latn-CS"/>
        </w:rPr>
        <w:t>Programa certifikacije opština po mjeri privrede u jugoistočnoj Evropi (BFC SEE); projekta "</w:t>
      </w:r>
      <w:r w:rsidRPr="00BE1E99">
        <w:rPr>
          <w:rFonts w:ascii="Cambria" w:eastAsia="Times New Roman" w:hAnsi="Cambria" w:cs="Arial"/>
          <w:noProof/>
          <w:color w:val="000000"/>
          <w:szCs w:val="24"/>
          <w:lang w:val="en-GB" w:eastAsia="en-GB"/>
        </w:rPr>
        <w:t>eLICENCE</w:t>
      </w:r>
      <w:r w:rsidRPr="00BE1E99">
        <w:rPr>
          <w:rFonts w:ascii="Cambria" w:eastAsia="Times New Roman" w:hAnsi="Cambria" w:cs="Arial"/>
          <w:noProof/>
          <w:color w:val="000000"/>
          <w:szCs w:val="24"/>
          <w:lang w:eastAsia="en-GB"/>
        </w:rPr>
        <w:t xml:space="preserve">", </w:t>
      </w:r>
      <w:r w:rsidRPr="00BE1E99">
        <w:rPr>
          <w:rFonts w:ascii="Cambria" w:eastAsia="Times New Roman" w:hAnsi="Cambria" w:cs="Arial"/>
          <w:noProof/>
          <w:color w:val="000000"/>
          <w:szCs w:val="24"/>
          <w:lang w:val="en-GB" w:eastAsia="en-GB"/>
        </w:rPr>
        <w:t xml:space="preserve">koji se sprovodi sa </w:t>
      </w:r>
      <w:r w:rsidRPr="00BE1E99">
        <w:rPr>
          <w:rFonts w:ascii="Cambria" w:eastAsia="Times New Roman" w:hAnsi="Cambria" w:cs="Times New Roman"/>
          <w:noProof/>
          <w:szCs w:val="24"/>
          <w:lang w:eastAsia="sr-Latn-CS"/>
        </w:rPr>
        <w:t>ciljem pojednostavljenja postupka biznis licenciranja.</w:t>
      </w:r>
    </w:p>
    <w:p w:rsidR="002E4F7C" w:rsidRPr="005D23FD" w:rsidRDefault="00C97FA9" w:rsidP="005D23FD">
      <w:pPr>
        <w:suppressAutoHyphens/>
        <w:autoSpaceDN w:val="0"/>
        <w:spacing w:before="0" w:after="0" w:line="240" w:lineRule="auto"/>
        <w:ind w:firstLine="709"/>
        <w:textAlignment w:val="baseline"/>
        <w:rPr>
          <w:rFonts w:eastAsia="Calibri" w:cs="Times New Roman"/>
          <w:szCs w:val="24"/>
          <w:lang w:val="en-US"/>
        </w:rPr>
      </w:pPr>
      <w:r>
        <w:rPr>
          <w:rFonts w:eastAsia="Calibri" w:cs="Times New Roman"/>
          <w:szCs w:val="24"/>
          <w:lang w:val="pl-PL"/>
        </w:rPr>
        <w:t>U izvještajnom periodu, p</w:t>
      </w:r>
      <w:r w:rsidR="0051475A" w:rsidRPr="005D23FD">
        <w:rPr>
          <w:rFonts w:eastAsia="Calibri" w:cs="Times New Roman"/>
          <w:szCs w:val="24"/>
          <w:lang w:val="pl-PL"/>
        </w:rPr>
        <w:t xml:space="preserve">o </w:t>
      </w:r>
      <w:r>
        <w:rPr>
          <w:rFonts w:eastAsia="Calibri" w:cs="Times New Roman"/>
          <w:szCs w:val="24"/>
          <w:lang w:val="pl-PL"/>
        </w:rPr>
        <w:t>osnovu prodaje državne imovine</w:t>
      </w:r>
      <w:r w:rsidR="0051475A" w:rsidRPr="005D23FD">
        <w:rPr>
          <w:rFonts w:eastAsia="Calibri" w:cs="Times New Roman"/>
          <w:szCs w:val="24"/>
          <w:lang w:val="pl-PL"/>
        </w:rPr>
        <w:t>, prihodov</w:t>
      </w:r>
      <w:r>
        <w:rPr>
          <w:rFonts w:eastAsia="Calibri" w:cs="Times New Roman"/>
          <w:szCs w:val="24"/>
          <w:lang w:val="pl-PL"/>
        </w:rPr>
        <w:t>ano je ukupno 1.718.394,30 eura, dok je p</w:t>
      </w:r>
      <w:r w:rsidR="0051475A" w:rsidRPr="005D23FD">
        <w:rPr>
          <w:rFonts w:eastAsia="Calibri" w:cs="Times New Roman"/>
          <w:szCs w:val="24"/>
          <w:lang w:val="pl-PL"/>
        </w:rPr>
        <w:t>o osnovu davanja u zakup državne imovine, prihodovano 362,76 eura.</w:t>
      </w:r>
      <w:r w:rsidR="0051475A" w:rsidRPr="005D23FD">
        <w:rPr>
          <w:rFonts w:eastAsia="Calibri" w:cs="Times New Roman"/>
          <w:szCs w:val="24"/>
          <w:lang w:val="en-US"/>
        </w:rPr>
        <w:t xml:space="preserve"> </w:t>
      </w:r>
      <w:r w:rsidR="0051475A" w:rsidRPr="005D23FD">
        <w:rPr>
          <w:rFonts w:eastAsia="Calibri" w:cs="Times New Roman"/>
          <w:szCs w:val="24"/>
          <w:lang w:val="pl-PL"/>
        </w:rPr>
        <w:t>Po osnovu ustanovljenja prava sl</w:t>
      </w:r>
      <w:r w:rsidR="0051475A" w:rsidRPr="005D23FD">
        <w:rPr>
          <w:rFonts w:eastAsia="Calibri" w:cs="Times New Roman"/>
          <w:szCs w:val="24"/>
          <w:lang w:val="en-US"/>
        </w:rPr>
        <w:t xml:space="preserve">užbenosti na </w:t>
      </w:r>
      <w:r w:rsidR="0051475A" w:rsidRPr="005D23FD">
        <w:rPr>
          <w:rFonts w:eastAsia="Calibri" w:cs="Times New Roman"/>
          <w:szCs w:val="24"/>
          <w:lang w:val="pl-PL"/>
        </w:rPr>
        <w:t>državnom zemljištu, prihodovano je ukupno 6.696,25 eura.</w:t>
      </w:r>
      <w:r w:rsidR="0051475A" w:rsidRPr="005D23FD">
        <w:rPr>
          <w:rFonts w:eastAsia="Calibri" w:cs="Times New Roman"/>
          <w:szCs w:val="24"/>
          <w:lang w:val="en-US"/>
        </w:rPr>
        <w:t xml:space="preserve"> </w:t>
      </w:r>
      <w:r w:rsidR="0051475A" w:rsidRPr="005D23FD">
        <w:rPr>
          <w:rFonts w:eastAsia="Calibri" w:cs="Times New Roman"/>
          <w:szCs w:val="24"/>
          <w:lang w:val="pl-PL"/>
        </w:rPr>
        <w:t xml:space="preserve">Po osnovu </w:t>
      </w:r>
      <w:r w:rsidR="0051475A" w:rsidRPr="005D23FD">
        <w:rPr>
          <w:rFonts w:eastAsia="Calibri" w:cs="Arial"/>
          <w:bCs/>
          <w:szCs w:val="24"/>
          <w:lang w:val="pl-PL"/>
        </w:rPr>
        <w:t>prodaje drža</w:t>
      </w:r>
      <w:r>
        <w:rPr>
          <w:rFonts w:eastAsia="Calibri" w:cs="Arial"/>
          <w:bCs/>
          <w:szCs w:val="24"/>
          <w:lang w:val="pl-PL"/>
        </w:rPr>
        <w:t xml:space="preserve">vne imovine (pokretna imovina - </w:t>
      </w:r>
      <w:r w:rsidR="0051475A" w:rsidRPr="005D23FD">
        <w:rPr>
          <w:rFonts w:eastAsia="Calibri" w:cs="Arial"/>
          <w:bCs/>
          <w:szCs w:val="24"/>
          <w:lang w:val="en-US"/>
        </w:rPr>
        <w:t>za period od 01.01. – 10.11.2020. godine), pri</w:t>
      </w:r>
      <w:r w:rsidR="007921A4">
        <w:rPr>
          <w:rFonts w:eastAsia="Calibri" w:cs="Arial"/>
          <w:bCs/>
          <w:szCs w:val="24"/>
          <w:lang w:val="en-US"/>
        </w:rPr>
        <w:t xml:space="preserve">hodovano je ukupno 511.105,58 €. </w:t>
      </w:r>
      <w:r w:rsidR="0051475A" w:rsidRPr="005D23FD">
        <w:rPr>
          <w:rFonts w:eastAsia="Calibri" w:cs="Times New Roman"/>
          <w:szCs w:val="24"/>
          <w:lang w:val="pl-PL"/>
        </w:rPr>
        <w:t>Po svim navedenim osnovima uku</w:t>
      </w:r>
      <w:r w:rsidR="007921A4">
        <w:rPr>
          <w:rFonts w:eastAsia="Calibri" w:cs="Times New Roman"/>
          <w:szCs w:val="24"/>
          <w:lang w:val="pl-PL"/>
        </w:rPr>
        <w:t>pno je prihodovano 2.236.558,89</w:t>
      </w:r>
      <w:r w:rsidR="0051475A" w:rsidRPr="005D23FD">
        <w:rPr>
          <w:rFonts w:eastAsia="Calibri" w:cs="Times New Roman"/>
          <w:szCs w:val="24"/>
          <w:lang w:val="pl-PL"/>
        </w:rPr>
        <w:t xml:space="preserve"> </w:t>
      </w:r>
      <w:r w:rsidR="0051475A" w:rsidRPr="005D23FD">
        <w:rPr>
          <w:rFonts w:eastAsia="Calibri" w:cs="Times New Roman"/>
          <w:szCs w:val="24"/>
          <w:lang w:val="en-US"/>
        </w:rPr>
        <w:t>eura.</w:t>
      </w:r>
    </w:p>
    <w:p w:rsidR="00022D23" w:rsidRPr="00022D23" w:rsidRDefault="00022D23" w:rsidP="00CF7512">
      <w:pPr>
        <w:pStyle w:val="NoSpacing"/>
        <w:ind w:firstLine="708"/>
        <w:jc w:val="both"/>
        <w:rPr>
          <w:rFonts w:cs="Arial"/>
          <w:b/>
          <w:color w:val="002060"/>
          <w:szCs w:val="24"/>
        </w:rPr>
      </w:pPr>
      <w:r w:rsidRPr="00022D23">
        <w:rPr>
          <w:rFonts w:asciiTheme="minorHAnsi" w:hAnsiTheme="minorHAnsi" w:cs="Arial"/>
          <w:b/>
          <w:bCs/>
          <w:color w:val="002060"/>
          <w:sz w:val="24"/>
          <w:szCs w:val="24"/>
          <w:lang w:val="sr-Latn-ME"/>
        </w:rPr>
        <w:t>Uprava carina</w:t>
      </w:r>
    </w:p>
    <w:p w:rsidR="00EC793E" w:rsidRPr="00EC793E" w:rsidRDefault="00EC793E" w:rsidP="00EC793E">
      <w:pPr>
        <w:pStyle w:val="NoSpacing"/>
        <w:ind w:firstLine="708"/>
        <w:jc w:val="both"/>
        <w:rPr>
          <w:rFonts w:asciiTheme="minorHAnsi" w:hAnsiTheme="minorHAnsi" w:cs="Arial"/>
          <w:sz w:val="24"/>
          <w:szCs w:val="24"/>
          <w:highlight w:val="yellow"/>
          <w:lang w:val="sr-Latn-ME"/>
        </w:rPr>
      </w:pPr>
      <w:r w:rsidRPr="00EC793E">
        <w:rPr>
          <w:rFonts w:asciiTheme="minorHAnsi" w:hAnsiTheme="minorHAnsi" w:cs="Times New Roman"/>
          <w:sz w:val="24"/>
          <w:szCs w:val="24"/>
          <w:lang w:eastAsia="en-GB"/>
        </w:rPr>
        <w:t>Uprava carina je, u cilju obezbjeđenja konstatnog progresa u radu, tokom 2020. godine preduzela veliki broj aktivnosti, kako na planu usklađivanja carinskog zakonodavstva sa pravnom tekovinom Evropske unije, tako i u okviru realizacije konkretnih ciljeva postavljenih Poslovnom strategijom 2019.-2021. i pratećim strategijama i to: Strategijom upravljanja ljudskim resursima, Strategijom obuka, Strategijom odnosa s javnošću i Strategijom poboljšanja i modernizacije, tehničke opremljenosti i infrastrukture carinske službe.</w:t>
      </w:r>
    </w:p>
    <w:p w:rsidR="00EC793E" w:rsidRPr="00EC793E" w:rsidRDefault="00EC793E" w:rsidP="00EC793E">
      <w:pPr>
        <w:spacing w:before="0" w:after="0" w:line="240" w:lineRule="auto"/>
        <w:ind w:firstLine="708"/>
        <w:rPr>
          <w:rFonts w:eastAsia="Calibri" w:cs="Times New Roman"/>
          <w:szCs w:val="24"/>
          <w:lang w:val="sl-SI"/>
        </w:rPr>
      </w:pPr>
      <w:r w:rsidRPr="00EC793E">
        <w:rPr>
          <w:rFonts w:eastAsia="Calibri" w:cs="Times New Roman"/>
          <w:szCs w:val="24"/>
          <w:lang w:val="sl-SI"/>
        </w:rPr>
        <w:t xml:space="preserve">Uticaj pandemije COVID-19 na ekonomsku aktivnost i finansijska tržišta u protekloj godini, neminovno se odrazio i na rezultate poslovanja Uprave carina. Naša carinska služba proaktivno je  </w:t>
      </w:r>
      <w:r w:rsidRPr="00EC793E">
        <w:rPr>
          <w:rFonts w:eastAsia="Calibri" w:cs="Times New Roman"/>
          <w:szCs w:val="24"/>
          <w:lang w:val="sl-SI"/>
        </w:rPr>
        <w:lastRenderedPageBreak/>
        <w:t>djelovala u okviru održavanja međunarodnog lanca snabdijevanja u toku pandemije i dala značajan doprinos u rješavanju izazova sa kojima se trenutno suočavaju države širom svijeta. U cilju ubrzanja protoka roba preko graničnih prelaza u uslovima pandemije Covid-19, Uprava carina uspješno je implementirala regionalni projekat CEFTA Zelenih koridora. Sinhronizovanim aktivnostima u okviru Projekta, omogućen je prioritetan tretman na graničnim prelazima za osnovne proizvode - hranu, ljekove i medicinska sredstva. Projekat je iniciran i koordinisan od strane CEFTA Sekretarijata, Stalnog EU sekretarijata transportne zajednice, predstavnika Evropske komisije, zemalja članica CEFTA i drugih partnera. Ove aktivnosti značajno umanjuju negativni uticaj aktuelne krize na privredu regiona, kroz obezbjeđenje stabilnog snabdijevanja.</w:t>
      </w:r>
    </w:p>
    <w:p w:rsidR="007D5C55" w:rsidRDefault="00EC793E" w:rsidP="00EC793E">
      <w:pPr>
        <w:spacing w:before="0" w:after="0" w:line="240" w:lineRule="auto"/>
        <w:ind w:firstLine="708"/>
        <w:rPr>
          <w:rFonts w:eastAsia="Times New Roman" w:cs="Times New Roman"/>
          <w:bCs/>
          <w:iCs/>
          <w:szCs w:val="24"/>
          <w:lang w:val="sl-SI" w:eastAsia="sl-SI"/>
        </w:rPr>
      </w:pPr>
      <w:r w:rsidRPr="00EC793E">
        <w:rPr>
          <w:rFonts w:eastAsia="Times New Roman" w:cs="Times New Roman"/>
          <w:iCs/>
          <w:szCs w:val="24"/>
          <w:lang w:val="sl-SI" w:eastAsia="sl-SI"/>
        </w:rPr>
        <w:t xml:space="preserve">Ukupno ostvarena naplata prihoda u periodu </w:t>
      </w:r>
      <w:r w:rsidRPr="00EC793E">
        <w:rPr>
          <w:rFonts w:eastAsia="Times New Roman" w:cs="Times New Roman"/>
          <w:bCs/>
          <w:iCs/>
          <w:szCs w:val="24"/>
          <w:lang w:val="sl-SI" w:eastAsia="sl-SI"/>
        </w:rPr>
        <w:t>januar - decembar 2020.</w:t>
      </w:r>
      <w:r w:rsidR="003052CC">
        <w:rPr>
          <w:rFonts w:eastAsia="Times New Roman" w:cs="Times New Roman"/>
          <w:bCs/>
          <w:iCs/>
          <w:szCs w:val="24"/>
          <w:lang w:val="sl-SI" w:eastAsia="sl-SI"/>
        </w:rPr>
        <w:t xml:space="preserve"> </w:t>
      </w:r>
      <w:r w:rsidRPr="00EC793E">
        <w:rPr>
          <w:rFonts w:eastAsia="Times New Roman" w:cs="Times New Roman"/>
          <w:bCs/>
          <w:iCs/>
          <w:szCs w:val="24"/>
          <w:lang w:val="sl-SI" w:eastAsia="sl-SI"/>
        </w:rPr>
        <w:t xml:space="preserve">godine </w:t>
      </w:r>
      <w:r w:rsidRPr="00EC793E">
        <w:rPr>
          <w:rFonts w:eastAsia="Times New Roman" w:cs="Times New Roman"/>
          <w:iCs/>
          <w:szCs w:val="24"/>
          <w:lang w:val="sl-SI" w:eastAsia="sl-SI"/>
        </w:rPr>
        <w:t xml:space="preserve">iznosila je </w:t>
      </w:r>
      <w:r w:rsidRPr="00EC793E">
        <w:rPr>
          <w:rFonts w:eastAsia="Times New Roman" w:cs="Times New Roman"/>
          <w:bCs/>
          <w:iCs/>
          <w:szCs w:val="24"/>
          <w:lang w:val="sl-SI" w:eastAsia="sl-SI"/>
        </w:rPr>
        <w:t>670.838.111,01 €</w:t>
      </w:r>
      <w:r w:rsidR="003052CC">
        <w:rPr>
          <w:rFonts w:eastAsia="Times New Roman" w:cs="Times New Roman"/>
          <w:bCs/>
          <w:iCs/>
          <w:szCs w:val="24"/>
          <w:lang w:val="sl-SI" w:eastAsia="sl-SI"/>
        </w:rPr>
        <w:t>,</w:t>
      </w:r>
      <w:r w:rsidRPr="00EC793E">
        <w:rPr>
          <w:rFonts w:eastAsia="Times New Roman" w:cs="Times New Roman"/>
          <w:iCs/>
          <w:szCs w:val="24"/>
          <w:lang w:val="sl-SI" w:eastAsia="sl-SI"/>
        </w:rPr>
        <w:t xml:space="preserve"> što je u odnosu na isti period prošle godine manje za </w:t>
      </w:r>
      <w:r w:rsidRPr="00EC793E">
        <w:rPr>
          <w:rFonts w:eastAsia="Times New Roman" w:cs="Times New Roman"/>
          <w:bCs/>
          <w:iCs/>
          <w:szCs w:val="24"/>
          <w:lang w:val="sl-SI" w:eastAsia="sl-SI"/>
        </w:rPr>
        <w:t xml:space="preserve">148,9 mil € </w:t>
      </w:r>
      <w:r w:rsidRPr="00EC793E">
        <w:rPr>
          <w:rFonts w:eastAsia="Times New Roman" w:cs="Times New Roman"/>
          <w:iCs/>
          <w:szCs w:val="24"/>
          <w:lang w:val="sl-SI" w:eastAsia="sl-SI"/>
        </w:rPr>
        <w:t xml:space="preserve">ili </w:t>
      </w:r>
      <w:r w:rsidRPr="00EC793E">
        <w:rPr>
          <w:rFonts w:eastAsia="Times New Roman" w:cs="Times New Roman"/>
          <w:bCs/>
          <w:iCs/>
          <w:szCs w:val="24"/>
          <w:lang w:val="sl-SI" w:eastAsia="sl-SI"/>
        </w:rPr>
        <w:t>18,17%.</w:t>
      </w:r>
    </w:p>
    <w:p w:rsidR="00435880" w:rsidRDefault="00435880" w:rsidP="00EC793E">
      <w:pPr>
        <w:spacing w:before="0" w:after="0" w:line="240" w:lineRule="auto"/>
        <w:ind w:firstLine="708"/>
        <w:rPr>
          <w:rFonts w:eastAsia="Times New Roman" w:cs="Times New Roman"/>
          <w:b/>
          <w:bCs/>
          <w:iCs/>
          <w:color w:val="002060"/>
          <w:szCs w:val="24"/>
          <w:lang w:val="sl-SI" w:eastAsia="sl-SI"/>
        </w:rPr>
      </w:pPr>
      <w:r w:rsidRPr="00435880">
        <w:rPr>
          <w:rFonts w:eastAsia="Times New Roman" w:cs="Times New Roman"/>
          <w:b/>
          <w:bCs/>
          <w:iCs/>
          <w:color w:val="002060"/>
          <w:szCs w:val="24"/>
          <w:lang w:val="sl-SI" w:eastAsia="sl-SI"/>
        </w:rPr>
        <w:t>Poreska uprava</w:t>
      </w:r>
    </w:p>
    <w:p w:rsidR="00435880" w:rsidRPr="00435880" w:rsidRDefault="00435880" w:rsidP="00435880">
      <w:pPr>
        <w:pStyle w:val="ListParagraph"/>
        <w:tabs>
          <w:tab w:val="left" w:pos="0"/>
        </w:tabs>
        <w:spacing w:before="0" w:after="0" w:line="240" w:lineRule="auto"/>
        <w:ind w:left="0"/>
        <w:rPr>
          <w:rFonts w:eastAsia="Times New Roman" w:cs="Arial"/>
          <w:lang w:val="en-GB"/>
        </w:rPr>
      </w:pPr>
      <w:r>
        <w:rPr>
          <w:rFonts w:eastAsia="Times New Roman" w:cs="Arial"/>
          <w:lang w:val="en-GB"/>
        </w:rPr>
        <w:tab/>
      </w:r>
      <w:r w:rsidRPr="00435880">
        <w:rPr>
          <w:rFonts w:eastAsia="Times New Roman" w:cs="Arial"/>
          <w:lang w:val="en-GB"/>
        </w:rPr>
        <w:t xml:space="preserve">U toku 2020. godine Poreska uprava je ostvarila značajne korake u sprovođenju započetih reformi i započinjanju novih aktivnosti kojima će nastaviti put snažne i moderne organizacije. Značajni napori uloženi su u pripremu nabavke Sistema za integrisano upravljanje prihodima (IRMS). IRMS će obezbijediti modernizovana IT rješenja za osnovne procese uključujući reinžinjering poslovnih procesa i mogućnosti skladišta podataka i analitike. Takođe, naporno se radilo na pripremi za uvođenje Sistema za elektronsku fiskalizaciju, čijom primjenom će se povećati efekti rada u Poreskoj upravi i smanjiti siva ekonomija.  </w:t>
      </w:r>
      <w:r w:rsidRPr="00435880">
        <w:rPr>
          <w:rFonts w:eastAsia="Times New Roman" w:cs="Arial"/>
          <w:lang w:val="en-GB"/>
        </w:rPr>
        <w:tab/>
        <w:t xml:space="preserve">   </w:t>
      </w:r>
      <w:r w:rsidRPr="00435880">
        <w:rPr>
          <w:rFonts w:eastAsia="Times New Roman" w:cs="Arial"/>
          <w:lang w:val="en-GB"/>
        </w:rPr>
        <w:tab/>
      </w:r>
    </w:p>
    <w:p w:rsidR="00435880" w:rsidRPr="00435880" w:rsidRDefault="00435880" w:rsidP="009E0760">
      <w:pPr>
        <w:spacing w:before="0" w:after="0" w:line="240" w:lineRule="auto"/>
        <w:ind w:firstLine="709"/>
        <w:contextualSpacing/>
        <w:rPr>
          <w:rFonts w:eastAsia="Times New Roman" w:cs="Arial"/>
          <w:lang w:val="en-GB"/>
        </w:rPr>
      </w:pPr>
      <w:r w:rsidRPr="00435880">
        <w:rPr>
          <w:rFonts w:eastAsia="Times New Roman" w:cs="Arial"/>
          <w:lang w:val="en-GB"/>
        </w:rPr>
        <w:t>Realizovana je redovna godišnja posjeta MMF-a gdje je razmotren napredak koji je Poreska uprava Crne Gore ostvarila po osnovu programa reforme koji se realizuje uz podršku Odjeljenja za fiskalne poslove MMF-a. Date su preporuke i sugestije koje se odnose na dalje unapređenje poslovnih porcesa u Poreskoj upravi.</w:t>
      </w:r>
    </w:p>
    <w:p w:rsidR="00435880" w:rsidRPr="00413BBD" w:rsidRDefault="00435880" w:rsidP="00413BBD">
      <w:pPr>
        <w:spacing w:before="0" w:after="0" w:line="240" w:lineRule="auto"/>
        <w:ind w:firstLine="709"/>
        <w:rPr>
          <w:rFonts w:eastAsia="Times New Roman" w:cs="Arial"/>
          <w:b/>
          <w:szCs w:val="24"/>
          <w:lang w:val="en-GB"/>
        </w:rPr>
      </w:pPr>
      <w:r w:rsidRPr="00435880">
        <w:rPr>
          <w:rFonts w:eastAsia="Times New Roman" w:cs="Arial"/>
          <w:lang w:val="en-GB"/>
        </w:rPr>
        <w:t>Ukupna nap</w:t>
      </w:r>
      <w:r>
        <w:rPr>
          <w:rFonts w:eastAsia="Times New Roman" w:cs="Arial"/>
          <w:lang w:val="en-GB"/>
        </w:rPr>
        <w:t>lata prihoda u 2020. godini iznosila</w:t>
      </w:r>
      <w:r w:rsidRPr="00435880">
        <w:rPr>
          <w:rFonts w:eastAsia="Times New Roman" w:cs="Arial"/>
          <w:lang w:val="en-GB"/>
        </w:rPr>
        <w:t xml:space="preserve"> je 1.098.146.781,23</w:t>
      </w:r>
      <w:r w:rsidR="005E775C">
        <w:rPr>
          <w:rFonts w:eastAsia="Times New Roman" w:cs="Arial"/>
          <w:lang w:val="en-GB"/>
        </w:rPr>
        <w:t xml:space="preserve"> eura, što je u odnosu na prethodnu godinu manje za 79 miliona eura (7%). </w:t>
      </w:r>
      <w:r w:rsidR="009E0760" w:rsidRPr="009E0760">
        <w:rPr>
          <w:rFonts w:eastAsia="Times New Roman" w:cs="Arial"/>
          <w:iCs/>
          <w:szCs w:val="24"/>
          <w:lang w:val="en-GB"/>
        </w:rPr>
        <w:t>Na smanjenu naplatu u izvještajnom period</w:t>
      </w:r>
      <w:r w:rsidR="005E775C">
        <w:rPr>
          <w:rFonts w:eastAsia="Times New Roman" w:cs="Arial"/>
          <w:iCs/>
          <w:szCs w:val="24"/>
          <w:lang w:val="en-GB"/>
        </w:rPr>
        <w:t>u</w:t>
      </w:r>
      <w:r w:rsidR="009E0760" w:rsidRPr="009E0760">
        <w:rPr>
          <w:rFonts w:eastAsia="Times New Roman" w:cs="Arial"/>
          <w:iCs/>
          <w:szCs w:val="24"/>
          <w:lang w:val="en-GB"/>
        </w:rPr>
        <w:t xml:space="preserve"> u odnosu na planirani iznos i prethodnu godinu uticala je pojava korona virusa u martu mjesecu.</w:t>
      </w:r>
    </w:p>
    <w:p w:rsidR="00435880" w:rsidRPr="00022D23" w:rsidRDefault="00435880" w:rsidP="00435880">
      <w:pPr>
        <w:spacing w:before="0" w:after="0" w:line="240" w:lineRule="auto"/>
        <w:ind w:firstLine="709"/>
        <w:contextualSpacing/>
        <w:rPr>
          <w:rFonts w:ascii="Calibri" w:eastAsia="Calibri" w:hAnsi="Calibri" w:cs="Arial"/>
          <w:b/>
          <w:bCs/>
          <w:i/>
          <w:szCs w:val="24"/>
          <w:lang w:val="en-GB"/>
        </w:rPr>
      </w:pPr>
      <w:r w:rsidRPr="00022D23">
        <w:rPr>
          <w:rFonts w:ascii="Calibri" w:eastAsia="Calibri" w:hAnsi="Calibri" w:cs="Arial"/>
          <w:b/>
          <w:bCs/>
          <w:color w:val="002060"/>
          <w:szCs w:val="24"/>
          <w:lang w:val="en-US"/>
        </w:rPr>
        <w:t>Uprava za igre nasreću</w:t>
      </w:r>
      <w:r w:rsidRPr="00022D23">
        <w:rPr>
          <w:rFonts w:ascii="Calibri" w:eastAsia="Calibri" w:hAnsi="Calibri" w:cs="Arial"/>
          <w:b/>
          <w:bCs/>
          <w:szCs w:val="24"/>
          <w:lang w:val="en-US"/>
        </w:rPr>
        <w:t xml:space="preserve"> </w:t>
      </w:r>
    </w:p>
    <w:p w:rsidR="00435880" w:rsidRPr="00AC7099" w:rsidRDefault="00405F24" w:rsidP="00AC7099">
      <w:pPr>
        <w:spacing w:before="0" w:after="0" w:line="240" w:lineRule="auto"/>
        <w:ind w:firstLine="709"/>
        <w:rPr>
          <w:rFonts w:eastAsia="Times New Roman" w:cstheme="minorHAnsi"/>
          <w:szCs w:val="24"/>
          <w:lang w:val="hr-HR"/>
        </w:rPr>
      </w:pPr>
      <w:r w:rsidRPr="00405F24">
        <w:rPr>
          <w:rFonts w:ascii="Calibri" w:eastAsia="Times New Roman" w:hAnsi="Calibri" w:cs="Times New Roman"/>
          <w:szCs w:val="24"/>
          <w:lang w:val="hr-HR"/>
        </w:rPr>
        <w:t>Ukupan prihod</w:t>
      </w:r>
      <w:r w:rsidRPr="00405F24">
        <w:rPr>
          <w:rFonts w:ascii="Calibri" w:eastAsia="Times New Roman" w:hAnsi="Calibri" w:cs="Times New Roman"/>
          <w:szCs w:val="24"/>
          <w:vertAlign w:val="superscript"/>
          <w:lang w:val="hr-HR"/>
        </w:rPr>
        <w:t xml:space="preserve"> </w:t>
      </w:r>
      <w:r w:rsidRPr="00405F24">
        <w:rPr>
          <w:rFonts w:ascii="Calibri" w:eastAsia="Times New Roman" w:hAnsi="Calibri" w:cs="Times New Roman"/>
          <w:szCs w:val="24"/>
          <w:lang w:val="hr-HR"/>
        </w:rPr>
        <w:t xml:space="preserve">od igara na sreću i nagradnih igara u 2020. godini, po osnovu koncesionih naknada je iznosio 11,908,959.99 €. </w:t>
      </w:r>
      <w:r w:rsidR="007921A4" w:rsidRPr="00AC7099">
        <w:rPr>
          <w:rFonts w:eastAsia="Times New Roman" w:cstheme="minorHAnsi"/>
          <w:szCs w:val="24"/>
          <w:lang w:val="hr-HR"/>
        </w:rPr>
        <w:t>Smanjenje budžetskih prihoda u odnosu na isti period prethodne godine iznosio je -25.00%</w:t>
      </w:r>
    </w:p>
    <w:p w:rsidR="00276064" w:rsidRDefault="00276064" w:rsidP="00276064">
      <w:pPr>
        <w:spacing w:before="0" w:after="0" w:line="240" w:lineRule="auto"/>
        <w:ind w:firstLine="709"/>
        <w:rPr>
          <w:rFonts w:ascii="Calibri" w:eastAsia="Times New Roman" w:hAnsi="Calibri" w:cs="Times New Roman"/>
          <w:b/>
          <w:color w:val="002060"/>
          <w:szCs w:val="24"/>
          <w:lang w:val="hr-HR"/>
        </w:rPr>
      </w:pPr>
      <w:r w:rsidRPr="00276064">
        <w:rPr>
          <w:rFonts w:ascii="Calibri" w:eastAsia="Times New Roman" w:hAnsi="Calibri" w:cs="Times New Roman"/>
          <w:b/>
          <w:color w:val="002060"/>
          <w:szCs w:val="24"/>
          <w:lang w:val="hr-HR"/>
        </w:rPr>
        <w:t>Uprava za nekretnine</w:t>
      </w:r>
    </w:p>
    <w:p w:rsidR="0055066D" w:rsidRDefault="0055066D" w:rsidP="0055066D">
      <w:pPr>
        <w:spacing w:before="0" w:after="0" w:line="240" w:lineRule="auto"/>
        <w:ind w:firstLine="720"/>
        <w:rPr>
          <w:rFonts w:ascii="Calibri" w:eastAsia="Times New Roman" w:hAnsi="Calibri" w:cs="Calibri"/>
          <w:szCs w:val="24"/>
          <w:lang w:val="en-US"/>
        </w:rPr>
      </w:pPr>
      <w:r w:rsidRPr="0055066D">
        <w:rPr>
          <w:rFonts w:ascii="Calibri" w:eastAsia="Times New Roman" w:hAnsi="Calibri" w:cs="Calibri"/>
          <w:szCs w:val="24"/>
          <w:lang w:val="en-US"/>
        </w:rPr>
        <w:t>Uprava</w:t>
      </w:r>
      <w:r w:rsidR="008E5886">
        <w:rPr>
          <w:rFonts w:ascii="Calibri" w:eastAsia="Times New Roman" w:hAnsi="Calibri" w:cs="Calibri"/>
          <w:szCs w:val="24"/>
          <w:lang w:val="en-US"/>
        </w:rPr>
        <w:t xml:space="preserve"> za nekretnine</w:t>
      </w:r>
      <w:r w:rsidRPr="0055066D">
        <w:rPr>
          <w:rFonts w:ascii="Calibri" w:eastAsia="Times New Roman" w:hAnsi="Calibri" w:cs="Calibri"/>
          <w:szCs w:val="24"/>
          <w:lang w:val="en-US"/>
        </w:rPr>
        <w:t xml:space="preserve"> je tokom izvještajnog perioda ostvarila dobre rezultate u poslovima održavanja državnog premjera,</w:t>
      </w:r>
      <w:r w:rsidR="00930461">
        <w:rPr>
          <w:rFonts w:ascii="Calibri" w:eastAsia="Times New Roman" w:hAnsi="Calibri" w:cs="Calibri"/>
          <w:szCs w:val="24"/>
          <w:lang w:val="en-US"/>
        </w:rPr>
        <w:t xml:space="preserve"> stvaranje novog katastra nepokr</w:t>
      </w:r>
      <w:r w:rsidRPr="0055066D">
        <w:rPr>
          <w:rFonts w:ascii="Calibri" w:eastAsia="Times New Roman" w:hAnsi="Calibri" w:cs="Calibri"/>
          <w:szCs w:val="24"/>
          <w:lang w:val="en-US"/>
        </w:rPr>
        <w:t>etnosti kao i na poslovima prvostepenog upravnog postupka, uz velike kadrovske probleme koji su je pratili, rezultati ove Uprave su na zavidnom nivou.</w:t>
      </w:r>
    </w:p>
    <w:p w:rsidR="0055066D" w:rsidRPr="0055066D" w:rsidRDefault="0055066D" w:rsidP="00AC7099">
      <w:pPr>
        <w:spacing w:before="0" w:after="0" w:line="240" w:lineRule="auto"/>
        <w:ind w:firstLine="720"/>
        <w:rPr>
          <w:rFonts w:ascii="Calibri" w:eastAsia="Times New Roman" w:hAnsi="Calibri" w:cs="Calibri"/>
          <w:szCs w:val="24"/>
          <w:lang w:val="en-US"/>
        </w:rPr>
      </w:pPr>
      <w:r w:rsidRPr="0055066D">
        <w:rPr>
          <w:rFonts w:ascii="Calibri" w:eastAsia="Times New Roman" w:hAnsi="Calibri" w:cs="Calibri"/>
          <w:szCs w:val="24"/>
          <w:lang w:val="en-US"/>
        </w:rPr>
        <w:t>U 2020. godine u radu j</w:t>
      </w:r>
      <w:r w:rsidR="00AC7099">
        <w:rPr>
          <w:rFonts w:ascii="Calibri" w:eastAsia="Times New Roman" w:hAnsi="Calibri" w:cs="Calibri"/>
          <w:szCs w:val="24"/>
          <w:lang w:val="en-US"/>
        </w:rPr>
        <w:t>e bilo 62</w:t>
      </w:r>
      <w:r w:rsidRPr="0055066D">
        <w:rPr>
          <w:rFonts w:ascii="Calibri" w:eastAsia="Times New Roman" w:hAnsi="Calibri" w:cs="Calibri"/>
          <w:szCs w:val="24"/>
          <w:lang w:val="en-US"/>
        </w:rPr>
        <w:t>933 predmeta</w:t>
      </w:r>
      <w:r w:rsidR="00AC7099">
        <w:rPr>
          <w:rFonts w:ascii="Calibri" w:eastAsia="Times New Roman" w:hAnsi="Calibri" w:cs="Calibri"/>
          <w:szCs w:val="24"/>
          <w:lang w:val="en-US"/>
        </w:rPr>
        <w:t>, od toga je riješeno 59536 predmeta</w:t>
      </w:r>
      <w:r w:rsidR="008E5886">
        <w:rPr>
          <w:rFonts w:ascii="Calibri" w:eastAsia="Times New Roman" w:hAnsi="Calibri" w:cs="Calibri"/>
          <w:szCs w:val="24"/>
          <w:lang w:val="en-US"/>
        </w:rPr>
        <w:t>,</w:t>
      </w:r>
      <w:r w:rsidR="00AC7099">
        <w:rPr>
          <w:rFonts w:ascii="Calibri" w:eastAsia="Times New Roman" w:hAnsi="Calibri" w:cs="Calibri"/>
          <w:szCs w:val="24"/>
          <w:lang w:val="en-US"/>
        </w:rPr>
        <w:t xml:space="preserve"> odnosno </w:t>
      </w:r>
      <w:r w:rsidRPr="0055066D">
        <w:rPr>
          <w:rFonts w:ascii="Calibri" w:eastAsia="Times New Roman" w:hAnsi="Calibri" w:cs="Calibri"/>
          <w:szCs w:val="24"/>
          <w:lang w:val="en-US"/>
        </w:rPr>
        <w:t>5.39 %, uz napomenu da je jedan broj predmeta po</w:t>
      </w:r>
      <w:r w:rsidR="00AC7099">
        <w:rPr>
          <w:rFonts w:ascii="Calibri" w:eastAsia="Times New Roman" w:hAnsi="Calibri" w:cs="Calibri"/>
          <w:szCs w:val="24"/>
          <w:lang w:val="en-US"/>
        </w:rPr>
        <w:t xml:space="preserve">dnešen u decembru 2020. godine. </w:t>
      </w:r>
    </w:p>
    <w:p w:rsidR="00276064" w:rsidRPr="00276064" w:rsidRDefault="00276064" w:rsidP="00276064">
      <w:pPr>
        <w:spacing w:before="0" w:after="0" w:line="240" w:lineRule="auto"/>
        <w:ind w:firstLine="709"/>
        <w:rPr>
          <w:rFonts w:ascii="Calibri" w:eastAsia="Times New Roman" w:hAnsi="Calibri" w:cs="Calibri"/>
          <w:szCs w:val="24"/>
          <w:lang w:val="en-US"/>
        </w:rPr>
      </w:pPr>
      <w:r w:rsidRPr="00276064">
        <w:rPr>
          <w:rFonts w:ascii="Calibri" w:eastAsia="Times New Roman" w:hAnsi="Calibri" w:cs="Calibri"/>
          <w:szCs w:val="24"/>
          <w:lang w:val="en-US"/>
        </w:rPr>
        <w:t xml:space="preserve">U toku </w:t>
      </w:r>
      <w:r w:rsidR="008E5886">
        <w:rPr>
          <w:rFonts w:ascii="Calibri" w:eastAsia="Times New Roman" w:hAnsi="Calibri" w:cs="Calibri"/>
          <w:szCs w:val="24"/>
          <w:lang w:val="en-US"/>
        </w:rPr>
        <w:t>izvještajnog perioda</w:t>
      </w:r>
      <w:r w:rsidRPr="00276064">
        <w:rPr>
          <w:rFonts w:ascii="Calibri" w:eastAsia="Times New Roman" w:hAnsi="Calibri" w:cs="Calibri"/>
          <w:szCs w:val="24"/>
          <w:lang w:val="en-US"/>
        </w:rPr>
        <w:t xml:space="preserve"> ukupno ostvareni prihod je 1.588.026,00 € i to:</w:t>
      </w:r>
    </w:p>
    <w:p w:rsidR="00276064" w:rsidRPr="00276064" w:rsidRDefault="00A61D3E" w:rsidP="00276064">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w:t>
      </w:r>
      <w:r w:rsidR="00276064">
        <w:rPr>
          <w:rFonts w:ascii="Calibri" w:eastAsia="Times New Roman" w:hAnsi="Calibri" w:cs="Calibri"/>
          <w:szCs w:val="24"/>
          <w:lang w:val="en-US"/>
        </w:rPr>
        <w:t xml:space="preserve"> </w:t>
      </w:r>
      <w:r w:rsidR="00276064" w:rsidRPr="00276064">
        <w:rPr>
          <w:rFonts w:ascii="Calibri" w:eastAsia="Times New Roman" w:hAnsi="Calibri" w:cs="Calibri"/>
          <w:szCs w:val="24"/>
          <w:lang w:val="en-US"/>
        </w:rPr>
        <w:t>-  od djelatnosti Uprave za nekretnine  -  1.458.121,30 €</w:t>
      </w:r>
    </w:p>
    <w:p w:rsidR="00276064" w:rsidRDefault="00A61D3E" w:rsidP="00276064">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w:t>
      </w:r>
      <w:r w:rsidR="00276064">
        <w:rPr>
          <w:rFonts w:ascii="Calibri" w:eastAsia="Times New Roman" w:hAnsi="Calibri" w:cs="Calibri"/>
          <w:szCs w:val="24"/>
          <w:lang w:val="en-US"/>
        </w:rPr>
        <w:t xml:space="preserve">   </w:t>
      </w:r>
      <w:r w:rsidR="00276064" w:rsidRPr="00276064">
        <w:rPr>
          <w:rFonts w:ascii="Calibri" w:eastAsia="Times New Roman" w:hAnsi="Calibri" w:cs="Calibri"/>
          <w:szCs w:val="24"/>
          <w:lang w:val="en-US"/>
        </w:rPr>
        <w:t>-  A.T.  -  423.479,36 €</w:t>
      </w:r>
    </w:p>
    <w:p w:rsidR="000A381D" w:rsidRPr="000A381D" w:rsidRDefault="000A381D" w:rsidP="000A381D">
      <w:pPr>
        <w:spacing w:before="0" w:after="0" w:line="240" w:lineRule="auto"/>
        <w:ind w:firstLine="709"/>
        <w:rPr>
          <w:rFonts w:ascii="Calibri" w:eastAsia="Calibri" w:hAnsi="Calibri" w:cs="Arial"/>
          <w:b/>
          <w:color w:val="002060"/>
          <w:szCs w:val="24"/>
          <w:lang w:val="en-US"/>
        </w:rPr>
      </w:pPr>
      <w:r w:rsidRPr="000A381D">
        <w:rPr>
          <w:rFonts w:ascii="Calibri" w:eastAsia="Calibri" w:hAnsi="Calibri" w:cs="Arial"/>
          <w:b/>
          <w:color w:val="002060"/>
          <w:szCs w:val="24"/>
          <w:lang w:val="en-US"/>
        </w:rPr>
        <w:t>Uprava za imovinu</w:t>
      </w:r>
    </w:p>
    <w:p w:rsidR="000A381D" w:rsidRPr="00276064" w:rsidRDefault="000A381D" w:rsidP="000A381D">
      <w:pPr>
        <w:spacing w:before="0" w:after="0" w:line="240" w:lineRule="auto"/>
        <w:ind w:firstLine="709"/>
        <w:rPr>
          <w:rFonts w:ascii="Calibri" w:eastAsia="Times New Roman" w:hAnsi="Calibri" w:cs="Calibri"/>
          <w:szCs w:val="24"/>
          <w:lang w:val="en-US"/>
        </w:rPr>
      </w:pPr>
      <w:r>
        <w:rPr>
          <w:rFonts w:ascii="Calibri" w:eastAsia="Times New Roman" w:hAnsi="Calibri" w:cs="Calibri"/>
          <w:szCs w:val="24"/>
          <w:lang w:val="en-US"/>
        </w:rPr>
        <w:t>U</w:t>
      </w:r>
      <w:r w:rsidRPr="000A381D">
        <w:rPr>
          <w:rFonts w:ascii="Calibri" w:eastAsia="Times New Roman" w:hAnsi="Calibri" w:cs="Calibri"/>
          <w:szCs w:val="24"/>
          <w:lang w:val="en-US"/>
        </w:rPr>
        <w:t xml:space="preserve"> Sektoru za zaštitu i upravljanje</w:t>
      </w:r>
      <w:r>
        <w:rPr>
          <w:rFonts w:ascii="Calibri" w:eastAsia="Times New Roman" w:hAnsi="Calibri" w:cs="Calibri"/>
          <w:szCs w:val="24"/>
          <w:lang w:val="en-US"/>
        </w:rPr>
        <w:t xml:space="preserve"> državnom imovinom postupano je</w:t>
      </w:r>
      <w:r w:rsidRPr="000A381D">
        <w:rPr>
          <w:rFonts w:ascii="Calibri" w:eastAsia="Times New Roman" w:hAnsi="Calibri" w:cs="Calibri"/>
          <w:szCs w:val="24"/>
          <w:lang w:val="en-US"/>
        </w:rPr>
        <w:t xml:space="preserve"> po zahtjevima državnih organa, lokalnih samouprava, javnih službi, fizičkih i pravnih lica, pa je po tom</w:t>
      </w:r>
      <w:r>
        <w:rPr>
          <w:rFonts w:ascii="Calibri" w:eastAsia="Times New Roman" w:hAnsi="Calibri" w:cs="Calibri"/>
          <w:szCs w:val="24"/>
          <w:lang w:val="en-US"/>
        </w:rPr>
        <w:t xml:space="preserve"> osnovu zaprimljeno  ukupno 417</w:t>
      </w:r>
      <w:r w:rsidRPr="000A381D">
        <w:rPr>
          <w:rFonts w:ascii="Calibri" w:eastAsia="Times New Roman" w:hAnsi="Calibri" w:cs="Calibri"/>
          <w:szCs w:val="24"/>
          <w:lang w:val="en-US"/>
        </w:rPr>
        <w:t xml:space="preserve"> p</w:t>
      </w:r>
      <w:r>
        <w:rPr>
          <w:rFonts w:ascii="Calibri" w:eastAsia="Times New Roman" w:hAnsi="Calibri" w:cs="Calibri"/>
          <w:szCs w:val="24"/>
          <w:lang w:val="en-US"/>
        </w:rPr>
        <w:t>redmeta, od čega je realizovano</w:t>
      </w:r>
      <w:r w:rsidRPr="000A381D">
        <w:rPr>
          <w:rFonts w:ascii="Calibri" w:eastAsia="Times New Roman" w:hAnsi="Calibri" w:cs="Calibri"/>
          <w:szCs w:val="24"/>
          <w:lang w:val="en-US"/>
        </w:rPr>
        <w:t xml:space="preserve"> 2</w:t>
      </w:r>
      <w:r>
        <w:rPr>
          <w:rFonts w:ascii="Calibri" w:eastAsia="Times New Roman" w:hAnsi="Calibri" w:cs="Calibri"/>
          <w:szCs w:val="24"/>
          <w:lang w:val="en-US"/>
        </w:rPr>
        <w:t xml:space="preserve">57 predmeta, dok je u radu 142 </w:t>
      </w:r>
      <w:r w:rsidRPr="000A381D">
        <w:rPr>
          <w:rFonts w:ascii="Calibri" w:eastAsia="Times New Roman" w:hAnsi="Calibri" w:cs="Calibri"/>
          <w:szCs w:val="24"/>
          <w:lang w:val="en-US"/>
        </w:rPr>
        <w:t>p</w:t>
      </w:r>
      <w:r>
        <w:rPr>
          <w:rFonts w:ascii="Calibri" w:eastAsia="Times New Roman" w:hAnsi="Calibri" w:cs="Calibri"/>
          <w:szCs w:val="24"/>
          <w:lang w:val="en-US"/>
        </w:rPr>
        <w:t>redmeta.</w:t>
      </w:r>
    </w:p>
    <w:p w:rsidR="00C71274" w:rsidRPr="00C71274" w:rsidRDefault="00C71274" w:rsidP="00C71274">
      <w:pPr>
        <w:spacing w:before="0" w:after="0" w:line="240" w:lineRule="auto"/>
        <w:ind w:firstLine="708"/>
        <w:rPr>
          <w:rFonts w:eastAsia="Times New Roman" w:cs="Times New Roman"/>
          <w:b/>
          <w:bCs/>
          <w:iCs/>
          <w:color w:val="002060"/>
          <w:szCs w:val="24"/>
          <w:lang w:val="sl-SI" w:eastAsia="sl-SI"/>
        </w:rPr>
      </w:pPr>
      <w:r w:rsidRPr="00C71274">
        <w:rPr>
          <w:rFonts w:eastAsia="Times New Roman" w:cs="Times New Roman"/>
          <w:b/>
          <w:bCs/>
          <w:iCs/>
          <w:color w:val="002060"/>
          <w:szCs w:val="24"/>
          <w:lang w:val="sl-SI" w:eastAsia="sl-SI"/>
        </w:rPr>
        <w:t>Uprava za statistiku</w:t>
      </w:r>
    </w:p>
    <w:p w:rsidR="00C71274" w:rsidRPr="00800A34" w:rsidRDefault="00C71274" w:rsidP="00864951">
      <w:pPr>
        <w:spacing w:before="0" w:after="0" w:line="240" w:lineRule="auto"/>
        <w:ind w:firstLine="360"/>
        <w:rPr>
          <w:rFonts w:ascii="Calibri" w:eastAsia="Calibri" w:hAnsi="Calibri" w:cs="Arial"/>
          <w:szCs w:val="24"/>
          <w:lang w:val="en-US"/>
        </w:rPr>
      </w:pPr>
      <w:r w:rsidRPr="000A381D">
        <w:rPr>
          <w:rFonts w:ascii="Calibri" w:eastAsia="Calibri" w:hAnsi="Calibri" w:cs="Arial"/>
          <w:szCs w:val="24"/>
          <w:lang w:val="en-US"/>
        </w:rPr>
        <w:t>Shodno obavezama po Programu pristupanja Crne Gore Evropskoj uniji za 2020. godinu</w:t>
      </w:r>
      <w:r w:rsidR="00864951">
        <w:rPr>
          <w:rFonts w:ascii="Calibri" w:eastAsia="Calibri" w:hAnsi="Calibri" w:cs="Arial"/>
          <w:szCs w:val="24"/>
          <w:lang w:val="en-US"/>
        </w:rPr>
        <w:t xml:space="preserve">, </w:t>
      </w:r>
      <w:r w:rsidR="00864951" w:rsidRPr="00800A34">
        <w:rPr>
          <w:rFonts w:ascii="Calibri" w:eastAsia="Calibri" w:hAnsi="Calibri" w:cs="Arial"/>
          <w:szCs w:val="24"/>
          <w:lang w:val="en-US"/>
        </w:rPr>
        <w:t>usvojen je</w:t>
      </w:r>
      <w:r w:rsidR="00864951">
        <w:rPr>
          <w:rFonts w:ascii="Calibri" w:eastAsia="Calibri" w:hAnsi="Calibri" w:cs="Arial"/>
          <w:szCs w:val="24"/>
          <w:lang w:val="en-US"/>
        </w:rPr>
        <w:t xml:space="preserve"> </w:t>
      </w:r>
      <w:r w:rsidRPr="00C71274">
        <w:rPr>
          <w:rFonts w:ascii="Calibri" w:eastAsia="Calibri" w:hAnsi="Calibri" w:cs="Arial"/>
          <w:i/>
          <w:szCs w:val="24"/>
          <w:lang w:val="en-US"/>
        </w:rPr>
        <w:t>Godišnji plan zvanične statistike za 2021. godinu</w:t>
      </w:r>
      <w:r w:rsidR="000A381D">
        <w:rPr>
          <w:rFonts w:ascii="Calibri" w:eastAsia="Calibri" w:hAnsi="Calibri" w:cs="Calibri"/>
          <w:szCs w:val="24"/>
          <w:lang w:val="en-US"/>
        </w:rPr>
        <w:t>,</w:t>
      </w:r>
      <w:r w:rsidRPr="00800A34">
        <w:rPr>
          <w:rFonts w:ascii="Calibri" w:eastAsia="Calibri" w:hAnsi="Calibri" w:cs="Arial"/>
          <w:szCs w:val="24"/>
          <w:lang w:val="en-US"/>
        </w:rPr>
        <w:t xml:space="preserve"> kojim je planirana realizacija 211 statističkih istraživan</w:t>
      </w:r>
      <w:r>
        <w:rPr>
          <w:rFonts w:ascii="Calibri" w:eastAsia="Calibri" w:hAnsi="Calibri" w:cs="Arial"/>
          <w:szCs w:val="24"/>
          <w:lang w:val="en-US"/>
        </w:rPr>
        <w:t>ja.</w:t>
      </w:r>
    </w:p>
    <w:p w:rsidR="002E4F7C" w:rsidRPr="00435880" w:rsidRDefault="00B67B60" w:rsidP="00CF098B">
      <w:pPr>
        <w:shd w:val="clear" w:color="auto" w:fill="EE8C69" w:themeFill="accent1" w:themeFillTint="99"/>
        <w:spacing w:after="0" w:line="240" w:lineRule="auto"/>
        <w:jc w:val="center"/>
        <w:rPr>
          <w:rFonts w:cs="Arial"/>
          <w:sz w:val="26"/>
          <w:szCs w:val="26"/>
        </w:rPr>
      </w:pPr>
      <w:r w:rsidRPr="00435880">
        <w:rPr>
          <w:rFonts w:cs="Arial"/>
          <w:b/>
          <w:sz w:val="26"/>
          <w:szCs w:val="26"/>
          <w:lang w:val="it-IT"/>
        </w:rPr>
        <w:lastRenderedPageBreak/>
        <w:t xml:space="preserve">I  </w:t>
      </w:r>
      <w:r w:rsidR="002E4F7C" w:rsidRPr="00435880">
        <w:rPr>
          <w:rFonts w:cs="Arial"/>
          <w:b/>
          <w:sz w:val="26"/>
          <w:szCs w:val="26"/>
          <w:lang w:val="it-IT"/>
        </w:rPr>
        <w:t>U V O D</w:t>
      </w:r>
    </w:p>
    <w:p w:rsidR="002E4F7C" w:rsidRPr="00F938E8" w:rsidRDefault="002E4F7C" w:rsidP="002E4F7C">
      <w:pPr>
        <w:pStyle w:val="NoSpacing"/>
        <w:jc w:val="both"/>
        <w:rPr>
          <w:rFonts w:asciiTheme="minorHAnsi" w:hAnsiTheme="minorHAnsi" w:cs="Arial"/>
          <w:sz w:val="24"/>
          <w:szCs w:val="24"/>
          <w:lang w:val="it-IT"/>
        </w:rPr>
      </w:pPr>
    </w:p>
    <w:p w:rsidR="002E4F7C" w:rsidRPr="00011749" w:rsidRDefault="002E4F7C" w:rsidP="00011749">
      <w:pPr>
        <w:pStyle w:val="Standard"/>
        <w:spacing w:after="0" w:line="240" w:lineRule="auto"/>
        <w:ind w:firstLine="709"/>
        <w:jc w:val="both"/>
        <w:rPr>
          <w:rFonts w:asciiTheme="minorHAnsi" w:hAnsiTheme="minorHAnsi" w:cs="Arial"/>
          <w:sz w:val="24"/>
          <w:szCs w:val="24"/>
        </w:rPr>
      </w:pPr>
      <w:r w:rsidRPr="00EC000F">
        <w:rPr>
          <w:rFonts w:asciiTheme="minorHAnsi" w:hAnsiTheme="minorHAnsi" w:cs="Arial"/>
          <w:sz w:val="24"/>
          <w:szCs w:val="24"/>
          <w:lang w:val="it-IT"/>
        </w:rPr>
        <w:t>U skladu sa obavezom utvrđenom odredbom člana 65 Zakona o državnoj upravi</w:t>
      </w:r>
      <w:r w:rsidR="008B47EB" w:rsidRPr="00EC000F">
        <w:rPr>
          <w:rFonts w:asciiTheme="minorHAnsi" w:hAnsiTheme="minorHAnsi" w:cs="Arial"/>
          <w:sz w:val="24"/>
          <w:szCs w:val="24"/>
          <w:lang w:val="it-IT"/>
        </w:rPr>
        <w:t xml:space="preserve"> (“Sl.list CG” broj 78/18)</w:t>
      </w:r>
      <w:r w:rsidR="00F41A7E" w:rsidRPr="00EC000F">
        <w:rPr>
          <w:rFonts w:asciiTheme="minorHAnsi" w:hAnsiTheme="minorHAnsi" w:cs="Arial"/>
          <w:sz w:val="24"/>
          <w:szCs w:val="24"/>
          <w:lang w:val="it-IT"/>
        </w:rPr>
        <w:t xml:space="preserve"> Ministarstvo finansija i socijalnog staranja podnosi</w:t>
      </w:r>
      <w:r w:rsidRPr="00EC000F">
        <w:rPr>
          <w:rFonts w:asciiTheme="minorHAnsi" w:hAnsiTheme="minorHAnsi" w:cs="Arial"/>
          <w:sz w:val="24"/>
          <w:szCs w:val="24"/>
          <w:lang w:val="it-IT"/>
        </w:rPr>
        <w:t xml:space="preserve"> Izvještaj o </w:t>
      </w:r>
      <w:r w:rsidR="00F41A7E" w:rsidRPr="00EC000F">
        <w:rPr>
          <w:rFonts w:asciiTheme="minorHAnsi" w:hAnsiTheme="minorHAnsi" w:cs="Arial"/>
          <w:sz w:val="24"/>
          <w:szCs w:val="24"/>
          <w:lang w:val="it-IT"/>
        </w:rPr>
        <w:t xml:space="preserve">radu </w:t>
      </w:r>
      <w:r w:rsidRPr="00EC000F">
        <w:rPr>
          <w:rFonts w:asciiTheme="minorHAnsi" w:hAnsiTheme="minorHAnsi" w:cs="Arial"/>
          <w:sz w:val="24"/>
          <w:szCs w:val="24"/>
          <w:lang w:val="it-IT"/>
        </w:rPr>
        <w:t>i stanju u upravnim oblastima</w:t>
      </w:r>
      <w:r w:rsidR="00F41A7E" w:rsidRPr="00EC000F">
        <w:rPr>
          <w:rFonts w:asciiTheme="minorHAnsi" w:hAnsiTheme="minorHAnsi" w:cs="Arial"/>
          <w:sz w:val="24"/>
          <w:szCs w:val="24"/>
          <w:lang w:val="it-IT"/>
        </w:rPr>
        <w:t xml:space="preserve"> Ministarstva finansija</w:t>
      </w:r>
      <w:r w:rsidRPr="00EC000F">
        <w:rPr>
          <w:rFonts w:asciiTheme="minorHAnsi" w:hAnsiTheme="minorHAnsi" w:cs="Arial"/>
          <w:sz w:val="24"/>
          <w:szCs w:val="24"/>
          <w:lang w:val="it-IT"/>
        </w:rPr>
        <w:t xml:space="preserve"> </w:t>
      </w:r>
      <w:r w:rsidRPr="00EC000F">
        <w:rPr>
          <w:rFonts w:asciiTheme="minorHAnsi" w:hAnsiTheme="minorHAnsi" w:cs="Arial"/>
          <w:sz w:val="24"/>
          <w:szCs w:val="24"/>
          <w:lang w:val="sl-SI"/>
        </w:rPr>
        <w:t xml:space="preserve">za 2020. godinu, koji sadrži </w:t>
      </w:r>
      <w:r w:rsidR="00360C72" w:rsidRPr="00EC000F">
        <w:rPr>
          <w:rFonts w:asciiTheme="minorHAnsi" w:hAnsiTheme="minorHAnsi" w:cs="Arial"/>
          <w:sz w:val="24"/>
          <w:szCs w:val="24"/>
          <w:lang w:val="sl-SI"/>
        </w:rPr>
        <w:t>prikaz ostvarenih ciljeva postavljenih u prog</w:t>
      </w:r>
      <w:r w:rsidR="00011749">
        <w:rPr>
          <w:rFonts w:asciiTheme="minorHAnsi" w:hAnsiTheme="minorHAnsi" w:cs="Arial"/>
          <w:sz w:val="24"/>
          <w:szCs w:val="24"/>
          <w:lang w:val="sl-SI"/>
        </w:rPr>
        <w:t>ramu rada Vlade, programu rada M</w:t>
      </w:r>
      <w:r w:rsidR="00360C72" w:rsidRPr="00EC000F">
        <w:rPr>
          <w:rFonts w:asciiTheme="minorHAnsi" w:hAnsiTheme="minorHAnsi" w:cs="Arial"/>
          <w:sz w:val="24"/>
          <w:szCs w:val="24"/>
          <w:lang w:val="sl-SI"/>
        </w:rPr>
        <w:t xml:space="preserve">inistarstva i strategijama i programima </w:t>
      </w:r>
      <w:r w:rsidR="00360C72" w:rsidRPr="00EC000F">
        <w:rPr>
          <w:rFonts w:asciiTheme="minorHAnsi" w:hAnsiTheme="minorHAnsi" w:cs="Arial"/>
          <w:sz w:val="24"/>
          <w:szCs w:val="24"/>
        </w:rPr>
        <w:t xml:space="preserve">na osnovu kojih se prati izvršavanje zakona i drugih propisa i sagledava i analizira stanje u oblasti za koju </w:t>
      </w:r>
      <w:r w:rsidR="00011749">
        <w:rPr>
          <w:rFonts w:asciiTheme="minorHAnsi" w:hAnsiTheme="minorHAnsi" w:cs="Arial"/>
          <w:sz w:val="24"/>
          <w:szCs w:val="24"/>
        </w:rPr>
        <w:t>je osnovano m</w:t>
      </w:r>
      <w:r w:rsidR="00360C72" w:rsidRPr="00EC000F">
        <w:rPr>
          <w:rFonts w:asciiTheme="minorHAnsi" w:hAnsiTheme="minorHAnsi" w:cs="Arial"/>
          <w:sz w:val="24"/>
          <w:szCs w:val="24"/>
        </w:rPr>
        <w:t xml:space="preserve">inistarstvo. </w:t>
      </w:r>
      <w:r w:rsidR="00EC000F" w:rsidRPr="00EC000F">
        <w:rPr>
          <w:rFonts w:asciiTheme="minorHAnsi" w:hAnsiTheme="minorHAnsi" w:cs="Arial"/>
          <w:sz w:val="24"/>
          <w:szCs w:val="24"/>
          <w:lang w:val="sl-SI"/>
        </w:rPr>
        <w:t xml:space="preserve">Pored toga izvještaj sadrži </w:t>
      </w:r>
      <w:r w:rsidR="00360C72" w:rsidRPr="00360C72">
        <w:rPr>
          <w:rFonts w:asciiTheme="minorHAnsi" w:hAnsiTheme="minorHAnsi" w:cs="Arial"/>
          <w:sz w:val="24"/>
          <w:szCs w:val="24"/>
          <w:lang w:val="sl-SI"/>
        </w:rPr>
        <w:t>predlog mjera za unapređenje stanja u oblasti z</w:t>
      </w:r>
      <w:r w:rsidR="00360C72" w:rsidRPr="00EC000F">
        <w:rPr>
          <w:rFonts w:asciiTheme="minorHAnsi" w:hAnsiTheme="minorHAnsi" w:cs="Arial"/>
          <w:sz w:val="24"/>
          <w:szCs w:val="24"/>
          <w:lang w:val="sl-SI"/>
        </w:rPr>
        <w:t>a koju je ministarstvo osnovano</w:t>
      </w:r>
      <w:r w:rsidR="00B0426C">
        <w:rPr>
          <w:rFonts w:asciiTheme="minorHAnsi" w:hAnsiTheme="minorHAnsi" w:cs="Arial"/>
          <w:sz w:val="24"/>
          <w:szCs w:val="24"/>
          <w:lang w:val="sl-SI"/>
        </w:rPr>
        <w:t xml:space="preserve"> </w:t>
      </w:r>
      <w:r w:rsidR="00360C72" w:rsidRPr="00360C72">
        <w:rPr>
          <w:rFonts w:asciiTheme="minorHAnsi" w:hAnsiTheme="minorHAnsi" w:cs="Arial"/>
          <w:sz w:val="24"/>
          <w:szCs w:val="24"/>
          <w:lang w:val="sl-SI"/>
        </w:rPr>
        <w:t>i finansijski izvještaj ministarstva.</w:t>
      </w:r>
      <w:r w:rsidR="00360C72" w:rsidRPr="00EC000F">
        <w:rPr>
          <w:rFonts w:asciiTheme="minorHAnsi" w:hAnsiTheme="minorHAnsi" w:cs="Arial"/>
          <w:sz w:val="24"/>
          <w:szCs w:val="24"/>
          <w:lang w:val="sl-SI"/>
        </w:rPr>
        <w:t xml:space="preserve"> </w:t>
      </w:r>
    </w:p>
    <w:p w:rsidR="002E4F7C" w:rsidRDefault="00B109D6" w:rsidP="00EC000F">
      <w:pPr>
        <w:pStyle w:val="NoSpacing"/>
        <w:ind w:firstLine="709"/>
        <w:jc w:val="both"/>
        <w:rPr>
          <w:rFonts w:asciiTheme="minorHAnsi" w:hAnsiTheme="minorHAnsi" w:cs="Arial"/>
          <w:sz w:val="24"/>
          <w:szCs w:val="24"/>
        </w:rPr>
      </w:pPr>
      <w:r>
        <w:rPr>
          <w:rFonts w:asciiTheme="minorHAnsi" w:hAnsiTheme="minorHAnsi" w:cs="Arial"/>
          <w:sz w:val="24"/>
          <w:szCs w:val="24"/>
          <w:lang w:val="it-IT"/>
        </w:rPr>
        <w:t xml:space="preserve">U skladu sa </w:t>
      </w:r>
      <w:r w:rsidRPr="00F938E8">
        <w:rPr>
          <w:rFonts w:asciiTheme="minorHAnsi" w:hAnsiTheme="minorHAnsi" w:cs="Arial"/>
          <w:sz w:val="24"/>
          <w:szCs w:val="24"/>
          <w:lang w:val="it-IT"/>
        </w:rPr>
        <w:t>Uredbom o organizaciji i načinu rada državne uprave (“Sl.list CG” br. 87/18, 38/19 i 18/20)</w:t>
      </w:r>
      <w:r>
        <w:rPr>
          <w:rFonts w:asciiTheme="minorHAnsi" w:hAnsiTheme="minorHAnsi" w:cs="Arial"/>
          <w:sz w:val="24"/>
          <w:szCs w:val="24"/>
          <w:lang w:val="it-IT"/>
        </w:rPr>
        <w:t>, koja je važila do decembra 2020. godine, Ministarstvo finansija vršilo je poslove uprave koji se odnose na:</w:t>
      </w:r>
      <w:r w:rsidR="002E4F7C" w:rsidRPr="00F938E8">
        <w:rPr>
          <w:rFonts w:asciiTheme="minorHAnsi" w:hAnsiTheme="minorHAnsi" w:cs="Arial"/>
          <w:sz w:val="24"/>
          <w:szCs w:val="24"/>
        </w:rPr>
        <w:t xml:space="preserve"> pripremanje predloga tekuće ekonomske politike Crne Gore i praćenje njenog ostvarivanja; pripremanje, planiranje, izradu i izvršenje budžeta Crne Gore; fiskalni uticaj; nadzor nad ostvarivanjem prihoda i izvršavanje izdataka budžeta Crne Gore; predlaganje smjernica i srednjoročnog makroekonomskog okvira za pripremu i planiranje budžeta; izvršenje, izmjenu i procjenu budžeta uz analizu zahtjeva potrošačkih jedinica i vanbudžetskih fondova za dodjelu budžetskih sredstava i predlaganje njihovih izmjena; kapitalnu potrošnju javnog sektora, procjenu osnovnih ekonomskih proporcija i bilansa; simuliranje, testiranje i ocjenu efekata ekonomskih i razvojnih mjera i institucionalnih promjena; bankarski sistem; hartije od vrijednosti; davanje mišljenja sa aspekta unapređenja poslovnog ambijenta na predloge zakona i drugih propisa; izvršavanje plaćanja po zahtjevu potrošačkih jedinica; vođenje glavne knjige trezora; upravljanje računovodstvenim sistemom državnih primitaka; pripremu završnog računa budžeta; finansijsku kontrolu putem korišćenja računovodstvenog sistema baziranog na planiranim obavezama; praćenje izvršavanja izdataka; pripremu redovnih finansijskih izvještaja za potrebe Vlade Crne Gore (u daljem tekstu: Vlada); upravljanje raspoloživim novčanim sredstvima na konsolidovanom računu trezora; upravljanje dugom nastalim po osnovu hartija od vrijednosti koje je emitovala država, nastalim po osnovu datih garancija i uzetih zajmova; upravljanje domaćim i spoljnim dugom, stranim donacijama, pomoćima i zajmovima; praćenje finansijskog poslovanja vanbudžetskih fondova i jedinica lokalne samouprave; pripremu predloga propisa iz finansijskog sistema, sistema igara na sreću, finansiranja političkih subjekata i izbornih kampanja, osiguranja, računovodstva, revizije, koordiniranje aktivnosti, ostvarivanje saradnje i realizaciju obaveza prema Svjetskoj banci, Međunarodnom monetarnom fondu i drugim međunarodnim finansijskim institucijama; javne prihode (carine, porezi, doprinosi, takse, naknade i dr.), kojima se finansiraju javni rashodi na nivou države i na nivou jedinica lokalne samouprave; međunarodne ugovore o izbjegavanju dvostrukog oporezivanja; primjenu međunarodnih ugovora koji se odnose na carinsku politiku; sistem finansiranja lokalne samouprave; carinsku i poresku politiku; razvoj sistema unutrašnjih finansijskih kontrola u javnom sektoru u skladu sa međunarodnim standardima; pripremanje i sprovođenje propisa iz oblasti svojinsko-pravnih odnosa, državne imovine, premjera i katastra nepokretnosti, eksproprijacije zemljišta, založnih prava na imovini, povraćaj i obeštećenje po osnovu oduzetih imovinskih prava; odlučivanje u drugostepenom upravnom postupku iz oblasti imovinskih prava i prvostepene postupke restitucije; staranje o naplati unutrašnjeg duga koji čine potraživanja Vlade kroz redovne, stečajne i sudske postupke i aktiviranje založnih prava po tom osnovu;  davanje predloga u vezi sa upravljanjem i raspolaganjem državnom imovinom; primjenu Zakona o ratifikaciji Okvirnog sporazuma između Vlade Crne Gore i Komisije evropskih zajednica o pravilima za saradnju koja se odnose na finansijsku pomoć EZ Crnoj Gori u okviru sprovođenja instrumenta pretpristupne pomoći (IPA); donošenje propisa, poslovnika i procedura o uspostavljanju decentralizovanog sistema upravljanja projektima Evropske unije u Crnoj Gori; sprovođenje tendera, ugovaranje, odobravanje plaćanja i finansijsko izvještavanje sa aspekta javnih nabavki u oblasti usluga, radova, opreme, bespovratne pomoći i twininga, u smislu programa koje finansira Evropska unija u Crnoj </w:t>
      </w:r>
      <w:r w:rsidR="002E4F7C" w:rsidRPr="00F938E8">
        <w:rPr>
          <w:rFonts w:asciiTheme="minorHAnsi" w:hAnsiTheme="minorHAnsi" w:cs="Arial"/>
          <w:sz w:val="24"/>
          <w:szCs w:val="24"/>
        </w:rPr>
        <w:lastRenderedPageBreak/>
        <w:t>Gori; obezbjeđivanje primjene pravila Evropske unije, regulativa i procedura koje se odnose na nabavke u oblasti usluga, radova, opreme, bespovratne pomoći i twininga, pravilno funkcionisanje sistema izvještavanja; kontrolu aktivnosti u okviru organizovanja tenderskih procedura, grantova, ugovaranja, finansiranja, odobravanja plaćanja; ostvarivanje sistema javnih nabavki; priprema predloga propisa iz oblasti javnih nabavki; praćenje usaglašenosti propisa kojima se uređuju javne nabavke sa pravom Evropske unije; davanje saglasnosti naručiocima o ispunjenosti uslova za sprovođenje odgovarajućeg postupka javne nabavke, u skladu sa Zakonom o javnim nabavkama; savjetodavnu pomoć na zahtjev naručioca; organizovanje i sprovođenje stručnog osposobljavanja i usavršavanja zaposlenih za vršenje poslova javnih nabavki; organizovanje polaganja stručnog ispita za vršenje poslova u oblasti javnih nabavki; uspostavljanje i održavanje portala javnih nabavki; objavljivanje planova javnih nabavki, poziva za javno nadmetanje, odluka o kvalifikaciji kandidata, odluka o izboru najpovoljnije ponude, odluka o obustavi postupka javne nabavke, odluka o poništavanju postupka javne nabavke, ugovora o javnoj nabavci, izmjena i dopuna plana javnih nabavki; pripremanje i objavljivanje na portal javnih nabavki Liste naručilaca; promovisanje sprovođenja javnih nabavki u elektronskoj formi; ostvarivanje saradnje sa međunarodnim organizacijama, institucijama i stručnjacima u oblasti sistema javnih nabavki; pripremanje i objavljivanje liste ponuđača na portalu javnih nabavki na osnovu odluke o izboru najpovoljnije ponude; pripremanje i objavljivanje na portalu javnih nabavki jedinstvenog rječnika javnih nabavki; izdavanje publikacija i druge stručne literature u oblasti javnih nabavki; organizovanje i sprovođenje javnog tendera za privredna društva, odnosno preduzetnike, radi dobijanja dozvole za proizvodnju duvanskih proizvoda; utvrđivanje ispunjenosti uslova za učešće na javnom tenderu i davanje dozvole za proizvodnju duvanskih proizvoda privrednom društvu, odnosno preduzetniku koji ispunjava propisane uslove; utvrđivanje ispunjenosti uslova za obavljanje trgovine na veliko duvanskim proizvodima i izdavanje licence za obavljanje trgovine na veliko duvanskim proizvodima privrednom društvu, odnosno preduzetniku, kao i uvozniku koji je upisan u Registar uvoznika duvana i duvanskih proizvoda; utvrđivanje ispunjenosti uslova za obavljanje trgovine na malo duvanskim proizvodima i izdavanje odobrenja privrednom društvu, odnosno preduzetniku za obavljanje trgovine na malo duvanskim proizvodima; koordinaciju aktivnosti organa i organizacija u oblasti suzbijanja nelegalnog prometa duvanskih proizvoda; praćenje stanja na tržištu duvanskih proizvoda; vođenje propisanih registara; državnu pomoć; međunarodnu finansijsku saradnju u oblastima za koje je ministarstvo osnovano; usklađivanje domaćih propisa iz okvira svoje nadležnosti sa pravnom tekovinom Evropske unije; upravni nadzor u oblastima za koje je ministarstvo osnovano; kao i druge poslove ko</w:t>
      </w:r>
      <w:r w:rsidR="00EC000F">
        <w:rPr>
          <w:rFonts w:asciiTheme="minorHAnsi" w:hAnsiTheme="minorHAnsi" w:cs="Arial"/>
          <w:sz w:val="24"/>
          <w:szCs w:val="24"/>
        </w:rPr>
        <w:t>ji su mu određeni u nadležnost.</w:t>
      </w:r>
    </w:p>
    <w:p w:rsidR="00F37CB8" w:rsidRPr="00EC000F" w:rsidRDefault="00F37CB8" w:rsidP="00EC000F">
      <w:pPr>
        <w:pStyle w:val="NoSpacing"/>
        <w:ind w:firstLine="709"/>
        <w:jc w:val="both"/>
        <w:rPr>
          <w:rFonts w:asciiTheme="minorHAnsi" w:hAnsiTheme="minorHAnsi" w:cs="Arial"/>
          <w:sz w:val="24"/>
          <w:szCs w:val="24"/>
        </w:rPr>
      </w:pPr>
    </w:p>
    <w:p w:rsidR="002D701C" w:rsidRDefault="00D0672B" w:rsidP="00A736D5">
      <w:pPr>
        <w:spacing w:before="0" w:after="160" w:line="240" w:lineRule="auto"/>
        <w:ind w:firstLine="709"/>
        <w:rPr>
          <w:rFonts w:cs="Arial"/>
          <w:szCs w:val="24"/>
        </w:rPr>
      </w:pPr>
      <w:r>
        <w:rPr>
          <w:rFonts w:cs="Arial"/>
          <w:szCs w:val="24"/>
          <w:lang w:val="it-IT"/>
        </w:rPr>
        <w:t xml:space="preserve">Ovim izvještajem obuhvaćeni su poslovi koji su se obavljali u okviru </w:t>
      </w:r>
      <w:r w:rsidRPr="00D0672B">
        <w:rPr>
          <w:rFonts w:cs="Arial"/>
          <w:b/>
          <w:szCs w:val="24"/>
          <w:lang w:val="it-IT"/>
        </w:rPr>
        <w:t>dvanaest direktorata</w:t>
      </w:r>
      <w:r>
        <w:rPr>
          <w:rFonts w:cs="Arial"/>
          <w:szCs w:val="24"/>
          <w:lang w:val="it-IT"/>
        </w:rPr>
        <w:t xml:space="preserve"> Ministarstva</w:t>
      </w:r>
      <w:r w:rsidR="002E4F7C" w:rsidRPr="00F938E8">
        <w:rPr>
          <w:rFonts w:cs="Arial"/>
          <w:szCs w:val="24"/>
          <w:lang w:val="it-IT"/>
        </w:rPr>
        <w:t>:</w:t>
      </w:r>
      <w:r w:rsidR="008C5B2C" w:rsidRPr="008C5B2C">
        <w:rPr>
          <w:rFonts w:cs="Arial"/>
          <w:i/>
          <w:szCs w:val="24"/>
          <w:lang w:val="it-IT"/>
        </w:rPr>
        <w:t xml:space="preserve"> </w:t>
      </w:r>
      <w:r w:rsidR="008C5B2C" w:rsidRPr="008631B0">
        <w:rPr>
          <w:rFonts w:cs="Arial"/>
          <w:i/>
          <w:szCs w:val="24"/>
          <w:lang w:val="it-IT"/>
        </w:rPr>
        <w:t>Direktorat za ekonomsku i razvojnu politiku</w:t>
      </w:r>
      <w:r w:rsidR="008C5B2C">
        <w:rPr>
          <w:rFonts w:cs="Arial"/>
          <w:i/>
          <w:szCs w:val="24"/>
          <w:lang w:val="it-IT"/>
        </w:rPr>
        <w:t>;</w:t>
      </w:r>
      <w:r w:rsidR="002E4F7C" w:rsidRPr="00F938E8">
        <w:rPr>
          <w:rFonts w:cs="Arial"/>
          <w:szCs w:val="24"/>
          <w:lang w:val="it-IT"/>
        </w:rPr>
        <w:t xml:space="preserve"> </w:t>
      </w:r>
      <w:r w:rsidR="002E4F7C" w:rsidRPr="008631B0">
        <w:rPr>
          <w:rFonts w:cs="Arial"/>
          <w:i/>
          <w:szCs w:val="24"/>
        </w:rPr>
        <w:t>Direktorat za državni budžet; Direktorat državnog trezora;</w:t>
      </w:r>
      <w:r w:rsidR="008C5B2C" w:rsidRPr="008C5B2C">
        <w:rPr>
          <w:rFonts w:cs="Arial"/>
          <w:i/>
          <w:szCs w:val="24"/>
          <w:lang w:val="it-IT"/>
        </w:rPr>
        <w:t xml:space="preserve"> </w:t>
      </w:r>
      <w:r w:rsidR="008C5B2C" w:rsidRPr="008631B0">
        <w:rPr>
          <w:rFonts w:cs="Arial"/>
          <w:i/>
          <w:szCs w:val="24"/>
          <w:lang w:val="it-IT"/>
        </w:rPr>
        <w:t>Direktorat za poreski i carinski sistem;</w:t>
      </w:r>
      <w:r w:rsidR="008C5B2C">
        <w:rPr>
          <w:rFonts w:cs="Arial"/>
          <w:i/>
          <w:szCs w:val="24"/>
          <w:lang w:val="it-IT"/>
        </w:rPr>
        <w:t xml:space="preserve"> </w:t>
      </w:r>
      <w:r w:rsidR="008C5B2C" w:rsidRPr="008631B0">
        <w:rPr>
          <w:rFonts w:cs="Arial"/>
          <w:i/>
          <w:szCs w:val="24"/>
          <w:lang w:val="it-IT"/>
        </w:rPr>
        <w:t>Direktora</w:t>
      </w:r>
      <w:r w:rsidR="007176C2">
        <w:rPr>
          <w:rFonts w:cs="Arial"/>
          <w:i/>
          <w:szCs w:val="24"/>
          <w:lang w:val="it-IT"/>
        </w:rPr>
        <w:t>t za finansijski sistem i unapri</w:t>
      </w:r>
      <w:r w:rsidR="008C5B2C" w:rsidRPr="008631B0">
        <w:rPr>
          <w:rFonts w:cs="Arial"/>
          <w:i/>
          <w:szCs w:val="24"/>
          <w:lang w:val="it-IT"/>
        </w:rPr>
        <w:t xml:space="preserve">jeđenje poslovnog ambijenta; Direktorat za centralnu </w:t>
      </w:r>
      <w:r w:rsidR="008C5B2C">
        <w:rPr>
          <w:rFonts w:cs="Arial"/>
          <w:i/>
          <w:szCs w:val="24"/>
          <w:lang w:val="it-IT"/>
        </w:rPr>
        <w:t>harmonizaciju;</w:t>
      </w:r>
      <w:r w:rsidR="008C5B2C" w:rsidRPr="008631B0">
        <w:rPr>
          <w:rFonts w:cs="Arial"/>
          <w:i/>
          <w:szCs w:val="24"/>
          <w:lang w:val="it-IT"/>
        </w:rPr>
        <w:t xml:space="preserve"> </w:t>
      </w:r>
      <w:r w:rsidR="008C5B2C" w:rsidRPr="008631B0">
        <w:rPr>
          <w:rFonts w:cs="Arial"/>
          <w:i/>
          <w:szCs w:val="24"/>
        </w:rPr>
        <w:t>Direktorat za lokalnu samoupravu i privredna društva u većinskom vlasništvu države;</w:t>
      </w:r>
      <w:r w:rsidR="008C5B2C">
        <w:rPr>
          <w:rFonts w:cs="Arial"/>
          <w:i/>
          <w:szCs w:val="24"/>
        </w:rPr>
        <w:t xml:space="preserve"> </w:t>
      </w:r>
      <w:r w:rsidR="002E4F7C" w:rsidRPr="008631B0">
        <w:rPr>
          <w:rFonts w:cs="Arial"/>
          <w:i/>
          <w:szCs w:val="24"/>
          <w:lang w:val="it-IT"/>
        </w:rPr>
        <w:t>Direktorat za finansiranje i ugovaranje sredstava EU pomoći</w:t>
      </w:r>
      <w:r w:rsidR="008C5B2C">
        <w:rPr>
          <w:rFonts w:cs="Arial"/>
          <w:i/>
          <w:szCs w:val="24"/>
          <w:lang w:val="it-IT"/>
        </w:rPr>
        <w:t>;</w:t>
      </w:r>
      <w:r w:rsidR="008C5B2C" w:rsidRPr="008C5B2C">
        <w:rPr>
          <w:rFonts w:cs="Arial"/>
          <w:i/>
          <w:szCs w:val="24"/>
        </w:rPr>
        <w:t xml:space="preserve"> </w:t>
      </w:r>
      <w:r w:rsidR="008C5B2C" w:rsidRPr="008631B0">
        <w:rPr>
          <w:rFonts w:cs="Arial"/>
          <w:i/>
          <w:szCs w:val="24"/>
        </w:rPr>
        <w:t>Direk</w:t>
      </w:r>
      <w:r w:rsidR="008C5B2C">
        <w:rPr>
          <w:rFonts w:cs="Arial"/>
          <w:i/>
          <w:szCs w:val="24"/>
        </w:rPr>
        <w:t>torat za upravljačku strukturu;</w:t>
      </w:r>
      <w:r w:rsidR="008C5B2C">
        <w:rPr>
          <w:rFonts w:cs="Arial"/>
          <w:i/>
          <w:szCs w:val="24"/>
          <w:lang w:val="it-IT"/>
        </w:rPr>
        <w:t xml:space="preserve"> </w:t>
      </w:r>
      <w:r w:rsidR="002E4F7C" w:rsidRPr="008631B0">
        <w:rPr>
          <w:rFonts w:cs="Arial"/>
          <w:i/>
          <w:szCs w:val="24"/>
          <w:lang w:val="it-IT"/>
        </w:rPr>
        <w:t>Direktora</w:t>
      </w:r>
      <w:r w:rsidR="008C5B2C">
        <w:rPr>
          <w:rFonts w:cs="Arial"/>
          <w:i/>
          <w:szCs w:val="24"/>
          <w:lang w:val="it-IT"/>
        </w:rPr>
        <w:t xml:space="preserve">t za imovinsko pravne poslove; </w:t>
      </w:r>
      <w:r w:rsidR="002E4F7C" w:rsidRPr="008631B0">
        <w:rPr>
          <w:rFonts w:cs="Arial"/>
          <w:i/>
          <w:szCs w:val="24"/>
          <w:lang w:val="it-IT"/>
        </w:rPr>
        <w:t>Direktorat za politiku javnih n</w:t>
      </w:r>
      <w:r w:rsidRPr="008631B0">
        <w:rPr>
          <w:rFonts w:cs="Arial"/>
          <w:i/>
          <w:szCs w:val="24"/>
          <w:lang w:val="it-IT"/>
        </w:rPr>
        <w:t>abavki</w:t>
      </w:r>
      <w:r w:rsidR="008C5B2C">
        <w:rPr>
          <w:rFonts w:cs="Arial"/>
          <w:szCs w:val="24"/>
          <w:lang w:val="it-IT"/>
        </w:rPr>
        <w:t xml:space="preserve"> </w:t>
      </w:r>
      <w:r w:rsidR="008C5B2C" w:rsidRPr="008C5B2C">
        <w:rPr>
          <w:rFonts w:cs="Arial"/>
          <w:i/>
          <w:szCs w:val="24"/>
          <w:lang w:val="it-IT"/>
        </w:rPr>
        <w:t>i Direktorat za digitalizaciju i informacione sisteme</w:t>
      </w:r>
      <w:r w:rsidR="008C5B2C">
        <w:rPr>
          <w:rFonts w:cs="Arial"/>
          <w:szCs w:val="24"/>
          <w:lang w:val="it-IT"/>
        </w:rPr>
        <w:t>;</w:t>
      </w:r>
      <w:r>
        <w:rPr>
          <w:rFonts w:cs="Arial"/>
          <w:szCs w:val="24"/>
          <w:lang w:val="it-IT"/>
        </w:rPr>
        <w:t xml:space="preserve"> </w:t>
      </w:r>
      <w:r w:rsidRPr="00D0672B">
        <w:rPr>
          <w:rFonts w:cs="Arial"/>
          <w:b/>
          <w:szCs w:val="24"/>
          <w:lang w:val="it-IT"/>
        </w:rPr>
        <w:t>četiri odjeljenja</w:t>
      </w:r>
      <w:r w:rsidR="002E4F7C" w:rsidRPr="00F938E8">
        <w:rPr>
          <w:rFonts w:cs="Arial"/>
          <w:szCs w:val="24"/>
          <w:lang w:val="it-IT"/>
        </w:rPr>
        <w:t xml:space="preserve">: </w:t>
      </w:r>
      <w:r w:rsidR="002E4F7C" w:rsidRPr="008631B0">
        <w:rPr>
          <w:rFonts w:cs="Arial"/>
          <w:i/>
          <w:szCs w:val="24"/>
          <w:lang w:val="it-IT"/>
        </w:rPr>
        <w:t xml:space="preserve">Odjeljenje za unutrašnju reviziju; Odjeljenje za suzbijanje nepravilnosti i prevara, Odjeljenje za evropske integracije i Odjeljenje za unutrašnju reviziju fondova Evropske unije u javnom </w:t>
      </w:r>
      <w:r w:rsidRPr="008631B0">
        <w:rPr>
          <w:rFonts w:cs="Arial"/>
          <w:i/>
          <w:szCs w:val="24"/>
          <w:lang w:val="it-IT"/>
        </w:rPr>
        <w:t>sektoru</w:t>
      </w:r>
      <w:r>
        <w:rPr>
          <w:rFonts w:cs="Arial"/>
          <w:szCs w:val="24"/>
          <w:lang w:val="it-IT"/>
        </w:rPr>
        <w:t xml:space="preserve">; </w:t>
      </w:r>
      <w:r w:rsidRPr="00D0672B">
        <w:rPr>
          <w:rFonts w:cs="Arial"/>
          <w:b/>
          <w:szCs w:val="24"/>
          <w:lang w:val="it-IT"/>
        </w:rPr>
        <w:t>dvije službe</w:t>
      </w:r>
      <w:r w:rsidR="002D701C">
        <w:rPr>
          <w:rFonts w:cs="Arial"/>
          <w:szCs w:val="24"/>
          <w:lang w:val="it-IT"/>
        </w:rPr>
        <w:t xml:space="preserve">: </w:t>
      </w:r>
      <w:r w:rsidR="002E4F7C" w:rsidRPr="008631B0">
        <w:rPr>
          <w:rFonts w:cs="Arial"/>
          <w:i/>
          <w:szCs w:val="24"/>
          <w:lang w:val="it-IT"/>
        </w:rPr>
        <w:t xml:space="preserve">Služba za opšte poslove </w:t>
      </w:r>
      <w:r w:rsidR="002D701C">
        <w:rPr>
          <w:rFonts w:cs="Arial"/>
          <w:i/>
          <w:szCs w:val="24"/>
          <w:lang w:val="it-IT"/>
        </w:rPr>
        <w:t xml:space="preserve">i </w:t>
      </w:r>
      <w:r w:rsidR="002E4F7C" w:rsidRPr="008631B0">
        <w:rPr>
          <w:rFonts w:cs="Arial"/>
          <w:i/>
          <w:szCs w:val="24"/>
          <w:lang w:val="it-IT"/>
        </w:rPr>
        <w:t>Služba za materijalno – finansijske, računovo</w:t>
      </w:r>
      <w:r w:rsidRPr="008631B0">
        <w:rPr>
          <w:rFonts w:cs="Arial"/>
          <w:i/>
          <w:szCs w:val="24"/>
          <w:lang w:val="it-IT"/>
        </w:rPr>
        <w:t>dstvene poslove i javne nabavke</w:t>
      </w:r>
      <w:r>
        <w:rPr>
          <w:rFonts w:cs="Arial"/>
          <w:szCs w:val="24"/>
          <w:lang w:val="it-IT"/>
        </w:rPr>
        <w:t xml:space="preserve"> i </w:t>
      </w:r>
      <w:r w:rsidR="00ED0951">
        <w:rPr>
          <w:rFonts w:cs="Arial"/>
          <w:b/>
          <w:szCs w:val="24"/>
          <w:lang w:val="it-IT"/>
        </w:rPr>
        <w:t xml:space="preserve">šest </w:t>
      </w:r>
      <w:r w:rsidRPr="007176C2">
        <w:rPr>
          <w:rFonts w:cs="Arial"/>
          <w:b/>
          <w:szCs w:val="24"/>
          <w:lang w:val="it-IT"/>
        </w:rPr>
        <w:t>organa uprave</w:t>
      </w:r>
      <w:r w:rsidRPr="007176C2">
        <w:rPr>
          <w:rFonts w:cs="Arial"/>
          <w:szCs w:val="24"/>
          <w:lang w:val="it-IT"/>
        </w:rPr>
        <w:t xml:space="preserve">: </w:t>
      </w:r>
      <w:r w:rsidRPr="007176C2">
        <w:rPr>
          <w:rFonts w:cs="Arial"/>
          <w:i/>
          <w:szCs w:val="24"/>
        </w:rPr>
        <w:t>Poreska</w:t>
      </w:r>
      <w:r w:rsidR="008631B0" w:rsidRPr="008631B0">
        <w:rPr>
          <w:rFonts w:cs="Arial"/>
          <w:i/>
          <w:szCs w:val="24"/>
        </w:rPr>
        <w:t xml:space="preserve"> uprava</w:t>
      </w:r>
      <w:r w:rsidRPr="008631B0">
        <w:rPr>
          <w:rFonts w:cs="Arial"/>
          <w:i/>
          <w:szCs w:val="24"/>
        </w:rPr>
        <w:t>,</w:t>
      </w:r>
      <w:r w:rsidRPr="008631B0">
        <w:rPr>
          <w:rFonts w:cs="Arial"/>
          <w:i/>
          <w:szCs w:val="24"/>
          <w:lang w:val="it-IT"/>
        </w:rPr>
        <w:t xml:space="preserve"> Uprava za igre na sreću,</w:t>
      </w:r>
      <w:r w:rsidR="007176C2">
        <w:rPr>
          <w:rFonts w:cs="Arial"/>
          <w:i/>
          <w:szCs w:val="24"/>
        </w:rPr>
        <w:t xml:space="preserve"> Uprava carina</w:t>
      </w:r>
      <w:r w:rsidR="00ED0951">
        <w:rPr>
          <w:rFonts w:cs="Arial"/>
          <w:i/>
          <w:szCs w:val="24"/>
        </w:rPr>
        <w:t>, Uprva za nekretnine, Uprava za imovinu</w:t>
      </w:r>
      <w:r w:rsidR="007176C2">
        <w:rPr>
          <w:rFonts w:cs="Arial"/>
          <w:i/>
          <w:szCs w:val="24"/>
        </w:rPr>
        <w:t xml:space="preserve"> </w:t>
      </w:r>
      <w:r w:rsidRPr="008631B0">
        <w:rPr>
          <w:rFonts w:cs="Arial"/>
          <w:i/>
          <w:szCs w:val="24"/>
        </w:rPr>
        <w:t>i Uprava za statistiku</w:t>
      </w:r>
      <w:r>
        <w:rPr>
          <w:rFonts w:cs="Arial"/>
          <w:szCs w:val="24"/>
        </w:rPr>
        <w:t>.</w:t>
      </w:r>
      <w:r w:rsidR="007176C2">
        <w:rPr>
          <w:rFonts w:cs="Arial"/>
          <w:szCs w:val="24"/>
        </w:rPr>
        <w:t xml:space="preserve"> </w:t>
      </w:r>
    </w:p>
    <w:p w:rsidR="00011749" w:rsidRDefault="00011749" w:rsidP="00A736D5">
      <w:pPr>
        <w:spacing w:before="0" w:after="160" w:line="240" w:lineRule="auto"/>
        <w:ind w:firstLine="709"/>
        <w:rPr>
          <w:rFonts w:eastAsia="Calibri" w:cs="Times New Roman"/>
          <w:color w:val="000000"/>
          <w:szCs w:val="24"/>
        </w:rPr>
      </w:pPr>
    </w:p>
    <w:p w:rsidR="00F37CB8" w:rsidRPr="00A736D5" w:rsidRDefault="00F37CB8" w:rsidP="00A736D5">
      <w:pPr>
        <w:spacing w:before="0" w:after="160" w:line="240" w:lineRule="auto"/>
        <w:ind w:firstLine="709"/>
        <w:rPr>
          <w:rFonts w:eastAsia="Calibri" w:cs="Times New Roman"/>
          <w:color w:val="000000"/>
          <w:szCs w:val="24"/>
        </w:rPr>
      </w:pPr>
    </w:p>
    <w:p w:rsidR="00093262" w:rsidRDefault="00674E2C" w:rsidP="00674E2C">
      <w:pPr>
        <w:pStyle w:val="NoSpacing"/>
        <w:shd w:val="clear" w:color="auto" w:fill="EE8C69" w:themeFill="accent1" w:themeFillTint="99"/>
        <w:ind w:firstLine="709"/>
        <w:jc w:val="center"/>
        <w:rPr>
          <w:rFonts w:asciiTheme="minorHAnsi" w:hAnsiTheme="minorHAnsi" w:cs="Arial"/>
          <w:b/>
          <w:sz w:val="24"/>
          <w:szCs w:val="24"/>
        </w:rPr>
      </w:pPr>
      <w:r>
        <w:rPr>
          <w:rFonts w:asciiTheme="minorHAnsi" w:hAnsiTheme="minorHAnsi" w:cs="Arial"/>
          <w:b/>
          <w:sz w:val="24"/>
          <w:szCs w:val="24"/>
        </w:rPr>
        <w:lastRenderedPageBreak/>
        <w:t xml:space="preserve">II </w:t>
      </w:r>
      <w:r w:rsidR="009F412E">
        <w:rPr>
          <w:rFonts w:asciiTheme="minorHAnsi" w:hAnsiTheme="minorHAnsi" w:cs="Arial"/>
          <w:b/>
          <w:sz w:val="24"/>
          <w:szCs w:val="24"/>
        </w:rPr>
        <w:t>REALIZACIJA AKTIVNOSTI IZ PROGRAMA RADA VLADE CRNE GORE ZA 2020. GODINU</w:t>
      </w:r>
    </w:p>
    <w:p w:rsidR="004F0FD7" w:rsidRDefault="004F0FD7" w:rsidP="004F0FD7">
      <w:pPr>
        <w:suppressAutoHyphens/>
        <w:autoSpaceDN w:val="0"/>
        <w:spacing w:before="0" w:after="0" w:line="240" w:lineRule="auto"/>
        <w:textAlignment w:val="baseline"/>
        <w:rPr>
          <w:rFonts w:eastAsia="Calibri" w:cs="Arial"/>
          <w:kern w:val="3"/>
          <w:szCs w:val="24"/>
          <w:lang w:val="sr-Latn-ME" w:eastAsia="zh-CN"/>
        </w:rPr>
      </w:pPr>
    </w:p>
    <w:p w:rsidR="00811D7B" w:rsidRPr="003B1D60" w:rsidRDefault="004F0FD7" w:rsidP="00822579">
      <w:pPr>
        <w:suppressAutoHyphens/>
        <w:autoSpaceDN w:val="0"/>
        <w:spacing w:before="0" w:after="0" w:line="240" w:lineRule="auto"/>
        <w:ind w:firstLine="709"/>
        <w:textAlignment w:val="baseline"/>
        <w:rPr>
          <w:rFonts w:eastAsia="Calibri" w:cs="Arial"/>
          <w:kern w:val="3"/>
          <w:szCs w:val="24"/>
          <w:lang w:val="sr-Latn-ME" w:eastAsia="zh-CN"/>
        </w:rPr>
      </w:pPr>
      <w:r w:rsidRPr="004F0FD7">
        <w:rPr>
          <w:rFonts w:eastAsia="Calibri" w:cs="Arial"/>
          <w:kern w:val="3"/>
          <w:szCs w:val="24"/>
          <w:lang w:val="sr-Latn-ME" w:eastAsia="zh-CN"/>
        </w:rPr>
        <w:t>Progr</w:t>
      </w:r>
      <w:r>
        <w:rPr>
          <w:rFonts w:eastAsia="Calibri" w:cs="Arial"/>
          <w:kern w:val="3"/>
          <w:szCs w:val="24"/>
          <w:lang w:val="sr-Latn-ME" w:eastAsia="zh-CN"/>
        </w:rPr>
        <w:t>amom rada Vlade Crne Gore za 2020</w:t>
      </w:r>
      <w:r w:rsidRPr="004F0FD7">
        <w:rPr>
          <w:rFonts w:eastAsia="Calibri" w:cs="Arial"/>
          <w:kern w:val="3"/>
          <w:szCs w:val="24"/>
          <w:lang w:val="sr-Latn-ME" w:eastAsia="zh-CN"/>
        </w:rPr>
        <w:t>. godinu, utvrđeno je ukupno</w:t>
      </w:r>
      <w:r w:rsidRPr="004F0FD7">
        <w:rPr>
          <w:rFonts w:eastAsia="Calibri" w:cs="Arial"/>
          <w:b/>
          <w:kern w:val="3"/>
          <w:szCs w:val="24"/>
          <w:lang w:val="sr-Latn-ME" w:eastAsia="zh-CN"/>
        </w:rPr>
        <w:t xml:space="preserve"> </w:t>
      </w:r>
      <w:r w:rsidR="005C3143">
        <w:rPr>
          <w:rFonts w:eastAsia="Calibri" w:cs="Arial"/>
          <w:b/>
          <w:kern w:val="3"/>
          <w:szCs w:val="24"/>
          <w:lang w:val="sr-Latn-ME" w:eastAsia="zh-CN"/>
        </w:rPr>
        <w:t>23</w:t>
      </w:r>
      <w:r w:rsidRPr="004F0FD7">
        <w:rPr>
          <w:rFonts w:eastAsia="Calibri" w:cs="Arial"/>
          <w:kern w:val="3"/>
          <w:szCs w:val="24"/>
          <w:lang w:val="sr-Latn-ME" w:eastAsia="zh-CN"/>
        </w:rPr>
        <w:t xml:space="preserve"> obaveze Ministarstva </w:t>
      </w:r>
      <w:r>
        <w:rPr>
          <w:rFonts w:eastAsia="Calibri" w:cs="Arial"/>
          <w:kern w:val="3"/>
          <w:szCs w:val="24"/>
          <w:lang w:val="sr-Latn-ME" w:eastAsia="zh-CN"/>
        </w:rPr>
        <w:t>finansija</w:t>
      </w:r>
      <w:r w:rsidRPr="004F0FD7">
        <w:rPr>
          <w:rFonts w:eastAsia="Calibri" w:cs="Arial"/>
          <w:kern w:val="3"/>
          <w:szCs w:val="24"/>
          <w:lang w:val="sr-Latn-ME" w:eastAsia="zh-CN"/>
        </w:rPr>
        <w:t xml:space="preserve">. Tokom programskog perioda uspješno je </w:t>
      </w:r>
      <w:r w:rsidRPr="001C7271">
        <w:rPr>
          <w:rFonts w:eastAsia="Calibri" w:cs="Arial"/>
          <w:kern w:val="3"/>
          <w:szCs w:val="24"/>
          <w:lang w:val="sr-Latn-ME" w:eastAsia="zh-CN"/>
        </w:rPr>
        <w:t xml:space="preserve">realizovano </w:t>
      </w:r>
      <w:r w:rsidR="00DE1984">
        <w:rPr>
          <w:rFonts w:eastAsia="Calibri" w:cs="Arial"/>
          <w:b/>
          <w:bCs/>
          <w:kern w:val="3"/>
          <w:szCs w:val="24"/>
          <w:lang w:val="sr-Latn-ME" w:eastAsia="zh-CN"/>
        </w:rPr>
        <w:t>11</w:t>
      </w:r>
      <w:r w:rsidRPr="001C7271">
        <w:rPr>
          <w:rFonts w:eastAsia="Calibri" w:cs="Arial"/>
          <w:b/>
          <w:kern w:val="3"/>
          <w:szCs w:val="24"/>
          <w:lang w:val="sr-Latn-ME" w:eastAsia="zh-CN"/>
        </w:rPr>
        <w:t xml:space="preserve"> obaveza </w:t>
      </w:r>
      <w:r w:rsidRPr="001C7271">
        <w:rPr>
          <w:rFonts w:eastAsia="Calibri" w:cs="Arial"/>
          <w:kern w:val="3"/>
          <w:szCs w:val="24"/>
          <w:lang w:val="sr-Latn-ME" w:eastAsia="zh-CN"/>
        </w:rPr>
        <w:t>koje su bile raspoređene u tematski i normativni dio Programa</w:t>
      </w:r>
      <w:r w:rsidR="00163EAE" w:rsidRPr="001C7271">
        <w:rPr>
          <w:rFonts w:eastAsia="Calibri" w:cs="Arial"/>
          <w:kern w:val="3"/>
          <w:szCs w:val="24"/>
          <w:lang w:val="sr-Latn-ME" w:eastAsia="zh-CN"/>
        </w:rPr>
        <w:t>, jedna u prioritetni razvojni projekat</w:t>
      </w:r>
      <w:r w:rsidRPr="001C7271">
        <w:rPr>
          <w:rFonts w:eastAsia="Calibri" w:cs="Arial"/>
          <w:b/>
          <w:kern w:val="3"/>
          <w:szCs w:val="24"/>
          <w:lang w:val="sr-Latn-ME" w:eastAsia="zh-CN"/>
        </w:rPr>
        <w:t xml:space="preserve"> (stepen realizacije </w:t>
      </w:r>
      <w:r w:rsidR="00484860">
        <w:rPr>
          <w:rFonts w:eastAsia="Calibri" w:cs="Arial"/>
          <w:b/>
          <w:kern w:val="3"/>
          <w:szCs w:val="24"/>
          <w:lang w:val="sr-Latn-ME" w:eastAsia="zh-CN"/>
        </w:rPr>
        <w:t>48</w:t>
      </w:r>
      <w:r w:rsidRPr="001C7271">
        <w:rPr>
          <w:rFonts w:eastAsia="Calibri" w:cs="Arial"/>
          <w:b/>
          <w:kern w:val="3"/>
          <w:szCs w:val="24"/>
          <w:lang w:val="sr-Latn-ME" w:eastAsia="zh-CN"/>
        </w:rPr>
        <w:t xml:space="preserve"> %</w:t>
      </w:r>
      <w:r w:rsidRPr="001C7271">
        <w:rPr>
          <w:rFonts w:eastAsia="Calibri" w:cs="Arial"/>
          <w:kern w:val="3"/>
          <w:szCs w:val="24"/>
          <w:lang w:val="sr-Latn-ME" w:eastAsia="zh-CN"/>
        </w:rPr>
        <w:t xml:space="preserve">). </w:t>
      </w:r>
      <w:r w:rsidR="00DE1984">
        <w:rPr>
          <w:rFonts w:eastAsia="Calibri" w:cs="Arial"/>
          <w:kern w:val="3"/>
          <w:szCs w:val="24"/>
          <w:lang w:val="sr-Latn-ME" w:eastAsia="zh-CN"/>
        </w:rPr>
        <w:t>Od 12</w:t>
      </w:r>
      <w:r w:rsidR="007B563D">
        <w:rPr>
          <w:rFonts w:eastAsia="Calibri" w:cs="Arial"/>
          <w:kern w:val="3"/>
          <w:szCs w:val="24"/>
          <w:lang w:val="sr-Latn-ME" w:eastAsia="zh-CN"/>
        </w:rPr>
        <w:t xml:space="preserve"> planiranih aktivnosti koje ni</w:t>
      </w:r>
      <w:r w:rsidR="003B1D60">
        <w:rPr>
          <w:rFonts w:eastAsia="Calibri" w:cs="Arial"/>
          <w:kern w:val="3"/>
          <w:szCs w:val="24"/>
          <w:lang w:val="sr-Latn-ME" w:eastAsia="zh-CN"/>
        </w:rPr>
        <w:t>je</w:t>
      </w:r>
      <w:r w:rsidR="007B563D">
        <w:rPr>
          <w:rFonts w:eastAsia="Calibri" w:cs="Arial"/>
          <w:kern w:val="3"/>
          <w:szCs w:val="24"/>
          <w:lang w:val="sr-Latn-ME" w:eastAsia="zh-CN"/>
        </w:rPr>
        <w:t>su u potpunosti realizovane</w:t>
      </w:r>
      <w:r w:rsidR="00B34325">
        <w:rPr>
          <w:rFonts w:eastAsia="Calibri" w:cs="Arial"/>
          <w:kern w:val="3"/>
          <w:szCs w:val="24"/>
          <w:lang w:val="sr-Latn-ME" w:eastAsia="zh-CN"/>
        </w:rPr>
        <w:t xml:space="preserve">: </w:t>
      </w:r>
      <w:r w:rsidR="00B34325" w:rsidRPr="00822579">
        <w:rPr>
          <w:rFonts w:eastAsia="Calibri" w:cs="Arial"/>
          <w:b/>
          <w:kern w:val="3"/>
          <w:szCs w:val="24"/>
          <w:lang w:val="sr-Latn-ME" w:eastAsia="zh-CN"/>
        </w:rPr>
        <w:t>9</w:t>
      </w:r>
      <w:r w:rsidR="007B563D" w:rsidRPr="00822579">
        <w:rPr>
          <w:rFonts w:eastAsia="Calibri" w:cs="Arial"/>
          <w:b/>
          <w:kern w:val="3"/>
          <w:szCs w:val="24"/>
          <w:lang w:val="sr-Latn-ME" w:eastAsia="zh-CN"/>
        </w:rPr>
        <w:t xml:space="preserve"> je u završnoj fa</w:t>
      </w:r>
      <w:r w:rsidR="003B1D60" w:rsidRPr="00822579">
        <w:rPr>
          <w:rFonts w:eastAsia="Calibri" w:cs="Arial"/>
          <w:b/>
          <w:kern w:val="3"/>
          <w:szCs w:val="24"/>
          <w:lang w:val="sr-Latn-ME" w:eastAsia="zh-CN"/>
        </w:rPr>
        <w:t>zi</w:t>
      </w:r>
      <w:r w:rsidR="003B1D60">
        <w:rPr>
          <w:rFonts w:eastAsia="Calibri" w:cs="Arial"/>
          <w:kern w:val="3"/>
          <w:szCs w:val="24"/>
          <w:lang w:val="sr-Latn-ME" w:eastAsia="zh-CN"/>
        </w:rPr>
        <w:t>,</w:t>
      </w:r>
      <w:r w:rsidR="007B563D">
        <w:rPr>
          <w:rFonts w:eastAsia="Calibri" w:cs="Arial"/>
          <w:kern w:val="3"/>
          <w:szCs w:val="24"/>
          <w:lang w:val="sr-Latn-ME" w:eastAsia="zh-CN"/>
        </w:rPr>
        <w:t xml:space="preserve"> 1</w:t>
      </w:r>
      <w:r w:rsidR="007B563D" w:rsidRPr="007B563D">
        <w:rPr>
          <w:rFonts w:eastAsia="Calibri" w:cs="Arial"/>
          <w:kern w:val="3"/>
          <w:szCs w:val="24"/>
          <w:lang w:val="sr-Latn-ME" w:eastAsia="zh-CN"/>
        </w:rPr>
        <w:t xml:space="preserve"> </w:t>
      </w:r>
      <w:r w:rsidR="007B563D">
        <w:rPr>
          <w:rFonts w:eastAsia="Calibri" w:cs="Arial"/>
          <w:kern w:val="3"/>
          <w:szCs w:val="24"/>
          <w:lang w:val="sr-Latn-ME" w:eastAsia="zh-CN"/>
        </w:rPr>
        <w:t>je u pripremi i 2</w:t>
      </w:r>
      <w:r w:rsidR="007B563D" w:rsidRPr="007B563D">
        <w:rPr>
          <w:rFonts w:eastAsia="Calibri" w:cs="Arial"/>
          <w:kern w:val="3"/>
          <w:szCs w:val="24"/>
          <w:lang w:val="sr-Latn-ME" w:eastAsia="zh-CN"/>
        </w:rPr>
        <w:t xml:space="preserve"> nije</w:t>
      </w:r>
      <w:r w:rsidR="007B563D">
        <w:rPr>
          <w:rFonts w:eastAsia="Calibri" w:cs="Arial"/>
          <w:kern w:val="3"/>
          <w:szCs w:val="24"/>
          <w:lang w:val="sr-Latn-ME" w:eastAsia="zh-CN"/>
        </w:rPr>
        <w:t>su realizovane</w:t>
      </w:r>
      <w:r w:rsidR="007B563D" w:rsidRPr="007B563D">
        <w:rPr>
          <w:rFonts w:eastAsia="Calibri" w:cs="Arial"/>
          <w:kern w:val="3"/>
          <w:szCs w:val="24"/>
          <w:lang w:val="sr-Latn-ME" w:eastAsia="zh-CN"/>
        </w:rPr>
        <w:t>.</w:t>
      </w:r>
      <w:r w:rsidR="003B1D60">
        <w:rPr>
          <w:rFonts w:eastAsia="Calibri" w:cs="Arial"/>
          <w:kern w:val="3"/>
          <w:szCs w:val="24"/>
          <w:lang w:val="sr-Latn-ME" w:eastAsia="zh-CN"/>
        </w:rPr>
        <w:t xml:space="preserve"> </w:t>
      </w:r>
      <w:r w:rsidR="00C60869">
        <w:rPr>
          <w:rFonts w:eastAsia="Calibri" w:cs="Times New Roman"/>
          <w:szCs w:val="24"/>
          <w:lang w:val="sr-Latn-ME"/>
        </w:rPr>
        <w:t>N</w:t>
      </w:r>
      <w:r w:rsidR="00822579" w:rsidRPr="009E0760">
        <w:rPr>
          <w:rFonts w:eastAsia="Calibri" w:cs="Times New Roman"/>
          <w:szCs w:val="24"/>
          <w:lang w:val="sr-Latn-ME"/>
        </w:rPr>
        <w:t xml:space="preserve">edostatak administrativnih kapaciteteta usljed </w:t>
      </w:r>
      <w:r w:rsidR="00822579" w:rsidRPr="009E0760">
        <w:rPr>
          <w:rFonts w:eastAsia="Calibri" w:cs="Times New Roman"/>
          <w:szCs w:val="24"/>
          <w:lang w:val="sl-SI"/>
        </w:rPr>
        <w:t xml:space="preserve">pandemije COVID-19 </w:t>
      </w:r>
      <w:r w:rsidR="00822579" w:rsidRPr="009E0760">
        <w:rPr>
          <w:rFonts w:eastAsia="Calibri" w:cs="Times New Roman"/>
          <w:szCs w:val="24"/>
          <w:lang w:val="sr-Latn-ME"/>
        </w:rPr>
        <w:t>je jedan od razloga za nerealizaciju obaveza planiranih za 2020. godinu.</w:t>
      </w:r>
      <w:r w:rsidR="00822579">
        <w:rPr>
          <w:rFonts w:eastAsia="Calibri" w:cs="Arial"/>
          <w:kern w:val="3"/>
          <w:szCs w:val="24"/>
          <w:lang w:val="sr-Latn-ME" w:eastAsia="zh-CN"/>
        </w:rPr>
        <w:t xml:space="preserve"> </w:t>
      </w:r>
      <w:r w:rsidR="00811D7B" w:rsidRPr="004F0FD7">
        <w:rPr>
          <w:rFonts w:eastAsia="Calibri" w:cs="Times New Roman"/>
          <w:szCs w:val="24"/>
          <w:lang w:val="sr-Latn-ME"/>
        </w:rPr>
        <w:t>Realizacija ov</w:t>
      </w:r>
      <w:r w:rsidR="00811D7B">
        <w:rPr>
          <w:rFonts w:eastAsia="Calibri" w:cs="Times New Roman"/>
          <w:szCs w:val="24"/>
          <w:lang w:val="sr-Latn-ME"/>
        </w:rPr>
        <w:t xml:space="preserve">ih obaveza </w:t>
      </w:r>
      <w:r w:rsidR="00822579">
        <w:rPr>
          <w:rFonts w:eastAsia="Calibri" w:cs="Times New Roman"/>
          <w:szCs w:val="24"/>
          <w:lang w:val="sr-Latn-ME"/>
        </w:rPr>
        <w:t>odložena</w:t>
      </w:r>
      <w:r w:rsidR="00811D7B">
        <w:rPr>
          <w:rFonts w:eastAsia="Calibri" w:cs="Times New Roman"/>
          <w:szCs w:val="24"/>
          <w:lang w:val="sr-Latn-ME"/>
        </w:rPr>
        <w:t xml:space="preserve"> je za 2021.</w:t>
      </w:r>
      <w:r w:rsidR="00811D7B" w:rsidRPr="004F0FD7">
        <w:rPr>
          <w:rFonts w:eastAsia="Calibri" w:cs="Times New Roman"/>
          <w:szCs w:val="24"/>
          <w:lang w:val="sr-Latn-ME"/>
        </w:rPr>
        <w:t xml:space="preserve"> godinu.</w:t>
      </w:r>
    </w:p>
    <w:p w:rsidR="004F0FD7" w:rsidRPr="004F0FD7" w:rsidRDefault="004F0FD7" w:rsidP="004F0FD7">
      <w:pPr>
        <w:suppressAutoHyphens/>
        <w:autoSpaceDN w:val="0"/>
        <w:spacing w:before="0" w:after="0" w:line="240" w:lineRule="auto"/>
        <w:textAlignment w:val="baseline"/>
        <w:rPr>
          <w:rFonts w:eastAsia="Calibri" w:cs="Arial"/>
          <w:b/>
          <w:color w:val="000000"/>
          <w:kern w:val="3"/>
          <w:szCs w:val="24"/>
          <w:lang w:val="sr-Latn-ME" w:eastAsia="zh-CN"/>
        </w:rPr>
      </w:pPr>
    </w:p>
    <w:tbl>
      <w:tblPr>
        <w:tblW w:w="0" w:type="auto"/>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3"/>
        <w:gridCol w:w="6065"/>
      </w:tblGrid>
      <w:tr w:rsidR="004F0FD7" w:rsidRPr="004F0FD7" w:rsidTr="004F0FD7">
        <w:trPr>
          <w:trHeight w:val="249"/>
        </w:trPr>
        <w:tc>
          <w:tcPr>
            <w:tcW w:w="2963" w:type="dxa"/>
          </w:tcPr>
          <w:p w:rsidR="004F0FD7" w:rsidRPr="00E8697F" w:rsidRDefault="004F0FD7" w:rsidP="00316886">
            <w:pPr>
              <w:suppressAutoHyphens/>
              <w:autoSpaceDN w:val="0"/>
              <w:spacing w:before="0" w:after="0" w:line="240" w:lineRule="auto"/>
              <w:textAlignment w:val="baseline"/>
              <w:rPr>
                <w:rFonts w:eastAsia="Calibri" w:cs="Arial"/>
                <w:b/>
                <w:color w:val="000000"/>
                <w:kern w:val="3"/>
                <w:szCs w:val="24"/>
                <w:lang w:val="sr-Latn-ME" w:eastAsia="zh-CN"/>
              </w:rPr>
            </w:pPr>
            <w:r w:rsidRPr="00E8697F">
              <w:rPr>
                <w:rFonts w:eastAsia="Calibri" w:cs="Arial"/>
                <w:b/>
                <w:color w:val="000000"/>
                <w:kern w:val="3"/>
                <w:szCs w:val="24"/>
                <w:lang w:val="sr-Latn-ME" w:eastAsia="zh-CN"/>
              </w:rPr>
              <w:t xml:space="preserve">Nerealizovane </w:t>
            </w:r>
            <w:r w:rsidR="00316886" w:rsidRPr="00E8697F">
              <w:rPr>
                <w:rFonts w:eastAsia="Calibri" w:cs="Arial"/>
                <w:b/>
                <w:color w:val="000000"/>
                <w:kern w:val="3"/>
                <w:szCs w:val="24"/>
                <w:lang w:val="sr-Latn-ME" w:eastAsia="zh-CN"/>
              </w:rPr>
              <w:t>ili djelimično realizovane obaveze</w:t>
            </w:r>
          </w:p>
        </w:tc>
        <w:tc>
          <w:tcPr>
            <w:tcW w:w="6065" w:type="dxa"/>
          </w:tcPr>
          <w:p w:rsidR="004F0FD7" w:rsidRPr="004F0FD7" w:rsidRDefault="004F0FD7" w:rsidP="004F0FD7">
            <w:pPr>
              <w:suppressAutoHyphens/>
              <w:autoSpaceDN w:val="0"/>
              <w:spacing w:before="0" w:after="0" w:line="240" w:lineRule="auto"/>
              <w:textAlignment w:val="baseline"/>
              <w:rPr>
                <w:rFonts w:eastAsia="Calibri" w:cs="Arial"/>
                <w:b/>
                <w:color w:val="000000"/>
                <w:kern w:val="3"/>
                <w:szCs w:val="24"/>
                <w:lang w:val="sr-Latn-ME" w:eastAsia="zh-CN"/>
              </w:rPr>
            </w:pPr>
            <w:r w:rsidRPr="004F0FD7">
              <w:rPr>
                <w:rFonts w:eastAsia="Calibri" w:cs="Arial"/>
                <w:b/>
                <w:color w:val="000000"/>
                <w:kern w:val="3"/>
                <w:szCs w:val="24"/>
                <w:lang w:val="sr-Latn-ME" w:eastAsia="zh-CN"/>
              </w:rPr>
              <w:t xml:space="preserve">                                 Obrazloženje </w:t>
            </w:r>
          </w:p>
        </w:tc>
      </w:tr>
      <w:tr w:rsidR="004F0FD7" w:rsidRPr="004F0FD7" w:rsidTr="004F0FD7">
        <w:trPr>
          <w:trHeight w:val="152"/>
        </w:trPr>
        <w:tc>
          <w:tcPr>
            <w:tcW w:w="2963" w:type="dxa"/>
          </w:tcPr>
          <w:p w:rsidR="00B50ABA" w:rsidRPr="00E8697F" w:rsidRDefault="00AF2F9C" w:rsidP="009C30BF">
            <w:pPr>
              <w:autoSpaceDE w:val="0"/>
              <w:autoSpaceDN w:val="0"/>
              <w:adjustRightInd w:val="0"/>
              <w:spacing w:before="0" w:after="0" w:line="240" w:lineRule="auto"/>
              <w:jc w:val="left"/>
              <w:rPr>
                <w:rFonts w:cstheme="minorHAnsi"/>
                <w:b/>
                <w:color w:val="000000" w:themeColor="text1"/>
                <w:szCs w:val="24"/>
                <w:lang w:val="sr-Latn-ME"/>
              </w:rPr>
            </w:pPr>
            <w:r w:rsidRPr="00E8697F">
              <w:rPr>
                <w:rFonts w:cstheme="minorHAnsi"/>
                <w:b/>
                <w:color w:val="000000" w:themeColor="text1"/>
                <w:szCs w:val="24"/>
                <w:lang w:val="sr-Latn-ME"/>
              </w:rPr>
              <w:t xml:space="preserve">Pravci razvoja Crne Gore 2021 ‐ 2024. godine </w:t>
            </w:r>
          </w:p>
          <w:p w:rsidR="00AF2F9C" w:rsidRPr="00E8697F" w:rsidRDefault="00B50ABA" w:rsidP="009C30BF">
            <w:pPr>
              <w:autoSpaceDE w:val="0"/>
              <w:autoSpaceDN w:val="0"/>
              <w:adjustRightInd w:val="0"/>
              <w:spacing w:before="0" w:after="0" w:line="240" w:lineRule="auto"/>
              <w:jc w:val="left"/>
              <w:rPr>
                <w:rFonts w:cstheme="minorHAnsi"/>
                <w:color w:val="000000" w:themeColor="text1"/>
                <w:szCs w:val="24"/>
                <w:lang w:val="sr-Latn-ME"/>
              </w:rPr>
            </w:pPr>
            <w:r w:rsidRPr="00E8697F">
              <w:rPr>
                <w:rFonts w:cstheme="minorHAnsi"/>
                <w:b/>
                <w:color w:val="000000" w:themeColor="text1"/>
                <w:szCs w:val="24"/>
                <w:lang w:val="sr-Latn-ME"/>
              </w:rPr>
              <w:t>IV kvartal</w:t>
            </w:r>
          </w:p>
          <w:p w:rsidR="004F0FD7" w:rsidRPr="001640A4" w:rsidRDefault="004F0FD7" w:rsidP="004F0FD7">
            <w:pPr>
              <w:spacing w:line="240" w:lineRule="auto"/>
              <w:rPr>
                <w:rFonts w:eastAsia="Times New Roman" w:cs="Times New Roman"/>
                <w:b/>
                <w:color w:val="000000"/>
                <w:sz w:val="22"/>
                <w:lang w:val="sr-Latn-ME"/>
              </w:rPr>
            </w:pPr>
          </w:p>
        </w:tc>
        <w:tc>
          <w:tcPr>
            <w:tcW w:w="6065" w:type="dxa"/>
          </w:tcPr>
          <w:p w:rsidR="00AF2F9C" w:rsidRPr="001640A4" w:rsidRDefault="00AF2F9C" w:rsidP="00AF2F9C">
            <w:pPr>
              <w:suppressAutoHyphens/>
              <w:autoSpaceDN w:val="0"/>
              <w:spacing w:before="0" w:after="0" w:line="240" w:lineRule="auto"/>
              <w:textAlignment w:val="baseline"/>
              <w:rPr>
                <w:rFonts w:eastAsia="Calibri" w:cs="Times New Roman"/>
                <w:color w:val="000000"/>
                <w:kern w:val="3"/>
                <w:sz w:val="22"/>
                <w:lang w:val="sr-Latn-ME" w:eastAsia="zh-CN"/>
              </w:rPr>
            </w:pPr>
            <w:r w:rsidRPr="001640A4">
              <w:rPr>
                <w:rFonts w:eastAsia="Calibri" w:cs="Times New Roman"/>
                <w:color w:val="000000"/>
                <w:kern w:val="3"/>
                <w:sz w:val="22"/>
                <w:lang w:val="sr-Latn-ME" w:eastAsia="zh-CN"/>
              </w:rPr>
              <w:t xml:space="preserve">Imajući u vidu da smo, po prvi put od početka pripreme ovoga dokumenta, dobili Vladu diskontinuiteta, za pripremu ovoga krovnog razvojnog dokumenta Crne Gore potrebni su nam inputi u smislu strateškog opredjeljenja i prioriteta nove Vlade, politika koje će sprovoditi, odnosno projekata i mjera koji se planiraju realizovati, kao i izvora njihovog finansiranja. </w:t>
            </w:r>
          </w:p>
          <w:p w:rsidR="004F0FD7" w:rsidRPr="001640A4" w:rsidRDefault="00AF2F9C" w:rsidP="004F0FD7">
            <w:pPr>
              <w:suppressAutoHyphens/>
              <w:autoSpaceDN w:val="0"/>
              <w:spacing w:before="0" w:after="0" w:line="240" w:lineRule="auto"/>
              <w:textAlignment w:val="baseline"/>
              <w:rPr>
                <w:rFonts w:eastAsia="Calibri" w:cs="Times New Roman"/>
                <w:color w:val="000000"/>
                <w:kern w:val="3"/>
                <w:sz w:val="22"/>
                <w:lang w:val="sr-Latn-ME" w:eastAsia="zh-CN"/>
              </w:rPr>
            </w:pPr>
            <w:r w:rsidRPr="001640A4">
              <w:rPr>
                <w:rFonts w:eastAsia="Calibri" w:cs="Times New Roman"/>
                <w:color w:val="000000"/>
                <w:kern w:val="3"/>
                <w:sz w:val="22"/>
                <w:lang w:val="sr-Latn-ME" w:eastAsia="zh-CN"/>
              </w:rPr>
              <w:t>U skladu sa Programom rada Vlade za 2021. predviđeno je donošenje novih Pravaca razvoja za naredni četvorogodišnji period.</w:t>
            </w:r>
          </w:p>
        </w:tc>
      </w:tr>
      <w:tr w:rsidR="004F0FD7" w:rsidRPr="004F0FD7" w:rsidTr="004F0FD7">
        <w:trPr>
          <w:trHeight w:val="106"/>
        </w:trPr>
        <w:tc>
          <w:tcPr>
            <w:tcW w:w="2963" w:type="dxa"/>
          </w:tcPr>
          <w:p w:rsidR="00B50ABA" w:rsidRPr="00E8697F" w:rsidRDefault="00AF2F9C" w:rsidP="009C30BF">
            <w:pPr>
              <w:spacing w:line="240" w:lineRule="auto"/>
              <w:jc w:val="left"/>
              <w:rPr>
                <w:rFonts w:eastAsia="Verdana" w:cs="Times New Roman"/>
                <w:b/>
                <w:color w:val="000000"/>
                <w:szCs w:val="24"/>
                <w:lang w:val="sr-Latn-ME"/>
              </w:rPr>
            </w:pPr>
            <w:r w:rsidRPr="00E8697F">
              <w:rPr>
                <w:rFonts w:eastAsia="Verdana" w:cs="Times New Roman"/>
                <w:b/>
                <w:color w:val="000000"/>
                <w:szCs w:val="24"/>
                <w:lang w:val="sr-Latn-ME"/>
              </w:rPr>
              <w:t>Projekcije makroekonomskih pokazatelja za period 2020</w:t>
            </w:r>
            <w:r w:rsidR="009C30BF" w:rsidRPr="00E8697F">
              <w:rPr>
                <w:rFonts w:eastAsia="Verdana" w:cs="Times New Roman"/>
                <w:b/>
                <w:color w:val="000000"/>
                <w:szCs w:val="24"/>
                <w:lang w:val="sr-Latn-ME"/>
              </w:rPr>
              <w:t xml:space="preserve"> </w:t>
            </w:r>
            <w:r w:rsidRPr="00E8697F">
              <w:rPr>
                <w:rFonts w:eastAsia="Verdana" w:cs="Times New Roman"/>
                <w:b/>
                <w:color w:val="000000"/>
                <w:szCs w:val="24"/>
                <w:lang w:val="sr-Latn-ME"/>
              </w:rPr>
              <w:t>-</w:t>
            </w:r>
            <w:r w:rsidR="009C30BF" w:rsidRPr="00E8697F">
              <w:rPr>
                <w:rFonts w:eastAsia="Verdana" w:cs="Times New Roman"/>
                <w:b/>
                <w:color w:val="000000"/>
                <w:szCs w:val="24"/>
                <w:lang w:val="sr-Latn-ME"/>
              </w:rPr>
              <w:t xml:space="preserve"> </w:t>
            </w:r>
            <w:r w:rsidRPr="00E8697F">
              <w:rPr>
                <w:rFonts w:eastAsia="Verdana" w:cs="Times New Roman"/>
                <w:b/>
                <w:color w:val="000000"/>
                <w:szCs w:val="24"/>
                <w:lang w:val="sr-Latn-ME"/>
              </w:rPr>
              <w:t xml:space="preserve">2023. godine </w:t>
            </w:r>
          </w:p>
          <w:p w:rsidR="00AF2F9C" w:rsidRPr="00E8697F" w:rsidRDefault="00B50ABA" w:rsidP="009C30BF">
            <w:pPr>
              <w:spacing w:line="240" w:lineRule="auto"/>
              <w:jc w:val="left"/>
              <w:rPr>
                <w:rFonts w:eastAsia="Verdana" w:cs="Times New Roman"/>
                <w:b/>
                <w:color w:val="000000"/>
                <w:szCs w:val="24"/>
                <w:lang w:val="sr-Latn-ME"/>
              </w:rPr>
            </w:pPr>
            <w:r w:rsidRPr="00E8697F">
              <w:rPr>
                <w:rFonts w:eastAsia="Verdana" w:cs="Times New Roman"/>
                <w:b/>
                <w:color w:val="000000"/>
                <w:szCs w:val="24"/>
                <w:lang w:val="sr-Latn-ME"/>
              </w:rPr>
              <w:t>IV kvartal</w:t>
            </w:r>
          </w:p>
          <w:p w:rsidR="004F0FD7" w:rsidRPr="00E8697F" w:rsidRDefault="004F0FD7" w:rsidP="009C30BF">
            <w:pPr>
              <w:spacing w:line="240" w:lineRule="auto"/>
              <w:jc w:val="left"/>
              <w:rPr>
                <w:rFonts w:eastAsia="Times New Roman" w:cs="Calibri"/>
                <w:b/>
                <w:color w:val="000000"/>
                <w:szCs w:val="24"/>
                <w:lang w:val="sr-Latn-ME"/>
              </w:rPr>
            </w:pPr>
          </w:p>
        </w:tc>
        <w:tc>
          <w:tcPr>
            <w:tcW w:w="6065" w:type="dxa"/>
          </w:tcPr>
          <w:p w:rsidR="00B50ABA" w:rsidRPr="001640A4" w:rsidRDefault="00AF2F9C" w:rsidP="00B50ABA">
            <w:pPr>
              <w:suppressAutoHyphens/>
              <w:autoSpaceDN w:val="0"/>
              <w:spacing w:before="0" w:after="0" w:line="240" w:lineRule="auto"/>
              <w:textAlignment w:val="baseline"/>
              <w:rPr>
                <w:rFonts w:eastAsia="Verdana" w:cs="Calibri"/>
                <w:b/>
                <w:i/>
                <w:color w:val="000000"/>
                <w:kern w:val="3"/>
                <w:sz w:val="22"/>
                <w:lang w:val="sr-Latn-ME" w:eastAsia="zh-CN"/>
              </w:rPr>
            </w:pPr>
            <w:r w:rsidRPr="001640A4">
              <w:rPr>
                <w:rFonts w:eastAsia="Verdana" w:cs="Calibri"/>
                <w:color w:val="000000"/>
                <w:kern w:val="3"/>
                <w:sz w:val="22"/>
                <w:lang w:val="sr-Latn-ME" w:eastAsia="zh-CN"/>
              </w:rPr>
              <w:t xml:space="preserve">Projekcije definisane ovim dokumentom su korišćene za izradu Zakona o budžetu za 2021. godinu i bile su polazište za pripremu Programa ekonomskih reformi Crne Gore 2021‐2023, koji predstavlja najznačajniji dokument u okviru ekonomskog dijaloga Crne Gore i Evropske komisije. </w:t>
            </w:r>
          </w:p>
          <w:p w:rsidR="004F0FD7" w:rsidRPr="001640A4" w:rsidRDefault="00AF2F9C" w:rsidP="00B50ABA">
            <w:pPr>
              <w:suppressAutoHyphens/>
              <w:autoSpaceDN w:val="0"/>
              <w:spacing w:before="0" w:after="0" w:line="240" w:lineRule="auto"/>
              <w:textAlignment w:val="baseline"/>
              <w:rPr>
                <w:rFonts w:eastAsia="Verdana" w:cs="Calibri"/>
                <w:color w:val="000000"/>
                <w:kern w:val="3"/>
                <w:sz w:val="22"/>
                <w:lang w:val="sr-Latn-ME" w:eastAsia="zh-CN"/>
              </w:rPr>
            </w:pPr>
            <w:r w:rsidRPr="001640A4">
              <w:rPr>
                <w:rFonts w:eastAsia="Verdana" w:cs="Calibri"/>
                <w:color w:val="000000"/>
                <w:kern w:val="3"/>
                <w:sz w:val="22"/>
                <w:lang w:val="sr-Latn-ME" w:eastAsia="zh-CN"/>
              </w:rPr>
              <w:t>Usvajanje Projekcija makroekonomskih pokazatelja za period 2020-2023. godine odloženo je usljed odlaganja usvajanja godišnjeg Za</w:t>
            </w:r>
            <w:r w:rsidR="00B50ABA" w:rsidRPr="001640A4">
              <w:rPr>
                <w:rFonts w:eastAsia="Verdana" w:cs="Calibri"/>
                <w:color w:val="000000"/>
                <w:kern w:val="3"/>
                <w:sz w:val="22"/>
                <w:lang w:val="sr-Latn-ME" w:eastAsia="zh-CN"/>
              </w:rPr>
              <w:t>kona o budžetu za 2021. godinu.</w:t>
            </w:r>
          </w:p>
        </w:tc>
      </w:tr>
      <w:tr w:rsidR="004F0FD7" w:rsidRPr="004F0FD7" w:rsidTr="004F0FD7">
        <w:trPr>
          <w:trHeight w:val="119"/>
        </w:trPr>
        <w:tc>
          <w:tcPr>
            <w:tcW w:w="2963" w:type="dxa"/>
          </w:tcPr>
          <w:p w:rsidR="00193D63" w:rsidRPr="00E8697F" w:rsidRDefault="00B50ABA" w:rsidP="009C30BF">
            <w:pPr>
              <w:spacing w:after="0" w:line="240" w:lineRule="auto"/>
              <w:jc w:val="left"/>
              <w:rPr>
                <w:rFonts w:eastAsia="Verdana" w:cs="Times New Roman"/>
                <w:b/>
                <w:color w:val="000000"/>
                <w:szCs w:val="24"/>
                <w:lang w:val="sr-Latn-ME"/>
              </w:rPr>
            </w:pPr>
            <w:r w:rsidRPr="00E8697F">
              <w:rPr>
                <w:rFonts w:eastAsia="Verdana" w:cs="Times New Roman"/>
                <w:b/>
                <w:color w:val="000000"/>
                <w:szCs w:val="24"/>
                <w:lang w:val="sr-Latn-ME"/>
              </w:rPr>
              <w:t xml:space="preserve">Predlog jesenje analize makroekonomskih kretanja i strukturnih reformi – 2020. </w:t>
            </w:r>
          </w:p>
          <w:p w:rsidR="004F0FD7" w:rsidRPr="00E8697F" w:rsidRDefault="00B50ABA" w:rsidP="009C30BF">
            <w:pPr>
              <w:spacing w:before="0" w:after="0" w:line="240" w:lineRule="auto"/>
              <w:jc w:val="left"/>
              <w:rPr>
                <w:rFonts w:eastAsia="Verdana" w:cs="Times New Roman"/>
                <w:b/>
                <w:color w:val="000000"/>
                <w:szCs w:val="24"/>
                <w:lang w:val="sr-Latn-ME"/>
              </w:rPr>
            </w:pPr>
            <w:r w:rsidRPr="00E8697F">
              <w:rPr>
                <w:rFonts w:eastAsia="Verdana" w:cs="Times New Roman"/>
                <w:b/>
                <w:color w:val="000000"/>
                <w:szCs w:val="24"/>
                <w:lang w:val="sr-Latn-ME"/>
              </w:rPr>
              <w:t>IV kvartal</w:t>
            </w:r>
          </w:p>
        </w:tc>
        <w:tc>
          <w:tcPr>
            <w:tcW w:w="6065" w:type="dxa"/>
          </w:tcPr>
          <w:p w:rsidR="004F0FD7" w:rsidRPr="001640A4" w:rsidRDefault="00B50ABA" w:rsidP="004F0FD7">
            <w:pPr>
              <w:spacing w:line="240" w:lineRule="auto"/>
              <w:rPr>
                <w:rFonts w:eastAsia="Calibri" w:cs="Times New Roman"/>
                <w:color w:val="000000"/>
                <w:sz w:val="22"/>
                <w:lang w:val="sr-Latn-ME"/>
              </w:rPr>
            </w:pPr>
            <w:r w:rsidRPr="001640A4">
              <w:rPr>
                <w:rFonts w:eastAsia="Calibri" w:cs="Times New Roman"/>
                <w:color w:val="000000"/>
                <w:sz w:val="22"/>
                <w:lang w:val="sr-Latn-ME"/>
              </w:rPr>
              <w:t xml:space="preserve">U skladu sa Programom rada Vlade za 2020. godinu, pripremljena je Jesenja analiza makroekonomskih kretanja i strukturnih reformi, ali nije procesuirana, odnosno razmatrana na sjednici Vlade Crne Gore. </w:t>
            </w:r>
          </w:p>
        </w:tc>
      </w:tr>
      <w:tr w:rsidR="004F0FD7" w:rsidRPr="004F0FD7" w:rsidTr="004F0FD7">
        <w:trPr>
          <w:trHeight w:val="124"/>
        </w:trPr>
        <w:tc>
          <w:tcPr>
            <w:tcW w:w="2963" w:type="dxa"/>
          </w:tcPr>
          <w:p w:rsidR="004F0FD7" w:rsidRPr="00E8697F" w:rsidRDefault="004C5AD5" w:rsidP="009C30BF">
            <w:pPr>
              <w:suppressAutoHyphens/>
              <w:autoSpaceDN w:val="0"/>
              <w:spacing w:before="0" w:after="0" w:line="240" w:lineRule="auto"/>
              <w:jc w:val="left"/>
              <w:textAlignment w:val="baseline"/>
              <w:rPr>
                <w:rFonts w:eastAsia="Calibri" w:cs="Arial"/>
                <w:b/>
                <w:color w:val="000000"/>
                <w:kern w:val="3"/>
                <w:szCs w:val="24"/>
                <w:lang w:val="sr-Latn-ME" w:eastAsia="zh-CN"/>
              </w:rPr>
            </w:pPr>
            <w:r w:rsidRPr="00E8697F">
              <w:rPr>
                <w:rFonts w:eastAsia="Calibri" w:cs="Arial"/>
                <w:b/>
                <w:color w:val="000000"/>
                <w:kern w:val="3"/>
                <w:szCs w:val="24"/>
                <w:lang w:val="sr-Latn-ME" w:eastAsia="zh-CN"/>
              </w:rPr>
              <w:t>Predlog zakona o izmjenama i dopunama Zakona o poreskoj administraciji</w:t>
            </w:r>
          </w:p>
          <w:p w:rsidR="004C5AD5" w:rsidRPr="00E8697F" w:rsidRDefault="004C5AD5" w:rsidP="004F0FD7">
            <w:pPr>
              <w:suppressAutoHyphens/>
              <w:autoSpaceDN w:val="0"/>
              <w:spacing w:before="0" w:after="0" w:line="240" w:lineRule="auto"/>
              <w:textAlignment w:val="baseline"/>
              <w:rPr>
                <w:rFonts w:eastAsia="Calibri" w:cs="Arial"/>
                <w:b/>
                <w:color w:val="000000"/>
                <w:kern w:val="3"/>
                <w:szCs w:val="24"/>
                <w:lang w:val="sr-Latn-ME" w:eastAsia="zh-CN"/>
              </w:rPr>
            </w:pPr>
          </w:p>
          <w:p w:rsidR="004C5AD5" w:rsidRPr="00E8697F" w:rsidRDefault="004C5AD5" w:rsidP="004F0FD7">
            <w:pPr>
              <w:suppressAutoHyphens/>
              <w:autoSpaceDN w:val="0"/>
              <w:spacing w:before="0" w:after="0" w:line="240" w:lineRule="auto"/>
              <w:textAlignment w:val="baseline"/>
              <w:rPr>
                <w:rFonts w:eastAsia="Calibri" w:cs="Arial"/>
                <w:b/>
                <w:color w:val="000000"/>
                <w:kern w:val="3"/>
                <w:szCs w:val="24"/>
                <w:lang w:val="sr-Latn-ME" w:eastAsia="zh-CN"/>
              </w:rPr>
            </w:pPr>
            <w:r w:rsidRPr="00E8697F">
              <w:rPr>
                <w:rFonts w:eastAsia="Calibri" w:cs="Arial"/>
                <w:b/>
                <w:color w:val="000000"/>
                <w:kern w:val="3"/>
                <w:szCs w:val="24"/>
                <w:lang w:val="sr-Latn-ME" w:eastAsia="zh-CN"/>
              </w:rPr>
              <w:t>II kvartal</w:t>
            </w:r>
          </w:p>
          <w:p w:rsidR="004C5AD5" w:rsidRPr="00E8697F" w:rsidRDefault="004C5AD5" w:rsidP="004F0FD7">
            <w:pPr>
              <w:suppressAutoHyphens/>
              <w:autoSpaceDN w:val="0"/>
              <w:spacing w:before="0" w:after="0" w:line="240" w:lineRule="auto"/>
              <w:textAlignment w:val="baseline"/>
              <w:rPr>
                <w:rFonts w:eastAsia="Calibri" w:cs="Arial"/>
                <w:b/>
                <w:color w:val="000000"/>
                <w:kern w:val="3"/>
                <w:szCs w:val="24"/>
                <w:lang w:val="sr-Latn-ME" w:eastAsia="zh-CN"/>
              </w:rPr>
            </w:pPr>
          </w:p>
          <w:p w:rsidR="004C5AD5" w:rsidRPr="00E8697F" w:rsidRDefault="004C5AD5" w:rsidP="004F0FD7">
            <w:pPr>
              <w:suppressAutoHyphens/>
              <w:autoSpaceDN w:val="0"/>
              <w:spacing w:before="0" w:after="0" w:line="240" w:lineRule="auto"/>
              <w:textAlignment w:val="baseline"/>
              <w:rPr>
                <w:rFonts w:eastAsia="Calibri" w:cs="Arial"/>
                <w:b/>
                <w:color w:val="000000"/>
                <w:kern w:val="3"/>
                <w:szCs w:val="24"/>
                <w:lang w:val="sr-Latn-ME" w:eastAsia="zh-CN"/>
              </w:rPr>
            </w:pPr>
          </w:p>
          <w:p w:rsidR="004C5AD5" w:rsidRPr="00E8697F" w:rsidRDefault="004C5AD5" w:rsidP="004F0FD7">
            <w:pPr>
              <w:suppressAutoHyphens/>
              <w:autoSpaceDN w:val="0"/>
              <w:spacing w:before="0" w:after="0" w:line="240" w:lineRule="auto"/>
              <w:textAlignment w:val="baseline"/>
              <w:rPr>
                <w:rFonts w:eastAsia="Calibri" w:cs="Arial"/>
                <w:b/>
                <w:color w:val="000000"/>
                <w:kern w:val="3"/>
                <w:szCs w:val="24"/>
                <w:lang w:val="sr-Latn-ME" w:eastAsia="zh-CN"/>
              </w:rPr>
            </w:pPr>
          </w:p>
          <w:p w:rsidR="004C5AD5" w:rsidRPr="00E8697F" w:rsidRDefault="004C5AD5" w:rsidP="004F0FD7">
            <w:pPr>
              <w:suppressAutoHyphens/>
              <w:autoSpaceDN w:val="0"/>
              <w:spacing w:before="0" w:after="0" w:line="240" w:lineRule="auto"/>
              <w:textAlignment w:val="baseline"/>
              <w:rPr>
                <w:rFonts w:eastAsia="Calibri" w:cs="Arial"/>
                <w:b/>
                <w:color w:val="000000"/>
                <w:kern w:val="3"/>
                <w:szCs w:val="24"/>
                <w:lang w:val="sr-Latn-ME" w:eastAsia="zh-CN"/>
              </w:rPr>
            </w:pPr>
          </w:p>
        </w:tc>
        <w:tc>
          <w:tcPr>
            <w:tcW w:w="6065" w:type="dxa"/>
          </w:tcPr>
          <w:p w:rsidR="004F0FD7" w:rsidRPr="001640A4" w:rsidRDefault="004C5AD5" w:rsidP="0007139B">
            <w:pPr>
              <w:suppressAutoHyphens/>
              <w:autoSpaceDN w:val="0"/>
              <w:spacing w:before="0" w:after="0" w:line="240" w:lineRule="auto"/>
              <w:textAlignment w:val="baseline"/>
              <w:rPr>
                <w:rFonts w:eastAsia="Calibri" w:cs="Arial"/>
                <w:color w:val="000000"/>
                <w:kern w:val="3"/>
                <w:sz w:val="22"/>
                <w:lang w:val="sr-Latn-ME" w:eastAsia="zh-CN"/>
              </w:rPr>
            </w:pPr>
            <w:r w:rsidRPr="001640A4">
              <w:rPr>
                <w:rFonts w:eastAsia="Calibri" w:cs="Arial"/>
                <w:color w:val="000000"/>
                <w:kern w:val="3"/>
                <w:sz w:val="22"/>
                <w:lang w:val="sr-Latn-ME" w:eastAsia="zh-CN"/>
              </w:rPr>
              <w:t xml:space="preserve">Pripremljen je </w:t>
            </w:r>
            <w:r w:rsidR="0007139B" w:rsidRPr="001640A4">
              <w:rPr>
                <w:rFonts w:eastAsia="Calibri" w:cs="Arial"/>
                <w:color w:val="000000"/>
                <w:kern w:val="3"/>
                <w:sz w:val="22"/>
                <w:lang w:val="sr-Latn-ME" w:eastAsia="zh-CN"/>
              </w:rPr>
              <w:t>Predlog Z</w:t>
            </w:r>
            <w:r w:rsidRPr="001640A4">
              <w:rPr>
                <w:rFonts w:eastAsia="Calibri" w:cs="Arial"/>
                <w:color w:val="000000"/>
                <w:kern w:val="3"/>
                <w:sz w:val="22"/>
                <w:lang w:val="sr-Latn-ME" w:eastAsia="zh-CN"/>
              </w:rPr>
              <w:t>akona o izmjenama i dopunama Zakona o poreskoj administraciji, na čiji tekst su dobijena mišljenja nadležnih ministarstava i Evropske komisije, upućen je Vladi Crne Gore na razmatranje i utvrđivanje 17.09.2020. godine, međutim isti nije razmatran, jer je Vlada Crne Gore u tom periodu bila u tehničkom mandatu. Imajući u vidu da je, u međuvremenu, donijeta  Uredba o organizaciji i načinu rada državne uprave ("Službeni list Crne Gore", br. 118/20), kojim je  izvršena reorganizacija državne uprave, odnosno ministarstava, bilo je neophodno pribaviti nova mišljenja nadležnih organa. Takođe, usled potrebe da se izvrši dodatna  izmjena pojedinih članova važećeg zakona, neophodno je ponovo pribaviti mišljenje Evropske komisije. Stoga, donošenje navedenog Predloga zakona odloženo je za III kvartal 2021. godine.</w:t>
            </w:r>
          </w:p>
        </w:tc>
      </w:tr>
      <w:tr w:rsidR="004F0FD7" w:rsidRPr="004F0FD7" w:rsidTr="004F0FD7">
        <w:trPr>
          <w:trHeight w:val="120"/>
        </w:trPr>
        <w:tc>
          <w:tcPr>
            <w:tcW w:w="2963" w:type="dxa"/>
          </w:tcPr>
          <w:p w:rsidR="004F0FD7" w:rsidRPr="00E8697F" w:rsidRDefault="0007139B" w:rsidP="009C30BF">
            <w:pPr>
              <w:suppressAutoHyphens/>
              <w:autoSpaceDN w:val="0"/>
              <w:spacing w:before="0" w:after="0" w:line="240" w:lineRule="auto"/>
              <w:jc w:val="left"/>
              <w:textAlignment w:val="baseline"/>
              <w:rPr>
                <w:rFonts w:eastAsia="Calibri" w:cs="Arial"/>
                <w:b/>
                <w:color w:val="000000"/>
                <w:kern w:val="3"/>
                <w:szCs w:val="24"/>
                <w:lang w:val="sr-Latn-ME" w:eastAsia="zh-CN"/>
              </w:rPr>
            </w:pPr>
            <w:r w:rsidRPr="00E8697F">
              <w:rPr>
                <w:rFonts w:eastAsia="Calibri" w:cs="Arial"/>
                <w:b/>
                <w:color w:val="000000"/>
                <w:kern w:val="3"/>
                <w:szCs w:val="24"/>
                <w:lang w:val="sr-Latn-ME" w:eastAsia="zh-CN"/>
              </w:rPr>
              <w:t xml:space="preserve">Predlog Zakona o izmjenama i dopunama </w:t>
            </w:r>
            <w:r w:rsidRPr="00E8697F">
              <w:rPr>
                <w:rFonts w:eastAsia="Calibri" w:cs="Arial"/>
                <w:b/>
                <w:color w:val="000000"/>
                <w:kern w:val="3"/>
                <w:szCs w:val="24"/>
                <w:lang w:val="sr-Latn-ME" w:eastAsia="zh-CN"/>
              </w:rPr>
              <w:lastRenderedPageBreak/>
              <w:t>Zakona o porezu na dobit pravnih lica</w:t>
            </w:r>
          </w:p>
          <w:p w:rsidR="0007139B" w:rsidRPr="00E8697F" w:rsidRDefault="0007139B" w:rsidP="004F0FD7">
            <w:pPr>
              <w:suppressAutoHyphens/>
              <w:autoSpaceDN w:val="0"/>
              <w:spacing w:before="0" w:after="0" w:line="240" w:lineRule="auto"/>
              <w:textAlignment w:val="baseline"/>
              <w:rPr>
                <w:rFonts w:eastAsia="Calibri" w:cs="Arial"/>
                <w:b/>
                <w:color w:val="000000"/>
                <w:kern w:val="3"/>
                <w:szCs w:val="24"/>
                <w:lang w:val="sr-Latn-ME" w:eastAsia="zh-CN"/>
              </w:rPr>
            </w:pPr>
          </w:p>
          <w:p w:rsidR="0007139B" w:rsidRPr="00E8697F" w:rsidRDefault="00C970B1" w:rsidP="004F0FD7">
            <w:pPr>
              <w:suppressAutoHyphens/>
              <w:autoSpaceDN w:val="0"/>
              <w:spacing w:before="0" w:after="0" w:line="240" w:lineRule="auto"/>
              <w:textAlignment w:val="baseline"/>
              <w:rPr>
                <w:rFonts w:eastAsia="Calibri" w:cs="Arial"/>
                <w:b/>
                <w:color w:val="000000"/>
                <w:kern w:val="3"/>
                <w:szCs w:val="24"/>
                <w:lang w:val="sr-Latn-ME" w:eastAsia="zh-CN"/>
              </w:rPr>
            </w:pPr>
            <w:r w:rsidRPr="00E8697F">
              <w:rPr>
                <w:rFonts w:eastAsia="Calibri" w:cs="Arial"/>
                <w:b/>
                <w:color w:val="000000"/>
                <w:kern w:val="3"/>
                <w:szCs w:val="24"/>
                <w:lang w:val="sr-Latn-ME" w:eastAsia="zh-CN"/>
              </w:rPr>
              <w:t>II kvartal</w:t>
            </w:r>
          </w:p>
          <w:p w:rsidR="0007139B" w:rsidRPr="00E8697F" w:rsidRDefault="0007139B" w:rsidP="004F0FD7">
            <w:pPr>
              <w:suppressAutoHyphens/>
              <w:autoSpaceDN w:val="0"/>
              <w:spacing w:before="0" w:after="0" w:line="240" w:lineRule="auto"/>
              <w:textAlignment w:val="baseline"/>
              <w:rPr>
                <w:rFonts w:eastAsia="Calibri" w:cs="Arial"/>
                <w:b/>
                <w:color w:val="000000"/>
                <w:kern w:val="3"/>
                <w:szCs w:val="24"/>
                <w:lang w:val="sr-Latn-ME" w:eastAsia="zh-CN"/>
              </w:rPr>
            </w:pPr>
          </w:p>
          <w:p w:rsidR="0007139B" w:rsidRPr="00E8697F" w:rsidRDefault="0007139B" w:rsidP="004F0FD7">
            <w:pPr>
              <w:suppressAutoHyphens/>
              <w:autoSpaceDN w:val="0"/>
              <w:spacing w:before="0" w:after="0" w:line="240" w:lineRule="auto"/>
              <w:textAlignment w:val="baseline"/>
              <w:rPr>
                <w:rFonts w:eastAsia="Calibri" w:cs="Arial"/>
                <w:b/>
                <w:color w:val="000000"/>
                <w:kern w:val="3"/>
                <w:szCs w:val="24"/>
                <w:lang w:val="sr-Latn-ME" w:eastAsia="zh-CN"/>
              </w:rPr>
            </w:pPr>
          </w:p>
          <w:p w:rsidR="0007139B" w:rsidRPr="00E8697F" w:rsidRDefault="0007139B" w:rsidP="004F0FD7">
            <w:pPr>
              <w:suppressAutoHyphens/>
              <w:autoSpaceDN w:val="0"/>
              <w:spacing w:before="0" w:after="0" w:line="240" w:lineRule="auto"/>
              <w:textAlignment w:val="baseline"/>
              <w:rPr>
                <w:rFonts w:eastAsia="Calibri" w:cs="Arial"/>
                <w:b/>
                <w:color w:val="000000"/>
                <w:kern w:val="3"/>
                <w:szCs w:val="24"/>
                <w:lang w:val="sr-Latn-ME" w:eastAsia="zh-CN"/>
              </w:rPr>
            </w:pPr>
          </w:p>
          <w:p w:rsidR="0007139B" w:rsidRPr="00E8697F" w:rsidRDefault="0007139B" w:rsidP="004F0FD7">
            <w:pPr>
              <w:suppressAutoHyphens/>
              <w:autoSpaceDN w:val="0"/>
              <w:spacing w:before="0" w:after="0" w:line="240" w:lineRule="auto"/>
              <w:textAlignment w:val="baseline"/>
              <w:rPr>
                <w:rFonts w:eastAsia="Calibri" w:cs="Arial"/>
                <w:b/>
                <w:color w:val="000000"/>
                <w:kern w:val="3"/>
                <w:szCs w:val="24"/>
                <w:lang w:val="sr-Latn-ME" w:eastAsia="zh-CN"/>
              </w:rPr>
            </w:pPr>
          </w:p>
          <w:p w:rsidR="0007139B" w:rsidRPr="00E8697F" w:rsidRDefault="0007139B" w:rsidP="004F0FD7">
            <w:pPr>
              <w:suppressAutoHyphens/>
              <w:autoSpaceDN w:val="0"/>
              <w:spacing w:before="0" w:after="0" w:line="240" w:lineRule="auto"/>
              <w:textAlignment w:val="baseline"/>
              <w:rPr>
                <w:rFonts w:eastAsia="Calibri" w:cs="Arial"/>
                <w:b/>
                <w:color w:val="000000"/>
                <w:kern w:val="3"/>
                <w:szCs w:val="24"/>
                <w:lang w:val="sr-Latn-ME" w:eastAsia="zh-CN"/>
              </w:rPr>
            </w:pPr>
          </w:p>
          <w:p w:rsidR="0007139B" w:rsidRPr="00E8697F" w:rsidRDefault="0007139B" w:rsidP="004F0FD7">
            <w:pPr>
              <w:suppressAutoHyphens/>
              <w:autoSpaceDN w:val="0"/>
              <w:spacing w:before="0" w:after="0" w:line="240" w:lineRule="auto"/>
              <w:textAlignment w:val="baseline"/>
              <w:rPr>
                <w:rFonts w:eastAsia="Calibri" w:cs="Arial"/>
                <w:b/>
                <w:color w:val="000000"/>
                <w:kern w:val="3"/>
                <w:szCs w:val="24"/>
                <w:lang w:val="sr-Latn-ME" w:eastAsia="zh-CN"/>
              </w:rPr>
            </w:pPr>
          </w:p>
          <w:p w:rsidR="0007139B" w:rsidRPr="00E8697F" w:rsidRDefault="0007139B" w:rsidP="004F0FD7">
            <w:pPr>
              <w:suppressAutoHyphens/>
              <w:autoSpaceDN w:val="0"/>
              <w:spacing w:before="0" w:after="0" w:line="240" w:lineRule="auto"/>
              <w:textAlignment w:val="baseline"/>
              <w:rPr>
                <w:rFonts w:eastAsia="Calibri" w:cs="Arial"/>
                <w:b/>
                <w:color w:val="000000"/>
                <w:kern w:val="3"/>
                <w:szCs w:val="24"/>
                <w:lang w:val="sr-Latn-ME" w:eastAsia="zh-CN"/>
              </w:rPr>
            </w:pPr>
          </w:p>
          <w:p w:rsidR="0007139B" w:rsidRPr="00E8697F" w:rsidRDefault="0007139B" w:rsidP="004F0FD7">
            <w:pPr>
              <w:suppressAutoHyphens/>
              <w:autoSpaceDN w:val="0"/>
              <w:spacing w:before="0" w:after="0" w:line="240" w:lineRule="auto"/>
              <w:textAlignment w:val="baseline"/>
              <w:rPr>
                <w:rFonts w:eastAsia="Calibri" w:cs="Arial"/>
                <w:b/>
                <w:color w:val="000000"/>
                <w:kern w:val="3"/>
                <w:szCs w:val="24"/>
                <w:lang w:val="sr-Latn-ME" w:eastAsia="zh-CN"/>
              </w:rPr>
            </w:pPr>
          </w:p>
        </w:tc>
        <w:tc>
          <w:tcPr>
            <w:tcW w:w="6065" w:type="dxa"/>
          </w:tcPr>
          <w:p w:rsidR="004F0FD7" w:rsidRPr="001640A4" w:rsidRDefault="0007139B" w:rsidP="00D6590D">
            <w:pPr>
              <w:spacing w:before="0" w:after="0" w:line="240" w:lineRule="auto"/>
              <w:rPr>
                <w:rFonts w:eastAsia="Calibri" w:cs="Times New Roman"/>
                <w:bCs/>
                <w:color w:val="000000"/>
                <w:sz w:val="22"/>
                <w:lang w:val="sr-Latn-ME"/>
              </w:rPr>
            </w:pPr>
            <w:r w:rsidRPr="001640A4">
              <w:rPr>
                <w:rFonts w:eastAsia="Calibri" w:cs="Times New Roman"/>
                <w:bCs/>
                <w:color w:val="000000"/>
                <w:sz w:val="22"/>
                <w:lang w:val="sr-Latn-ME"/>
              </w:rPr>
              <w:lastRenderedPageBreak/>
              <w:t>Predlog Zakona o izmjenama i dopunama Zakona o porezu na dobit pravni</w:t>
            </w:r>
            <w:r w:rsidR="00F40609" w:rsidRPr="001640A4">
              <w:rPr>
                <w:rFonts w:eastAsia="Calibri" w:cs="Times New Roman"/>
                <w:bCs/>
                <w:color w:val="000000"/>
                <w:sz w:val="22"/>
                <w:lang w:val="sr-Latn-ME"/>
              </w:rPr>
              <w:t>h lica, sa tabelom usklađenosti</w:t>
            </w:r>
            <w:r w:rsidRPr="001640A4">
              <w:rPr>
                <w:rFonts w:eastAsia="Calibri" w:cs="Times New Roman"/>
                <w:bCs/>
                <w:color w:val="000000"/>
                <w:sz w:val="22"/>
                <w:lang w:val="sr-Latn-ME"/>
              </w:rPr>
              <w:t xml:space="preserve"> i odgovarajućom pratećom dokumentacijom, upućen je posredstvom kancelarije za </w:t>
            </w:r>
            <w:r w:rsidRPr="001640A4">
              <w:rPr>
                <w:rFonts w:eastAsia="Calibri" w:cs="Times New Roman"/>
                <w:bCs/>
                <w:color w:val="000000"/>
                <w:sz w:val="22"/>
                <w:lang w:val="sr-Latn-ME"/>
              </w:rPr>
              <w:lastRenderedPageBreak/>
              <w:t>evropske integracije EK u Briselu u martu 2020. godine. Mišljenja Agencije za zaštitu konkurencije, Ministarstva Pravde,  Ministarstva javne uprave su  dobijena, ali budući da su starija od šest mjeseci, ova mišljenja moraju biti obnovljena. Mišljenje Sekretarijata za zakonodavstvo je stiglo u martu mjesecu 2021. godine. Komentari predstavnika EK su stigli tek krajem decembra 2020. godine, nakon niza urgencija koje je ovo ministarstvo uputilo, posredstvom kancelarije za evropske integracije. Predstavnici EK su istakli da su saglasni sa tekstom Predloga Zakona o izmjenama i dopunama Zakona o porezu na dobit pravnih lica, i Kancelarija za evropske integracije treba da  dostavi mišljenje na Predlog zakona.</w:t>
            </w:r>
          </w:p>
        </w:tc>
      </w:tr>
      <w:tr w:rsidR="00C970B1" w:rsidRPr="004F0FD7" w:rsidTr="004F0FD7">
        <w:trPr>
          <w:trHeight w:val="120"/>
        </w:trPr>
        <w:tc>
          <w:tcPr>
            <w:tcW w:w="2963" w:type="dxa"/>
          </w:tcPr>
          <w:p w:rsidR="00C970B1" w:rsidRPr="00E8697F" w:rsidRDefault="00C970B1" w:rsidP="00D6590D">
            <w:pPr>
              <w:suppressAutoHyphens/>
              <w:autoSpaceDN w:val="0"/>
              <w:spacing w:before="0" w:after="0" w:line="240" w:lineRule="auto"/>
              <w:textAlignment w:val="baseline"/>
              <w:rPr>
                <w:rFonts w:eastAsia="Calibri" w:cs="Arial"/>
                <w:b/>
                <w:color w:val="000000"/>
                <w:kern w:val="3"/>
                <w:szCs w:val="24"/>
                <w:lang w:val="sr-Latn-ME" w:eastAsia="zh-CN"/>
              </w:rPr>
            </w:pPr>
            <w:r w:rsidRPr="00E8697F">
              <w:rPr>
                <w:rFonts w:eastAsia="Calibri" w:cs="Arial"/>
                <w:b/>
                <w:color w:val="000000"/>
                <w:kern w:val="3"/>
                <w:szCs w:val="24"/>
                <w:lang w:val="sr-Latn-ME" w:eastAsia="zh-CN"/>
              </w:rPr>
              <w:lastRenderedPageBreak/>
              <w:t>Predlog Carinskog zakona</w:t>
            </w:r>
          </w:p>
          <w:p w:rsidR="00C970B1" w:rsidRPr="00E8697F" w:rsidRDefault="00C970B1" w:rsidP="00D6590D">
            <w:pPr>
              <w:suppressAutoHyphens/>
              <w:autoSpaceDN w:val="0"/>
              <w:spacing w:before="0" w:after="0" w:line="240" w:lineRule="auto"/>
              <w:textAlignment w:val="baseline"/>
              <w:rPr>
                <w:rFonts w:eastAsia="Calibri" w:cs="Arial"/>
                <w:b/>
                <w:color w:val="000000"/>
                <w:kern w:val="3"/>
                <w:szCs w:val="24"/>
                <w:lang w:val="sr-Latn-ME" w:eastAsia="zh-CN"/>
              </w:rPr>
            </w:pPr>
          </w:p>
          <w:p w:rsidR="00C970B1" w:rsidRPr="00E8697F" w:rsidRDefault="00C970B1" w:rsidP="00D6590D">
            <w:pPr>
              <w:suppressAutoHyphens/>
              <w:autoSpaceDN w:val="0"/>
              <w:spacing w:before="0" w:after="0" w:line="240" w:lineRule="auto"/>
              <w:textAlignment w:val="baseline"/>
              <w:rPr>
                <w:rFonts w:eastAsia="Calibri" w:cs="Arial"/>
                <w:b/>
                <w:color w:val="000000"/>
                <w:kern w:val="3"/>
                <w:szCs w:val="24"/>
                <w:lang w:val="sr-Latn-ME" w:eastAsia="zh-CN"/>
              </w:rPr>
            </w:pPr>
            <w:r w:rsidRPr="00E8697F">
              <w:rPr>
                <w:rFonts w:eastAsia="Calibri" w:cs="Arial"/>
                <w:b/>
                <w:color w:val="000000"/>
                <w:kern w:val="3"/>
                <w:szCs w:val="24"/>
                <w:lang w:val="sr-Latn-ME" w:eastAsia="zh-CN"/>
              </w:rPr>
              <w:t>IV kvartal</w:t>
            </w:r>
          </w:p>
        </w:tc>
        <w:tc>
          <w:tcPr>
            <w:tcW w:w="6065" w:type="dxa"/>
          </w:tcPr>
          <w:p w:rsidR="00C970B1" w:rsidRPr="001640A4" w:rsidRDefault="00C970B1" w:rsidP="00D6590D">
            <w:pPr>
              <w:spacing w:before="0" w:after="0" w:line="240" w:lineRule="auto"/>
              <w:rPr>
                <w:rFonts w:eastAsia="Calibri" w:cs="Times New Roman"/>
                <w:bCs/>
                <w:color w:val="000000"/>
                <w:sz w:val="22"/>
                <w:lang w:val="sr-Latn-ME"/>
              </w:rPr>
            </w:pPr>
            <w:r w:rsidRPr="001640A4">
              <w:rPr>
                <w:rFonts w:eastAsia="Calibri" w:cs="Times New Roman"/>
                <w:bCs/>
                <w:color w:val="000000"/>
                <w:sz w:val="22"/>
                <w:lang w:val="sr-Latn-ME"/>
              </w:rPr>
              <w:t>Urađen je predlog Zakona koji je usaglašen sa pravno-tehničkim pravilima Sekretarijata za zakonodavstvo (SZZ). Izrada ovog zakona zahtijeva potpuno usaglašavanje sa pravnom tekovinom Evropske unije koja se tiče oblasti carina. S tim u vezi, pojedina zakonska rješenja nijesu bila prihvatljiva sa aspekta strogo definisanih pravnih i tehničkih pravila, odnosno zahtjeva Sekretarijata za zakonodavstvo. Kako je Radna grupa za pripremu Predloga Carinskog zakona brojala oko 30 članova (Ministarstvo finansija i socijalnog staranja, Uprava carina, privatni sektor...) postojao je veliki broj komentara koje je trebalo usaglasiti. Zadatak Radne grupe je da pripremi Predlog Carinskog zakona koji će biti usklađen sa Carinskim zakonom Evropske unije (Regulativa EU broj 952/2013 Evropskog parlamenta i Savjeta kojom se utvrđuje Carinski zakon Unije). Rad je organizovan kroz uspostavljanje timova za posebne oblasti kojima koordinišu članovi Radne grupe iz Ministarstva finansija i socijalnog staranja, iz Direkcije za carinski sistem i carinsku politiku. Preduzeti su svi potrebni koraci u procesu konsultacija sa privrednom zajednicom, NVO sektorom i drugim zainteresovanim stranama. Imajući u vidu da se javna rasprava održala dostavljanjem primjedbi, predloga i sugestija od strane Odbora udruženja špeditera Privredne komore, u pripremi Izvještaja sa sprovedene javne rasprave su učestvovali predstavnici Ministarstva finansija i socijalnog staranja i Uprave carina, koji su članovi Radne grupe za izradu ovog propisa. Predstavnici SZZ-a, iako zvanično pozvani, nijesu bili članovi Radne grupe. To je dodatno usporilo proces, jer su se naknadno upoznali sa tekstom ovog obimnog propisa. Povodom kašnjenja, treba pomenuti i uslove rada, odnosno otežane uslove za komunikaciju velikog broja članova RG.  Predlog Carinskog zakona je početkom marta o.g., preko Kancelarije za evropske integracije, upućen Evropskoj komisiji na razmatranje.</w:t>
            </w:r>
          </w:p>
        </w:tc>
      </w:tr>
      <w:tr w:rsidR="00C970B1" w:rsidRPr="004F0FD7" w:rsidTr="004F0FD7">
        <w:trPr>
          <w:trHeight w:val="120"/>
        </w:trPr>
        <w:tc>
          <w:tcPr>
            <w:tcW w:w="2963" w:type="dxa"/>
          </w:tcPr>
          <w:p w:rsidR="00C970B1" w:rsidRPr="00E8697F" w:rsidRDefault="0028250E" w:rsidP="009C30BF">
            <w:pPr>
              <w:suppressAutoHyphens/>
              <w:autoSpaceDN w:val="0"/>
              <w:spacing w:before="0" w:after="0" w:line="240" w:lineRule="auto"/>
              <w:jc w:val="left"/>
              <w:textAlignment w:val="baseline"/>
              <w:rPr>
                <w:rFonts w:eastAsia="Calibri" w:cs="Arial"/>
                <w:b/>
                <w:color w:val="000000"/>
                <w:kern w:val="3"/>
                <w:szCs w:val="24"/>
                <w:lang w:val="sr-Latn-ME" w:eastAsia="zh-CN"/>
              </w:rPr>
            </w:pPr>
            <w:r w:rsidRPr="00E8697F">
              <w:rPr>
                <w:rFonts w:eastAsia="Calibri" w:cs="Arial"/>
                <w:b/>
                <w:color w:val="000000"/>
                <w:kern w:val="3"/>
                <w:szCs w:val="24"/>
                <w:lang w:val="sr-Latn-ME" w:eastAsia="zh-CN"/>
              </w:rPr>
              <w:t>Predlog Zakona o računovodstvu</w:t>
            </w:r>
          </w:p>
          <w:p w:rsidR="0028250E" w:rsidRPr="00E8697F" w:rsidRDefault="0028250E" w:rsidP="004F0FD7">
            <w:pPr>
              <w:suppressAutoHyphens/>
              <w:autoSpaceDN w:val="0"/>
              <w:spacing w:before="0" w:after="0" w:line="240" w:lineRule="auto"/>
              <w:textAlignment w:val="baseline"/>
              <w:rPr>
                <w:rFonts w:eastAsia="Calibri" w:cs="Arial"/>
                <w:b/>
                <w:color w:val="000000"/>
                <w:kern w:val="3"/>
                <w:szCs w:val="24"/>
                <w:lang w:val="sr-Latn-ME" w:eastAsia="zh-CN"/>
              </w:rPr>
            </w:pPr>
          </w:p>
          <w:p w:rsidR="0028250E" w:rsidRPr="00E8697F" w:rsidRDefault="0028250E" w:rsidP="004F0FD7">
            <w:pPr>
              <w:suppressAutoHyphens/>
              <w:autoSpaceDN w:val="0"/>
              <w:spacing w:before="0" w:after="0" w:line="240" w:lineRule="auto"/>
              <w:textAlignment w:val="baseline"/>
              <w:rPr>
                <w:rFonts w:eastAsia="Calibri" w:cs="Arial"/>
                <w:b/>
                <w:color w:val="000000"/>
                <w:kern w:val="3"/>
                <w:szCs w:val="24"/>
                <w:lang w:val="sr-Latn-ME" w:eastAsia="zh-CN"/>
              </w:rPr>
            </w:pPr>
            <w:r w:rsidRPr="00E8697F">
              <w:rPr>
                <w:rFonts w:eastAsia="Calibri" w:cs="Arial"/>
                <w:b/>
                <w:color w:val="000000"/>
                <w:kern w:val="3"/>
                <w:szCs w:val="24"/>
                <w:lang w:val="sr-Latn-ME" w:eastAsia="zh-CN"/>
              </w:rPr>
              <w:t>IV kvartal</w:t>
            </w:r>
          </w:p>
        </w:tc>
        <w:tc>
          <w:tcPr>
            <w:tcW w:w="6065" w:type="dxa"/>
          </w:tcPr>
          <w:p w:rsidR="00C970B1" w:rsidRPr="001640A4" w:rsidRDefault="0028250E" w:rsidP="00D6590D">
            <w:pPr>
              <w:spacing w:before="0" w:after="0" w:line="240" w:lineRule="auto"/>
              <w:rPr>
                <w:rFonts w:eastAsia="Calibri" w:cs="Times New Roman"/>
                <w:bCs/>
                <w:color w:val="000000"/>
                <w:sz w:val="22"/>
                <w:lang w:val="sr-Latn-ME"/>
              </w:rPr>
            </w:pPr>
            <w:r w:rsidRPr="001640A4">
              <w:rPr>
                <w:rFonts w:eastAsia="Calibri" w:cs="Times New Roman"/>
                <w:bCs/>
                <w:color w:val="000000"/>
                <w:sz w:val="22"/>
                <w:lang w:val="sr-Latn-ME"/>
              </w:rPr>
              <w:t>Vlada Crne Gore je na sjednici održanoj 14.05.2020. godine utvrdila Predlog Zakona o računovodstvu, koji je upućen Skupštini Crne Gore radi stavljanja u proceduru. Skupština Crne Gore, u novom sazivu, je vratila Predlog Zakon</w:t>
            </w:r>
            <w:r w:rsidR="00F40609" w:rsidRPr="001640A4">
              <w:rPr>
                <w:rFonts w:eastAsia="Calibri" w:cs="Times New Roman"/>
                <w:bCs/>
                <w:color w:val="000000"/>
                <w:sz w:val="22"/>
                <w:lang w:val="sr-Latn-ME"/>
              </w:rPr>
              <w:t>a</w:t>
            </w:r>
            <w:r w:rsidRPr="001640A4">
              <w:rPr>
                <w:rFonts w:eastAsia="Calibri" w:cs="Times New Roman"/>
                <w:bCs/>
                <w:color w:val="000000"/>
                <w:sz w:val="22"/>
                <w:lang w:val="sr-Latn-ME"/>
              </w:rPr>
              <w:t xml:space="preserve"> o računovodstvu Vladi Crne Gore na ponovno utvrđivanje.</w:t>
            </w:r>
          </w:p>
        </w:tc>
      </w:tr>
      <w:tr w:rsidR="00202A1E" w:rsidRPr="004F0FD7" w:rsidTr="004F0FD7">
        <w:trPr>
          <w:trHeight w:val="120"/>
        </w:trPr>
        <w:tc>
          <w:tcPr>
            <w:tcW w:w="2963" w:type="dxa"/>
          </w:tcPr>
          <w:p w:rsidR="00202A1E" w:rsidRPr="00E8697F" w:rsidRDefault="00202A1E" w:rsidP="009C30BF">
            <w:pPr>
              <w:suppressAutoHyphens/>
              <w:autoSpaceDN w:val="0"/>
              <w:spacing w:before="0" w:after="0" w:line="240" w:lineRule="auto"/>
              <w:jc w:val="left"/>
              <w:textAlignment w:val="baseline"/>
              <w:rPr>
                <w:rFonts w:eastAsia="Calibri" w:cs="Arial"/>
                <w:b/>
                <w:color w:val="000000"/>
                <w:kern w:val="3"/>
                <w:szCs w:val="24"/>
                <w:lang w:val="sr-Latn-ME" w:eastAsia="zh-CN"/>
              </w:rPr>
            </w:pPr>
            <w:r w:rsidRPr="00E8697F">
              <w:rPr>
                <w:rFonts w:eastAsia="Calibri" w:cs="Arial"/>
                <w:b/>
                <w:color w:val="000000"/>
                <w:kern w:val="3"/>
                <w:szCs w:val="24"/>
                <w:lang w:val="sr-Latn-ME" w:eastAsia="zh-CN"/>
              </w:rPr>
              <w:t>Strategija za unaprjeđenje politike javnih nabavki i javno-privatnog partnerstva za period 2021-</w:t>
            </w:r>
            <w:r w:rsidRPr="00E8697F">
              <w:rPr>
                <w:rFonts w:eastAsia="Calibri" w:cs="Arial"/>
                <w:b/>
                <w:color w:val="000000"/>
                <w:kern w:val="3"/>
                <w:szCs w:val="24"/>
                <w:lang w:val="sr-Latn-ME" w:eastAsia="zh-CN"/>
              </w:rPr>
              <w:lastRenderedPageBreak/>
              <w:t>2024. godine s Akcionim planom za 2021. godinu</w:t>
            </w:r>
          </w:p>
          <w:p w:rsidR="00202A1E" w:rsidRPr="00E8697F" w:rsidRDefault="00202A1E" w:rsidP="009C30BF">
            <w:pPr>
              <w:suppressAutoHyphens/>
              <w:autoSpaceDN w:val="0"/>
              <w:spacing w:before="0" w:after="0" w:line="240" w:lineRule="auto"/>
              <w:jc w:val="left"/>
              <w:textAlignment w:val="baseline"/>
              <w:rPr>
                <w:rFonts w:eastAsia="Calibri" w:cs="Arial"/>
                <w:b/>
                <w:color w:val="000000"/>
                <w:kern w:val="3"/>
                <w:szCs w:val="24"/>
                <w:lang w:val="sr-Latn-ME" w:eastAsia="zh-CN"/>
              </w:rPr>
            </w:pPr>
            <w:r w:rsidRPr="00E8697F">
              <w:rPr>
                <w:rFonts w:eastAsia="Calibri" w:cs="Arial"/>
                <w:b/>
                <w:color w:val="000000"/>
                <w:kern w:val="3"/>
                <w:szCs w:val="24"/>
                <w:lang w:val="sr-Latn-ME" w:eastAsia="zh-CN"/>
              </w:rPr>
              <w:t>IV kvartal</w:t>
            </w:r>
          </w:p>
        </w:tc>
        <w:tc>
          <w:tcPr>
            <w:tcW w:w="6065" w:type="dxa"/>
          </w:tcPr>
          <w:p w:rsidR="00202A1E" w:rsidRPr="001640A4" w:rsidRDefault="00202A1E" w:rsidP="0079448C">
            <w:pPr>
              <w:spacing w:line="240" w:lineRule="auto"/>
              <w:rPr>
                <w:rFonts w:eastAsia="Calibri" w:cs="Times New Roman"/>
                <w:bCs/>
                <w:color w:val="000000"/>
                <w:sz w:val="22"/>
                <w:lang w:val="sr-Latn-ME"/>
              </w:rPr>
            </w:pPr>
            <w:r w:rsidRPr="001640A4">
              <w:rPr>
                <w:rFonts w:eastAsia="Calibri" w:cs="Times New Roman"/>
                <w:bCs/>
                <w:color w:val="000000"/>
                <w:sz w:val="22"/>
                <w:lang w:val="sr-Latn-ME"/>
              </w:rPr>
              <w:lastRenderedPageBreak/>
              <w:t xml:space="preserve">Realizacija </w:t>
            </w:r>
            <w:r w:rsidR="006049CE" w:rsidRPr="001640A4">
              <w:rPr>
                <w:rFonts w:eastAsia="Calibri" w:cs="Times New Roman"/>
                <w:bCs/>
                <w:color w:val="000000"/>
                <w:sz w:val="22"/>
                <w:lang w:val="sr-Latn-ME"/>
              </w:rPr>
              <w:t xml:space="preserve">ove aktivnosti </w:t>
            </w:r>
            <w:r w:rsidR="0079448C" w:rsidRPr="001640A4">
              <w:rPr>
                <w:rFonts w:eastAsia="Calibri" w:cs="Times New Roman"/>
                <w:bCs/>
                <w:color w:val="000000"/>
                <w:sz w:val="22"/>
                <w:lang w:val="sr-Latn-ME"/>
              </w:rPr>
              <w:t>planirana</w:t>
            </w:r>
            <w:r w:rsidR="006049CE" w:rsidRPr="001640A4">
              <w:rPr>
                <w:rFonts w:eastAsia="Calibri" w:cs="Times New Roman"/>
                <w:bCs/>
                <w:color w:val="000000"/>
                <w:sz w:val="22"/>
                <w:lang w:val="sr-Latn-ME"/>
              </w:rPr>
              <w:t xml:space="preserve"> je </w:t>
            </w:r>
            <w:r w:rsidR="003B1D60" w:rsidRPr="001640A4">
              <w:rPr>
                <w:rFonts w:eastAsia="Calibri" w:cs="Times New Roman"/>
                <w:bCs/>
                <w:color w:val="000000"/>
                <w:sz w:val="22"/>
                <w:lang w:val="sr-Latn-ME"/>
              </w:rPr>
              <w:t xml:space="preserve">Programom rada Vlade </w:t>
            </w:r>
            <w:r w:rsidR="006049CE" w:rsidRPr="001640A4">
              <w:rPr>
                <w:rFonts w:eastAsia="Calibri" w:cs="Times New Roman"/>
                <w:bCs/>
                <w:color w:val="000000"/>
                <w:sz w:val="22"/>
                <w:lang w:val="sr-Latn-ME"/>
              </w:rPr>
              <w:t>za</w:t>
            </w:r>
            <w:r w:rsidRPr="001640A4">
              <w:rPr>
                <w:rFonts w:eastAsia="Calibri" w:cs="Times New Roman"/>
                <w:bCs/>
                <w:color w:val="000000"/>
                <w:sz w:val="22"/>
                <w:lang w:val="sr-Latn-ME"/>
              </w:rPr>
              <w:t xml:space="preserve"> 2021. godinu.</w:t>
            </w:r>
          </w:p>
          <w:tbl>
            <w:tblPr>
              <w:tblW w:w="0" w:type="auto"/>
              <w:tblBorders>
                <w:top w:val="nil"/>
                <w:left w:val="nil"/>
                <w:bottom w:val="nil"/>
                <w:right w:val="nil"/>
              </w:tblBorders>
              <w:tblLook w:val="0000" w:firstRow="0" w:lastRow="0" w:firstColumn="0" w:lastColumn="0" w:noHBand="0" w:noVBand="0"/>
            </w:tblPr>
            <w:tblGrid>
              <w:gridCol w:w="222"/>
            </w:tblGrid>
            <w:tr w:rsidR="003B1D60" w:rsidRPr="001640A4">
              <w:trPr>
                <w:trHeight w:val="436"/>
              </w:trPr>
              <w:tc>
                <w:tcPr>
                  <w:tcW w:w="0" w:type="auto"/>
                </w:tcPr>
                <w:p w:rsidR="003B1D60" w:rsidRPr="001640A4" w:rsidRDefault="003B1D60" w:rsidP="003B1D60">
                  <w:pPr>
                    <w:spacing w:line="240" w:lineRule="auto"/>
                    <w:rPr>
                      <w:rFonts w:eastAsia="Calibri" w:cs="Times New Roman"/>
                      <w:bCs/>
                      <w:color w:val="000000"/>
                      <w:sz w:val="22"/>
                    </w:rPr>
                  </w:pPr>
                </w:p>
              </w:tc>
            </w:tr>
          </w:tbl>
          <w:p w:rsidR="003B1D60" w:rsidRPr="001640A4" w:rsidRDefault="003B1D60" w:rsidP="0079448C">
            <w:pPr>
              <w:spacing w:line="240" w:lineRule="auto"/>
              <w:rPr>
                <w:rFonts w:eastAsia="Calibri" w:cs="Times New Roman"/>
                <w:bCs/>
                <w:color w:val="000000"/>
                <w:sz w:val="22"/>
                <w:lang w:val="sr-Latn-ME"/>
              </w:rPr>
            </w:pPr>
          </w:p>
        </w:tc>
      </w:tr>
      <w:tr w:rsidR="00EE7F90" w:rsidRPr="004F0FD7" w:rsidTr="004F0FD7">
        <w:trPr>
          <w:trHeight w:val="120"/>
        </w:trPr>
        <w:tc>
          <w:tcPr>
            <w:tcW w:w="2963" w:type="dxa"/>
          </w:tcPr>
          <w:p w:rsidR="00EE7F90" w:rsidRPr="00E8697F" w:rsidRDefault="00EE7F90" w:rsidP="009C30BF">
            <w:pPr>
              <w:suppressAutoHyphens/>
              <w:autoSpaceDN w:val="0"/>
              <w:spacing w:before="0" w:after="0" w:line="240" w:lineRule="auto"/>
              <w:jc w:val="left"/>
              <w:textAlignment w:val="baseline"/>
              <w:rPr>
                <w:rFonts w:eastAsia="Calibri" w:cs="Arial"/>
                <w:b/>
                <w:color w:val="000000"/>
                <w:kern w:val="3"/>
                <w:szCs w:val="24"/>
                <w:lang w:val="sr-Latn-ME" w:eastAsia="zh-CN"/>
              </w:rPr>
            </w:pPr>
            <w:r w:rsidRPr="00E8697F">
              <w:rPr>
                <w:rFonts w:eastAsia="Calibri" w:cs="Arial"/>
                <w:b/>
                <w:color w:val="000000"/>
                <w:kern w:val="3"/>
                <w:szCs w:val="24"/>
                <w:lang w:val="sr-Latn-ME" w:eastAsia="zh-CN"/>
              </w:rPr>
              <w:lastRenderedPageBreak/>
              <w:t>Predlog Zakona o izmjenama i dopunama Zakona o državnom premjeru i katastru nepokretnosti</w:t>
            </w:r>
          </w:p>
          <w:p w:rsidR="00EE7F90" w:rsidRPr="00E8697F" w:rsidRDefault="00EE7F90" w:rsidP="009C30BF">
            <w:pPr>
              <w:suppressAutoHyphens/>
              <w:autoSpaceDN w:val="0"/>
              <w:spacing w:before="0" w:after="0" w:line="240" w:lineRule="auto"/>
              <w:jc w:val="left"/>
              <w:textAlignment w:val="baseline"/>
              <w:rPr>
                <w:rFonts w:eastAsia="Calibri" w:cs="Arial"/>
                <w:b/>
                <w:color w:val="000000"/>
                <w:kern w:val="3"/>
                <w:szCs w:val="24"/>
                <w:lang w:val="sr-Latn-ME" w:eastAsia="zh-CN"/>
              </w:rPr>
            </w:pPr>
            <w:r w:rsidRPr="00E8697F">
              <w:rPr>
                <w:rFonts w:eastAsia="Calibri" w:cs="Arial"/>
                <w:b/>
                <w:color w:val="000000"/>
                <w:kern w:val="3"/>
                <w:szCs w:val="24"/>
                <w:lang w:val="sr-Latn-ME" w:eastAsia="zh-CN"/>
              </w:rPr>
              <w:t>II kvartal</w:t>
            </w:r>
          </w:p>
        </w:tc>
        <w:tc>
          <w:tcPr>
            <w:tcW w:w="6065" w:type="dxa"/>
          </w:tcPr>
          <w:p w:rsidR="00EE5BF3" w:rsidRPr="001640A4" w:rsidRDefault="00EE5BF3" w:rsidP="00EE5BF3">
            <w:pPr>
              <w:spacing w:line="240" w:lineRule="auto"/>
              <w:rPr>
                <w:rFonts w:eastAsia="Calibri" w:cs="Times New Roman"/>
                <w:bCs/>
                <w:color w:val="000000"/>
                <w:sz w:val="22"/>
                <w:lang w:val="sr-Latn-ME"/>
              </w:rPr>
            </w:pPr>
            <w:r w:rsidRPr="001640A4">
              <w:rPr>
                <w:rFonts w:eastAsia="Calibri" w:cs="Times New Roman"/>
                <w:bCs/>
                <w:color w:val="000000"/>
                <w:sz w:val="22"/>
                <w:lang w:val="sr-Latn-ME"/>
              </w:rPr>
              <w:t>Realizacija ove aktivnosti planirana je Programom rada Vlade za 2021. godinu.</w:t>
            </w:r>
          </w:p>
          <w:p w:rsidR="00EE7F90" w:rsidRPr="001640A4" w:rsidRDefault="00EE7F90" w:rsidP="006049CE">
            <w:pPr>
              <w:spacing w:line="240" w:lineRule="auto"/>
              <w:rPr>
                <w:rFonts w:eastAsia="Calibri" w:cs="Times New Roman"/>
                <w:bCs/>
                <w:color w:val="000000"/>
                <w:sz w:val="22"/>
                <w:highlight w:val="yellow"/>
                <w:lang w:val="sr-Latn-ME"/>
              </w:rPr>
            </w:pPr>
          </w:p>
        </w:tc>
      </w:tr>
      <w:tr w:rsidR="00DE1984" w:rsidRPr="004F0FD7" w:rsidTr="004F0FD7">
        <w:trPr>
          <w:trHeight w:val="120"/>
        </w:trPr>
        <w:tc>
          <w:tcPr>
            <w:tcW w:w="2963" w:type="dxa"/>
          </w:tcPr>
          <w:p w:rsidR="00DE1984" w:rsidRPr="00E8697F" w:rsidRDefault="00DE1984" w:rsidP="00DE1984">
            <w:pPr>
              <w:suppressAutoHyphens/>
              <w:autoSpaceDN w:val="0"/>
              <w:spacing w:before="0" w:after="0" w:line="240" w:lineRule="auto"/>
              <w:textAlignment w:val="baseline"/>
              <w:rPr>
                <w:rFonts w:eastAsia="Calibri" w:cs="Arial"/>
                <w:b/>
                <w:color w:val="000000"/>
                <w:kern w:val="3"/>
                <w:szCs w:val="24"/>
                <w:lang w:val="sr-Latn-ME" w:eastAsia="zh-CN"/>
              </w:rPr>
            </w:pPr>
            <w:r w:rsidRPr="00E8697F">
              <w:rPr>
                <w:rFonts w:eastAsia="Calibri" w:cs="Arial"/>
                <w:b/>
                <w:color w:val="000000"/>
                <w:kern w:val="3"/>
                <w:szCs w:val="24"/>
                <w:lang w:val="sr-Latn-ME" w:eastAsia="zh-CN"/>
              </w:rPr>
              <w:t>Predlog zakona o završnom računu budžeta Crne Gore za 2019. godinu</w:t>
            </w:r>
          </w:p>
          <w:p w:rsidR="00DE1984" w:rsidRPr="00E8697F" w:rsidRDefault="00DE1984" w:rsidP="00DE1984">
            <w:pPr>
              <w:suppressAutoHyphens/>
              <w:autoSpaceDN w:val="0"/>
              <w:spacing w:before="0" w:after="0" w:line="240" w:lineRule="auto"/>
              <w:textAlignment w:val="baseline"/>
              <w:rPr>
                <w:rFonts w:eastAsia="Calibri" w:cs="Arial"/>
                <w:b/>
                <w:color w:val="000000"/>
                <w:kern w:val="3"/>
                <w:szCs w:val="24"/>
                <w:lang w:val="sr-Latn-ME" w:eastAsia="zh-CN"/>
              </w:rPr>
            </w:pPr>
            <w:r w:rsidRPr="00E8697F">
              <w:rPr>
                <w:rFonts w:eastAsia="Calibri" w:cs="Arial"/>
                <w:b/>
                <w:color w:val="000000"/>
                <w:kern w:val="3"/>
                <w:szCs w:val="24"/>
                <w:lang w:val="sr-Latn-ME" w:eastAsia="zh-CN"/>
              </w:rPr>
              <w:t>II kvartal</w:t>
            </w:r>
          </w:p>
        </w:tc>
        <w:tc>
          <w:tcPr>
            <w:tcW w:w="6065" w:type="dxa"/>
          </w:tcPr>
          <w:p w:rsidR="00DE1984" w:rsidRDefault="00DE1984" w:rsidP="00D6590D">
            <w:pPr>
              <w:spacing w:before="0" w:after="0" w:line="240" w:lineRule="auto"/>
              <w:rPr>
                <w:rFonts w:eastAsia="Calibri" w:cs="Times New Roman"/>
                <w:bCs/>
                <w:color w:val="000000"/>
                <w:sz w:val="22"/>
                <w:lang w:val="sr-Latn-ME"/>
              </w:rPr>
            </w:pPr>
            <w:r w:rsidRPr="00EA0DF4">
              <w:rPr>
                <w:rFonts w:eastAsia="Calibri" w:cs="Times New Roman"/>
                <w:bCs/>
                <w:color w:val="000000"/>
                <w:sz w:val="22"/>
                <w:lang w:val="sr-Latn-ME"/>
              </w:rPr>
              <w:t>U skladu sa Porgramom rada V</w:t>
            </w:r>
            <w:r w:rsidR="00EA0DF4" w:rsidRPr="00EA0DF4">
              <w:rPr>
                <w:rFonts w:eastAsia="Calibri" w:cs="Times New Roman"/>
                <w:bCs/>
                <w:color w:val="000000"/>
                <w:sz w:val="22"/>
                <w:lang w:val="sr-Latn-ME"/>
              </w:rPr>
              <w:t>lade za 2020. godinu pripreman</w:t>
            </w:r>
            <w:r w:rsidRPr="00EA0DF4">
              <w:rPr>
                <w:rFonts w:eastAsia="Calibri" w:cs="Times New Roman"/>
                <w:bCs/>
                <w:color w:val="000000"/>
                <w:sz w:val="22"/>
                <w:lang w:val="sr-Latn-ME"/>
              </w:rPr>
              <w:t xml:space="preserve"> je Predlog Zakona o završnom računu budžeta za 2019. godinu, međutim realizacija ove aktivnosti odložena je za 2021. godinu.</w:t>
            </w:r>
          </w:p>
          <w:p w:rsidR="004F08D7" w:rsidRPr="001640A4" w:rsidRDefault="004F08D7" w:rsidP="004F08D7">
            <w:pPr>
              <w:spacing w:before="0" w:after="0" w:line="240" w:lineRule="auto"/>
              <w:rPr>
                <w:rFonts w:eastAsia="Calibri" w:cs="Times New Roman"/>
                <w:bCs/>
                <w:color w:val="000000"/>
                <w:sz w:val="22"/>
                <w:lang w:val="sr-Latn-ME"/>
              </w:rPr>
            </w:pPr>
            <w:r w:rsidRPr="001640A4">
              <w:rPr>
                <w:rFonts w:eastAsia="Calibri" w:cs="Times New Roman"/>
                <w:bCs/>
                <w:color w:val="000000"/>
                <w:sz w:val="22"/>
                <w:lang w:val="sr-Latn-ME"/>
              </w:rPr>
              <w:t xml:space="preserve">Vlada  CG </w:t>
            </w:r>
            <w:r>
              <w:rPr>
                <w:rFonts w:eastAsia="Calibri" w:cs="Times New Roman"/>
                <w:bCs/>
                <w:color w:val="000000"/>
                <w:sz w:val="22"/>
                <w:lang w:val="sr-Latn-ME"/>
              </w:rPr>
              <w:t xml:space="preserve">je </w:t>
            </w:r>
            <w:r w:rsidRPr="001640A4">
              <w:rPr>
                <w:rFonts w:eastAsia="Calibri" w:cs="Times New Roman"/>
                <w:bCs/>
                <w:color w:val="000000"/>
                <w:sz w:val="22"/>
                <w:lang w:val="sr-Latn-ME"/>
              </w:rPr>
              <w:t xml:space="preserve">usvojila Predlog </w:t>
            </w:r>
            <w:r>
              <w:rPr>
                <w:rFonts w:eastAsia="Calibri" w:cs="Times New Roman"/>
                <w:bCs/>
                <w:color w:val="000000"/>
                <w:sz w:val="22"/>
                <w:lang w:val="sr-Latn-ME"/>
              </w:rPr>
              <w:t>Zakona i</w:t>
            </w:r>
            <w:r w:rsidRPr="001640A4">
              <w:rPr>
                <w:rFonts w:eastAsia="Calibri" w:cs="Times New Roman"/>
                <w:bCs/>
                <w:color w:val="000000"/>
                <w:sz w:val="22"/>
                <w:lang w:val="sr-Latn-ME"/>
              </w:rPr>
              <w:t xml:space="preserve"> nalazi </w:t>
            </w:r>
            <w:r>
              <w:rPr>
                <w:rFonts w:eastAsia="Calibri" w:cs="Times New Roman"/>
                <w:bCs/>
                <w:color w:val="000000"/>
                <w:sz w:val="22"/>
                <w:lang w:val="sr-Latn-ME"/>
              </w:rPr>
              <w:t xml:space="preserve">se </w:t>
            </w:r>
            <w:r w:rsidRPr="001640A4">
              <w:rPr>
                <w:rFonts w:eastAsia="Calibri" w:cs="Times New Roman"/>
                <w:bCs/>
                <w:color w:val="000000"/>
                <w:sz w:val="22"/>
                <w:lang w:val="sr-Latn-ME"/>
              </w:rPr>
              <w:t>u Skupštinskoj proceduri.</w:t>
            </w:r>
          </w:p>
        </w:tc>
      </w:tr>
      <w:tr w:rsidR="00EE7F90" w:rsidRPr="004F0FD7" w:rsidTr="004F0FD7">
        <w:trPr>
          <w:trHeight w:val="120"/>
        </w:trPr>
        <w:tc>
          <w:tcPr>
            <w:tcW w:w="2963" w:type="dxa"/>
          </w:tcPr>
          <w:p w:rsidR="00EE7F90" w:rsidRPr="00E8697F" w:rsidRDefault="00EE7F90" w:rsidP="004F0FD7">
            <w:pPr>
              <w:suppressAutoHyphens/>
              <w:autoSpaceDN w:val="0"/>
              <w:spacing w:before="0" w:after="0" w:line="240" w:lineRule="auto"/>
              <w:textAlignment w:val="baseline"/>
              <w:rPr>
                <w:rFonts w:eastAsia="Calibri" w:cs="Arial"/>
                <w:b/>
                <w:color w:val="000000"/>
                <w:kern w:val="3"/>
                <w:szCs w:val="24"/>
                <w:lang w:val="sr-Latn-ME" w:eastAsia="zh-CN"/>
              </w:rPr>
            </w:pPr>
            <w:r w:rsidRPr="00E8697F">
              <w:rPr>
                <w:rFonts w:eastAsia="Calibri" w:cs="Arial"/>
                <w:b/>
                <w:color w:val="000000"/>
                <w:kern w:val="3"/>
                <w:szCs w:val="24"/>
                <w:lang w:val="sr-Latn-ME" w:eastAsia="zh-CN"/>
              </w:rPr>
              <w:t>Predlog zakona o budžetu Crne Gore za 2021. godinu</w:t>
            </w:r>
          </w:p>
          <w:p w:rsidR="00EE7F90" w:rsidRPr="00E8697F" w:rsidRDefault="00EE7F90" w:rsidP="004F0FD7">
            <w:pPr>
              <w:suppressAutoHyphens/>
              <w:autoSpaceDN w:val="0"/>
              <w:spacing w:before="0" w:after="0" w:line="240" w:lineRule="auto"/>
              <w:textAlignment w:val="baseline"/>
              <w:rPr>
                <w:rFonts w:eastAsia="Calibri" w:cs="Arial"/>
                <w:b/>
                <w:color w:val="000000"/>
                <w:kern w:val="3"/>
                <w:szCs w:val="24"/>
                <w:lang w:val="sr-Latn-ME" w:eastAsia="zh-CN"/>
              </w:rPr>
            </w:pPr>
            <w:r w:rsidRPr="00E8697F">
              <w:rPr>
                <w:rFonts w:eastAsia="Calibri" w:cs="Arial"/>
                <w:b/>
                <w:color w:val="000000"/>
                <w:kern w:val="3"/>
                <w:szCs w:val="24"/>
                <w:lang w:val="sr-Latn-ME" w:eastAsia="zh-CN"/>
              </w:rPr>
              <w:t>IV kvartal</w:t>
            </w:r>
          </w:p>
        </w:tc>
        <w:tc>
          <w:tcPr>
            <w:tcW w:w="6065" w:type="dxa"/>
          </w:tcPr>
          <w:p w:rsidR="00EE7F90" w:rsidRPr="001640A4" w:rsidRDefault="00811D7B" w:rsidP="00D6590D">
            <w:pPr>
              <w:spacing w:before="0" w:after="0" w:line="240" w:lineRule="auto"/>
              <w:rPr>
                <w:rFonts w:eastAsia="Calibri" w:cs="Times New Roman"/>
                <w:bCs/>
                <w:color w:val="000000"/>
                <w:sz w:val="22"/>
                <w:lang w:val="sr-Latn-ME"/>
              </w:rPr>
            </w:pPr>
            <w:r w:rsidRPr="001640A4">
              <w:rPr>
                <w:rFonts w:eastAsia="Calibri" w:cs="Times New Roman"/>
                <w:bCs/>
                <w:color w:val="000000"/>
                <w:sz w:val="22"/>
                <w:lang w:val="sr-Latn-ME"/>
              </w:rPr>
              <w:t xml:space="preserve">U skladu sa Porgramom rada Vlade </w:t>
            </w:r>
            <w:r w:rsidR="00F40609" w:rsidRPr="001640A4">
              <w:rPr>
                <w:rFonts w:eastAsia="Calibri" w:cs="Times New Roman"/>
                <w:bCs/>
                <w:color w:val="000000"/>
                <w:sz w:val="22"/>
                <w:lang w:val="sr-Latn-ME"/>
              </w:rPr>
              <w:t>za 2020. godinu</w:t>
            </w:r>
            <w:r w:rsidRPr="001640A4">
              <w:rPr>
                <w:rFonts w:eastAsia="Calibri" w:cs="Times New Roman"/>
                <w:bCs/>
                <w:color w:val="000000"/>
                <w:sz w:val="22"/>
                <w:lang w:val="sr-Latn-ME"/>
              </w:rPr>
              <w:t xml:space="preserve"> p</w:t>
            </w:r>
            <w:r w:rsidR="005C4AC7" w:rsidRPr="001640A4">
              <w:rPr>
                <w:rFonts w:eastAsia="Calibri" w:cs="Times New Roman"/>
                <w:bCs/>
                <w:color w:val="000000"/>
                <w:sz w:val="22"/>
                <w:lang w:val="sr-Latn-ME"/>
              </w:rPr>
              <w:t>ripremljen je Predlog Zakona o budžetu za 2021. godinu</w:t>
            </w:r>
            <w:r w:rsidRPr="001640A4">
              <w:rPr>
                <w:rFonts w:eastAsia="Calibri" w:cs="Times New Roman"/>
                <w:bCs/>
                <w:color w:val="000000"/>
                <w:sz w:val="22"/>
                <w:lang w:val="sr-Latn-ME"/>
              </w:rPr>
              <w:t>, međutim</w:t>
            </w:r>
            <w:r w:rsidR="005C4AC7" w:rsidRPr="001640A4">
              <w:rPr>
                <w:rFonts w:eastAsia="Calibri" w:cs="Times New Roman"/>
                <w:bCs/>
                <w:color w:val="000000"/>
                <w:sz w:val="22"/>
                <w:lang w:val="sr-Latn-ME"/>
              </w:rPr>
              <w:t xml:space="preserve"> </w:t>
            </w:r>
            <w:r w:rsidRPr="001640A4">
              <w:rPr>
                <w:rFonts w:eastAsia="Calibri" w:cs="Times New Roman"/>
                <w:bCs/>
                <w:color w:val="000000"/>
                <w:sz w:val="22"/>
                <w:lang w:val="sr-Latn-ME"/>
              </w:rPr>
              <w:t>r</w:t>
            </w:r>
            <w:r w:rsidR="005C4AC7" w:rsidRPr="001640A4">
              <w:rPr>
                <w:rFonts w:eastAsia="Calibri" w:cs="Times New Roman"/>
                <w:bCs/>
                <w:color w:val="000000"/>
                <w:sz w:val="22"/>
                <w:lang w:val="sr-Latn-ME"/>
              </w:rPr>
              <w:t>ealizacija ove aktivnosti odložena je za 2021. godinu.</w:t>
            </w:r>
          </w:p>
          <w:p w:rsidR="005C4AC7" w:rsidRPr="001640A4" w:rsidRDefault="00114C51" w:rsidP="00D6590D">
            <w:pPr>
              <w:spacing w:before="0" w:after="0" w:line="240" w:lineRule="auto"/>
              <w:rPr>
                <w:rFonts w:eastAsia="Calibri" w:cs="Times New Roman"/>
                <w:bCs/>
                <w:color w:val="000000"/>
                <w:sz w:val="22"/>
                <w:highlight w:val="yellow"/>
                <w:lang w:val="sr-Latn-ME"/>
              </w:rPr>
            </w:pPr>
            <w:r w:rsidRPr="001640A4">
              <w:rPr>
                <w:rFonts w:eastAsia="Calibri" w:cs="Times New Roman"/>
                <w:bCs/>
                <w:color w:val="000000"/>
                <w:sz w:val="22"/>
                <w:lang w:val="sr-Latn-ME"/>
              </w:rPr>
              <w:t>Ministarstvo fi</w:t>
            </w:r>
            <w:r w:rsidR="00811D7B" w:rsidRPr="001640A4">
              <w:rPr>
                <w:rFonts w:eastAsia="Calibri" w:cs="Times New Roman"/>
                <w:bCs/>
                <w:color w:val="000000"/>
                <w:sz w:val="22"/>
                <w:lang w:val="sr-Latn-ME"/>
              </w:rPr>
              <w:t>n</w:t>
            </w:r>
            <w:r w:rsidRPr="001640A4">
              <w:rPr>
                <w:rFonts w:eastAsia="Calibri" w:cs="Times New Roman"/>
                <w:bCs/>
                <w:color w:val="000000"/>
                <w:sz w:val="22"/>
                <w:lang w:val="sr-Latn-ME"/>
              </w:rPr>
              <w:t>ansija i socijalnog staranja je p</w:t>
            </w:r>
            <w:r w:rsidR="00811D7B" w:rsidRPr="001640A4">
              <w:rPr>
                <w:rFonts w:eastAsia="Calibri" w:cs="Times New Roman"/>
                <w:bCs/>
                <w:color w:val="000000"/>
                <w:sz w:val="22"/>
                <w:lang w:val="sr-Latn-ME"/>
              </w:rPr>
              <w:t>r</w:t>
            </w:r>
            <w:r w:rsidRPr="001640A4">
              <w:rPr>
                <w:rFonts w:eastAsia="Calibri" w:cs="Times New Roman"/>
                <w:bCs/>
                <w:color w:val="000000"/>
                <w:sz w:val="22"/>
                <w:lang w:val="sr-Latn-ME"/>
              </w:rPr>
              <w:t>ipemilo novi Predlog Zakona o budžetu za 2021. godinu, koji je V</w:t>
            </w:r>
            <w:r w:rsidR="005C4AC7" w:rsidRPr="001640A4">
              <w:rPr>
                <w:rFonts w:eastAsia="Calibri" w:cs="Times New Roman"/>
                <w:bCs/>
                <w:color w:val="000000"/>
                <w:sz w:val="22"/>
                <w:lang w:val="sr-Latn-ME"/>
              </w:rPr>
              <w:t xml:space="preserve">lada </w:t>
            </w:r>
            <w:r w:rsidRPr="001640A4">
              <w:rPr>
                <w:rFonts w:eastAsia="Calibri" w:cs="Times New Roman"/>
                <w:bCs/>
                <w:color w:val="000000"/>
                <w:sz w:val="22"/>
                <w:lang w:val="sr-Latn-ME"/>
              </w:rPr>
              <w:t xml:space="preserve"> CG usvojila 30. marta 2021. godine. Predlog se nalazi u Skupštinskoj proceduri.</w:t>
            </w:r>
          </w:p>
        </w:tc>
      </w:tr>
      <w:tr w:rsidR="009C7599" w:rsidRPr="004F0FD7" w:rsidTr="004F0FD7">
        <w:trPr>
          <w:trHeight w:val="120"/>
        </w:trPr>
        <w:tc>
          <w:tcPr>
            <w:tcW w:w="2963" w:type="dxa"/>
          </w:tcPr>
          <w:p w:rsidR="001C7271" w:rsidRPr="00E8697F" w:rsidRDefault="009C7599" w:rsidP="004F0FD7">
            <w:pPr>
              <w:suppressAutoHyphens/>
              <w:autoSpaceDN w:val="0"/>
              <w:spacing w:before="0" w:after="0" w:line="240" w:lineRule="auto"/>
              <w:textAlignment w:val="baseline"/>
              <w:rPr>
                <w:rFonts w:eastAsia="Calibri" w:cs="Arial"/>
                <w:b/>
                <w:color w:val="000000"/>
                <w:kern w:val="3"/>
                <w:szCs w:val="24"/>
                <w:lang w:val="sr-Latn-ME" w:eastAsia="zh-CN"/>
              </w:rPr>
            </w:pPr>
            <w:r w:rsidRPr="00E8697F">
              <w:rPr>
                <w:rFonts w:eastAsia="Calibri" w:cs="Arial"/>
                <w:b/>
                <w:color w:val="000000"/>
                <w:kern w:val="3"/>
                <w:szCs w:val="24"/>
                <w:lang w:val="sr-Latn-ME" w:eastAsia="zh-CN"/>
              </w:rPr>
              <w:t>Predlog Zakona o popisu stanovništva, domaćinstava i stanova u 2021. godini</w:t>
            </w:r>
          </w:p>
          <w:p w:rsidR="001C7271" w:rsidRPr="00E8697F" w:rsidRDefault="001C7271" w:rsidP="004F0FD7">
            <w:pPr>
              <w:suppressAutoHyphens/>
              <w:autoSpaceDN w:val="0"/>
              <w:spacing w:before="0" w:after="0" w:line="240" w:lineRule="auto"/>
              <w:textAlignment w:val="baseline"/>
              <w:rPr>
                <w:rFonts w:eastAsia="Calibri" w:cs="Arial"/>
                <w:b/>
                <w:color w:val="000000"/>
                <w:kern w:val="3"/>
                <w:szCs w:val="24"/>
                <w:lang w:val="sr-Latn-ME" w:eastAsia="zh-CN"/>
              </w:rPr>
            </w:pPr>
            <w:r w:rsidRPr="00E8697F">
              <w:rPr>
                <w:rFonts w:eastAsia="Calibri" w:cs="Arial"/>
                <w:b/>
                <w:color w:val="000000"/>
                <w:kern w:val="3"/>
                <w:szCs w:val="24"/>
                <w:lang w:val="sr-Latn-ME" w:eastAsia="zh-CN"/>
              </w:rPr>
              <w:t>IV kvartal</w:t>
            </w:r>
          </w:p>
        </w:tc>
        <w:tc>
          <w:tcPr>
            <w:tcW w:w="6065" w:type="dxa"/>
          </w:tcPr>
          <w:p w:rsidR="009C7599" w:rsidRPr="001640A4" w:rsidRDefault="005C4AC7" w:rsidP="00D6590D">
            <w:pPr>
              <w:spacing w:before="0" w:after="0" w:line="240" w:lineRule="auto"/>
              <w:rPr>
                <w:rFonts w:eastAsia="Calibri" w:cs="Times New Roman"/>
                <w:bCs/>
                <w:color w:val="000000"/>
                <w:sz w:val="22"/>
                <w:lang w:val="sr-Latn-ME"/>
              </w:rPr>
            </w:pPr>
            <w:r w:rsidRPr="001640A4">
              <w:rPr>
                <w:rFonts w:eastAsia="Calibri" w:cs="Times New Roman"/>
                <w:bCs/>
                <w:color w:val="000000"/>
                <w:sz w:val="22"/>
                <w:lang w:val="sr-Latn-ME"/>
              </w:rPr>
              <w:t xml:space="preserve">Pripremljen </w:t>
            </w:r>
            <w:r w:rsidR="008E7B9E" w:rsidRPr="001640A4">
              <w:rPr>
                <w:rFonts w:eastAsia="Calibri" w:cs="Times New Roman"/>
                <w:bCs/>
                <w:color w:val="000000"/>
                <w:sz w:val="22"/>
                <w:lang w:val="sr-Latn-ME"/>
              </w:rPr>
              <w:t xml:space="preserve">je </w:t>
            </w:r>
            <w:r w:rsidRPr="001640A4">
              <w:rPr>
                <w:rFonts w:eastAsia="Calibri" w:cs="Times New Roman"/>
                <w:bCs/>
                <w:color w:val="000000"/>
                <w:sz w:val="22"/>
                <w:lang w:val="sr-Latn-ME"/>
              </w:rPr>
              <w:t>Nacrt Zakona o popisu stanovništva, domaćinstava i stanova 2021. godine</w:t>
            </w:r>
            <w:r w:rsidR="008E7B9E" w:rsidRPr="001640A4">
              <w:rPr>
                <w:rFonts w:eastAsia="Calibri" w:cs="Times New Roman"/>
                <w:bCs/>
                <w:color w:val="000000"/>
                <w:sz w:val="22"/>
                <w:lang w:val="sr-Latn-ME"/>
              </w:rPr>
              <w:t>.</w:t>
            </w:r>
          </w:p>
          <w:p w:rsidR="003E7064" w:rsidRPr="001640A4" w:rsidRDefault="003E7064" w:rsidP="00D6590D">
            <w:pPr>
              <w:spacing w:before="0" w:after="0" w:line="240" w:lineRule="auto"/>
              <w:rPr>
                <w:rFonts w:eastAsia="Calibri" w:cs="Times New Roman"/>
                <w:bCs/>
                <w:color w:val="000000"/>
                <w:sz w:val="22"/>
                <w:lang w:val="en-US"/>
              </w:rPr>
            </w:pPr>
            <w:r w:rsidRPr="001640A4">
              <w:rPr>
                <w:rFonts w:eastAsia="Calibri" w:cs="Times New Roman"/>
                <w:bCs/>
                <w:color w:val="000000"/>
                <w:sz w:val="22"/>
                <w:lang w:val="en-US"/>
              </w:rPr>
              <w:t xml:space="preserve">Ministarstvo finansija i socijalnog staranja je </w:t>
            </w:r>
            <w:r w:rsidRPr="001640A4">
              <w:rPr>
                <w:rFonts w:eastAsia="Calibri" w:cs="Times New Roman"/>
                <w:bCs/>
                <w:i/>
                <w:color w:val="000000"/>
                <w:sz w:val="22"/>
                <w:lang w:val="en-US"/>
              </w:rPr>
              <w:t>Zakon o popisu stanovništva, domaćinstava i stanova u 2021. godini</w:t>
            </w:r>
            <w:r w:rsidRPr="001640A4">
              <w:rPr>
                <w:rFonts w:eastAsia="Calibri" w:cs="Times New Roman"/>
                <w:bCs/>
                <w:color w:val="000000"/>
                <w:sz w:val="22"/>
                <w:lang w:val="en-US"/>
              </w:rPr>
              <w:t xml:space="preserve"> kao aktivnost u revidiranom Programu pristupanja Crne Gore Evropskoj uniji za 2021-2023 definisalo za IV kvartal 2021. godine.</w:t>
            </w:r>
          </w:p>
        </w:tc>
      </w:tr>
    </w:tbl>
    <w:p w:rsidR="00F16A7E" w:rsidRDefault="00F16A7E" w:rsidP="00DB3CD9">
      <w:pPr>
        <w:pStyle w:val="PlainText"/>
        <w:jc w:val="both"/>
        <w:rPr>
          <w:rFonts w:asciiTheme="minorHAnsi" w:hAnsiTheme="minorHAnsi" w:cs="Arial"/>
          <w:i/>
          <w:sz w:val="24"/>
          <w:szCs w:val="24"/>
          <w:lang w:val="it-IT"/>
        </w:rPr>
      </w:pPr>
    </w:p>
    <w:p w:rsidR="00012EE8" w:rsidRDefault="00012EE8" w:rsidP="00DB3CD9">
      <w:pPr>
        <w:pStyle w:val="PlainText"/>
        <w:jc w:val="both"/>
        <w:rPr>
          <w:rFonts w:asciiTheme="minorHAnsi" w:hAnsiTheme="minorHAnsi" w:cs="Arial"/>
          <w:i/>
          <w:sz w:val="24"/>
          <w:szCs w:val="24"/>
          <w:lang w:val="it-IT"/>
        </w:rPr>
      </w:pPr>
    </w:p>
    <w:p w:rsidR="009F412E" w:rsidRPr="009F412E" w:rsidRDefault="009F412E" w:rsidP="009F412E">
      <w:pPr>
        <w:pStyle w:val="PlainText"/>
        <w:shd w:val="clear" w:color="auto" w:fill="EE8C69" w:themeFill="accent1" w:themeFillTint="99"/>
        <w:jc w:val="center"/>
        <w:rPr>
          <w:rFonts w:asciiTheme="minorHAnsi" w:hAnsiTheme="minorHAnsi" w:cs="Arial"/>
          <w:b/>
          <w:sz w:val="24"/>
          <w:szCs w:val="24"/>
          <w:lang w:val="it-IT"/>
        </w:rPr>
      </w:pPr>
      <w:r>
        <w:rPr>
          <w:rFonts w:asciiTheme="minorHAnsi" w:hAnsiTheme="minorHAnsi" w:cs="Arial"/>
          <w:b/>
          <w:sz w:val="24"/>
          <w:szCs w:val="24"/>
          <w:lang w:val="it-IT"/>
        </w:rPr>
        <w:t>II</w:t>
      </w:r>
      <w:r w:rsidR="00316886">
        <w:rPr>
          <w:rFonts w:asciiTheme="minorHAnsi" w:hAnsiTheme="minorHAnsi" w:cs="Arial"/>
          <w:b/>
          <w:sz w:val="24"/>
          <w:szCs w:val="24"/>
          <w:lang w:val="it-IT"/>
        </w:rPr>
        <w:t>I</w:t>
      </w:r>
      <w:r>
        <w:rPr>
          <w:rFonts w:asciiTheme="minorHAnsi" w:hAnsiTheme="minorHAnsi" w:cs="Arial"/>
          <w:b/>
          <w:sz w:val="24"/>
          <w:szCs w:val="24"/>
          <w:lang w:val="it-IT"/>
        </w:rPr>
        <w:t xml:space="preserve"> REALIZ</w:t>
      </w:r>
      <w:r w:rsidRPr="009F412E">
        <w:rPr>
          <w:rFonts w:asciiTheme="minorHAnsi" w:hAnsiTheme="minorHAnsi" w:cs="Arial"/>
          <w:b/>
          <w:sz w:val="24"/>
          <w:szCs w:val="24"/>
          <w:lang w:val="it-IT"/>
        </w:rPr>
        <w:t>ACIJA AKTIVNOSTI IZ PROGRAMA RADA MINISTARSTVA ZA 2020. GODINU</w:t>
      </w:r>
    </w:p>
    <w:p w:rsidR="007C34EE" w:rsidRDefault="007C34EE" w:rsidP="007C34EE">
      <w:pPr>
        <w:pStyle w:val="PlainText"/>
        <w:jc w:val="both"/>
        <w:rPr>
          <w:rFonts w:asciiTheme="minorHAnsi" w:hAnsiTheme="minorHAnsi" w:cs="Arial"/>
          <w:sz w:val="24"/>
          <w:szCs w:val="24"/>
          <w:lang w:val="it-IT"/>
        </w:rPr>
      </w:pPr>
    </w:p>
    <w:p w:rsidR="004F0FD7" w:rsidRPr="00C60869" w:rsidRDefault="004F0FD7" w:rsidP="00C60869">
      <w:pPr>
        <w:suppressAutoHyphens/>
        <w:autoSpaceDN w:val="0"/>
        <w:spacing w:before="0" w:after="0" w:line="240" w:lineRule="auto"/>
        <w:ind w:firstLine="709"/>
        <w:textAlignment w:val="baseline"/>
        <w:rPr>
          <w:rFonts w:eastAsia="Calibri" w:cs="Arial"/>
          <w:b/>
          <w:color w:val="000000"/>
          <w:kern w:val="3"/>
          <w:szCs w:val="24"/>
          <w:lang w:val="sr-Latn-ME" w:eastAsia="zh-CN"/>
        </w:rPr>
      </w:pPr>
      <w:r w:rsidRPr="009E0760">
        <w:rPr>
          <w:rFonts w:eastAsia="Calibri" w:cs="Arial"/>
          <w:kern w:val="3"/>
          <w:szCs w:val="24"/>
          <w:lang w:val="sr-Latn-ME" w:eastAsia="zh-CN"/>
        </w:rPr>
        <w:t xml:space="preserve">Programom rada Ministarstva finansija za 2020. godinu planirana je realizacija </w:t>
      </w:r>
      <w:r w:rsidR="00466603" w:rsidRPr="009E0760">
        <w:rPr>
          <w:rFonts w:eastAsia="Calibri" w:cs="Arial"/>
          <w:kern w:val="3"/>
          <w:szCs w:val="24"/>
          <w:lang w:val="sr-Latn-ME" w:eastAsia="zh-CN"/>
        </w:rPr>
        <w:t xml:space="preserve">27 </w:t>
      </w:r>
      <w:r w:rsidRPr="009E0760">
        <w:rPr>
          <w:rFonts w:eastAsia="Calibri" w:cs="Arial"/>
          <w:kern w:val="3"/>
          <w:szCs w:val="24"/>
          <w:lang w:val="sr-Latn-ME" w:eastAsia="zh-CN"/>
        </w:rPr>
        <w:t xml:space="preserve">aktivnosti, od čega je realizovano </w:t>
      </w:r>
      <w:r w:rsidR="00DB733D" w:rsidRPr="009E0760">
        <w:rPr>
          <w:rFonts w:eastAsia="Calibri" w:cs="Arial"/>
          <w:kern w:val="3"/>
          <w:szCs w:val="24"/>
          <w:lang w:val="sr-Latn-ME" w:eastAsia="zh-CN"/>
        </w:rPr>
        <w:t>11</w:t>
      </w:r>
      <w:r w:rsidRPr="009E0760">
        <w:rPr>
          <w:rFonts w:eastAsia="Calibri" w:cs="Arial"/>
          <w:kern w:val="3"/>
          <w:szCs w:val="24"/>
          <w:lang w:val="sr-Latn-ME" w:eastAsia="zh-CN"/>
        </w:rPr>
        <w:t xml:space="preserve"> </w:t>
      </w:r>
      <w:r w:rsidRPr="009E0760">
        <w:rPr>
          <w:rFonts w:eastAsia="Calibri" w:cs="Arial"/>
          <w:b/>
          <w:kern w:val="3"/>
          <w:szCs w:val="24"/>
          <w:lang w:val="sr-Latn-ME" w:eastAsia="zh-CN"/>
        </w:rPr>
        <w:t xml:space="preserve">(stepen realizacije </w:t>
      </w:r>
      <w:r w:rsidR="00DB733D" w:rsidRPr="009E0760">
        <w:rPr>
          <w:rFonts w:eastAsia="Calibri" w:cs="Arial"/>
          <w:b/>
          <w:kern w:val="3"/>
          <w:szCs w:val="24"/>
          <w:lang w:val="sr-Latn-ME" w:eastAsia="zh-CN"/>
        </w:rPr>
        <w:t>41</w:t>
      </w:r>
      <w:r w:rsidRPr="009E0760">
        <w:rPr>
          <w:rFonts w:eastAsia="Calibri" w:cs="Arial"/>
          <w:b/>
          <w:kern w:val="3"/>
          <w:szCs w:val="24"/>
          <w:lang w:val="sr-Latn-ME" w:eastAsia="zh-CN"/>
        </w:rPr>
        <w:t xml:space="preserve"> %).</w:t>
      </w:r>
      <w:r w:rsidRPr="009E0760">
        <w:rPr>
          <w:rFonts w:eastAsia="Calibri" w:cs="Arial"/>
          <w:kern w:val="3"/>
          <w:szCs w:val="24"/>
          <w:lang w:val="sr-Latn-ME" w:eastAsia="zh-CN"/>
        </w:rPr>
        <w:t xml:space="preserve"> </w:t>
      </w:r>
      <w:r w:rsidR="00703DEA" w:rsidRPr="009E0760">
        <w:rPr>
          <w:rFonts w:eastAsia="Calibri" w:cs="Arial"/>
          <w:kern w:val="3"/>
          <w:szCs w:val="24"/>
          <w:lang w:val="sr-Latn-ME" w:eastAsia="zh-CN"/>
        </w:rPr>
        <w:t>Od 16 planiranih aktivnosti koje nijesu u potpunosti realizovane</w:t>
      </w:r>
      <w:r w:rsidR="00DB3CD9" w:rsidRPr="009E0760">
        <w:rPr>
          <w:rFonts w:eastAsia="Calibri" w:cs="Arial"/>
          <w:kern w:val="3"/>
          <w:szCs w:val="24"/>
          <w:lang w:val="sr-Latn-ME" w:eastAsia="zh-CN"/>
        </w:rPr>
        <w:t>, 10</w:t>
      </w:r>
      <w:r w:rsidR="00703DEA" w:rsidRPr="009E0760">
        <w:rPr>
          <w:rFonts w:eastAsia="Calibri" w:cs="Arial"/>
          <w:kern w:val="3"/>
          <w:szCs w:val="24"/>
          <w:lang w:val="sr-Latn-ME" w:eastAsia="zh-CN"/>
        </w:rPr>
        <w:t xml:space="preserve"> je u završnoj fa</w:t>
      </w:r>
      <w:r w:rsidR="00DB3CD9" w:rsidRPr="009E0760">
        <w:rPr>
          <w:rFonts w:eastAsia="Calibri" w:cs="Arial"/>
          <w:kern w:val="3"/>
          <w:szCs w:val="24"/>
          <w:lang w:val="sr-Latn-ME" w:eastAsia="zh-CN"/>
        </w:rPr>
        <w:t>zi.</w:t>
      </w:r>
      <w:r w:rsidR="00703DEA" w:rsidRPr="009E0760">
        <w:rPr>
          <w:rFonts w:eastAsia="Calibri" w:cs="Arial"/>
          <w:kern w:val="3"/>
          <w:szCs w:val="24"/>
          <w:lang w:val="sr-Latn-ME" w:eastAsia="zh-CN"/>
        </w:rPr>
        <w:t xml:space="preserve"> </w:t>
      </w:r>
      <w:r w:rsidR="00703DEA" w:rsidRPr="009E0760">
        <w:rPr>
          <w:rFonts w:eastAsia="Calibri" w:cs="Times New Roman"/>
          <w:szCs w:val="24"/>
          <w:lang w:val="sr-Latn-ME"/>
        </w:rPr>
        <w:t>Realizacija ovih obaveza planirana je za 2021. godinu.</w:t>
      </w:r>
      <w:r w:rsidR="00703DEA" w:rsidRPr="009E0760">
        <w:rPr>
          <w:rFonts w:eastAsia="Calibri" w:cs="Arial"/>
          <w:kern w:val="3"/>
          <w:szCs w:val="24"/>
          <w:lang w:val="sr-Latn-ME" w:eastAsia="zh-CN"/>
        </w:rPr>
        <w:t xml:space="preserve"> </w:t>
      </w:r>
    </w:p>
    <w:p w:rsidR="004F0FD7" w:rsidRDefault="004F0FD7" w:rsidP="007C34EE">
      <w:pPr>
        <w:pStyle w:val="PlainText"/>
        <w:jc w:val="both"/>
        <w:rPr>
          <w:rFonts w:asciiTheme="minorHAnsi" w:hAnsiTheme="minorHAnsi" w:cs="Arial"/>
          <w:sz w:val="24"/>
          <w:szCs w:val="24"/>
          <w:lang w:val="it-IT"/>
        </w:rPr>
      </w:pPr>
    </w:p>
    <w:p w:rsidR="007C34EE" w:rsidRPr="009F412E" w:rsidRDefault="00316886" w:rsidP="00A9450D">
      <w:pPr>
        <w:pStyle w:val="Standard"/>
        <w:shd w:val="clear" w:color="auto" w:fill="EE8C69" w:themeFill="accent1" w:themeFillTint="99"/>
        <w:spacing w:after="0" w:line="240" w:lineRule="auto"/>
        <w:jc w:val="center"/>
        <w:rPr>
          <w:rFonts w:asciiTheme="minorHAnsi" w:hAnsiTheme="minorHAnsi" w:cs="Arial"/>
          <w:b/>
          <w:sz w:val="24"/>
          <w:szCs w:val="24"/>
        </w:rPr>
      </w:pPr>
      <w:r>
        <w:rPr>
          <w:rFonts w:asciiTheme="minorHAnsi" w:hAnsiTheme="minorHAnsi" w:cs="Arial"/>
          <w:b/>
          <w:sz w:val="24"/>
          <w:szCs w:val="24"/>
        </w:rPr>
        <w:t>IV</w:t>
      </w:r>
      <w:r w:rsidR="007C34EE" w:rsidRPr="009F412E">
        <w:rPr>
          <w:rFonts w:asciiTheme="minorHAnsi" w:hAnsiTheme="minorHAnsi" w:cs="Arial"/>
          <w:b/>
          <w:sz w:val="24"/>
          <w:szCs w:val="24"/>
        </w:rPr>
        <w:t xml:space="preserve"> REALIZACIJA AKT</w:t>
      </w:r>
      <w:r w:rsidR="00D609B3">
        <w:rPr>
          <w:rFonts w:asciiTheme="minorHAnsi" w:hAnsiTheme="minorHAnsi" w:cs="Arial"/>
          <w:b/>
          <w:sz w:val="24"/>
          <w:szCs w:val="24"/>
        </w:rPr>
        <w:t>I</w:t>
      </w:r>
      <w:r w:rsidR="007C34EE" w:rsidRPr="009F412E">
        <w:rPr>
          <w:rFonts w:asciiTheme="minorHAnsi" w:hAnsiTheme="minorHAnsi" w:cs="Arial"/>
          <w:b/>
          <w:sz w:val="24"/>
          <w:szCs w:val="24"/>
        </w:rPr>
        <w:t>VNOSTI U VRŠENJU UPRAVNOG NADZORA</w:t>
      </w:r>
    </w:p>
    <w:p w:rsidR="007C34EE" w:rsidRPr="004051EE" w:rsidRDefault="008B7553" w:rsidP="00ED4DCC">
      <w:pPr>
        <w:spacing w:after="0" w:line="259" w:lineRule="auto"/>
        <w:ind w:firstLine="709"/>
        <w:rPr>
          <w:rFonts w:eastAsia="Calibri" w:cs="Times New Roman"/>
          <w:color w:val="000000"/>
          <w:szCs w:val="24"/>
        </w:rPr>
      </w:pPr>
      <w:r w:rsidRPr="004051EE">
        <w:rPr>
          <w:rFonts w:eastAsia="Calibri" w:cs="Times New Roman"/>
          <w:color w:val="000000"/>
          <w:szCs w:val="24"/>
        </w:rPr>
        <w:t>U</w:t>
      </w:r>
      <w:r w:rsidR="007C34EE" w:rsidRPr="004051EE">
        <w:rPr>
          <w:rFonts w:eastAsia="Calibri" w:cs="Times New Roman"/>
          <w:color w:val="000000"/>
          <w:szCs w:val="24"/>
        </w:rPr>
        <w:t xml:space="preserve"> okviru nadležnosti Ministarstva finansija, kao i or</w:t>
      </w:r>
      <w:r w:rsidRPr="004051EE">
        <w:rPr>
          <w:rFonts w:eastAsia="Calibri" w:cs="Times New Roman"/>
          <w:color w:val="000000"/>
          <w:szCs w:val="24"/>
        </w:rPr>
        <w:t>gana nad kojima se vršio nadzor u 2020. godini</w:t>
      </w:r>
      <w:r w:rsidR="00A9450D" w:rsidRPr="004051EE">
        <w:rPr>
          <w:rFonts w:eastAsia="Calibri" w:cs="Times New Roman"/>
          <w:color w:val="000000"/>
          <w:szCs w:val="24"/>
        </w:rPr>
        <w:t>,</w:t>
      </w:r>
      <w:r w:rsidRPr="004051EE">
        <w:rPr>
          <w:rFonts w:eastAsia="Calibri" w:cs="Times New Roman"/>
          <w:color w:val="000000"/>
          <w:szCs w:val="24"/>
        </w:rPr>
        <w:t xml:space="preserve"> u skladu sa Uredbom koja je važila do decembra 2020. godine</w:t>
      </w:r>
      <w:r w:rsidR="007C34EE" w:rsidRPr="004051EE">
        <w:rPr>
          <w:rFonts w:eastAsia="Calibri" w:cs="Times New Roman"/>
          <w:color w:val="000000"/>
          <w:szCs w:val="24"/>
        </w:rPr>
        <w:t xml:space="preserve">, dat je pregled o postupanju prvostepenog i drugostepenog javnopravnog organa.  </w:t>
      </w:r>
    </w:p>
    <w:p w:rsidR="007C34EE" w:rsidRDefault="007C34EE" w:rsidP="00ED4DCC">
      <w:pPr>
        <w:spacing w:before="0" w:after="0" w:line="259" w:lineRule="auto"/>
        <w:ind w:firstLine="709"/>
        <w:rPr>
          <w:rFonts w:eastAsia="Calibri" w:cs="Times New Roman"/>
          <w:color w:val="000000"/>
          <w:szCs w:val="24"/>
        </w:rPr>
      </w:pPr>
      <w:r w:rsidRPr="004051EE">
        <w:rPr>
          <w:rFonts w:eastAsia="Calibri" w:cs="Times New Roman"/>
          <w:b/>
          <w:color w:val="000000"/>
          <w:szCs w:val="24"/>
        </w:rPr>
        <w:t>Pregled postupanja</w:t>
      </w:r>
      <w:r w:rsidRPr="004051EE">
        <w:rPr>
          <w:rFonts w:eastAsia="Calibri" w:cs="Times New Roman"/>
          <w:color w:val="000000"/>
          <w:szCs w:val="24"/>
        </w:rPr>
        <w:t xml:space="preserve"> </w:t>
      </w:r>
      <w:r w:rsidRPr="004051EE">
        <w:rPr>
          <w:rFonts w:eastAsia="Calibri" w:cs="Times New Roman"/>
          <w:b/>
          <w:color w:val="000000"/>
          <w:szCs w:val="24"/>
        </w:rPr>
        <w:t>prvostepenih javnopravnih organa</w:t>
      </w:r>
      <w:r w:rsidRPr="004051EE">
        <w:rPr>
          <w:rFonts w:eastAsia="Calibri" w:cs="Times New Roman"/>
          <w:color w:val="000000"/>
          <w:szCs w:val="24"/>
        </w:rPr>
        <w:t xml:space="preserve">: broj pokrenutih upravnih postupaka po zahtjevu stranke iznosio je </w:t>
      </w:r>
      <w:r w:rsidR="008B7553" w:rsidRPr="004051EE">
        <w:rPr>
          <w:rFonts w:eastAsia="Calibri" w:cs="Times New Roman"/>
          <w:color w:val="000000"/>
          <w:szCs w:val="24"/>
        </w:rPr>
        <w:t>295977</w:t>
      </w:r>
      <w:r w:rsidRPr="004051EE">
        <w:rPr>
          <w:rFonts w:eastAsia="Calibri" w:cs="Times New Roman"/>
          <w:color w:val="000000"/>
          <w:szCs w:val="24"/>
        </w:rPr>
        <w:t xml:space="preserve">, dok je broj pokrenutih upravnih postupaka po službenoj dužnosti iznosio </w:t>
      </w:r>
      <w:r w:rsidR="008B7553" w:rsidRPr="004051EE">
        <w:rPr>
          <w:rFonts w:eastAsia="Calibri" w:cs="Times New Roman"/>
          <w:color w:val="000000"/>
          <w:szCs w:val="24"/>
        </w:rPr>
        <w:t>33982</w:t>
      </w:r>
      <w:r w:rsidRPr="004051EE">
        <w:rPr>
          <w:rFonts w:eastAsia="Calibri" w:cs="Times New Roman"/>
          <w:color w:val="000000"/>
          <w:szCs w:val="24"/>
        </w:rPr>
        <w:t xml:space="preserve">. Broj neriješenih predmeta sa podatkom o broju neriješenih predmeta iz prethodne godine iznosio je </w:t>
      </w:r>
      <w:r w:rsidR="008B7553" w:rsidRPr="004051EE">
        <w:rPr>
          <w:rFonts w:eastAsia="Calibri" w:cs="Times New Roman"/>
          <w:color w:val="000000"/>
          <w:szCs w:val="24"/>
        </w:rPr>
        <w:t>17375 (5 za 2019. godinu)</w:t>
      </w:r>
      <w:r w:rsidRPr="004051EE">
        <w:rPr>
          <w:rFonts w:eastAsia="Calibri" w:cs="Times New Roman"/>
          <w:color w:val="000000"/>
          <w:szCs w:val="24"/>
        </w:rPr>
        <w:t xml:space="preserve">. U izvještajnom periodu broj riješenih predmeta iznosio je </w:t>
      </w:r>
      <w:r w:rsidR="008B7553" w:rsidRPr="004051EE">
        <w:rPr>
          <w:rFonts w:eastAsia="Calibri" w:cs="Times New Roman"/>
          <w:color w:val="000000"/>
          <w:szCs w:val="24"/>
        </w:rPr>
        <w:t>318692</w:t>
      </w:r>
      <w:r w:rsidRPr="004051EE">
        <w:rPr>
          <w:rFonts w:eastAsia="Calibri" w:cs="Times New Roman"/>
          <w:color w:val="000000"/>
          <w:szCs w:val="24"/>
        </w:rPr>
        <w:t xml:space="preserve">. U postupanju po zahtjevima ukupan broj usvojenih iznosio je </w:t>
      </w:r>
      <w:r w:rsidR="008B7553" w:rsidRPr="004051EE">
        <w:rPr>
          <w:rFonts w:eastAsia="Calibri" w:cs="Times New Roman"/>
          <w:color w:val="000000"/>
          <w:szCs w:val="24"/>
        </w:rPr>
        <w:t>141832</w:t>
      </w:r>
      <w:r w:rsidRPr="004051EE">
        <w:rPr>
          <w:rFonts w:eastAsia="Calibri" w:cs="Times New Roman"/>
          <w:color w:val="000000"/>
          <w:szCs w:val="24"/>
        </w:rPr>
        <w:t xml:space="preserve">, dok je broj odbijenih zahtjeva bio </w:t>
      </w:r>
      <w:r w:rsidR="008B7553" w:rsidRPr="004051EE">
        <w:rPr>
          <w:rFonts w:eastAsia="Calibri" w:cs="Times New Roman"/>
          <w:color w:val="000000"/>
          <w:szCs w:val="24"/>
        </w:rPr>
        <w:t>1509</w:t>
      </w:r>
      <w:r w:rsidRPr="004051EE">
        <w:rPr>
          <w:rFonts w:eastAsia="Calibri" w:cs="Times New Roman"/>
          <w:color w:val="000000"/>
          <w:szCs w:val="24"/>
        </w:rPr>
        <w:t xml:space="preserve">. Po pitanju broja predmeta riješenih u roku, isti iznosi </w:t>
      </w:r>
      <w:r w:rsidR="008B7553" w:rsidRPr="004051EE">
        <w:rPr>
          <w:rFonts w:eastAsia="Calibri" w:cs="Times New Roman"/>
          <w:color w:val="000000"/>
          <w:szCs w:val="24"/>
        </w:rPr>
        <w:t>311964</w:t>
      </w:r>
      <w:r w:rsidRPr="004051EE">
        <w:rPr>
          <w:rFonts w:eastAsia="Calibri" w:cs="Times New Roman"/>
          <w:color w:val="000000"/>
          <w:szCs w:val="24"/>
        </w:rPr>
        <w:t xml:space="preserve">, a broj onih koji su riješeni po isteku roka bio je </w:t>
      </w:r>
      <w:r w:rsidR="008B7553" w:rsidRPr="004051EE">
        <w:rPr>
          <w:rFonts w:eastAsia="Calibri" w:cs="Times New Roman"/>
          <w:color w:val="000000"/>
          <w:szCs w:val="24"/>
        </w:rPr>
        <w:t>6656</w:t>
      </w:r>
      <w:r w:rsidRPr="004051EE">
        <w:rPr>
          <w:rFonts w:eastAsia="Calibri" w:cs="Times New Roman"/>
          <w:color w:val="000000"/>
          <w:szCs w:val="24"/>
        </w:rPr>
        <w:t xml:space="preserve">. Broj obustavljenih postupaka iznosio je </w:t>
      </w:r>
      <w:r w:rsidR="008B7553" w:rsidRPr="004051EE">
        <w:rPr>
          <w:rFonts w:eastAsia="Calibri" w:cs="Times New Roman"/>
          <w:color w:val="000000"/>
          <w:szCs w:val="24"/>
        </w:rPr>
        <w:t>680</w:t>
      </w:r>
      <w:r w:rsidRPr="004051EE">
        <w:rPr>
          <w:rFonts w:eastAsia="Calibri" w:cs="Times New Roman"/>
          <w:color w:val="000000"/>
          <w:szCs w:val="24"/>
        </w:rPr>
        <w:t xml:space="preserve">. U izvještajnom periodu podnijetih žalbi je bilo </w:t>
      </w:r>
      <w:r w:rsidR="008B7553" w:rsidRPr="004051EE">
        <w:rPr>
          <w:rFonts w:eastAsia="Calibri" w:cs="Times New Roman"/>
          <w:color w:val="000000"/>
          <w:szCs w:val="24"/>
        </w:rPr>
        <w:t>886</w:t>
      </w:r>
      <w:r w:rsidRPr="004051EE">
        <w:rPr>
          <w:rFonts w:eastAsia="Calibri" w:cs="Times New Roman"/>
          <w:color w:val="000000"/>
          <w:szCs w:val="24"/>
        </w:rPr>
        <w:t xml:space="preserve">. Po zahtjevu za ponavljanje postupka donijeto je </w:t>
      </w:r>
      <w:r w:rsidR="008B7553" w:rsidRPr="004051EE">
        <w:rPr>
          <w:rFonts w:eastAsia="Calibri" w:cs="Times New Roman"/>
          <w:color w:val="000000"/>
          <w:szCs w:val="24"/>
        </w:rPr>
        <w:t>159</w:t>
      </w:r>
      <w:r w:rsidRPr="004051EE">
        <w:rPr>
          <w:rFonts w:eastAsia="Calibri" w:cs="Times New Roman"/>
          <w:color w:val="000000"/>
          <w:szCs w:val="24"/>
        </w:rPr>
        <w:t xml:space="preserve"> rješenja. </w:t>
      </w:r>
      <w:r w:rsidR="008B7553" w:rsidRPr="004051EE">
        <w:rPr>
          <w:rFonts w:eastAsia="Calibri" w:cs="Times New Roman"/>
          <w:color w:val="000000"/>
          <w:szCs w:val="24"/>
        </w:rPr>
        <w:t xml:space="preserve">Broj podnijetih prigovora koji su usvojeni je 128, a odbijenih 23. </w:t>
      </w:r>
      <w:r w:rsidRPr="004051EE">
        <w:rPr>
          <w:rFonts w:eastAsia="Calibri" w:cs="Times New Roman"/>
          <w:color w:val="000000"/>
          <w:szCs w:val="24"/>
        </w:rPr>
        <w:t xml:space="preserve">Kada je u pitanju broj izdatih uvjerenja i drugih isprava o činjenicama o kojima se vodi službena </w:t>
      </w:r>
      <w:r w:rsidRPr="004051EE">
        <w:rPr>
          <w:rFonts w:eastAsia="Calibri" w:cs="Times New Roman"/>
          <w:color w:val="000000"/>
          <w:szCs w:val="24"/>
        </w:rPr>
        <w:lastRenderedPageBreak/>
        <w:t xml:space="preserve">evidencija, to je </w:t>
      </w:r>
      <w:r w:rsidR="008B7553" w:rsidRPr="004051EE">
        <w:rPr>
          <w:rFonts w:eastAsia="Calibri" w:cs="Times New Roman"/>
          <w:color w:val="000000"/>
          <w:szCs w:val="24"/>
        </w:rPr>
        <w:t>76785</w:t>
      </w:r>
      <w:r w:rsidRPr="004051EE">
        <w:rPr>
          <w:rFonts w:eastAsia="Calibri" w:cs="Times New Roman"/>
          <w:color w:val="000000"/>
          <w:szCs w:val="24"/>
        </w:rPr>
        <w:t xml:space="preserve">, dok je broj izdatih uvjerenja i drugih isprava o činjenicama o kojima se ne vodi službena evidencija </w:t>
      </w:r>
      <w:r w:rsidR="008B7553" w:rsidRPr="004051EE">
        <w:rPr>
          <w:rFonts w:eastAsia="Calibri" w:cs="Times New Roman"/>
          <w:color w:val="000000"/>
          <w:szCs w:val="24"/>
        </w:rPr>
        <w:t>10149</w:t>
      </w:r>
      <w:r w:rsidRPr="004051EE">
        <w:rPr>
          <w:rFonts w:eastAsia="Calibri" w:cs="Times New Roman"/>
          <w:color w:val="000000"/>
          <w:szCs w:val="24"/>
        </w:rPr>
        <w:t xml:space="preserve">. </w:t>
      </w:r>
    </w:p>
    <w:p w:rsidR="00ED0951" w:rsidRPr="004051EE" w:rsidRDefault="00ED0951" w:rsidP="00ED0951">
      <w:pPr>
        <w:spacing w:before="0" w:after="160" w:line="240" w:lineRule="auto"/>
        <w:ind w:firstLine="709"/>
        <w:rPr>
          <w:rFonts w:eastAsia="Calibri" w:cs="Times New Roman"/>
          <w:color w:val="000000"/>
          <w:szCs w:val="24"/>
        </w:rPr>
      </w:pPr>
      <w:r w:rsidRPr="00ED0951">
        <w:rPr>
          <w:rFonts w:eastAsia="Calibri" w:cs="Times New Roman"/>
          <w:color w:val="000000"/>
          <w:szCs w:val="24"/>
        </w:rPr>
        <w:t>Izvještaj ne sadrži podatke o postupanju u upravnim stvarima Uprave za nekretnine i Uprave za imovinu, koje su u skladu sa novom Uredbom integrisane u Upravu za katastar i imovinu.</w:t>
      </w:r>
    </w:p>
    <w:p w:rsidR="008F659F" w:rsidRDefault="009F162A" w:rsidP="00DF4150">
      <w:pPr>
        <w:spacing w:before="0" w:after="0" w:line="259" w:lineRule="auto"/>
        <w:ind w:firstLine="709"/>
        <w:rPr>
          <w:rFonts w:eastAsia="Calibri" w:cs="Times New Roman"/>
          <w:color w:val="000000"/>
          <w:szCs w:val="24"/>
        </w:rPr>
      </w:pPr>
      <w:r>
        <w:rPr>
          <w:rFonts w:eastAsia="Calibri" w:cs="Times New Roman"/>
          <w:b/>
          <w:color w:val="000000"/>
          <w:szCs w:val="24"/>
        </w:rPr>
        <w:t>Pregled postupanja drugostepenih javnopravnih</w:t>
      </w:r>
      <w:r w:rsidR="007C34EE" w:rsidRPr="004051EE">
        <w:rPr>
          <w:rFonts w:eastAsia="Calibri" w:cs="Times New Roman"/>
          <w:b/>
          <w:color w:val="000000"/>
          <w:szCs w:val="24"/>
        </w:rPr>
        <w:t xml:space="preserve"> organa:</w:t>
      </w:r>
      <w:r w:rsidR="007C34EE" w:rsidRPr="004051EE">
        <w:rPr>
          <w:rFonts w:eastAsia="Calibri" w:cs="Times New Roman"/>
          <w:color w:val="000000"/>
          <w:szCs w:val="24"/>
        </w:rPr>
        <w:t xml:space="preserve">  ukupan broj žalbi u izvještajnom periodu iznosio je </w:t>
      </w:r>
      <w:r w:rsidR="00DA30E0" w:rsidRPr="004051EE">
        <w:rPr>
          <w:rFonts w:eastAsia="Calibri" w:cs="Times New Roman"/>
          <w:color w:val="000000"/>
          <w:szCs w:val="24"/>
        </w:rPr>
        <w:t>3328</w:t>
      </w:r>
      <w:r w:rsidR="007C34EE" w:rsidRPr="004051EE">
        <w:rPr>
          <w:rFonts w:eastAsia="Calibri" w:cs="Times New Roman"/>
          <w:color w:val="000000"/>
          <w:szCs w:val="24"/>
        </w:rPr>
        <w:t xml:space="preserve">, dok je broj neriješenih žalbi sa podatkom o broju neriješenih predmeta iz prethodne godine iznosio </w:t>
      </w:r>
      <w:r w:rsidR="00DA30E0" w:rsidRPr="004051EE">
        <w:rPr>
          <w:rFonts w:eastAsia="Calibri" w:cs="Times New Roman"/>
          <w:color w:val="000000"/>
          <w:szCs w:val="24"/>
        </w:rPr>
        <w:t>247 (155 za 2019. godinu)</w:t>
      </w:r>
      <w:r w:rsidR="007C34EE" w:rsidRPr="004051EE">
        <w:rPr>
          <w:rFonts w:eastAsia="Calibri" w:cs="Times New Roman"/>
          <w:color w:val="000000"/>
          <w:szCs w:val="24"/>
        </w:rPr>
        <w:t xml:space="preserve">. Broj predmeta koji su riješeni u drugostepenom postupku iznosio je </w:t>
      </w:r>
      <w:r w:rsidR="00DA30E0" w:rsidRPr="004051EE">
        <w:rPr>
          <w:rFonts w:eastAsia="Calibri" w:cs="Times New Roman"/>
          <w:color w:val="000000"/>
          <w:szCs w:val="24"/>
        </w:rPr>
        <w:t>3371</w:t>
      </w:r>
      <w:r w:rsidR="007C34EE" w:rsidRPr="004051EE">
        <w:rPr>
          <w:rFonts w:eastAsia="Calibri" w:cs="Times New Roman"/>
          <w:color w:val="000000"/>
          <w:szCs w:val="24"/>
        </w:rPr>
        <w:t xml:space="preserve">, od kojih je u roku riješeno </w:t>
      </w:r>
      <w:r w:rsidR="00DA30E0" w:rsidRPr="004051EE">
        <w:rPr>
          <w:rFonts w:eastAsia="Calibri" w:cs="Times New Roman"/>
          <w:color w:val="000000"/>
          <w:szCs w:val="24"/>
        </w:rPr>
        <w:t>2466</w:t>
      </w:r>
      <w:r w:rsidR="007C34EE" w:rsidRPr="004051EE">
        <w:rPr>
          <w:rFonts w:eastAsia="Calibri" w:cs="Times New Roman"/>
          <w:color w:val="000000"/>
          <w:szCs w:val="24"/>
        </w:rPr>
        <w:t xml:space="preserve">, dok je po isteku roka riješeno </w:t>
      </w:r>
      <w:r w:rsidR="00DA30E0" w:rsidRPr="004051EE">
        <w:rPr>
          <w:rFonts w:eastAsia="Calibri" w:cs="Times New Roman"/>
          <w:color w:val="000000"/>
          <w:szCs w:val="24"/>
        </w:rPr>
        <w:t>905</w:t>
      </w:r>
      <w:r w:rsidR="007C34EE" w:rsidRPr="004051EE">
        <w:rPr>
          <w:rFonts w:eastAsia="Calibri" w:cs="Times New Roman"/>
          <w:color w:val="000000"/>
          <w:szCs w:val="24"/>
        </w:rPr>
        <w:t xml:space="preserve"> predmeta. Kada je u pitanju meritorno odlučivanje drugostepenog organa ukupno je bilo </w:t>
      </w:r>
      <w:r w:rsidR="00DA30E0" w:rsidRPr="004051EE">
        <w:rPr>
          <w:rFonts w:eastAsia="Calibri" w:cs="Times New Roman"/>
          <w:color w:val="000000"/>
          <w:szCs w:val="24"/>
        </w:rPr>
        <w:t>70</w:t>
      </w:r>
      <w:r w:rsidR="007C34EE" w:rsidRPr="004051EE">
        <w:rPr>
          <w:rFonts w:eastAsia="Calibri" w:cs="Times New Roman"/>
          <w:color w:val="000000"/>
          <w:szCs w:val="24"/>
        </w:rPr>
        <w:t xml:space="preserve"> rješenja. U postupcima u kojima su rješenja poništena i vraćena prvostepenom organu na ponovno odlučivanje, ukupno je donijeto </w:t>
      </w:r>
      <w:r w:rsidR="00DA30E0" w:rsidRPr="004051EE">
        <w:rPr>
          <w:rFonts w:eastAsia="Calibri" w:cs="Times New Roman"/>
          <w:color w:val="000000"/>
          <w:szCs w:val="24"/>
        </w:rPr>
        <w:t>1430</w:t>
      </w:r>
      <w:r w:rsidR="007C34EE" w:rsidRPr="004051EE">
        <w:rPr>
          <w:rFonts w:eastAsia="Calibri" w:cs="Times New Roman"/>
          <w:color w:val="000000"/>
          <w:szCs w:val="24"/>
        </w:rPr>
        <w:t xml:space="preserve"> rješenja. Broj izmijenjenih rješenja po žalbi je </w:t>
      </w:r>
      <w:r w:rsidR="00DA30E0" w:rsidRPr="004051EE">
        <w:rPr>
          <w:rFonts w:eastAsia="Calibri" w:cs="Times New Roman"/>
          <w:color w:val="000000"/>
          <w:szCs w:val="24"/>
        </w:rPr>
        <w:t>0</w:t>
      </w:r>
      <w:r w:rsidR="007C34EE" w:rsidRPr="004051EE">
        <w:rPr>
          <w:rFonts w:eastAsia="Calibri" w:cs="Times New Roman"/>
          <w:color w:val="000000"/>
          <w:szCs w:val="24"/>
        </w:rPr>
        <w:t xml:space="preserve">, dok je broj odbijenih žalbi bio </w:t>
      </w:r>
      <w:r w:rsidR="00DA30E0" w:rsidRPr="004051EE">
        <w:rPr>
          <w:rFonts w:eastAsia="Calibri" w:cs="Times New Roman"/>
          <w:color w:val="000000"/>
          <w:szCs w:val="24"/>
        </w:rPr>
        <w:t>1075</w:t>
      </w:r>
      <w:r w:rsidR="007C34EE" w:rsidRPr="004051EE">
        <w:rPr>
          <w:rFonts w:eastAsia="Calibri" w:cs="Times New Roman"/>
          <w:color w:val="000000"/>
          <w:szCs w:val="24"/>
        </w:rPr>
        <w:t xml:space="preserve">. Kada su u pitanju obustavljeni postupci, ukupno ih je bilo </w:t>
      </w:r>
      <w:r w:rsidR="00DA30E0" w:rsidRPr="004051EE">
        <w:rPr>
          <w:rFonts w:eastAsia="Calibri" w:cs="Times New Roman"/>
          <w:color w:val="000000"/>
          <w:szCs w:val="24"/>
        </w:rPr>
        <w:t>27</w:t>
      </w:r>
      <w:r w:rsidR="007C34EE" w:rsidRPr="004051EE">
        <w:rPr>
          <w:rFonts w:eastAsia="Calibri" w:cs="Times New Roman"/>
          <w:color w:val="000000"/>
          <w:szCs w:val="24"/>
        </w:rPr>
        <w:t xml:space="preserve">. </w:t>
      </w:r>
      <w:r w:rsidR="00DA30E0" w:rsidRPr="004051EE">
        <w:rPr>
          <w:rFonts w:eastAsia="Calibri" w:cs="Times New Roman"/>
          <w:color w:val="000000"/>
          <w:szCs w:val="24"/>
        </w:rPr>
        <w:t xml:space="preserve">Broj usvojenih zahtjeva za ponavljanje postupka nije bilo , dok je odbijenih bilo 5. </w:t>
      </w:r>
      <w:r w:rsidR="007C34EE" w:rsidRPr="004051EE">
        <w:rPr>
          <w:rFonts w:eastAsia="Calibri" w:cs="Times New Roman"/>
          <w:color w:val="000000"/>
          <w:szCs w:val="24"/>
        </w:rPr>
        <w:t xml:space="preserve">U postupanju pred Upravnim sudom, broj tužbi iznosio je </w:t>
      </w:r>
      <w:r w:rsidR="00DA30E0" w:rsidRPr="004051EE">
        <w:rPr>
          <w:rFonts w:eastAsia="Calibri" w:cs="Times New Roman"/>
          <w:color w:val="000000"/>
          <w:szCs w:val="24"/>
        </w:rPr>
        <w:t>899</w:t>
      </w:r>
      <w:r w:rsidR="007C34EE" w:rsidRPr="004051EE">
        <w:rPr>
          <w:rFonts w:eastAsia="Calibri" w:cs="Times New Roman"/>
          <w:color w:val="000000"/>
          <w:szCs w:val="24"/>
        </w:rPr>
        <w:t xml:space="preserve">, dok je ukupan broj odluka Upravnog suda bio </w:t>
      </w:r>
      <w:r w:rsidR="00DA30E0" w:rsidRPr="004051EE">
        <w:rPr>
          <w:rFonts w:eastAsia="Calibri" w:cs="Times New Roman"/>
          <w:color w:val="000000"/>
          <w:szCs w:val="24"/>
        </w:rPr>
        <w:t>412</w:t>
      </w:r>
      <w:r w:rsidR="007C34EE" w:rsidRPr="004051EE">
        <w:rPr>
          <w:rFonts w:eastAsia="Calibri" w:cs="Times New Roman"/>
          <w:color w:val="000000"/>
          <w:szCs w:val="24"/>
        </w:rPr>
        <w:t xml:space="preserve">, od toga usvojenih tužbi je bilo </w:t>
      </w:r>
      <w:r w:rsidR="00DA30E0" w:rsidRPr="004051EE">
        <w:rPr>
          <w:rFonts w:eastAsia="Calibri" w:cs="Times New Roman"/>
          <w:color w:val="000000"/>
          <w:szCs w:val="24"/>
        </w:rPr>
        <w:t>140</w:t>
      </w:r>
      <w:r w:rsidR="007C34EE" w:rsidRPr="004051EE">
        <w:rPr>
          <w:rFonts w:eastAsia="Calibri" w:cs="Times New Roman"/>
          <w:color w:val="000000"/>
          <w:szCs w:val="24"/>
        </w:rPr>
        <w:t xml:space="preserve">, dok je broj odbijenih tužbi bilo </w:t>
      </w:r>
      <w:r w:rsidR="00DA30E0" w:rsidRPr="004051EE">
        <w:rPr>
          <w:rFonts w:eastAsia="Calibri" w:cs="Times New Roman"/>
          <w:color w:val="000000"/>
          <w:szCs w:val="24"/>
        </w:rPr>
        <w:t>272</w:t>
      </w:r>
      <w:r w:rsidR="007C34EE" w:rsidRPr="004051EE">
        <w:rPr>
          <w:rFonts w:eastAsia="Calibri" w:cs="Times New Roman"/>
          <w:color w:val="000000"/>
          <w:szCs w:val="24"/>
        </w:rPr>
        <w:t>.</w:t>
      </w:r>
    </w:p>
    <w:p w:rsidR="00A3292B" w:rsidRPr="004051EE" w:rsidRDefault="00A3292B" w:rsidP="00DF4150">
      <w:pPr>
        <w:spacing w:after="0" w:line="259" w:lineRule="auto"/>
        <w:rPr>
          <w:rFonts w:eastAsia="Calibri" w:cs="Times New Roman"/>
          <w:color w:val="000000"/>
          <w:szCs w:val="24"/>
        </w:rPr>
      </w:pPr>
    </w:p>
    <w:p w:rsidR="00B81CBB" w:rsidRPr="00435880" w:rsidRDefault="007C34EE" w:rsidP="007C34EE">
      <w:pPr>
        <w:pStyle w:val="PlainText"/>
        <w:shd w:val="clear" w:color="auto" w:fill="EE8C69" w:themeFill="accent1" w:themeFillTint="99"/>
        <w:jc w:val="center"/>
        <w:rPr>
          <w:rFonts w:asciiTheme="minorHAnsi" w:hAnsiTheme="minorHAnsi" w:cs="Arial"/>
          <w:b/>
          <w:sz w:val="26"/>
          <w:szCs w:val="26"/>
          <w:lang w:val="it-IT"/>
        </w:rPr>
      </w:pPr>
      <w:r w:rsidRPr="00435880">
        <w:rPr>
          <w:rFonts w:asciiTheme="minorHAnsi" w:hAnsiTheme="minorHAnsi" w:cs="Arial"/>
          <w:b/>
          <w:sz w:val="26"/>
          <w:szCs w:val="26"/>
          <w:lang w:val="it-IT"/>
        </w:rPr>
        <w:t>V</w:t>
      </w:r>
      <w:r w:rsidR="00B81CBB" w:rsidRPr="00435880">
        <w:rPr>
          <w:rFonts w:asciiTheme="minorHAnsi" w:hAnsiTheme="minorHAnsi" w:cs="Arial"/>
          <w:b/>
          <w:sz w:val="26"/>
          <w:szCs w:val="26"/>
          <w:lang w:val="it-IT"/>
        </w:rPr>
        <w:t xml:space="preserve"> </w:t>
      </w:r>
      <w:r w:rsidR="00F263CD" w:rsidRPr="00435880">
        <w:rPr>
          <w:rFonts w:asciiTheme="minorHAnsi" w:hAnsiTheme="minorHAnsi" w:cs="Arial"/>
          <w:b/>
          <w:sz w:val="26"/>
          <w:szCs w:val="26"/>
          <w:lang w:val="it-IT"/>
        </w:rPr>
        <w:t>PROGRAMSKE AKTIVNOSTI MINISTARSTVA FINANSIJA</w:t>
      </w:r>
    </w:p>
    <w:p w:rsidR="004E12BF" w:rsidRDefault="004E12BF" w:rsidP="008F659F">
      <w:pPr>
        <w:pStyle w:val="PlainText"/>
        <w:jc w:val="both"/>
        <w:rPr>
          <w:rFonts w:asciiTheme="minorHAnsi" w:hAnsiTheme="minorHAnsi" w:cs="Arial"/>
          <w:i/>
          <w:sz w:val="24"/>
          <w:szCs w:val="24"/>
          <w:lang w:val="it-IT"/>
        </w:rPr>
      </w:pPr>
    </w:p>
    <w:p w:rsidR="008F659F" w:rsidRDefault="00B64C8A" w:rsidP="00B64C8A">
      <w:pPr>
        <w:pStyle w:val="Default"/>
        <w:shd w:val="clear" w:color="auto" w:fill="F9D8CD" w:themeFill="accent1" w:themeFillTint="33"/>
        <w:ind w:firstLine="709"/>
        <w:rPr>
          <w:rFonts w:asciiTheme="minorHAnsi" w:hAnsiTheme="minorHAnsi" w:cstheme="minorHAnsi"/>
          <w:b/>
          <w:bCs/>
          <w:iCs/>
          <w:color w:val="auto"/>
          <w:lang w:val="sr-Latn-ME"/>
        </w:rPr>
      </w:pPr>
      <w:r>
        <w:rPr>
          <w:rFonts w:asciiTheme="minorHAnsi" w:hAnsiTheme="minorHAnsi" w:cstheme="minorHAnsi"/>
          <w:b/>
          <w:bCs/>
          <w:iCs/>
          <w:color w:val="auto"/>
          <w:lang w:val="sr-Latn-ME"/>
        </w:rPr>
        <w:t xml:space="preserve">1. </w:t>
      </w:r>
      <w:r w:rsidR="008F659F" w:rsidRPr="00CF7989">
        <w:rPr>
          <w:rFonts w:asciiTheme="minorHAnsi" w:hAnsiTheme="minorHAnsi" w:cstheme="minorHAnsi"/>
          <w:b/>
          <w:bCs/>
          <w:iCs/>
          <w:color w:val="auto"/>
          <w:lang w:val="sr-Latn-ME"/>
        </w:rPr>
        <w:t>DIREKTORAT ZA EKONOMSKU I RAZVOJNU POLITIKU</w:t>
      </w:r>
    </w:p>
    <w:p w:rsidR="008F659F" w:rsidRPr="008F659F" w:rsidRDefault="008F659F" w:rsidP="00101664">
      <w:pPr>
        <w:pStyle w:val="Default"/>
        <w:spacing w:before="240"/>
        <w:ind w:firstLine="709"/>
        <w:jc w:val="both"/>
        <w:rPr>
          <w:rFonts w:asciiTheme="minorHAnsi" w:hAnsiTheme="minorHAnsi" w:cstheme="minorHAnsi"/>
          <w:color w:val="auto"/>
          <w:lang w:val="sr-Latn-ME"/>
        </w:rPr>
      </w:pPr>
      <w:r w:rsidRPr="008F659F">
        <w:rPr>
          <w:rFonts w:asciiTheme="minorHAnsi" w:hAnsiTheme="minorHAnsi" w:cstheme="minorHAnsi"/>
          <w:color w:val="auto"/>
          <w:lang w:val="sr-Latn-ME"/>
        </w:rPr>
        <w:t>Direktorat za ekonomsku i razvojnu politiku</w:t>
      </w:r>
      <w:r>
        <w:rPr>
          <w:rFonts w:asciiTheme="minorHAnsi" w:hAnsiTheme="minorHAnsi" w:cstheme="minorHAnsi"/>
          <w:color w:val="auto"/>
          <w:lang w:val="sr-Latn-ME"/>
        </w:rPr>
        <w:t xml:space="preserve"> je u izvještajnom periodu</w:t>
      </w:r>
      <w:r w:rsidRPr="00CF7989">
        <w:rPr>
          <w:rFonts w:asciiTheme="minorHAnsi" w:hAnsiTheme="minorHAnsi" w:cstheme="minorHAnsi"/>
          <w:color w:val="auto"/>
          <w:lang w:val="sr-Latn-ME"/>
        </w:rPr>
        <w:t xml:space="preserve"> realizovao aktivnosti koje su se odnosile, prije svega, na: proces makroekonomskog projektovanja i analiziranja, sagledavanje i izbor sistemskih mjera za utvrđivanje i realizaciju ekonomske i razvojne politike; analizu ostvarivanja strateških razvojnih opredjeljenja i strukturnih promjena u ekonomiji Crne Gore; te praćenje globalnih kretanja i njihovog uticaja na performanse razvoja Crne Gore. </w:t>
      </w:r>
    </w:p>
    <w:p w:rsidR="008F659F" w:rsidRPr="00CF7989" w:rsidRDefault="008F659F" w:rsidP="008541C2">
      <w:pPr>
        <w:autoSpaceDE w:val="0"/>
        <w:autoSpaceDN w:val="0"/>
        <w:adjustRightInd w:val="0"/>
        <w:spacing w:before="0" w:after="0" w:line="240" w:lineRule="auto"/>
        <w:ind w:firstLine="284"/>
        <w:rPr>
          <w:rFonts w:cstheme="minorHAnsi"/>
          <w:szCs w:val="24"/>
          <w:lang w:val="sr-Latn-ME"/>
        </w:rPr>
      </w:pPr>
      <w:r w:rsidRPr="00CF7989">
        <w:rPr>
          <w:rFonts w:eastAsia="AgfaRotisSemisans-Light" w:cstheme="minorHAnsi"/>
          <w:szCs w:val="24"/>
          <w:lang w:val="sr-Latn-ME"/>
        </w:rPr>
        <w:t>S tim u vezi, a u</w:t>
      </w:r>
      <w:r w:rsidRPr="00CF7989">
        <w:rPr>
          <w:rFonts w:cstheme="minorHAnsi"/>
          <w:szCs w:val="24"/>
          <w:lang w:val="sr-Latn-ME"/>
        </w:rPr>
        <w:t xml:space="preserve"> skladu sa Programom rada Vlade Crne Gore i Programom rada Ministarstva finansija za 2020. godinu usvojena su sljedeća dokumenata:</w:t>
      </w:r>
    </w:p>
    <w:p w:rsidR="008F659F" w:rsidRPr="00CF7512" w:rsidRDefault="008F659F" w:rsidP="008541C2">
      <w:pPr>
        <w:spacing w:before="0" w:after="0" w:line="240" w:lineRule="auto"/>
        <w:rPr>
          <w:rFonts w:cstheme="minorHAnsi"/>
          <w:color w:val="000000" w:themeColor="text1"/>
          <w:szCs w:val="24"/>
          <w:lang w:val="sr-Latn-ME"/>
        </w:rPr>
      </w:pPr>
      <w:r w:rsidRPr="00CF7512">
        <w:rPr>
          <w:rFonts w:cstheme="minorHAnsi"/>
          <w:b/>
          <w:color w:val="000000" w:themeColor="text1"/>
          <w:szCs w:val="24"/>
          <w:lang w:val="sr-Latn-ME"/>
        </w:rPr>
        <w:t xml:space="preserve">Program ekonomskih reformi za Crnu Goru za period 2020-2022 godine. </w:t>
      </w:r>
      <w:r w:rsidRPr="00CF7512">
        <w:rPr>
          <w:rFonts w:cstheme="minorHAnsi"/>
          <w:color w:val="000000" w:themeColor="text1"/>
          <w:szCs w:val="24"/>
          <w:lang w:val="sr-Latn-ME"/>
        </w:rPr>
        <w:t>Vlada je na sjednici održanoj 16. januara 2020. godine usvojila Program ekonomskih reformi za Crnu Goru za period 2020-2022. Ovim dokumentom Vlada Crne Gore vodi ekonomski dijalog sa Evropskom komisijom u procesu EU integracija. Program ekonomskih reformi za 2020. godinu sadrži srednjoročni makroekonomski i fiskalni okvir, kao i mjere fiskalne politike. PER za 2020. godinu sadrži i sveobuhvatnu agendu strukturnih reformi koja prikazuje javne politike u 9 oblasti i to: upravljanje javnim finansijama; reforma energetskog tržišta i tržišta saobraćaja; sektorski razvoj; poslovno okruženje i smanjenje neformalne ekonomije; istraživanje, razvoj i inovacije i digitalna ekonomija; reforme vezane za trgovinu. Uvažene su preporuke Evropske komisije sa ministarskog dijaloga u vezi izrade Poglavlja 3 – Makroekonomski okvir, koje je sastavni dio Programa.</w:t>
      </w:r>
    </w:p>
    <w:p w:rsidR="008F659F" w:rsidRPr="00CF7512" w:rsidRDefault="008F659F" w:rsidP="008541C2">
      <w:pPr>
        <w:spacing w:before="0" w:after="0" w:line="240" w:lineRule="auto"/>
        <w:rPr>
          <w:rFonts w:cstheme="minorHAnsi"/>
          <w:szCs w:val="24"/>
          <w:lang w:val="sr-Latn-ME"/>
        </w:rPr>
      </w:pPr>
      <w:r w:rsidRPr="00CF7512">
        <w:rPr>
          <w:rFonts w:cstheme="minorHAnsi"/>
          <w:b/>
          <w:szCs w:val="24"/>
          <w:lang w:val="sr-Latn-ME"/>
        </w:rPr>
        <w:t>Predlog proljećne analize makroekonomskih kretanja i strukturnih reformi – 2020</w:t>
      </w:r>
      <w:r w:rsidRPr="00CF7512">
        <w:rPr>
          <w:rFonts w:cstheme="minorHAnsi"/>
          <w:szCs w:val="24"/>
          <w:lang w:val="sr-Latn-ME"/>
        </w:rPr>
        <w:t>. Vlada je, bez održavanja sjednice, a uz pribavljenu saglasnost njenih članova, 9. jula 2020. godine usvojila Proljećnu analizu</w:t>
      </w:r>
      <w:r w:rsidRPr="00CF7512">
        <w:rPr>
          <w:rFonts w:cstheme="minorHAnsi"/>
          <w:b/>
          <w:szCs w:val="24"/>
          <w:lang w:val="sr-Latn-ME"/>
        </w:rPr>
        <w:t xml:space="preserve"> </w:t>
      </w:r>
      <w:r w:rsidRPr="00CF7512">
        <w:rPr>
          <w:rFonts w:cstheme="minorHAnsi"/>
          <w:szCs w:val="24"/>
          <w:lang w:val="sr-Latn-ME"/>
        </w:rPr>
        <w:t xml:space="preserve">makroekonomskih kretanja i strukturnih reformi – 2020. </w:t>
      </w:r>
      <w:r w:rsidRPr="00CF7512">
        <w:rPr>
          <w:rFonts w:eastAsia="Calibri Light" w:cstheme="minorHAnsi"/>
          <w:szCs w:val="24"/>
          <w:lang w:val="sr-Latn-ME" w:eastAsia="en-GB"/>
        </w:rPr>
        <w:t>Direktorat za ekonomsku i razvojnu politiku je, u saradnji sa nadležnim institucijama, pr</w:t>
      </w:r>
      <w:r w:rsidR="005D0B80" w:rsidRPr="00CF7512">
        <w:rPr>
          <w:rFonts w:eastAsia="Calibri Light" w:cstheme="minorHAnsi"/>
          <w:szCs w:val="24"/>
          <w:lang w:val="sr-Latn-ME" w:eastAsia="en-GB"/>
        </w:rPr>
        <w:t xml:space="preserve">ipremio analizu makroekonomskih </w:t>
      </w:r>
      <w:r w:rsidRPr="00CF7512">
        <w:rPr>
          <w:rFonts w:eastAsia="Calibri Light" w:cstheme="minorHAnsi"/>
          <w:szCs w:val="24"/>
          <w:lang w:val="sr-Latn-ME" w:eastAsia="en-GB"/>
        </w:rPr>
        <w:t xml:space="preserve">kretanja i strukturnih reformi, odnosno kretanja osnovnih makroekonomskih indikatora (BDP, cijene, tržište rada, monetarni i eksterni sektor, javne finansije) i prikazao kretanja po sektorskim politikama. Pored navedenog, predmet analize bila su i ekonomska kretanja na globalnom i regionalnom nivou, posebno u uslovima početka pandemije virusa Covid-19, uzimajući u obzir i projekcije relevantnih međunarodnih institucija (MMF, SB i EK). Analizom je obuhvaćen period </w:t>
      </w:r>
      <w:r w:rsidRPr="00CF7512">
        <w:rPr>
          <w:rFonts w:cstheme="minorHAnsi"/>
          <w:szCs w:val="24"/>
          <w:lang w:val="sr-Latn-ME"/>
        </w:rPr>
        <w:t xml:space="preserve">2019. i prvi kvartal 2020. godine. </w:t>
      </w:r>
    </w:p>
    <w:p w:rsidR="008F659F" w:rsidRPr="00CF7512" w:rsidRDefault="008F659F" w:rsidP="008541C2">
      <w:pPr>
        <w:autoSpaceDE w:val="0"/>
        <w:autoSpaceDN w:val="0"/>
        <w:adjustRightInd w:val="0"/>
        <w:spacing w:before="0" w:after="0" w:line="240" w:lineRule="auto"/>
        <w:rPr>
          <w:rFonts w:cstheme="minorHAnsi"/>
          <w:szCs w:val="24"/>
          <w:lang w:val="sr-Latn-ME"/>
        </w:rPr>
      </w:pPr>
      <w:r w:rsidRPr="00CF7512">
        <w:rPr>
          <w:rFonts w:cstheme="minorHAnsi"/>
          <w:b/>
          <w:szCs w:val="24"/>
          <w:lang w:val="sr-Latn-ME"/>
        </w:rPr>
        <w:lastRenderedPageBreak/>
        <w:t xml:space="preserve">Predlog </w:t>
      </w:r>
      <w:bookmarkStart w:id="0" w:name="_Hlk63278360"/>
      <w:r w:rsidRPr="00CF7512">
        <w:rPr>
          <w:rFonts w:cstheme="minorHAnsi"/>
          <w:b/>
          <w:szCs w:val="24"/>
          <w:lang w:val="sr-Latn-ME"/>
        </w:rPr>
        <w:t xml:space="preserve">smjernica makroekonomske i fiskalne politike za period od 2020-2023. godine </w:t>
      </w:r>
      <w:bookmarkEnd w:id="0"/>
      <w:r w:rsidRPr="00CF7512">
        <w:rPr>
          <w:rFonts w:cstheme="minorHAnsi"/>
          <w:b/>
          <w:szCs w:val="24"/>
          <w:lang w:val="sr-Latn-ME"/>
        </w:rPr>
        <w:t xml:space="preserve">je pripreman </w:t>
      </w:r>
      <w:r w:rsidRPr="00CF7512">
        <w:rPr>
          <w:rFonts w:cstheme="minorHAnsi"/>
          <w:szCs w:val="24"/>
          <w:lang w:val="sr-Latn-ME"/>
        </w:rPr>
        <w:t xml:space="preserve">u saradnji sa Direktoratom za državni budžet. Vlada je, bez održavanja sjednice, a uz pribavljenu saglasnost njenih članova, 9. jula 2020. godine usvojila </w:t>
      </w:r>
      <w:r w:rsidRPr="00AF2F9C">
        <w:rPr>
          <w:rFonts w:cstheme="minorHAnsi"/>
          <w:szCs w:val="24"/>
          <w:lang w:val="sr-Latn-ME"/>
        </w:rPr>
        <w:t>Smjernice makroekonomske i fiskalne politike za period od 2020-2023. godine.</w:t>
      </w:r>
      <w:r w:rsidRPr="00CF7512">
        <w:rPr>
          <w:rFonts w:cstheme="minorHAnsi"/>
          <w:szCs w:val="24"/>
          <w:lang w:val="sr-Latn-ME"/>
        </w:rPr>
        <w:t xml:space="preserve"> Smjernicama su dati srednjoročni ciljevi ekonomske i fiskalne politike, srednjoročni makroekonomski i fiskalni okvir, planirani javni prihodi i rashodi za 2021. godinu, a sadržane su i projekcije prihoda i rashoda za 2022. i 2023. godinu. </w:t>
      </w:r>
    </w:p>
    <w:p w:rsidR="008F659F" w:rsidRPr="00CF7989" w:rsidRDefault="008F659F" w:rsidP="008F659F">
      <w:pPr>
        <w:spacing w:line="240" w:lineRule="auto"/>
        <w:rPr>
          <w:rFonts w:cstheme="minorHAnsi"/>
          <w:b/>
          <w:szCs w:val="24"/>
          <w:lang w:val="sr-Latn-ME"/>
        </w:rPr>
      </w:pPr>
      <w:r w:rsidRPr="00CF7989">
        <w:rPr>
          <w:rFonts w:cstheme="minorHAnsi"/>
          <w:b/>
          <w:szCs w:val="24"/>
          <w:lang w:val="sr-Latn-ME"/>
        </w:rPr>
        <w:t xml:space="preserve">PORED USVOJENIH DOKUMENATA, PROGRAMOM RADA VLADE CRNE GORE ZA 2020. BILA JE PREDVIĐENA IZRADA SLJEDEĆIH DOKUMENATA: </w:t>
      </w:r>
    </w:p>
    <w:p w:rsidR="008F659F" w:rsidRPr="00CF7512" w:rsidRDefault="008F659F" w:rsidP="00CF7512">
      <w:pPr>
        <w:autoSpaceDE w:val="0"/>
        <w:autoSpaceDN w:val="0"/>
        <w:adjustRightInd w:val="0"/>
        <w:spacing w:before="0" w:after="0" w:line="240" w:lineRule="auto"/>
        <w:rPr>
          <w:rFonts w:cstheme="minorHAnsi"/>
          <w:color w:val="000000" w:themeColor="text1"/>
          <w:szCs w:val="24"/>
          <w:lang w:val="sr-Latn-ME"/>
        </w:rPr>
      </w:pPr>
      <w:r w:rsidRPr="00CF7512">
        <w:rPr>
          <w:rFonts w:cstheme="minorHAnsi"/>
          <w:b/>
          <w:color w:val="000000" w:themeColor="text1"/>
          <w:szCs w:val="24"/>
          <w:lang w:val="sr-Latn-ME"/>
        </w:rPr>
        <w:t xml:space="preserve">Pravci razvoja Crne Gore 2021 ‐ 2024. godine (IV kvartal 2020) </w:t>
      </w:r>
    </w:p>
    <w:p w:rsidR="008F659F" w:rsidRPr="00CF7989" w:rsidRDefault="008F659F" w:rsidP="004051EE">
      <w:pPr>
        <w:spacing w:after="0"/>
        <w:ind w:firstLine="360"/>
        <w:textAlignment w:val="top"/>
        <w:rPr>
          <w:rFonts w:cstheme="minorHAnsi"/>
          <w:szCs w:val="24"/>
          <w:lang w:val="sr-Latn-ME"/>
        </w:rPr>
      </w:pPr>
      <w:r w:rsidRPr="00CF7989">
        <w:rPr>
          <w:rFonts w:cstheme="minorHAnsi"/>
          <w:szCs w:val="24"/>
          <w:lang w:val="sr-Latn-ME"/>
        </w:rPr>
        <w:t xml:space="preserve">Imajući u vidu da smo, po prvi put od početka pripreme ovoga dokumenta, dobili Vladu diskontinuiteta, za pripremu ovoga krovnog razvojnog dokumenta Crne Gore potrebni su nam inputi u smislu strateškog opredjeljenja i prioriteta nove Vlade, politika koje će sprovoditi, odnosno projekata i mjera koji se planiraju realizovati, kao i izvora njihovog finansiranja. </w:t>
      </w:r>
    </w:p>
    <w:p w:rsidR="008F659F" w:rsidRPr="005D0B80" w:rsidRDefault="008F659F" w:rsidP="005D0B80">
      <w:pPr>
        <w:spacing w:after="0"/>
        <w:textAlignment w:val="top"/>
        <w:rPr>
          <w:rFonts w:cstheme="minorHAnsi"/>
          <w:szCs w:val="24"/>
          <w:lang w:val="sr-Latn-ME"/>
        </w:rPr>
      </w:pPr>
      <w:r w:rsidRPr="00CF7989">
        <w:rPr>
          <w:rFonts w:cstheme="minorHAnsi"/>
          <w:szCs w:val="24"/>
          <w:lang w:val="sr-Latn-ME"/>
        </w:rPr>
        <w:t>U skladu sa Programom rada Vlade za 2021. predviđeno je donošenje novih Pravaca razvoja za naredni četvorogodišnji period.</w:t>
      </w:r>
    </w:p>
    <w:p w:rsidR="008F659F" w:rsidRPr="00CF7512" w:rsidRDefault="008F659F" w:rsidP="00CF7512">
      <w:pPr>
        <w:autoSpaceDE w:val="0"/>
        <w:autoSpaceDN w:val="0"/>
        <w:adjustRightInd w:val="0"/>
        <w:spacing w:after="0" w:line="240" w:lineRule="auto"/>
        <w:rPr>
          <w:rFonts w:cstheme="minorHAnsi"/>
          <w:szCs w:val="24"/>
          <w:lang w:val="sr-Latn-ME"/>
        </w:rPr>
      </w:pPr>
      <w:r w:rsidRPr="00CF7512">
        <w:rPr>
          <w:rFonts w:cstheme="minorHAnsi"/>
          <w:b/>
          <w:szCs w:val="24"/>
          <w:lang w:val="sr-Latn-ME"/>
        </w:rPr>
        <w:t>Projekcije makroekonomskih pokazatelja za period 2020-2023. godine (IV kvartal 2020)</w:t>
      </w:r>
    </w:p>
    <w:p w:rsidR="008F659F" w:rsidRPr="00CF7989" w:rsidRDefault="008F659F" w:rsidP="004051EE">
      <w:pPr>
        <w:autoSpaceDE w:val="0"/>
        <w:autoSpaceDN w:val="0"/>
        <w:adjustRightInd w:val="0"/>
        <w:spacing w:before="0" w:line="240" w:lineRule="auto"/>
        <w:ind w:firstLine="360"/>
        <w:rPr>
          <w:rFonts w:cstheme="minorHAnsi"/>
          <w:szCs w:val="24"/>
          <w:lang w:val="sr-Latn-ME"/>
        </w:rPr>
      </w:pPr>
      <w:r w:rsidRPr="00CF7989">
        <w:rPr>
          <w:rFonts w:cstheme="minorHAnsi"/>
          <w:szCs w:val="24"/>
          <w:lang w:val="sr-Latn-ME"/>
        </w:rPr>
        <w:t xml:space="preserve">Ovim dokumentom ažuriraju se projekcije rasta bruto domaćeg proizvoda (BDP‐a) i drugih makroekonomskih indikatora za period od 2020‐2023. godine. Projekcije definisane ovim dokumentom su korišćene za izradu Zakona o budžetu za 2021. godinu i bile su polazište za pripremu Programa ekonomskih reformi Crne Gore 2021‐2023, koji predstavlja najznačajniji dokument u okviru ekonomskog dijaloga Crne Gore i Evropske komisije. </w:t>
      </w:r>
      <w:r w:rsidRPr="00CF7989">
        <w:rPr>
          <w:rFonts w:cstheme="minorHAnsi"/>
          <w:b/>
          <w:i/>
          <w:szCs w:val="24"/>
          <w:lang w:val="sr-Latn-ME"/>
        </w:rPr>
        <w:t xml:space="preserve">Napomena: </w:t>
      </w:r>
      <w:r w:rsidRPr="00CF7989">
        <w:rPr>
          <w:rFonts w:cstheme="minorHAnsi"/>
          <w:szCs w:val="24"/>
          <w:lang w:val="sr-Latn-ME"/>
        </w:rPr>
        <w:t>Usvajanje Projekcija makroekonomskih pokazatelja za period 2020-2023. godine odloženo je usljed odlaganja usvajanja godišnjeg Zakona o budžetu za 2021. godinu. Posljednje relevantne projekcije sadržane su u usvojenim Revidiranim smjernicama makroekonomske i fiskalne politike za period 2021-2023. godine.</w:t>
      </w:r>
    </w:p>
    <w:p w:rsidR="008F659F" w:rsidRPr="00CF7512" w:rsidRDefault="008F659F" w:rsidP="00CF7512">
      <w:pPr>
        <w:spacing w:before="0" w:after="0" w:line="240" w:lineRule="auto"/>
        <w:rPr>
          <w:rFonts w:cstheme="minorHAnsi"/>
          <w:szCs w:val="24"/>
          <w:lang w:val="sr-Latn-ME"/>
        </w:rPr>
      </w:pPr>
      <w:r w:rsidRPr="00CF7512">
        <w:rPr>
          <w:rFonts w:cstheme="minorHAnsi"/>
          <w:b/>
          <w:szCs w:val="24"/>
          <w:lang w:val="sr-Latn-ME"/>
        </w:rPr>
        <w:t>Predlog jesenje analize makroekonomskih kretanja i strukturnih reformi – 2020. (IV kvartal 2020)</w:t>
      </w:r>
    </w:p>
    <w:p w:rsidR="008F659F" w:rsidRPr="005D0B80" w:rsidRDefault="008F659F" w:rsidP="004051EE">
      <w:pPr>
        <w:spacing w:before="0" w:after="0" w:line="240" w:lineRule="auto"/>
        <w:ind w:firstLine="360"/>
        <w:rPr>
          <w:szCs w:val="24"/>
          <w:lang w:val="sr-Latn-ME"/>
        </w:rPr>
      </w:pPr>
      <w:r w:rsidRPr="00CF7989">
        <w:rPr>
          <w:rFonts w:cstheme="minorHAnsi"/>
          <w:szCs w:val="24"/>
          <w:lang w:val="sr-Latn-ME"/>
        </w:rPr>
        <w:t xml:space="preserve">Analizom je obuhvaćena realizacija ekonomske politike u prvih devet mjeseci 2020. godine, procjena makroekonomskih i fiskalnih pokazatelja za 2020. godinu, plan i izvršenje javnih finansija za 2020, kao i pregled strukturnih politika ostvarenih u 2020. godini i predlozi za njihova unapređenja u narednom periodu, kao odgovor potencijalnim izazovima iz domaćeg i međunarodnog okruženja. </w:t>
      </w:r>
      <w:r w:rsidRPr="00CF7989">
        <w:rPr>
          <w:rFonts w:cstheme="minorHAnsi"/>
          <w:b/>
          <w:i/>
          <w:szCs w:val="24"/>
          <w:lang w:val="sr-Latn-ME"/>
        </w:rPr>
        <w:t xml:space="preserve">Napomena: </w:t>
      </w:r>
      <w:r w:rsidRPr="00CF7989">
        <w:rPr>
          <w:szCs w:val="24"/>
          <w:lang w:val="sr-Latn-ME"/>
        </w:rPr>
        <w:t xml:space="preserve">U skladu sa Programom rada Vlade za 2020. godinu, pripremljena je Jesenja analiza makroekonomskih kretanja i strukturnih reformi, ali nije procesuirana, odnosno razmatrana na sjednici Vlade Crne Gore. </w:t>
      </w:r>
    </w:p>
    <w:p w:rsidR="008F659F" w:rsidRPr="00CF7989" w:rsidRDefault="008F659F" w:rsidP="004051EE">
      <w:pPr>
        <w:spacing w:after="0" w:line="240" w:lineRule="auto"/>
        <w:rPr>
          <w:rFonts w:cstheme="minorHAnsi"/>
          <w:szCs w:val="24"/>
          <w:lang w:val="sr-Latn-ME"/>
        </w:rPr>
      </w:pPr>
      <w:r w:rsidRPr="00CF7989">
        <w:rPr>
          <w:rFonts w:cstheme="minorHAnsi"/>
          <w:b/>
          <w:szCs w:val="24"/>
          <w:lang w:val="sr-Latn-ME"/>
        </w:rPr>
        <w:t>Ostale aktivnosti u Direktoratu za ekonomsku i razvojnu politiku odnosile su se na</w:t>
      </w:r>
      <w:r w:rsidRPr="00CF7989">
        <w:rPr>
          <w:rFonts w:cstheme="minorHAnsi"/>
          <w:szCs w:val="24"/>
          <w:lang w:val="sr-Latn-ME"/>
        </w:rPr>
        <w:t xml:space="preserve">: </w:t>
      </w:r>
    </w:p>
    <w:p w:rsidR="008F659F" w:rsidRPr="00CF7512" w:rsidRDefault="008F659F" w:rsidP="00CF7512">
      <w:pPr>
        <w:spacing w:before="0" w:after="0" w:line="240" w:lineRule="auto"/>
        <w:ind w:firstLine="709"/>
        <w:rPr>
          <w:szCs w:val="24"/>
          <w:lang w:val="sr-Latn-ME"/>
        </w:rPr>
      </w:pPr>
      <w:r w:rsidRPr="00CF7512">
        <w:rPr>
          <w:rFonts w:cstheme="minorHAnsi"/>
          <w:szCs w:val="24"/>
          <w:lang w:val="sr-Latn-ME"/>
        </w:rPr>
        <w:t xml:space="preserve">Razvoj i unapređenje postojećeg makroekonomskog modela kroz Projekat </w:t>
      </w:r>
      <w:r w:rsidRPr="00CF7512">
        <w:rPr>
          <w:szCs w:val="24"/>
          <w:lang w:val="sr-Latn-ME"/>
        </w:rPr>
        <w:t>"Podrška procjeni makroekonomskog uticaja strukturnih reformi", koji se finansira iz</w:t>
      </w:r>
      <w:r w:rsidRPr="00CF7512">
        <w:rPr>
          <w:rStyle w:val="Emphasis"/>
          <w:rFonts w:cstheme="minorHAnsi"/>
          <w:szCs w:val="24"/>
          <w:lang w:val="sr-Latn-ME"/>
        </w:rPr>
        <w:t xml:space="preserve"> IPA fondova, a čiji je cilj </w:t>
      </w:r>
      <w:r w:rsidRPr="00CF7512">
        <w:rPr>
          <w:szCs w:val="24"/>
          <w:lang w:val="sr-Latn-ME"/>
        </w:rPr>
        <w:t>podrška Vladi Crne Gore, odnosno Ministarstvu finansija i socijalnog staranja, u jačanju finansijskog upravljanja. Istovremeno, Projekat je u funkciji podrške Ministarstvu finansija i socijalnog staranja i relevantnim resornim ministarstvima u evaluaciji, odabiru i procjeni uticaja mjera strukturnih reformi i značajan je za pripremu strateških dokumenata za pristupanje EU.</w:t>
      </w:r>
    </w:p>
    <w:p w:rsidR="008F659F" w:rsidRPr="00CF7989" w:rsidRDefault="008F659F" w:rsidP="00CF7512">
      <w:pPr>
        <w:spacing w:before="0" w:after="0"/>
        <w:ind w:firstLine="709"/>
        <w:rPr>
          <w:szCs w:val="24"/>
          <w:lang w:val="sr-Latn-ME"/>
        </w:rPr>
      </w:pPr>
      <w:r w:rsidRPr="00CF7989">
        <w:rPr>
          <w:szCs w:val="24"/>
          <w:lang w:val="sr-Latn-ME"/>
        </w:rPr>
        <w:t>Aktivnosti koje su realizovane u okviru projekta br. IPA / 2017 / 384-908:</w:t>
      </w:r>
    </w:p>
    <w:p w:rsidR="008F659F" w:rsidRPr="00CF7989" w:rsidRDefault="008F659F" w:rsidP="00CF7512">
      <w:pPr>
        <w:spacing w:before="0" w:after="0"/>
        <w:ind w:firstLine="709"/>
        <w:rPr>
          <w:szCs w:val="24"/>
          <w:lang w:val="sr-Latn-ME"/>
        </w:rPr>
      </w:pPr>
      <w:r w:rsidRPr="00CF7989">
        <w:rPr>
          <w:szCs w:val="24"/>
          <w:lang w:val="sr-Latn-ME"/>
        </w:rPr>
        <w:t xml:space="preserve">Podrškom procjeni makroekonomskog uticaja strukturnih reformi unaprijeđen je crnogorski makroekonometrijski model (MMM - Montenegro Macroeconometric Model), koji predstavlja profesionalni alat za kvantitativnu ekonomsku analizu. U skladu sa procjenom potreba zaposlenih, realizovana je serija specifičnih, opštih i ‘on-the-job’ obuka na temu primjene modela i prioritizacije </w:t>
      </w:r>
      <w:r w:rsidRPr="00CF7989">
        <w:rPr>
          <w:szCs w:val="24"/>
          <w:lang w:val="sr-Latn-ME"/>
        </w:rPr>
        <w:lastRenderedPageBreak/>
        <w:t xml:space="preserve">politike, tako da se analitički okvir može efikasno implementirati i primijeniti u Ministarstvu finansija i socijalnog staranja. Očekuje se da će MMM imati značajnu ulogu podrške u ukupnom napretku procesa pridruživanja Crne Gore EU.  </w:t>
      </w:r>
    </w:p>
    <w:p w:rsidR="008F659F" w:rsidRDefault="008F659F" w:rsidP="00CF7512">
      <w:pPr>
        <w:shd w:val="clear" w:color="auto" w:fill="FFFFFF" w:themeFill="background1"/>
        <w:spacing w:before="0" w:after="0"/>
        <w:ind w:firstLine="709"/>
        <w:rPr>
          <w:szCs w:val="24"/>
          <w:lang w:val="sr-Latn-ME"/>
        </w:rPr>
      </w:pPr>
      <w:r w:rsidRPr="00CF7989">
        <w:rPr>
          <w:szCs w:val="24"/>
          <w:lang w:val="sr-Latn-ME"/>
        </w:rPr>
        <w:t xml:space="preserve">Makroekonomski model Crne Gore (MMM) sastoji se od dva međusobno povezana modula. </w:t>
      </w:r>
      <w:r w:rsidRPr="00CF7989">
        <w:rPr>
          <w:b/>
          <w:szCs w:val="24"/>
          <w:lang w:val="sr-Latn-ME"/>
        </w:rPr>
        <w:t>Prvi modul</w:t>
      </w:r>
      <w:r w:rsidRPr="00CF7989">
        <w:rPr>
          <w:szCs w:val="24"/>
          <w:lang w:val="sr-Latn-ME"/>
        </w:rPr>
        <w:t xml:space="preserve"> podrazumija predviđanje generisanih makroekonomskih prognoza za realni, fiskalni, eksterni i finansijski sektor. Takođe, modelira indikatore tržišta rada, output gap i potencijalnu stopu rasta BDP-a. Istovremeno, on obezbjeđuje i osnovni scenario za simulaciju politika. Cjelokupno gledano, modul za prognoziranje sadrži nekoliko stotina jednačina – makroekonomske identitete (od SNA, BoP priručnik, statistika tržišta rada, itd.), procijenjene jednačine ponašanja (parametri se dobijaju primjenom statističkih procedura i metoda obrade podataka), kao i ručno kalibrirane jednačine (vrijednosti parametara su uzete iz dobro uspostavljenih teorijskih i empirijskih studija, istorijskih odnosa, itd.). </w:t>
      </w:r>
      <w:r w:rsidRPr="00CF7989">
        <w:rPr>
          <w:b/>
          <w:szCs w:val="24"/>
          <w:lang w:val="sr-Latn-ME"/>
        </w:rPr>
        <w:t>Drugi modul</w:t>
      </w:r>
      <w:r w:rsidRPr="00CF7989">
        <w:rPr>
          <w:szCs w:val="24"/>
          <w:lang w:val="sr-Latn-ME"/>
        </w:rPr>
        <w:t xml:space="preserve"> je modul procjene uticaja koji se koristi za simulacije u procjeni neto efekata primijenjenih politika i obezbjeđuje ex ante evaluaciju budućih strukturnih reformi, kao i analiziranje uticaja unaprijed utvrđenih eksternih šokova na crnogorsku ekonomiju. Srednjoročne projekcije ključnih indikatora moguće su za scenarije sa i bez mjera strukturnih reformi. Modul procjene uticaja predstavlja sistem od 86 jednačina (procijenjeni ekonometrijski odnosi, makroekonomski identiteti i kalibrirane jednačine) koji se rješava u EViews-u (specijalizovani softverski paket - alat za ekonometrijsko modeliranje). Analiza uzima u obzir i tražnju i ponudu u ekonomiji, pri čemu se javna potrošnja sastoji od skupa varijabli politika. Procjena uticaja efekata utvrđuje se kao razlika između dva opšta scenarija - osnovnog i alternativnog. </w:t>
      </w:r>
    </w:p>
    <w:p w:rsidR="00D723BC" w:rsidRPr="00CF7989" w:rsidRDefault="00D723BC" w:rsidP="00CF7512">
      <w:pPr>
        <w:shd w:val="clear" w:color="auto" w:fill="FFFFFF" w:themeFill="background1"/>
        <w:spacing w:before="0" w:after="0"/>
        <w:ind w:firstLine="709"/>
        <w:rPr>
          <w:szCs w:val="24"/>
          <w:lang w:val="sr-Latn-ME"/>
        </w:rPr>
      </w:pPr>
    </w:p>
    <w:p w:rsidR="008F659F" w:rsidRPr="00CF7989" w:rsidRDefault="008F659F" w:rsidP="005D0B80">
      <w:pPr>
        <w:spacing w:before="0" w:after="0"/>
        <w:ind w:left="709"/>
        <w:rPr>
          <w:szCs w:val="24"/>
          <w:lang w:val="sr-Latn-ME"/>
        </w:rPr>
      </w:pPr>
      <w:r w:rsidRPr="00CF7989">
        <w:rPr>
          <w:szCs w:val="24"/>
          <w:lang w:val="sr-Latn-ME"/>
        </w:rPr>
        <w:t>U 2020. godini realizovane su i sljedeće aktivnosti:</w:t>
      </w:r>
    </w:p>
    <w:p w:rsidR="008F659F" w:rsidRPr="00CF7512" w:rsidRDefault="00CF7512" w:rsidP="00CF7512">
      <w:pPr>
        <w:spacing w:before="0" w:after="0" w:line="276" w:lineRule="auto"/>
        <w:ind w:firstLine="360"/>
        <w:rPr>
          <w:szCs w:val="24"/>
          <w:lang w:val="sr-Latn-ME"/>
        </w:rPr>
      </w:pPr>
      <w:r>
        <w:rPr>
          <w:rStyle w:val="apple-converted-space"/>
          <w:rFonts w:cstheme="minorHAnsi"/>
          <w:bCs/>
          <w:szCs w:val="24"/>
          <w:shd w:val="clear" w:color="auto" w:fill="FFFFFF"/>
        </w:rPr>
        <w:t xml:space="preserve">- </w:t>
      </w:r>
      <w:r w:rsidR="008F659F" w:rsidRPr="00CF7512">
        <w:rPr>
          <w:rStyle w:val="apple-converted-space"/>
          <w:rFonts w:cstheme="minorHAnsi"/>
          <w:bCs/>
          <w:szCs w:val="24"/>
          <w:shd w:val="clear" w:color="auto" w:fill="FFFFFF"/>
        </w:rPr>
        <w:t>Učešće u pripremi i emisiji euroobveznica na međunarodnom tržištu k</w:t>
      </w:r>
      <w:r w:rsidR="008F659F" w:rsidRPr="00CF7512">
        <w:rPr>
          <w:rStyle w:val="apple-converted-space"/>
          <w:bCs/>
          <w:szCs w:val="24"/>
        </w:rPr>
        <w:t>apitala – izrada Prospectusa za investitore;</w:t>
      </w:r>
    </w:p>
    <w:p w:rsidR="008F659F" w:rsidRPr="005D0B80" w:rsidRDefault="008F659F" w:rsidP="009F291B">
      <w:pPr>
        <w:pStyle w:val="ListParagraph"/>
        <w:numPr>
          <w:ilvl w:val="0"/>
          <w:numId w:val="3"/>
        </w:numPr>
        <w:spacing w:before="0" w:after="0" w:line="276" w:lineRule="auto"/>
        <w:rPr>
          <w:szCs w:val="24"/>
          <w:lang w:val="sr-Latn-ME"/>
        </w:rPr>
      </w:pPr>
      <w:r w:rsidRPr="00CF7989">
        <w:rPr>
          <w:szCs w:val="24"/>
          <w:lang w:val="sr-Latn-ME"/>
        </w:rPr>
        <w:t>Unaprijeđen je analitički alat za kvantitativnu procjenu mjera strukturnih reformi (uključujući javne politike koje su predložene u PER-u) na ključne makroekonomske indikatore;</w:t>
      </w:r>
    </w:p>
    <w:p w:rsidR="008F659F" w:rsidRPr="005D0B80" w:rsidRDefault="008F659F" w:rsidP="009F291B">
      <w:pPr>
        <w:pStyle w:val="ListParagraph"/>
        <w:numPr>
          <w:ilvl w:val="0"/>
          <w:numId w:val="3"/>
        </w:numPr>
        <w:spacing w:before="0" w:after="0" w:line="276" w:lineRule="auto"/>
        <w:rPr>
          <w:szCs w:val="24"/>
          <w:lang w:val="sr-Latn-ME"/>
        </w:rPr>
      </w:pPr>
      <w:r w:rsidRPr="00CF7989">
        <w:rPr>
          <w:szCs w:val="24"/>
          <w:shd w:val="clear" w:color="auto" w:fill="FFFFFF" w:themeFill="background1"/>
          <w:lang w:val="sr-Latn-ME"/>
        </w:rPr>
        <w:t xml:space="preserve">U Programu ekonomskih reformi 2020-2022, korišćenjem alata MMM-a, izvršena je procjena uticaja </w:t>
      </w:r>
      <w:r w:rsidRPr="00CF7989">
        <w:rPr>
          <w:color w:val="000000" w:themeColor="text1"/>
          <w:szCs w:val="24"/>
          <w:shd w:val="clear" w:color="auto" w:fill="FFFFFF" w:themeFill="background1"/>
          <w:lang w:val="sr-Latn-ME"/>
        </w:rPr>
        <w:t>infrastrukturnih projekata iz oblasti strukturnih reform</w:t>
      </w:r>
      <w:r w:rsidRPr="00CF7989">
        <w:rPr>
          <w:szCs w:val="24"/>
          <w:shd w:val="clear" w:color="auto" w:fill="FFFFFF" w:themeFill="background1"/>
          <w:lang w:val="sr-Latn-ME"/>
        </w:rPr>
        <w:t xml:space="preserve">i na ključne makroekonomske indikatore, a to je dobilo pozitivne komentare Evropske komisije; </w:t>
      </w:r>
    </w:p>
    <w:p w:rsidR="008F659F" w:rsidRPr="005D0B80" w:rsidRDefault="008F659F" w:rsidP="009F291B">
      <w:pPr>
        <w:pStyle w:val="ListParagraph"/>
        <w:numPr>
          <w:ilvl w:val="0"/>
          <w:numId w:val="3"/>
        </w:numPr>
        <w:spacing w:before="0" w:after="0" w:line="276" w:lineRule="auto"/>
        <w:rPr>
          <w:szCs w:val="24"/>
          <w:lang w:val="sr-Latn-ME"/>
        </w:rPr>
      </w:pPr>
      <w:r w:rsidRPr="00CF7989">
        <w:rPr>
          <w:szCs w:val="24"/>
          <w:lang w:val="sr-Latn-ME"/>
        </w:rPr>
        <w:t>Realizovano je niz specifičnih obuka i obuka na radnom mjestu na temu upotrebe modela;</w:t>
      </w:r>
    </w:p>
    <w:p w:rsidR="008F659F" w:rsidRPr="005D0B80" w:rsidRDefault="008F659F" w:rsidP="009F291B">
      <w:pPr>
        <w:pStyle w:val="ListParagraph"/>
        <w:numPr>
          <w:ilvl w:val="0"/>
          <w:numId w:val="3"/>
        </w:numPr>
        <w:spacing w:before="0" w:after="0" w:line="276" w:lineRule="auto"/>
        <w:rPr>
          <w:szCs w:val="24"/>
          <w:lang w:val="sr-Latn-ME"/>
        </w:rPr>
      </w:pPr>
      <w:r w:rsidRPr="00CF7989">
        <w:rPr>
          <w:szCs w:val="24"/>
          <w:lang w:val="sr-Latn-ME"/>
        </w:rPr>
        <w:t>Shodno obavezama koje su definisane Projektnim zadatkom, u 2020. godini, unaprijeđen je postojeći model za makroekonomske projekcije, prikupljeni su i analizirani podaci za potrebe izrade II modula modela:</w:t>
      </w:r>
    </w:p>
    <w:p w:rsidR="008F659F" w:rsidRPr="005D0B80" w:rsidRDefault="008F659F" w:rsidP="009F291B">
      <w:pPr>
        <w:pStyle w:val="ListParagraph"/>
        <w:numPr>
          <w:ilvl w:val="0"/>
          <w:numId w:val="1"/>
        </w:numPr>
        <w:spacing w:before="0" w:after="0" w:line="240" w:lineRule="auto"/>
        <w:rPr>
          <w:szCs w:val="24"/>
          <w:lang w:val="sr-Latn-ME"/>
        </w:rPr>
      </w:pPr>
      <w:r w:rsidRPr="00CF7989">
        <w:rPr>
          <w:szCs w:val="24"/>
          <w:lang w:val="sr-Latn-ME"/>
        </w:rPr>
        <w:t>Učešće u pregovorima za pristupanje Evropskoj uniji, u okviru pregovaračkih poglavlja 17, 18, i 33;</w:t>
      </w:r>
    </w:p>
    <w:p w:rsidR="008F659F" w:rsidRPr="005D0B80" w:rsidRDefault="008F659F" w:rsidP="009F291B">
      <w:pPr>
        <w:pStyle w:val="ListParagraph"/>
        <w:numPr>
          <w:ilvl w:val="0"/>
          <w:numId w:val="1"/>
        </w:numPr>
        <w:spacing w:before="0" w:after="0" w:line="240" w:lineRule="auto"/>
        <w:rPr>
          <w:szCs w:val="24"/>
          <w:lang w:val="sr-Latn-ME"/>
        </w:rPr>
      </w:pPr>
      <w:r w:rsidRPr="00CF7989">
        <w:rPr>
          <w:szCs w:val="24"/>
          <w:lang w:val="sr-Latn-ME"/>
        </w:rPr>
        <w:t xml:space="preserve">Predstavljanje države na ekspertskim sastancima u Evropskoj komisiji na temu makroekonomskih srednjoročnih projekcija; </w:t>
      </w:r>
    </w:p>
    <w:p w:rsidR="008F659F" w:rsidRPr="005D0B80" w:rsidRDefault="008F659F" w:rsidP="009F291B">
      <w:pPr>
        <w:pStyle w:val="ListParagraph"/>
        <w:numPr>
          <w:ilvl w:val="0"/>
          <w:numId w:val="2"/>
        </w:numPr>
        <w:spacing w:before="0" w:after="0" w:line="240" w:lineRule="auto"/>
        <w:rPr>
          <w:szCs w:val="24"/>
          <w:lang w:val="sr-Latn-ME"/>
        </w:rPr>
      </w:pPr>
      <w:r w:rsidRPr="00CF7989">
        <w:rPr>
          <w:szCs w:val="24"/>
          <w:lang w:val="sr-Latn-ME"/>
        </w:rPr>
        <w:t>Priprema poglavlja 2. Ekonomski kriterijumi za Izvještaj EK o napretku Crne Gore za 2020. godinu u oblasti makroekonomske stabilnosti;</w:t>
      </w:r>
    </w:p>
    <w:p w:rsidR="008F659F" w:rsidRPr="005D0B80" w:rsidRDefault="008F659F" w:rsidP="009F291B">
      <w:pPr>
        <w:pStyle w:val="ListParagraph"/>
        <w:numPr>
          <w:ilvl w:val="0"/>
          <w:numId w:val="2"/>
        </w:numPr>
        <w:spacing w:before="0" w:after="0" w:line="240" w:lineRule="auto"/>
        <w:rPr>
          <w:szCs w:val="24"/>
          <w:lang w:val="sr-Latn-ME"/>
        </w:rPr>
      </w:pPr>
      <w:r w:rsidRPr="00CF7989">
        <w:rPr>
          <w:szCs w:val="24"/>
          <w:lang w:val="sr-Latn-ME"/>
        </w:rPr>
        <w:t>Učešće na redovnim sastancima sa predstavnicima međunarodnih finansijskih institucija: MMF-a, Svjetske banke i Evropske centralne banke, kao i Evropske komisije;</w:t>
      </w:r>
    </w:p>
    <w:p w:rsidR="008F659F" w:rsidRPr="005D0B80" w:rsidRDefault="008F659F" w:rsidP="009F291B">
      <w:pPr>
        <w:pStyle w:val="ListParagraph"/>
        <w:numPr>
          <w:ilvl w:val="0"/>
          <w:numId w:val="2"/>
        </w:numPr>
        <w:spacing w:before="0" w:after="0" w:line="240" w:lineRule="auto"/>
        <w:rPr>
          <w:szCs w:val="24"/>
          <w:lang w:val="sr-Latn-ME"/>
        </w:rPr>
      </w:pPr>
      <w:r w:rsidRPr="00CF7989">
        <w:rPr>
          <w:szCs w:val="24"/>
          <w:lang w:val="sr-Latn-ME"/>
        </w:rPr>
        <w:t>Učešće na redovnim sastancima sa predstavnicima kreditnih rejting agencija: Moodys i S&amp;P;</w:t>
      </w:r>
    </w:p>
    <w:p w:rsidR="008F659F" w:rsidRPr="005D0B80" w:rsidRDefault="008F659F" w:rsidP="009F291B">
      <w:pPr>
        <w:pStyle w:val="ListParagraph"/>
        <w:numPr>
          <w:ilvl w:val="0"/>
          <w:numId w:val="2"/>
        </w:numPr>
        <w:spacing w:before="0" w:after="0" w:line="240" w:lineRule="auto"/>
        <w:rPr>
          <w:szCs w:val="24"/>
          <w:lang w:val="sr-Latn-ME"/>
        </w:rPr>
      </w:pPr>
      <w:r w:rsidRPr="00CF7989">
        <w:rPr>
          <w:szCs w:val="24"/>
          <w:lang w:val="sr-Latn-ME"/>
        </w:rPr>
        <w:t xml:space="preserve">Učešće u realizaciji zadataka kao i prisustvo sastancima osmog i devetog Monitoring komiteta za implementaciju Strategije razvoja jugoistočne Evrope do 2020. godine; </w:t>
      </w:r>
    </w:p>
    <w:p w:rsidR="008F659F" w:rsidRPr="005D0B80" w:rsidRDefault="008F659F" w:rsidP="009F291B">
      <w:pPr>
        <w:pStyle w:val="ListParagraph"/>
        <w:numPr>
          <w:ilvl w:val="0"/>
          <w:numId w:val="2"/>
        </w:numPr>
        <w:spacing w:before="0" w:after="0" w:line="240" w:lineRule="auto"/>
        <w:rPr>
          <w:szCs w:val="24"/>
          <w:lang w:val="sr-Latn-ME"/>
        </w:rPr>
      </w:pPr>
      <w:r w:rsidRPr="00CF7989">
        <w:rPr>
          <w:szCs w:val="24"/>
          <w:lang w:val="sr-Latn-ME"/>
        </w:rPr>
        <w:lastRenderedPageBreak/>
        <w:t>Učešće na brojnim online obukama CEF institucije - Center of Excellence in Finance; Obuke su se dominantno odnosile na makroekonomsko prognoziranje, sagledavanje prioriteta strukturnih reformi, i procjenu uticaja istih na ekonomski rast i razvoj;</w:t>
      </w:r>
    </w:p>
    <w:p w:rsidR="008F659F" w:rsidRPr="005D0B80" w:rsidRDefault="008F659F" w:rsidP="009F291B">
      <w:pPr>
        <w:pStyle w:val="ListParagraph"/>
        <w:numPr>
          <w:ilvl w:val="0"/>
          <w:numId w:val="2"/>
        </w:numPr>
        <w:spacing w:before="0" w:after="0" w:line="240" w:lineRule="auto"/>
        <w:rPr>
          <w:szCs w:val="24"/>
          <w:lang w:val="sr-Latn-ME"/>
        </w:rPr>
      </w:pPr>
      <w:r w:rsidRPr="00CF7989">
        <w:rPr>
          <w:color w:val="000000" w:themeColor="text1"/>
          <w:szCs w:val="24"/>
          <w:lang w:val="sr-Latn-ME"/>
        </w:rPr>
        <w:t>Učešće u radu međuresornih radnih grupa za pripremu sektorskih strategija i programa;</w:t>
      </w:r>
    </w:p>
    <w:p w:rsidR="008F659F" w:rsidRPr="005D0B80" w:rsidRDefault="008F659F" w:rsidP="009F291B">
      <w:pPr>
        <w:pStyle w:val="ListParagraph"/>
        <w:numPr>
          <w:ilvl w:val="0"/>
          <w:numId w:val="2"/>
        </w:numPr>
        <w:spacing w:before="0" w:after="0" w:line="256" w:lineRule="auto"/>
        <w:rPr>
          <w:b/>
          <w:i/>
          <w:szCs w:val="24"/>
          <w:lang w:val="sr-Latn-ME"/>
        </w:rPr>
      </w:pPr>
      <w:r w:rsidRPr="00CF7989">
        <w:rPr>
          <w:szCs w:val="24"/>
          <w:lang w:val="sr-Latn-ME"/>
        </w:rPr>
        <w:t>U saradnji sa Privrednom komorom Crne Gore, Direktorat je učestvovao u izradi „Indeksa očekivanja menadžera“, kreiranjem upitnika u kojem predstavnici reprezentativnih kompanija odgovaraju na pitanja vezana za poslovanje u proteklom periodu, kao i na pitanja vezana za planove i očekivanja za naredni period i anticipaciju budućih tokova na tržištu. Informacije dobijene ovim istraživanjem značajno će doprinijeti kvalitetu projektovanja ekonomskih trendova na nivou ukupne ekonomije, ali i pomoći menadžerima u donošenju poslovnih odluka i planova;</w:t>
      </w:r>
    </w:p>
    <w:p w:rsidR="008F659F" w:rsidRPr="005D0B80" w:rsidRDefault="008F659F" w:rsidP="009F291B">
      <w:pPr>
        <w:pStyle w:val="ListParagraph"/>
        <w:numPr>
          <w:ilvl w:val="0"/>
          <w:numId w:val="2"/>
        </w:numPr>
        <w:spacing w:before="0" w:after="0" w:line="240" w:lineRule="auto"/>
        <w:rPr>
          <w:szCs w:val="24"/>
          <w:lang w:val="sr-Latn-ME"/>
        </w:rPr>
      </w:pPr>
      <w:r w:rsidRPr="00CF7989">
        <w:rPr>
          <w:szCs w:val="24"/>
          <w:lang w:val="sr-Latn-ME"/>
        </w:rPr>
        <w:t xml:space="preserve">Izrada publikacije Mjesečni makroekonomski indikatori – MMI, koja sadrži osnovne pokazatelje kretanja u oblastima: međunarodno okruženje, realni sektor, inflacija, zaposlenost i zarade, fiskalni sektor, monetarni sektor, spoljnotrgovinska razmjena i investicije, kao i listu makroekonomskih indikatora u mjesečnoj dinamici; </w:t>
      </w:r>
    </w:p>
    <w:p w:rsidR="008F659F" w:rsidRPr="005D0B80" w:rsidRDefault="008F659F" w:rsidP="009F291B">
      <w:pPr>
        <w:pStyle w:val="ListParagraph"/>
        <w:numPr>
          <w:ilvl w:val="0"/>
          <w:numId w:val="2"/>
        </w:numPr>
        <w:spacing w:before="0" w:after="0" w:line="240" w:lineRule="auto"/>
        <w:rPr>
          <w:szCs w:val="24"/>
          <w:lang w:val="sr-Latn-ME"/>
        </w:rPr>
      </w:pPr>
      <w:r w:rsidRPr="00CF7989">
        <w:rPr>
          <w:szCs w:val="24"/>
          <w:lang w:val="sr-Latn-ME"/>
        </w:rPr>
        <w:t xml:space="preserve">Dostavljanje informacija o bilateralnoj saradnji u oblasti ekonomskih odnosa sa inostranstvom, za potrebe MVP-a i dr; </w:t>
      </w:r>
    </w:p>
    <w:p w:rsidR="008F659F" w:rsidRPr="005D0B80" w:rsidRDefault="008F659F" w:rsidP="009F291B">
      <w:pPr>
        <w:pStyle w:val="ListParagraph"/>
        <w:numPr>
          <w:ilvl w:val="0"/>
          <w:numId w:val="2"/>
        </w:numPr>
        <w:spacing w:before="0" w:after="0" w:line="240" w:lineRule="auto"/>
        <w:rPr>
          <w:szCs w:val="24"/>
          <w:lang w:val="sr-Latn-ME"/>
        </w:rPr>
      </w:pPr>
      <w:r w:rsidRPr="00CF7989">
        <w:rPr>
          <w:szCs w:val="24"/>
          <w:lang w:val="sr-Latn-ME"/>
        </w:rPr>
        <w:t xml:space="preserve">Rad na </w:t>
      </w:r>
      <w:r w:rsidRPr="00CF7989">
        <w:rPr>
          <w:color w:val="000000"/>
          <w:szCs w:val="24"/>
          <w:shd w:val="clear" w:color="auto" w:fill="FFFFFF"/>
        </w:rPr>
        <w:t>dokumentu „Montenegro  Investment and Business Opportunities“ (MIBO), za potrebe MVP-a;</w:t>
      </w:r>
    </w:p>
    <w:p w:rsidR="008F659F" w:rsidRPr="005D0B80" w:rsidRDefault="008F659F" w:rsidP="009F291B">
      <w:pPr>
        <w:pStyle w:val="ListParagraph"/>
        <w:numPr>
          <w:ilvl w:val="0"/>
          <w:numId w:val="2"/>
        </w:numPr>
        <w:spacing w:before="0" w:after="0" w:line="240" w:lineRule="auto"/>
        <w:rPr>
          <w:szCs w:val="24"/>
          <w:lang w:val="sr-Latn-ME"/>
        </w:rPr>
      </w:pPr>
      <w:r w:rsidRPr="00CF7989">
        <w:rPr>
          <w:szCs w:val="24"/>
          <w:lang w:val="sr-Latn-ME"/>
        </w:rPr>
        <w:t>Izrada Godišnjeg makroekonomskog izvještaja – GMI, koji sadrži osnovne pokazatelje kretanja u oblastima: međunarodno okruženje, realni sektor, inflacija, zaposlenost i zarade, fiskalni sektor, monetarni sektor, spoljnotrgovinska razmjena i investicije, kao i listu makroekonomskih indikatora na godišnjem nivou;</w:t>
      </w:r>
    </w:p>
    <w:p w:rsidR="008F659F" w:rsidRPr="005D0B80" w:rsidRDefault="008F659F" w:rsidP="009F291B">
      <w:pPr>
        <w:pStyle w:val="ListParagraph"/>
        <w:numPr>
          <w:ilvl w:val="0"/>
          <w:numId w:val="2"/>
        </w:numPr>
        <w:spacing w:before="0" w:after="0" w:line="276" w:lineRule="auto"/>
        <w:rPr>
          <w:szCs w:val="24"/>
          <w:lang w:val="sr-Latn-ME"/>
        </w:rPr>
      </w:pPr>
      <w:r w:rsidRPr="00CF7989">
        <w:rPr>
          <w:szCs w:val="24"/>
          <w:lang w:val="sr-Latn-ME"/>
        </w:rPr>
        <w:t xml:space="preserve">Učešće u izradi izvještaja o implementaciji Programa ekonomskih reformi za Crnu Goru 2020-2022. (za prvih šest mjeseci 2020. godine), koji je Vlada usvojila u oktobru2020. godine. </w:t>
      </w:r>
    </w:p>
    <w:p w:rsidR="008F659F" w:rsidRPr="005D0B80" w:rsidRDefault="008F659F" w:rsidP="009F291B">
      <w:pPr>
        <w:pStyle w:val="ListParagraph"/>
        <w:numPr>
          <w:ilvl w:val="0"/>
          <w:numId w:val="2"/>
        </w:numPr>
        <w:spacing w:before="0" w:after="0" w:line="240" w:lineRule="auto"/>
        <w:rPr>
          <w:szCs w:val="24"/>
          <w:lang w:val="sr-Latn-ME"/>
        </w:rPr>
      </w:pPr>
      <w:r w:rsidRPr="00CF7989">
        <w:rPr>
          <w:szCs w:val="24"/>
          <w:lang w:val="sr-Latn-ME"/>
        </w:rPr>
        <w:t>Učešće u izradi Programa reforme upravljanja javnim finansijama – Izrada polugodišnjeg i godišnjeg izvještaja sa pratećim Akcionim planovima;</w:t>
      </w:r>
    </w:p>
    <w:p w:rsidR="008F659F" w:rsidRPr="005D0B80" w:rsidRDefault="008F659F" w:rsidP="009F291B">
      <w:pPr>
        <w:numPr>
          <w:ilvl w:val="0"/>
          <w:numId w:val="2"/>
        </w:numPr>
        <w:spacing w:before="0" w:after="0" w:line="240" w:lineRule="auto"/>
        <w:contextualSpacing/>
        <w:rPr>
          <w:szCs w:val="24"/>
          <w:lang w:val="sr-Latn-ME" w:eastAsia="sr-Latn-CS"/>
        </w:rPr>
      </w:pPr>
      <w:r w:rsidRPr="00CF7989">
        <w:rPr>
          <w:szCs w:val="24"/>
          <w:lang w:val="sr-Latn-ME" w:eastAsia="sr-Latn-CS"/>
        </w:rPr>
        <w:t>Učešće na brojnim online obukama CEF institucije - Center of Excellence in Finance; Obuke su se dominantno odnosile na makroekonomsko prognoziranje, sagledavanje prioriteta strukturnih reformi, i procjenu uticaja istih na ekonomski rast i razvoj;</w:t>
      </w:r>
    </w:p>
    <w:p w:rsidR="008F659F" w:rsidRPr="00CF7989" w:rsidRDefault="008F659F" w:rsidP="009F291B">
      <w:pPr>
        <w:numPr>
          <w:ilvl w:val="0"/>
          <w:numId w:val="2"/>
        </w:numPr>
        <w:spacing w:before="0" w:after="0" w:line="240" w:lineRule="auto"/>
        <w:contextualSpacing/>
        <w:rPr>
          <w:szCs w:val="24"/>
          <w:lang w:val="sr-Latn-ME" w:eastAsia="sr-Latn-CS"/>
        </w:rPr>
      </w:pPr>
      <w:r w:rsidRPr="00CF7989">
        <w:rPr>
          <w:szCs w:val="24"/>
          <w:lang w:val="sr-Latn-ME" w:eastAsia="sr-Latn-CS"/>
        </w:rPr>
        <w:t>Učešće u Programu obrazovanja za stručno usavršavanje državnih službenika za strateško planiranje (Generalni sekretarijat Vlade i Uprava za kadrove), koja je počela 2020, a završava se 2021. godine.</w:t>
      </w:r>
    </w:p>
    <w:p w:rsidR="008F659F" w:rsidRPr="005D0B80" w:rsidRDefault="008F659F" w:rsidP="009F291B">
      <w:pPr>
        <w:pStyle w:val="ListParagraph"/>
        <w:numPr>
          <w:ilvl w:val="0"/>
          <w:numId w:val="2"/>
        </w:numPr>
        <w:spacing w:before="0" w:after="0" w:line="240" w:lineRule="auto"/>
        <w:rPr>
          <w:szCs w:val="24"/>
          <w:lang w:val="sr-Latn-ME"/>
        </w:rPr>
      </w:pPr>
      <w:r w:rsidRPr="00CF7989">
        <w:rPr>
          <w:szCs w:val="24"/>
          <w:lang w:val="sr-Latn-ME"/>
        </w:rPr>
        <w:t>Učešće na radionici Svjetske banke „</w:t>
      </w:r>
      <w:r w:rsidRPr="00CF7989">
        <w:rPr>
          <w:rFonts w:cs="Calibri"/>
          <w:color w:val="212121"/>
          <w:szCs w:val="24"/>
          <w:u w:val="single"/>
          <w:shd w:val="clear" w:color="auto" w:fill="FFFFFF"/>
        </w:rPr>
        <w:t>Izvještaj o ocjeni učinka javne potrošnje i finansijske odgovornosti (PEFA)</w:t>
      </w:r>
      <w:r w:rsidRPr="00CF7989">
        <w:rPr>
          <w:szCs w:val="24"/>
          <w:lang w:val="sr-Latn-ME"/>
        </w:rPr>
        <w:t>“</w:t>
      </w:r>
    </w:p>
    <w:p w:rsidR="008F659F" w:rsidRPr="005D0B80" w:rsidRDefault="008F659F" w:rsidP="009F291B">
      <w:pPr>
        <w:pStyle w:val="ListParagraph"/>
        <w:numPr>
          <w:ilvl w:val="0"/>
          <w:numId w:val="2"/>
        </w:numPr>
        <w:spacing w:before="0" w:after="0" w:line="240" w:lineRule="auto"/>
        <w:rPr>
          <w:szCs w:val="24"/>
          <w:lang w:val="sr-Latn-ME"/>
        </w:rPr>
      </w:pPr>
      <w:r w:rsidRPr="00CF7989">
        <w:rPr>
          <w:szCs w:val="24"/>
          <w:lang w:val="sr-Latn-ME"/>
        </w:rPr>
        <w:t>Diskusija sa Evropskom centralnom bankom u vezi sa inte</w:t>
      </w:r>
      <w:r w:rsidR="005D0B80">
        <w:rPr>
          <w:szCs w:val="24"/>
          <w:lang w:val="sr-Latn-ME"/>
        </w:rPr>
        <w:t>rpretacijom podataka modela MMM;</w:t>
      </w:r>
    </w:p>
    <w:p w:rsidR="005D0B80" w:rsidRPr="005D0B80" w:rsidRDefault="008F659F" w:rsidP="009F291B">
      <w:pPr>
        <w:pStyle w:val="ListParagraph"/>
        <w:numPr>
          <w:ilvl w:val="0"/>
          <w:numId w:val="2"/>
        </w:numPr>
        <w:spacing w:before="0" w:after="0" w:line="240" w:lineRule="auto"/>
        <w:rPr>
          <w:szCs w:val="24"/>
          <w:lang w:val="sr-Latn-ME"/>
        </w:rPr>
      </w:pPr>
      <w:r w:rsidRPr="00CF7989">
        <w:rPr>
          <w:szCs w:val="24"/>
          <w:lang w:val="sr-Latn-ME"/>
        </w:rPr>
        <w:t>Praćenje razvoja događaja u državama Evrope vezane za ekonomski uticaj koronavirusa i mjere ekonomske politike koje države preduzimaju po pitanju saniranja posljedica po privredu, društvo i zdravstveni sistem</w:t>
      </w:r>
      <w:r w:rsidR="005D0B80">
        <w:rPr>
          <w:szCs w:val="24"/>
          <w:lang w:val="sr-Latn-ME"/>
        </w:rPr>
        <w:t>;</w:t>
      </w:r>
    </w:p>
    <w:p w:rsidR="008F659F" w:rsidRDefault="008F659F" w:rsidP="009F291B">
      <w:pPr>
        <w:pStyle w:val="ListParagraph"/>
        <w:numPr>
          <w:ilvl w:val="0"/>
          <w:numId w:val="2"/>
        </w:numPr>
        <w:spacing w:before="0" w:after="0" w:line="240" w:lineRule="auto"/>
        <w:rPr>
          <w:szCs w:val="24"/>
          <w:lang w:val="sr-Latn-ME"/>
        </w:rPr>
      </w:pPr>
      <w:r w:rsidRPr="00CF7989">
        <w:rPr>
          <w:szCs w:val="24"/>
          <w:lang w:val="sr-Latn-ME"/>
        </w:rPr>
        <w:t>Učešće u radnoj grupi za pripremu „Nacionalnog energetskog i klimatskog plana“</w:t>
      </w:r>
      <w:r w:rsidR="005D0B80">
        <w:rPr>
          <w:szCs w:val="24"/>
          <w:lang w:val="sr-Latn-ME"/>
        </w:rPr>
        <w:t>.</w:t>
      </w:r>
    </w:p>
    <w:p w:rsidR="00D723BC" w:rsidRPr="005D0B80" w:rsidRDefault="00D723BC" w:rsidP="00D723BC">
      <w:pPr>
        <w:pStyle w:val="ListParagraph"/>
        <w:spacing w:before="0" w:after="0" w:line="240" w:lineRule="auto"/>
        <w:rPr>
          <w:szCs w:val="24"/>
          <w:lang w:val="sr-Latn-ME"/>
        </w:rPr>
      </w:pPr>
    </w:p>
    <w:p w:rsidR="008F659F" w:rsidRPr="00CF7989" w:rsidRDefault="008F659F" w:rsidP="004051EE">
      <w:pPr>
        <w:spacing w:after="0" w:line="240" w:lineRule="auto"/>
        <w:rPr>
          <w:b/>
          <w:szCs w:val="24"/>
          <w:lang w:eastAsia="sr-Latn-CS"/>
        </w:rPr>
      </w:pPr>
      <w:r w:rsidRPr="00CF7989">
        <w:rPr>
          <w:b/>
          <w:szCs w:val="24"/>
          <w:lang w:eastAsia="sr-Latn-CS"/>
        </w:rPr>
        <w:t>Predlog mjera za efikasniju realizaciju zadataka iz nadležnosti Direktorata za ekonomsku i razvojnu politiku</w:t>
      </w:r>
    </w:p>
    <w:p w:rsidR="004E12BF" w:rsidRPr="00CF7989" w:rsidRDefault="008F659F" w:rsidP="004F0954">
      <w:pPr>
        <w:spacing w:before="0" w:after="0" w:line="240" w:lineRule="auto"/>
        <w:ind w:firstLine="709"/>
        <w:rPr>
          <w:szCs w:val="24"/>
          <w:lang w:val="sr-Latn-ME" w:eastAsia="sr-Latn-CS"/>
        </w:rPr>
      </w:pPr>
      <w:r w:rsidRPr="00CF7989">
        <w:rPr>
          <w:szCs w:val="24"/>
          <w:lang w:eastAsia="sr-Latn-CS"/>
        </w:rPr>
        <w:t>Dodatna obuka zaposlenih; obuke na radnom mjestu; on line obuka iz makroekonomije, ekonomskog modeliranja, statistike i ekonometrije; pohađanje stručnih seminara; unaprjeđenje znanja engleskog jezika, kao i objezbjeđivanje nove ra</w:t>
      </w:r>
      <w:r w:rsidRPr="00CF7989">
        <w:rPr>
          <w:szCs w:val="24"/>
          <w:lang w:val="sr-Latn-ME" w:eastAsia="sr-Latn-CS"/>
        </w:rPr>
        <w:t>čunarske opreme uz adekvatnu bezbjednost softvera.</w:t>
      </w:r>
    </w:p>
    <w:p w:rsidR="008F659F" w:rsidRDefault="007D12AC" w:rsidP="00B64C8A">
      <w:pPr>
        <w:pStyle w:val="PlainText"/>
        <w:shd w:val="clear" w:color="auto" w:fill="F9D8CD" w:themeFill="accent1" w:themeFillTint="33"/>
        <w:jc w:val="both"/>
        <w:rPr>
          <w:rFonts w:asciiTheme="minorHAnsi" w:hAnsiTheme="minorHAnsi" w:cs="Arial"/>
          <w:b/>
          <w:sz w:val="24"/>
          <w:szCs w:val="24"/>
        </w:rPr>
      </w:pPr>
      <w:r>
        <w:rPr>
          <w:rFonts w:asciiTheme="minorHAnsi" w:hAnsiTheme="minorHAnsi" w:cs="Arial"/>
          <w:b/>
          <w:sz w:val="24"/>
          <w:szCs w:val="24"/>
        </w:rPr>
        <w:lastRenderedPageBreak/>
        <w:tab/>
      </w:r>
      <w:r w:rsidR="00B64C8A" w:rsidRPr="00822579">
        <w:rPr>
          <w:rFonts w:asciiTheme="minorHAnsi" w:hAnsiTheme="minorHAnsi" w:cs="Arial"/>
          <w:b/>
          <w:sz w:val="24"/>
          <w:szCs w:val="24"/>
        </w:rPr>
        <w:t xml:space="preserve">2. </w:t>
      </w:r>
      <w:r w:rsidRPr="00822579">
        <w:rPr>
          <w:rFonts w:asciiTheme="minorHAnsi" w:hAnsiTheme="minorHAnsi" w:cs="Arial"/>
          <w:b/>
          <w:sz w:val="24"/>
          <w:szCs w:val="24"/>
        </w:rPr>
        <w:t xml:space="preserve">DIREKTORAT ZA </w:t>
      </w:r>
      <w:r w:rsidR="004E12BF">
        <w:rPr>
          <w:rFonts w:asciiTheme="minorHAnsi" w:hAnsiTheme="minorHAnsi" w:cs="Arial"/>
          <w:b/>
          <w:sz w:val="24"/>
          <w:szCs w:val="24"/>
        </w:rPr>
        <w:t xml:space="preserve">DRŽAVNI </w:t>
      </w:r>
      <w:r w:rsidRPr="00822579">
        <w:rPr>
          <w:rFonts w:asciiTheme="minorHAnsi" w:hAnsiTheme="minorHAnsi" w:cs="Arial"/>
          <w:b/>
          <w:sz w:val="24"/>
          <w:szCs w:val="24"/>
        </w:rPr>
        <w:t>BUDŽET</w:t>
      </w:r>
    </w:p>
    <w:p w:rsidR="007D12AC" w:rsidRDefault="007D12AC" w:rsidP="008F659F">
      <w:pPr>
        <w:pStyle w:val="PlainText"/>
        <w:jc w:val="both"/>
        <w:rPr>
          <w:rFonts w:asciiTheme="minorHAnsi" w:hAnsiTheme="minorHAnsi" w:cs="Arial"/>
          <w:b/>
          <w:sz w:val="24"/>
          <w:szCs w:val="24"/>
        </w:rPr>
      </w:pPr>
    </w:p>
    <w:p w:rsidR="0029402A" w:rsidRPr="0029402A" w:rsidRDefault="0029402A" w:rsidP="0029402A">
      <w:pPr>
        <w:keepNext/>
        <w:keepLines/>
        <w:spacing w:before="0" w:after="0" w:line="240" w:lineRule="auto"/>
        <w:outlineLvl w:val="0"/>
        <w:rPr>
          <w:rFonts w:ascii="Calibri" w:eastAsia="Times New Roman" w:hAnsi="Calibri" w:cs="Times New Roman"/>
          <w:b/>
          <w:bCs/>
          <w:color w:val="365F91"/>
          <w:szCs w:val="24"/>
          <w:lang w:val="pl-PL"/>
        </w:rPr>
      </w:pPr>
      <w:r w:rsidRPr="0029402A">
        <w:rPr>
          <w:rFonts w:ascii="Calibri" w:eastAsia="Times New Roman" w:hAnsi="Calibri" w:cs="Times New Roman"/>
          <w:b/>
          <w:bCs/>
          <w:color w:val="365F91"/>
          <w:szCs w:val="24"/>
          <w:lang w:val="pl-PL"/>
        </w:rPr>
        <w:t>REALIZICIJA PROGRAMA RADA VLADE CRNE GORE I MINISTARSTVA FINANSIJA ZA 2020. GODINU</w:t>
      </w:r>
    </w:p>
    <w:p w:rsidR="0029402A" w:rsidRPr="0029402A" w:rsidRDefault="00413BBD" w:rsidP="0029402A">
      <w:pPr>
        <w:spacing w:before="0" w:after="0" w:line="240" w:lineRule="auto"/>
        <w:ind w:firstLine="360"/>
        <w:rPr>
          <w:rFonts w:ascii="Calibri" w:eastAsia="Times New Roman" w:hAnsi="Calibri" w:cs="Times New Roman"/>
          <w:szCs w:val="24"/>
          <w:lang w:val="pl-PL"/>
        </w:rPr>
      </w:pPr>
      <w:r>
        <w:rPr>
          <w:rFonts w:ascii="Calibri" w:eastAsia="Times New Roman" w:hAnsi="Calibri" w:cs="Times New Roman"/>
          <w:szCs w:val="24"/>
          <w:lang w:val="pl-PL"/>
        </w:rPr>
        <w:t xml:space="preserve">1. </w:t>
      </w:r>
      <w:r w:rsidR="0029402A" w:rsidRPr="0029402A">
        <w:rPr>
          <w:rFonts w:ascii="Calibri" w:eastAsia="Times New Roman" w:hAnsi="Calibri" w:cs="Times New Roman"/>
          <w:szCs w:val="24"/>
          <w:lang w:val="pl-PL"/>
        </w:rPr>
        <w:t xml:space="preserve">Programom </w:t>
      </w:r>
      <w:r w:rsidR="00B112DD">
        <w:rPr>
          <w:rFonts w:ascii="Calibri" w:eastAsia="Times New Roman" w:hAnsi="Calibri" w:cs="Times New Roman"/>
          <w:szCs w:val="24"/>
          <w:lang w:val="pl-PL"/>
        </w:rPr>
        <w:t>rada</w:t>
      </w:r>
      <w:r w:rsidR="0029402A" w:rsidRPr="0029402A">
        <w:rPr>
          <w:rFonts w:ascii="Calibri" w:eastAsia="Times New Roman" w:hAnsi="Calibri" w:cs="Times New Roman"/>
          <w:szCs w:val="24"/>
          <w:lang w:val="pl-PL"/>
        </w:rPr>
        <w:t xml:space="preserve"> </w:t>
      </w:r>
      <w:r w:rsidR="0029402A">
        <w:rPr>
          <w:rFonts w:ascii="Calibri" w:eastAsia="Times New Roman" w:hAnsi="Calibri" w:cs="Times New Roman"/>
          <w:szCs w:val="24"/>
          <w:lang w:val="pl-PL"/>
        </w:rPr>
        <w:t>Ministarstva finansija</w:t>
      </w:r>
      <w:r w:rsidR="0029402A" w:rsidRPr="0029402A">
        <w:rPr>
          <w:rFonts w:ascii="Calibri" w:eastAsia="Times New Roman" w:hAnsi="Calibri" w:cs="Times New Roman"/>
          <w:szCs w:val="24"/>
          <w:lang w:val="pl-PL"/>
        </w:rPr>
        <w:t xml:space="preserve"> za 2020. godinu predviđena je aktivnost iz normativnog dijela i to:</w:t>
      </w:r>
    </w:p>
    <w:p w:rsidR="0029402A" w:rsidRPr="0029402A" w:rsidRDefault="0029402A" w:rsidP="00413BBD">
      <w:pPr>
        <w:spacing w:before="0" w:after="0" w:line="240" w:lineRule="auto"/>
        <w:ind w:firstLine="360"/>
        <w:rPr>
          <w:rFonts w:ascii="Calibri" w:eastAsia="Times New Roman" w:hAnsi="Calibri" w:cs="Times New Roman"/>
          <w:szCs w:val="24"/>
          <w:lang w:val="pl-PL"/>
        </w:rPr>
      </w:pPr>
      <w:r w:rsidRPr="00413BBD">
        <w:rPr>
          <w:rFonts w:ascii="Calibri" w:eastAsia="Times New Roman" w:hAnsi="Calibri" w:cs="Times New Roman"/>
          <w:i/>
          <w:szCs w:val="24"/>
          <w:lang w:val="pl-PL"/>
        </w:rPr>
        <w:t>Odluka o obračunskoj vrijednosti koeficijenta za zaposlene u javnom sektoru za fiskalnu 2020. godinu</w:t>
      </w:r>
      <w:r w:rsidR="00413BBD">
        <w:rPr>
          <w:rFonts w:ascii="Calibri" w:eastAsia="Times New Roman" w:hAnsi="Calibri" w:cs="Times New Roman"/>
          <w:szCs w:val="24"/>
          <w:lang w:val="pl-PL"/>
        </w:rPr>
        <w:t xml:space="preserve">. </w:t>
      </w:r>
      <w:r w:rsidRPr="0029402A">
        <w:rPr>
          <w:rFonts w:ascii="Calibri" w:eastAsia="Times New Roman" w:hAnsi="Calibri" w:cs="Times New Roman"/>
          <w:szCs w:val="24"/>
          <w:lang w:val="pl-PL"/>
        </w:rPr>
        <w:t xml:space="preserve">Odredbama Zakona o zaradama zaposlenih u javnom sektoru predviđeno je donošenje ovog podzakonskog akta. </w:t>
      </w:r>
    </w:p>
    <w:p w:rsidR="0029402A" w:rsidRPr="0029402A" w:rsidRDefault="0029402A" w:rsidP="0029402A">
      <w:pPr>
        <w:spacing w:before="0" w:after="0" w:line="240" w:lineRule="auto"/>
        <w:ind w:firstLine="720"/>
        <w:rPr>
          <w:rFonts w:ascii="Calibri" w:eastAsia="Times New Roman" w:hAnsi="Calibri" w:cs="Times New Roman"/>
          <w:szCs w:val="24"/>
          <w:lang w:val="pl-PL"/>
        </w:rPr>
      </w:pPr>
      <w:r w:rsidRPr="0029402A">
        <w:rPr>
          <w:rFonts w:ascii="Calibri" w:eastAsia="Times New Roman" w:hAnsi="Calibri" w:cs="Times New Roman"/>
          <w:szCs w:val="24"/>
          <w:lang w:val="pl-PL"/>
        </w:rPr>
        <w:t xml:space="preserve">Shodno navedenoj obavezi iz Programa </w:t>
      </w:r>
      <w:r>
        <w:rPr>
          <w:rFonts w:ascii="Calibri" w:eastAsia="Times New Roman" w:hAnsi="Calibri" w:cs="Times New Roman"/>
          <w:szCs w:val="24"/>
          <w:lang w:val="pl-PL"/>
        </w:rPr>
        <w:t>Ministarstva</w:t>
      </w:r>
      <w:r w:rsidR="00FA3E52">
        <w:rPr>
          <w:rFonts w:ascii="Calibri" w:eastAsia="Times New Roman" w:hAnsi="Calibri" w:cs="Times New Roman"/>
          <w:szCs w:val="24"/>
          <w:lang w:val="pl-PL"/>
        </w:rPr>
        <w:t xml:space="preserve"> za 2020. g</w:t>
      </w:r>
      <w:r w:rsidRPr="0029402A">
        <w:rPr>
          <w:rFonts w:ascii="Calibri" w:eastAsia="Times New Roman" w:hAnsi="Calibri" w:cs="Times New Roman"/>
          <w:szCs w:val="24"/>
          <w:lang w:val="pl-PL"/>
        </w:rPr>
        <w:t>odinu, Ministarstvo finansija - Direktorat za državni budžet je pripremio i Vladi Crne Gore dostavio:</w:t>
      </w:r>
    </w:p>
    <w:p w:rsidR="0029402A" w:rsidRPr="0029402A" w:rsidRDefault="0029402A" w:rsidP="0029402A">
      <w:pPr>
        <w:spacing w:before="0" w:after="0" w:line="240" w:lineRule="auto"/>
        <w:rPr>
          <w:rFonts w:ascii="Calibri" w:eastAsia="Times New Roman" w:hAnsi="Calibri" w:cs="Times New Roman"/>
          <w:szCs w:val="24"/>
          <w:lang w:val="pl-PL"/>
        </w:rPr>
      </w:pPr>
      <w:r w:rsidRPr="0029402A">
        <w:rPr>
          <w:rFonts w:ascii="Calibri" w:eastAsia="Times New Roman" w:hAnsi="Calibri" w:cs="Times New Roman"/>
          <w:szCs w:val="24"/>
          <w:lang w:val="pl-PL"/>
        </w:rPr>
        <w:t xml:space="preserve">- </w:t>
      </w:r>
      <w:r w:rsidRPr="0029402A">
        <w:rPr>
          <w:rFonts w:ascii="Calibri" w:eastAsia="Times New Roman" w:hAnsi="Calibri" w:cs="Times New Roman"/>
          <w:b/>
          <w:szCs w:val="24"/>
          <w:lang w:val="pl-PL"/>
        </w:rPr>
        <w:t>Odluku o obračunskoj vrijednosti koeficijenta za zaposlene u javnom sektoru za fiskalnu 2020. godinu ("Službeni list CG", broj 37/20)</w:t>
      </w:r>
      <w:r w:rsidRPr="0029402A">
        <w:rPr>
          <w:rFonts w:ascii="Calibri" w:eastAsia="Times New Roman" w:hAnsi="Calibri" w:cs="Times New Roman"/>
          <w:szCs w:val="24"/>
          <w:lang w:val="pl-PL"/>
        </w:rPr>
        <w:t>, kojim je utvrđena obračunska vrijednost koeficijenta u visini od 90€ za fiskalnu 2020. godinu, kao i u prethodnim godinama, dok je zaposlenima čiji su koeficijenti utvrđeni u članu 22 u tabeli A i B i čl. 23 i 24 Zakona o zaradama zaposlenih u javnom sektoru vrijednost koeficijenta za obaračun zarade za april i maj 2020. godine ista u bruto iznosu bude 45€ (50%).</w:t>
      </w:r>
    </w:p>
    <w:p w:rsidR="0029402A" w:rsidRPr="0029402A" w:rsidRDefault="0029402A" w:rsidP="0029402A">
      <w:pPr>
        <w:spacing w:before="0" w:after="0" w:line="240" w:lineRule="auto"/>
        <w:ind w:firstLine="720"/>
        <w:rPr>
          <w:rFonts w:ascii="Calibri" w:eastAsia="Times New Roman" w:hAnsi="Calibri" w:cs="Times New Roman"/>
          <w:szCs w:val="24"/>
          <w:lang w:val="pl-PL"/>
        </w:rPr>
      </w:pPr>
      <w:r w:rsidRPr="0029402A">
        <w:rPr>
          <w:rFonts w:ascii="Calibri" w:eastAsia="Times New Roman" w:hAnsi="Calibri" w:cs="Times New Roman"/>
          <w:szCs w:val="24"/>
          <w:lang w:val="pl-PL"/>
        </w:rPr>
        <w:t>Pored navedene obaveze Ministarstvo finansija i socijalnog staranja - Direktorat za državni budžet je pripremilo i Vladi Crne Gore dostavio:</w:t>
      </w:r>
    </w:p>
    <w:p w:rsidR="0029402A" w:rsidRPr="0029402A" w:rsidRDefault="0029402A" w:rsidP="0029402A">
      <w:pPr>
        <w:spacing w:before="0" w:after="0" w:line="240" w:lineRule="auto"/>
        <w:rPr>
          <w:rFonts w:ascii="Calibri" w:eastAsia="Times New Roman" w:hAnsi="Calibri" w:cs="Times New Roman"/>
          <w:b/>
          <w:szCs w:val="24"/>
          <w:lang w:val="pl-PL"/>
        </w:rPr>
      </w:pPr>
      <w:r w:rsidRPr="0029402A">
        <w:rPr>
          <w:rFonts w:ascii="Calibri" w:eastAsia="Times New Roman" w:hAnsi="Calibri" w:cs="Times New Roman"/>
          <w:szCs w:val="24"/>
          <w:lang w:val="pl-PL"/>
        </w:rPr>
        <w:t>-</w:t>
      </w:r>
      <w:r w:rsidRPr="0029402A">
        <w:rPr>
          <w:rFonts w:ascii="Calibri" w:eastAsia="Times New Roman" w:hAnsi="Calibri" w:cs="Times New Roman"/>
          <w:b/>
          <w:szCs w:val="24"/>
          <w:lang w:val="pl-PL"/>
        </w:rPr>
        <w:t xml:space="preserve">Uredbu o izmjeni i dopuni Uredbe o naknadi troškova zaposlenih u javnom sektoru ("Službeni list CG", broj 108/20), </w:t>
      </w:r>
      <w:r w:rsidRPr="0029402A">
        <w:rPr>
          <w:rFonts w:ascii="Calibri" w:eastAsia="Times New Roman" w:hAnsi="Calibri" w:cs="Times New Roman"/>
          <w:szCs w:val="24"/>
          <w:lang w:val="pl-PL"/>
        </w:rPr>
        <w:t>čijim izmjenama je</w:t>
      </w:r>
      <w:r w:rsidRPr="0029402A">
        <w:rPr>
          <w:rFonts w:ascii="Calibri" w:eastAsia="Times New Roman" w:hAnsi="Calibri" w:cs="Times New Roman"/>
          <w:b/>
          <w:szCs w:val="24"/>
          <w:lang w:val="pl-PL"/>
        </w:rPr>
        <w:t xml:space="preserve"> </w:t>
      </w:r>
      <w:r w:rsidRPr="0029402A">
        <w:rPr>
          <w:rFonts w:ascii="Calibri" w:eastAsia="Times New Roman" w:hAnsi="Calibri" w:cs="Times New Roman"/>
          <w:szCs w:val="24"/>
          <w:lang w:val="pl-PL"/>
        </w:rPr>
        <w:t>izjednačeno kretanje lica u zemlji i lica upućenog na rad u inostranstvo ako se lice kreće u granicama zemlje u kojij je upućen da radi.</w:t>
      </w:r>
    </w:p>
    <w:p w:rsidR="0029402A" w:rsidRPr="0029402A" w:rsidRDefault="0029402A" w:rsidP="0029402A">
      <w:pPr>
        <w:spacing w:before="0" w:after="0" w:line="240" w:lineRule="auto"/>
        <w:contextualSpacing/>
        <w:rPr>
          <w:rFonts w:ascii="Calibri" w:eastAsia="Times New Roman" w:hAnsi="Calibri" w:cs="Times New Roman"/>
          <w:b/>
          <w:szCs w:val="24"/>
          <w:u w:val="single"/>
          <w:lang w:val="pl-PL"/>
        </w:rPr>
      </w:pPr>
    </w:p>
    <w:p w:rsidR="0029402A" w:rsidRPr="0029402A" w:rsidRDefault="00413BBD" w:rsidP="00413BBD">
      <w:pPr>
        <w:spacing w:before="0" w:after="0" w:line="240" w:lineRule="auto"/>
        <w:ind w:left="360"/>
        <w:contextualSpacing/>
        <w:jc w:val="left"/>
        <w:rPr>
          <w:rFonts w:ascii="Calibri" w:eastAsia="Times New Roman" w:hAnsi="Calibri" w:cs="Arial"/>
          <w:szCs w:val="24"/>
          <w:lang w:val="pl-PL"/>
        </w:rPr>
      </w:pPr>
      <w:r>
        <w:rPr>
          <w:rFonts w:ascii="Calibri" w:eastAsia="Times New Roman" w:hAnsi="Calibri" w:cs="Arial"/>
          <w:szCs w:val="24"/>
          <w:lang w:val="pl-PL"/>
        </w:rPr>
        <w:t xml:space="preserve">2. </w:t>
      </w:r>
      <w:r w:rsidR="0029402A" w:rsidRPr="0029402A">
        <w:rPr>
          <w:rFonts w:ascii="Calibri" w:eastAsia="Times New Roman" w:hAnsi="Calibri" w:cs="Arial"/>
          <w:szCs w:val="24"/>
          <w:lang w:val="pl-PL"/>
        </w:rPr>
        <w:t xml:space="preserve">Programom </w:t>
      </w:r>
      <w:r>
        <w:rPr>
          <w:rFonts w:ascii="Calibri" w:eastAsia="Times New Roman" w:hAnsi="Calibri" w:cs="Arial"/>
          <w:szCs w:val="24"/>
          <w:lang w:val="pl-PL"/>
        </w:rPr>
        <w:t xml:space="preserve">rada </w:t>
      </w:r>
      <w:r w:rsidR="0029402A" w:rsidRPr="0029402A">
        <w:rPr>
          <w:rFonts w:ascii="Calibri" w:eastAsia="Times New Roman" w:hAnsi="Calibri" w:cs="Arial"/>
          <w:szCs w:val="24"/>
          <w:lang w:val="pl-PL"/>
        </w:rPr>
        <w:t>Vlade Crne Gore za 2020. godinu predviđene su između ostalog sljedeće aktivnosti iz normativnog dijela i to:</w:t>
      </w:r>
    </w:p>
    <w:p w:rsidR="0029402A" w:rsidRPr="0029402A" w:rsidRDefault="0029402A" w:rsidP="00FE2893">
      <w:pPr>
        <w:numPr>
          <w:ilvl w:val="0"/>
          <w:numId w:val="86"/>
        </w:numPr>
        <w:autoSpaceDE w:val="0"/>
        <w:autoSpaceDN w:val="0"/>
        <w:adjustRightInd w:val="0"/>
        <w:spacing w:before="0" w:after="0" w:line="240" w:lineRule="auto"/>
        <w:contextualSpacing/>
        <w:jc w:val="left"/>
        <w:rPr>
          <w:rFonts w:ascii="Calibri" w:eastAsia="Times New Roman" w:hAnsi="Calibri" w:cs="Calibri-Bold"/>
          <w:b/>
          <w:bCs/>
          <w:szCs w:val="24"/>
          <w:lang w:val="en-US"/>
        </w:rPr>
      </w:pPr>
      <w:r w:rsidRPr="0029402A">
        <w:rPr>
          <w:rFonts w:ascii="Calibri" w:eastAsia="Times New Roman" w:hAnsi="Calibri" w:cs="Calibri-Bold"/>
          <w:b/>
          <w:bCs/>
          <w:szCs w:val="24"/>
          <w:lang w:val="en-US"/>
        </w:rPr>
        <w:t>Smjernice makroekonomske i fiskalne politike za period od 2020-2023. godine;</w:t>
      </w:r>
    </w:p>
    <w:p w:rsidR="0029402A" w:rsidRPr="0029402A" w:rsidRDefault="0029402A" w:rsidP="00FE2893">
      <w:pPr>
        <w:numPr>
          <w:ilvl w:val="0"/>
          <w:numId w:val="86"/>
        </w:numPr>
        <w:autoSpaceDE w:val="0"/>
        <w:autoSpaceDN w:val="0"/>
        <w:adjustRightInd w:val="0"/>
        <w:spacing w:before="0" w:after="0" w:line="240" w:lineRule="auto"/>
        <w:contextualSpacing/>
        <w:jc w:val="left"/>
        <w:rPr>
          <w:rFonts w:ascii="Calibri" w:eastAsia="Times New Roman" w:hAnsi="Calibri" w:cs="Calibri-Bold"/>
          <w:b/>
          <w:bCs/>
          <w:szCs w:val="24"/>
          <w:lang w:val="en-US"/>
        </w:rPr>
      </w:pPr>
      <w:r w:rsidRPr="0029402A">
        <w:rPr>
          <w:rFonts w:ascii="Calibri" w:eastAsia="Times New Roman" w:hAnsi="Calibri" w:cs="Calibri-Bold"/>
          <w:b/>
          <w:bCs/>
          <w:szCs w:val="24"/>
          <w:lang w:val="en-US"/>
        </w:rPr>
        <w:t>Nacrt zakona o budžetu Crne Gore za 2021. g</w:t>
      </w:r>
      <w:r>
        <w:rPr>
          <w:rFonts w:ascii="Calibri" w:eastAsia="Times New Roman" w:hAnsi="Calibri" w:cs="Calibri-Bold"/>
          <w:b/>
          <w:bCs/>
          <w:szCs w:val="24"/>
          <w:lang w:val="en-US"/>
        </w:rPr>
        <w:t>odinu.</w:t>
      </w:r>
    </w:p>
    <w:p w:rsidR="0029402A" w:rsidRPr="0029402A" w:rsidRDefault="0029402A" w:rsidP="0029402A">
      <w:pPr>
        <w:autoSpaceDE w:val="0"/>
        <w:autoSpaceDN w:val="0"/>
        <w:adjustRightInd w:val="0"/>
        <w:spacing w:before="0" w:after="0" w:line="240" w:lineRule="auto"/>
        <w:rPr>
          <w:rFonts w:ascii="Calibri" w:eastAsia="Times New Roman" w:hAnsi="Calibri" w:cs="Times New Roman"/>
          <w:b/>
          <w:bCs/>
          <w:szCs w:val="24"/>
          <w:lang w:val="en-US"/>
        </w:rPr>
      </w:pPr>
    </w:p>
    <w:p w:rsidR="0029402A" w:rsidRPr="0029402A" w:rsidRDefault="0029402A" w:rsidP="0029402A">
      <w:pPr>
        <w:numPr>
          <w:ilvl w:val="1"/>
          <w:numId w:val="0"/>
        </w:numPr>
        <w:spacing w:before="0" w:line="240" w:lineRule="auto"/>
        <w:ind w:firstLine="360"/>
        <w:rPr>
          <w:rFonts w:ascii="Calibri" w:eastAsia="Times New Roman" w:hAnsi="Calibri" w:cs="Times New Roman"/>
          <w:b/>
          <w:szCs w:val="24"/>
          <w:u w:val="single"/>
          <w:lang w:val="en-GB"/>
        </w:rPr>
      </w:pPr>
      <w:r w:rsidRPr="0029402A">
        <w:rPr>
          <w:rFonts w:ascii="Calibri" w:eastAsia="Times New Roman" w:hAnsi="Calibri" w:cs="Times New Roman"/>
          <w:b/>
          <w:szCs w:val="24"/>
          <w:u w:val="single"/>
          <w:lang w:val="en-GB"/>
        </w:rPr>
        <w:t>Smjernice makroekonomske i fiskalne politike za period od 2020-2023. godine</w:t>
      </w:r>
    </w:p>
    <w:p w:rsidR="0029402A" w:rsidRPr="0029402A" w:rsidRDefault="0029402A" w:rsidP="0029402A">
      <w:pPr>
        <w:autoSpaceDE w:val="0"/>
        <w:autoSpaceDN w:val="0"/>
        <w:adjustRightInd w:val="0"/>
        <w:spacing w:before="0" w:after="0" w:line="240" w:lineRule="auto"/>
        <w:ind w:firstLine="720"/>
        <w:rPr>
          <w:rFonts w:ascii="Calibri" w:eastAsia="Times New Roman" w:hAnsi="Calibri" w:cs="Times New Roman"/>
          <w:szCs w:val="24"/>
          <w:lang w:val="en-US"/>
        </w:rPr>
      </w:pPr>
      <w:r w:rsidRPr="0029402A">
        <w:rPr>
          <w:rFonts w:ascii="Calibri" w:eastAsia="Times New Roman" w:hAnsi="Calibri" w:cs="Times New Roman"/>
          <w:szCs w:val="24"/>
          <w:lang w:val="en-US"/>
        </w:rPr>
        <w:t>Smjernice se donose na godišnjem nivou za period od tri godine i sadrže: srednjoročne strateške ciljeve ekonomske i fiskalne politike, osnovne makroekonomske i fiskalne pokazatelje i projekcije, limit potrošnje, nivoe bruto zarada i ostalih ličnih primanja, izdatke za penzijsko i invalidsko osiguranje i druge izdatke za socijalnu zaštitu. Ovaj dokument predstavlja osnov za izradu Nacrta zakona o budžetu Crne Gore za 2021. godinu.</w:t>
      </w:r>
    </w:p>
    <w:p w:rsidR="0029402A" w:rsidRPr="0029402A" w:rsidRDefault="0029402A" w:rsidP="0029402A">
      <w:pPr>
        <w:spacing w:before="0" w:after="0" w:line="240" w:lineRule="auto"/>
        <w:ind w:firstLine="720"/>
        <w:rPr>
          <w:rFonts w:ascii="Calibri" w:eastAsia="Times New Roman" w:hAnsi="Calibri" w:cs="Arial"/>
          <w:szCs w:val="24"/>
          <w:lang w:val="pl-PL"/>
        </w:rPr>
      </w:pPr>
      <w:r w:rsidRPr="0029402A">
        <w:rPr>
          <w:rFonts w:ascii="Calibri" w:eastAsia="Times New Roman" w:hAnsi="Calibri" w:cs="Arial"/>
          <w:szCs w:val="24"/>
          <w:lang w:val="pl-PL"/>
        </w:rPr>
        <w:t>Shodno navedenoj obavezi iz Programa rada Vlade za 2020. godinu, Ministarstvo finansija i socijalnog staranja - Direktorat za državni budžet je pripremilo i Vladi Crne Gore dostavilo:</w:t>
      </w:r>
    </w:p>
    <w:p w:rsidR="0029402A" w:rsidRPr="0029402A" w:rsidRDefault="0029402A" w:rsidP="0029402A">
      <w:pPr>
        <w:spacing w:before="0" w:after="0" w:line="240" w:lineRule="auto"/>
        <w:ind w:firstLine="720"/>
        <w:rPr>
          <w:rFonts w:ascii="Calibri" w:eastAsia="Times New Roman" w:hAnsi="Calibri" w:cs="Arial"/>
          <w:szCs w:val="24"/>
          <w:lang w:val="pl-PL"/>
        </w:rPr>
      </w:pPr>
      <w:r w:rsidRPr="00024ECA">
        <w:rPr>
          <w:rFonts w:ascii="Calibri" w:eastAsia="Times New Roman" w:hAnsi="Calibri" w:cs="Arial"/>
          <w:i/>
          <w:szCs w:val="24"/>
          <w:lang w:val="pl-PL"/>
        </w:rPr>
        <w:t>Smjernice makroekonomske i fiskalne politike za period 2020-2023. godine</w:t>
      </w:r>
      <w:r w:rsidRPr="0029402A">
        <w:rPr>
          <w:rFonts w:ascii="Calibri" w:eastAsia="Times New Roman" w:hAnsi="Calibri" w:cs="Arial"/>
          <w:szCs w:val="24"/>
          <w:lang w:val="pl-PL"/>
        </w:rPr>
        <w:t>, koje je Vlada usvojila, bez održavanja sjednice 9. jula 2020. godine. Zaključkom Vlade, Ministarstvo finansija je zaduženo da pripremi i dostavi potrošačkim jedinicama stručno uputstvo za pripremanje budžeta za 2021. godinu. Istovremeno, zadužene su sve potrošačke jedinice prvog nivoa da, u koordinaciji sa potrošačkim jedinicama nad kojima vrše nadzor, zahtjeve za dodjelu budžetskih sredstava za 2021. godinu dostave Ministarstvu finansija, najkasnije do 1. septembra 2020. godine.</w:t>
      </w:r>
    </w:p>
    <w:p w:rsidR="0029402A" w:rsidRPr="0029402A" w:rsidRDefault="0029402A" w:rsidP="0029402A">
      <w:pPr>
        <w:spacing w:before="0" w:after="0" w:line="240" w:lineRule="auto"/>
        <w:ind w:firstLine="720"/>
        <w:rPr>
          <w:rFonts w:ascii="Calibri" w:eastAsia="Times New Roman" w:hAnsi="Calibri" w:cs="Arial"/>
          <w:b/>
          <w:szCs w:val="24"/>
          <w:u w:val="single"/>
          <w:lang w:val="pl-PL"/>
        </w:rPr>
      </w:pPr>
      <w:r w:rsidRPr="0029402A">
        <w:rPr>
          <w:rFonts w:ascii="Calibri" w:eastAsia="Times New Roman" w:hAnsi="Calibri" w:cs="Arial"/>
          <w:szCs w:val="24"/>
          <w:lang w:val="pl-PL"/>
        </w:rPr>
        <w:t>Kao osnov za planiranje budžeta za 2021. godinu, u skladu sa novim sazivom Vlade, Ministarstvo finansija i socijalnog staranja pripremilo je a Vlada Crne Gore 12. marta 2021. godine usvojila Revidirane smjernice makroekonomske i fiskalne politike za period 2021 – 2023. godine.</w:t>
      </w:r>
    </w:p>
    <w:p w:rsidR="0029402A" w:rsidRPr="0029402A" w:rsidRDefault="0029402A" w:rsidP="0029402A">
      <w:pPr>
        <w:numPr>
          <w:ilvl w:val="1"/>
          <w:numId w:val="0"/>
        </w:numPr>
        <w:spacing w:after="0" w:line="240" w:lineRule="auto"/>
        <w:ind w:firstLine="720"/>
        <w:rPr>
          <w:rFonts w:ascii="Calibri" w:eastAsia="Times New Roman" w:hAnsi="Calibri" w:cs="Times New Roman"/>
          <w:b/>
          <w:szCs w:val="24"/>
          <w:u w:val="single"/>
          <w:lang w:val="en-GB"/>
        </w:rPr>
      </w:pPr>
      <w:r w:rsidRPr="0029402A">
        <w:rPr>
          <w:rFonts w:ascii="Calibri" w:eastAsia="Times New Roman" w:hAnsi="Calibri" w:cs="Times New Roman"/>
          <w:b/>
          <w:szCs w:val="24"/>
          <w:u w:val="single"/>
          <w:lang w:val="en-GB"/>
        </w:rPr>
        <w:t xml:space="preserve">Nacrt zakona o budžetu Crne Gore za 2021. godinu </w:t>
      </w:r>
    </w:p>
    <w:p w:rsidR="0029402A" w:rsidRDefault="0029402A" w:rsidP="00F449DE">
      <w:pPr>
        <w:autoSpaceDE w:val="0"/>
        <w:autoSpaceDN w:val="0"/>
        <w:adjustRightInd w:val="0"/>
        <w:spacing w:before="0" w:after="0" w:line="240" w:lineRule="auto"/>
        <w:ind w:firstLine="720"/>
        <w:rPr>
          <w:rFonts w:ascii="Calibri" w:eastAsia="Times New Roman" w:hAnsi="Calibri" w:cs="Times New Roman"/>
          <w:szCs w:val="24"/>
          <w:lang w:val="en-US"/>
        </w:rPr>
      </w:pPr>
      <w:r w:rsidRPr="0029402A">
        <w:rPr>
          <w:rFonts w:ascii="Calibri" w:eastAsia="Times New Roman" w:hAnsi="Calibri" w:cs="Times New Roman"/>
          <w:szCs w:val="24"/>
          <w:lang w:val="en-US"/>
        </w:rPr>
        <w:t xml:space="preserve">U skladu sa Zakonom o budžetu i fiskalnoj odgovornosti, Zakonom o budžetu za narednu fiskalnu godinu utvrđuje se finansijski plan države baziran na godišnjim procjenama primitaka i </w:t>
      </w:r>
      <w:r w:rsidRPr="0029402A">
        <w:rPr>
          <w:rFonts w:ascii="Calibri" w:eastAsia="Times New Roman" w:hAnsi="Calibri" w:cs="Times New Roman"/>
          <w:szCs w:val="24"/>
          <w:lang w:val="en-US"/>
        </w:rPr>
        <w:lastRenderedPageBreak/>
        <w:t>izdataka. Zakon o budžetu donosi se na osnovu Fiskalne strategije i Smjernica makroekonomske i fiskalne politike i sublimira ciljeve ekonomske i fiskalne politik</w:t>
      </w:r>
      <w:r w:rsidR="00F449DE">
        <w:rPr>
          <w:rFonts w:ascii="Calibri" w:eastAsia="Times New Roman" w:hAnsi="Calibri" w:cs="Times New Roman"/>
          <w:szCs w:val="24"/>
          <w:lang w:val="en-US"/>
        </w:rPr>
        <w:t>e u narednoj budžetskoj godini.</w:t>
      </w:r>
    </w:p>
    <w:p w:rsidR="00F449DE" w:rsidRPr="0029402A" w:rsidRDefault="00F449DE" w:rsidP="00F449DE">
      <w:pPr>
        <w:autoSpaceDE w:val="0"/>
        <w:autoSpaceDN w:val="0"/>
        <w:adjustRightInd w:val="0"/>
        <w:spacing w:before="0" w:after="0" w:line="240" w:lineRule="auto"/>
        <w:ind w:firstLine="720"/>
        <w:rPr>
          <w:rFonts w:ascii="Calibri" w:eastAsia="Times New Roman" w:hAnsi="Calibri" w:cs="Times New Roman"/>
          <w:szCs w:val="24"/>
          <w:lang w:val="en-US"/>
        </w:rPr>
      </w:pPr>
    </w:p>
    <w:p w:rsidR="0029402A" w:rsidRPr="00413BBD" w:rsidRDefault="0029402A" w:rsidP="0029402A">
      <w:pPr>
        <w:spacing w:before="0" w:after="0" w:line="240" w:lineRule="auto"/>
        <w:ind w:firstLine="720"/>
        <w:rPr>
          <w:rFonts w:ascii="Calibri" w:eastAsia="Times New Roman" w:hAnsi="Calibri" w:cs="Times New Roman"/>
          <w:szCs w:val="24"/>
          <w:u w:val="single"/>
          <w:lang w:val="pl-PL"/>
        </w:rPr>
      </w:pPr>
      <w:r w:rsidRPr="00413BBD">
        <w:rPr>
          <w:rFonts w:ascii="Calibri" w:eastAsia="Times New Roman" w:hAnsi="Calibri" w:cs="Times New Roman"/>
          <w:szCs w:val="24"/>
          <w:u w:val="single"/>
          <w:lang w:val="pl-PL"/>
        </w:rPr>
        <w:t>Pored navedenih obaveza Direktorat je implementirao između ostalog i sljedeće Zaključke</w:t>
      </w:r>
      <w:r w:rsidRPr="00413BBD">
        <w:rPr>
          <w:rFonts w:ascii="Calibri" w:eastAsia="Times New Roman" w:hAnsi="Calibri" w:cs="Times New Roman"/>
          <w:szCs w:val="24"/>
          <w:u w:val="single"/>
          <w:lang w:val="en-US"/>
        </w:rPr>
        <w:t>:</w:t>
      </w:r>
      <w:r w:rsidRPr="00413BBD">
        <w:rPr>
          <w:rFonts w:ascii="Calibri" w:eastAsia="Times New Roman" w:hAnsi="Calibri" w:cs="Times New Roman"/>
          <w:szCs w:val="24"/>
          <w:u w:val="single"/>
          <w:lang w:val="pl-PL"/>
        </w:rPr>
        <w:t xml:space="preserve"> </w:t>
      </w:r>
    </w:p>
    <w:p w:rsidR="0029402A" w:rsidRPr="0029402A" w:rsidRDefault="0029402A" w:rsidP="0029402A">
      <w:pPr>
        <w:spacing w:before="0" w:after="0" w:line="240" w:lineRule="auto"/>
        <w:ind w:firstLine="720"/>
        <w:rPr>
          <w:rFonts w:ascii="Calibri" w:eastAsia="Times New Roman" w:hAnsi="Calibri" w:cs="Times New Roman"/>
          <w:szCs w:val="24"/>
          <w:lang w:val="pl-PL"/>
        </w:rPr>
      </w:pPr>
      <w:r w:rsidRPr="0029402A">
        <w:rPr>
          <w:rFonts w:ascii="Calibri" w:eastAsia="Times New Roman" w:hAnsi="Calibri" w:cs="Times New Roman"/>
          <w:szCs w:val="24"/>
          <w:lang w:val="pl-PL"/>
        </w:rPr>
        <w:t xml:space="preserve">Zaključkom Vlade Crne Gore 07-2130 od 19. marta 2020. godine, a u vezi Predloga hitnih mjera Vlade kao reakcija na negativne ekonomske efekte od epidemije korona virusa u stalnoj komunikaciji sa potrošačkim jedinicama </w:t>
      </w:r>
      <w:r w:rsidRPr="0029402A">
        <w:rPr>
          <w:rFonts w:ascii="Calibri" w:eastAsia="Times New Roman" w:hAnsi="Calibri" w:cs="Times New Roman"/>
          <w:b/>
          <w:szCs w:val="24"/>
          <w:lang w:val="pl-PL"/>
        </w:rPr>
        <w:t>odložilo</w:t>
      </w:r>
      <w:r w:rsidRPr="0029402A">
        <w:rPr>
          <w:rFonts w:ascii="Calibri" w:eastAsia="Times New Roman" w:hAnsi="Calibri" w:cs="Times New Roman"/>
          <w:szCs w:val="24"/>
          <w:lang w:val="pl-PL"/>
        </w:rPr>
        <w:t xml:space="preserve"> mjesečnu potrošnju svih aktivnosti koje nijesu mandatornog karaktera, a sve to kroz izmjenu plana dinamike potrošnje u sistem;</w:t>
      </w:r>
    </w:p>
    <w:p w:rsidR="0029402A" w:rsidRPr="0029402A" w:rsidRDefault="0029402A" w:rsidP="0029402A">
      <w:pPr>
        <w:spacing w:before="0" w:after="0" w:line="240" w:lineRule="auto"/>
        <w:ind w:firstLine="720"/>
        <w:rPr>
          <w:rFonts w:ascii="Calibri" w:eastAsia="Times New Roman" w:hAnsi="Calibri" w:cs="Times New Roman"/>
          <w:szCs w:val="24"/>
          <w:lang w:val="pl-PL"/>
        </w:rPr>
      </w:pPr>
      <w:r w:rsidRPr="0029402A">
        <w:rPr>
          <w:rFonts w:ascii="Calibri" w:eastAsia="Times New Roman" w:hAnsi="Calibri" w:cs="Times New Roman"/>
          <w:szCs w:val="24"/>
          <w:lang w:val="pl-PL"/>
        </w:rPr>
        <w:t>Zaključkom Vlade Crne Gore 07-2314 od 9. aprila 2020. godine, a u vezi Informacije o potrebi pokretanja postupaka javnih nabavki, u periodu trajanja mjera Vlade usvojenim u cilju umanjen</w:t>
      </w:r>
      <w:r>
        <w:rPr>
          <w:rFonts w:ascii="Calibri" w:eastAsia="Times New Roman" w:hAnsi="Calibri" w:cs="Times New Roman"/>
          <w:szCs w:val="24"/>
          <w:lang w:val="pl-PL"/>
        </w:rPr>
        <w:t>ja negativnih efekata epidemije korona virusa,</w:t>
      </w:r>
      <w:r w:rsidRPr="0029402A">
        <w:rPr>
          <w:rFonts w:ascii="Calibri" w:eastAsia="Times New Roman" w:hAnsi="Calibri" w:cs="Times New Roman"/>
          <w:szCs w:val="24"/>
          <w:lang w:val="pl-PL"/>
        </w:rPr>
        <w:t xml:space="preserve"> razmatrala i revidirala već donešene Planove javnih nabavki potrošačkih jedinica.</w:t>
      </w:r>
    </w:p>
    <w:p w:rsidR="0029402A" w:rsidRPr="0029402A" w:rsidRDefault="0029402A" w:rsidP="0029402A">
      <w:pPr>
        <w:spacing w:before="0" w:after="0" w:line="240" w:lineRule="auto"/>
        <w:ind w:firstLine="720"/>
        <w:rPr>
          <w:rFonts w:ascii="Calibri" w:eastAsia="Times New Roman" w:hAnsi="Calibri" w:cs="Times New Roman"/>
          <w:szCs w:val="24"/>
          <w:lang w:val="pl-PL"/>
        </w:rPr>
      </w:pPr>
      <w:r w:rsidRPr="0029402A">
        <w:rPr>
          <w:rFonts w:ascii="Calibri" w:eastAsia="Times New Roman" w:hAnsi="Calibri" w:cs="Times New Roman"/>
          <w:szCs w:val="24"/>
          <w:lang w:val="pl-PL"/>
        </w:rPr>
        <w:t>Takođe, pripremljen je Zakon o izmjenama i dopunama Zakona o budžetu za 2020. godinu u junu mjesecu, a nakon toga konstantna komunikacija sa potrošačkim jedinicama u vezi ušteda, kao i priprema Rješenja o preusmjeravanju ušteda.</w:t>
      </w:r>
    </w:p>
    <w:p w:rsidR="0029402A" w:rsidRPr="0029402A" w:rsidRDefault="0029402A" w:rsidP="0029402A">
      <w:pPr>
        <w:spacing w:before="0" w:after="0" w:line="240" w:lineRule="auto"/>
        <w:ind w:firstLine="720"/>
        <w:rPr>
          <w:rFonts w:ascii="Calibri" w:eastAsia="Times New Roman" w:hAnsi="Calibri" w:cs="Times New Roman"/>
          <w:b/>
          <w:bCs/>
          <w:szCs w:val="24"/>
          <w:lang w:val="en-US"/>
        </w:rPr>
      </w:pPr>
      <w:r w:rsidRPr="0029402A">
        <w:rPr>
          <w:rFonts w:ascii="Calibri" w:eastAsia="Times New Roman" w:hAnsi="Calibri" w:cs="Times New Roman"/>
          <w:szCs w:val="24"/>
          <w:lang w:val="pl-PL"/>
        </w:rPr>
        <w:t xml:space="preserve">Krajem trećeg i početkom četvrtog kvartala, intevizirane su aktivnosti na programskom budžetiranju, koje ima za cilj pomjeranje fokusa sa kontrole inputa na upravljanje ostavarenim rezultatima. </w:t>
      </w:r>
      <w:r w:rsidRPr="0029402A">
        <w:rPr>
          <w:rFonts w:ascii="Calibri" w:eastAsia="Times New Roman" w:hAnsi="Calibri" w:cs="Times New Roman"/>
          <w:szCs w:val="24"/>
          <w:lang w:val="en-US"/>
        </w:rPr>
        <w:t>Na bazi toga je pripremljen prvobitni Nacrt</w:t>
      </w:r>
      <w:r w:rsidR="00024ECA">
        <w:rPr>
          <w:rFonts w:ascii="Calibri" w:eastAsia="Times New Roman" w:hAnsi="Calibri" w:cs="Times New Roman"/>
          <w:b/>
          <w:bCs/>
          <w:szCs w:val="24"/>
          <w:lang w:val="en-US"/>
        </w:rPr>
        <w:t xml:space="preserve"> z</w:t>
      </w:r>
      <w:r w:rsidRPr="0029402A">
        <w:rPr>
          <w:rFonts w:ascii="Calibri" w:eastAsia="Times New Roman" w:hAnsi="Calibri" w:cs="Times New Roman"/>
          <w:b/>
          <w:bCs/>
          <w:szCs w:val="24"/>
          <w:lang w:val="en-US"/>
        </w:rPr>
        <w:t>akona o budžetu Crne Gore za 2021. godinu.</w:t>
      </w:r>
    </w:p>
    <w:p w:rsidR="0029402A" w:rsidRDefault="0029402A" w:rsidP="0029402A">
      <w:pPr>
        <w:spacing w:before="0" w:after="0" w:line="240" w:lineRule="auto"/>
        <w:ind w:firstLine="720"/>
        <w:rPr>
          <w:rFonts w:ascii="Calibri" w:eastAsia="Times New Roman" w:hAnsi="Calibri" w:cs="Times New Roman"/>
          <w:szCs w:val="24"/>
          <w:lang w:val="en-US"/>
        </w:rPr>
      </w:pPr>
      <w:r w:rsidRPr="0029402A">
        <w:rPr>
          <w:rFonts w:ascii="Calibri" w:eastAsia="Times New Roman" w:hAnsi="Calibri" w:cs="Times New Roman"/>
          <w:bCs/>
          <w:szCs w:val="24"/>
          <w:lang w:val="en-US"/>
        </w:rPr>
        <w:t>U skladu sa</w:t>
      </w:r>
      <w:r w:rsidRPr="0029402A">
        <w:rPr>
          <w:rFonts w:ascii="Calibri" w:eastAsia="Times New Roman" w:hAnsi="Calibri" w:cs="Times New Roman"/>
          <w:b/>
          <w:bCs/>
          <w:szCs w:val="24"/>
          <w:lang w:val="en-US"/>
        </w:rPr>
        <w:t xml:space="preserve"> </w:t>
      </w:r>
      <w:r w:rsidRPr="0029402A">
        <w:rPr>
          <w:rFonts w:ascii="Calibri" w:eastAsia="Times New Roman" w:hAnsi="Calibri" w:cs="Times New Roman"/>
          <w:szCs w:val="24"/>
          <w:lang w:val="en-US"/>
        </w:rPr>
        <w:t>Uredbom o organizaciji i načinu rada državne uprave ("Sl. ist Crne Gore", br. 118/​20 od 07.12.2020), bilo je potrebno formirati novu organizacionu i programsku strukturu budžeta potrošačkih jedinica i izvršiti sve neophodne pripreme za buduće finansiranje.</w:t>
      </w:r>
    </w:p>
    <w:p w:rsidR="00413BBD" w:rsidRPr="0029402A" w:rsidRDefault="00413BBD" w:rsidP="0029402A">
      <w:pPr>
        <w:spacing w:before="0" w:after="0" w:line="240" w:lineRule="auto"/>
        <w:ind w:firstLine="720"/>
        <w:rPr>
          <w:rFonts w:ascii="Calibri" w:eastAsia="Times New Roman" w:hAnsi="Calibri" w:cs="Times New Roman"/>
          <w:szCs w:val="24"/>
          <w:lang w:val="en-US"/>
        </w:rPr>
      </w:pPr>
    </w:p>
    <w:p w:rsidR="0029402A" w:rsidRPr="0029402A" w:rsidRDefault="0029402A" w:rsidP="0029402A">
      <w:pPr>
        <w:numPr>
          <w:ilvl w:val="1"/>
          <w:numId w:val="0"/>
        </w:numPr>
        <w:spacing w:before="0" w:line="240" w:lineRule="auto"/>
        <w:ind w:firstLine="720"/>
        <w:rPr>
          <w:rFonts w:ascii="Calibri" w:eastAsia="Times New Roman" w:hAnsi="Calibri" w:cs="Times New Roman"/>
          <w:b/>
          <w:szCs w:val="24"/>
          <w:u w:val="single"/>
          <w:lang w:val="en-GB"/>
        </w:rPr>
      </w:pPr>
      <w:r w:rsidRPr="0029402A">
        <w:rPr>
          <w:rFonts w:ascii="Calibri" w:eastAsia="Times New Roman" w:hAnsi="Calibri" w:cs="Times New Roman"/>
          <w:b/>
          <w:szCs w:val="24"/>
          <w:u w:val="single"/>
          <w:lang w:val="en-GB"/>
        </w:rPr>
        <w:t>Odluka o izmjenama i dopunama odluke o načinu pripreme i sadržaju programskog budžeta potrošačkih jedinica</w:t>
      </w:r>
    </w:p>
    <w:p w:rsidR="0029402A" w:rsidRPr="0029402A" w:rsidRDefault="0029402A" w:rsidP="0029402A">
      <w:pPr>
        <w:spacing w:before="0" w:after="0" w:line="240" w:lineRule="auto"/>
        <w:rPr>
          <w:rFonts w:ascii="Calibri" w:eastAsia="Times New Roman" w:hAnsi="Calibri" w:cs="Arial"/>
          <w:b/>
          <w:szCs w:val="24"/>
          <w:lang w:val="en-US"/>
        </w:rPr>
      </w:pPr>
      <w:r w:rsidRPr="0029402A">
        <w:rPr>
          <w:rFonts w:ascii="Calibri" w:eastAsia="Times New Roman" w:hAnsi="Calibri" w:cs="Times New Roman"/>
          <w:b/>
          <w:color w:val="000000"/>
          <w:szCs w:val="24"/>
          <w:lang w:eastAsia="en-GB"/>
        </w:rPr>
        <w:t>I</w:t>
      </w:r>
      <w:r w:rsidRPr="0029402A">
        <w:rPr>
          <w:rFonts w:ascii="Calibri" w:eastAsia="Times New Roman" w:hAnsi="Calibri" w:cs="Arial"/>
          <w:szCs w:val="24"/>
          <w:lang w:val="en-US"/>
        </w:rPr>
        <w:t xml:space="preserve">.  </w:t>
      </w:r>
      <w:r w:rsidRPr="0029402A">
        <w:rPr>
          <w:rFonts w:ascii="Calibri" w:eastAsia="Times New Roman" w:hAnsi="Calibri" w:cs="Arial"/>
          <w:b/>
          <w:szCs w:val="24"/>
          <w:lang w:val="en-US"/>
        </w:rPr>
        <w:t>Zakonski osnov za donošenje Odluke</w:t>
      </w:r>
    </w:p>
    <w:p w:rsidR="0029402A" w:rsidRPr="0029402A" w:rsidRDefault="0029402A" w:rsidP="00F449DE">
      <w:pPr>
        <w:spacing w:before="0" w:after="0" w:line="240" w:lineRule="auto"/>
        <w:ind w:firstLine="720"/>
        <w:rPr>
          <w:rFonts w:ascii="Calibri" w:eastAsia="Times New Roman" w:hAnsi="Calibri" w:cs="Arial"/>
          <w:szCs w:val="24"/>
          <w:lang w:val="en-US"/>
        </w:rPr>
      </w:pPr>
      <w:r w:rsidRPr="0029402A">
        <w:rPr>
          <w:rFonts w:ascii="Calibri" w:eastAsia="Times New Roman" w:hAnsi="Calibri" w:cs="Arial"/>
          <w:szCs w:val="24"/>
          <w:lang w:val="en-US"/>
        </w:rPr>
        <w:t>Pravni osnov za donošenje Predloga odluke o izmjenama i dopuni Odluke o načinu pripreme i sadržaju programskog budžeta potrošačkih jediica  sadržan je u članu 29, stav 4, Zakona o budžetu i fiskalnoj dogovornosti ("Službeni list CG", br. 20/14, 56/14, 70/17, 4/18 i 55/18) kojim je propisano da Ministarstvo finansija, na osnovu propisa za izradu programskog budžeta koji donosi Vlada, izdaje stručno uputstvo za pripremanje budžeta potrošačkih jedinica i budžeta opšt</w:t>
      </w:r>
      <w:r w:rsidR="00F449DE">
        <w:rPr>
          <w:rFonts w:ascii="Calibri" w:eastAsia="Times New Roman" w:hAnsi="Calibri" w:cs="Arial"/>
          <w:szCs w:val="24"/>
          <w:lang w:val="en-US"/>
        </w:rPr>
        <w:t>ina za narednu fiskalnu godinu.</w:t>
      </w:r>
    </w:p>
    <w:p w:rsidR="0029402A" w:rsidRPr="0029402A" w:rsidRDefault="0029402A" w:rsidP="0029402A">
      <w:pPr>
        <w:spacing w:before="0" w:after="0" w:line="240" w:lineRule="auto"/>
        <w:rPr>
          <w:rFonts w:ascii="Calibri" w:eastAsia="Times New Roman" w:hAnsi="Calibri" w:cs="Arial"/>
          <w:b/>
          <w:szCs w:val="24"/>
          <w:lang w:val="en-US"/>
        </w:rPr>
      </w:pPr>
      <w:r w:rsidRPr="0029402A">
        <w:rPr>
          <w:rFonts w:ascii="Calibri" w:eastAsia="Times New Roman" w:hAnsi="Calibri" w:cs="Arial"/>
          <w:b/>
          <w:szCs w:val="24"/>
          <w:lang w:val="en-US"/>
        </w:rPr>
        <w:t>II.  Razlozi za donošenje Odluke</w:t>
      </w:r>
    </w:p>
    <w:p w:rsidR="0029402A" w:rsidRPr="0029402A" w:rsidRDefault="0029402A" w:rsidP="0029402A">
      <w:pPr>
        <w:spacing w:before="0" w:after="0" w:line="240" w:lineRule="auto"/>
        <w:ind w:firstLine="720"/>
        <w:rPr>
          <w:rFonts w:ascii="Calibri" w:eastAsia="Times New Roman" w:hAnsi="Calibri" w:cs="Arial"/>
          <w:szCs w:val="24"/>
          <w:lang w:val="en-US"/>
        </w:rPr>
      </w:pPr>
      <w:r w:rsidRPr="0029402A">
        <w:rPr>
          <w:rFonts w:ascii="Calibri" w:eastAsia="Times New Roman" w:hAnsi="Calibri" w:cs="Arial"/>
          <w:szCs w:val="24"/>
          <w:lang w:val="en-US"/>
        </w:rPr>
        <w:t>U cilju izmjene zakonskih rješenja koja regulišu način pripreme, planiranja i izrade programskog budžeta, Ministarstvo finansija je pripremilo tekst Predloga odluke o izmjenama i dopuni Odluke o načinu pripreme i sadržaju programskog budžeta potrošačkih jediica. Važeća Odluka o načinu pripreme i sadržaju programskog budžeta potrošačkih jedinica je na snazi ("Službeni list CG", br. 20/14, 56/14 i 70/17) i nije mijenjana od 2017. godine.</w:t>
      </w:r>
    </w:p>
    <w:p w:rsidR="0029402A" w:rsidRPr="0029402A" w:rsidRDefault="0029402A" w:rsidP="0029402A">
      <w:pPr>
        <w:spacing w:before="0" w:after="0" w:line="240" w:lineRule="auto"/>
        <w:ind w:firstLine="720"/>
        <w:rPr>
          <w:rFonts w:ascii="Calibri" w:eastAsia="Times New Roman" w:hAnsi="Calibri" w:cs="Arial"/>
          <w:szCs w:val="24"/>
          <w:lang w:val="en-US"/>
        </w:rPr>
      </w:pPr>
      <w:r w:rsidRPr="0029402A">
        <w:rPr>
          <w:rFonts w:ascii="Calibri" w:eastAsia="Times New Roman" w:hAnsi="Calibri" w:cs="Arial"/>
          <w:szCs w:val="24"/>
          <w:lang w:val="en-US"/>
        </w:rPr>
        <w:t xml:space="preserve">Reforma sistema budžetiranja i višegodišnjeg budžetskog okvira, kroz uvođenje srednjoročnog okvira budžeta i dalji razvoj programskog budžetiranja, zahtijeva izmjene i dopune postojeće regulative u cilju uspostavljanja integrisanog procesa planiranja i programskog budžetiranja u skladu sa javnim politikama. Shodno tome, ukazala se potreba za izmjenom postojećeg zakonskog rješenja kojim se reguliše programsko budžetiranje kako bi se na adekvatan način odgovorilo zahtjevima reformi. </w:t>
      </w:r>
    </w:p>
    <w:p w:rsidR="0029402A" w:rsidRPr="0029402A" w:rsidRDefault="0029402A" w:rsidP="0029402A">
      <w:pPr>
        <w:spacing w:before="0" w:after="0" w:line="240" w:lineRule="auto"/>
        <w:ind w:firstLine="720"/>
        <w:rPr>
          <w:rFonts w:ascii="Calibri" w:eastAsia="Times New Roman" w:hAnsi="Calibri" w:cs="Arial"/>
          <w:szCs w:val="24"/>
          <w:lang w:val="en-US"/>
        </w:rPr>
      </w:pPr>
      <w:r w:rsidRPr="0029402A">
        <w:rPr>
          <w:rFonts w:ascii="Calibri" w:eastAsia="Times New Roman" w:hAnsi="Calibri" w:cs="Arial"/>
          <w:szCs w:val="24"/>
          <w:lang w:val="en-US"/>
        </w:rPr>
        <w:t xml:space="preserve">Takođe, jedan od ciljeva donošenja nove odluke jeste da se omogući sveobuhvatna primjena programskog budžeta kroz uspostavljanje detaljne programske strukture formalizovane kroz programsku klasifikaciju na više nivoa, i indikatora učinka, kako bi se obezbijedila bolja povezanost sa organizacionom klasifikacijom, javnim politikama i prioritetima Vlade i unaprijedila transparentnost budžeta. </w:t>
      </w:r>
    </w:p>
    <w:p w:rsidR="0029402A" w:rsidRPr="0029402A" w:rsidRDefault="0029402A" w:rsidP="0029402A">
      <w:pPr>
        <w:spacing w:before="0" w:after="0" w:line="240" w:lineRule="auto"/>
        <w:ind w:firstLine="720"/>
        <w:rPr>
          <w:rFonts w:ascii="Calibri" w:eastAsia="Times New Roman" w:hAnsi="Calibri" w:cs="Arial"/>
          <w:szCs w:val="24"/>
          <w:lang w:val="en-US"/>
        </w:rPr>
      </w:pPr>
      <w:r w:rsidRPr="0029402A">
        <w:rPr>
          <w:rFonts w:ascii="Calibri" w:eastAsia="Times New Roman" w:hAnsi="Calibri" w:cs="Arial"/>
          <w:szCs w:val="24"/>
          <w:lang w:val="en-US"/>
        </w:rPr>
        <w:lastRenderedPageBreak/>
        <w:t xml:space="preserve">Navedena odluka urađena je tako da predstavlja upustvo prilikom pripreme i planiranja programskog budžeta, odnosno da da smjernice potrošačkim jedinicama za implementaciju programskog budžeta. </w:t>
      </w:r>
    </w:p>
    <w:p w:rsidR="0029402A" w:rsidRPr="0029402A" w:rsidRDefault="0029402A" w:rsidP="0029402A">
      <w:pPr>
        <w:spacing w:before="0" w:after="0" w:line="240" w:lineRule="auto"/>
        <w:contextualSpacing/>
        <w:rPr>
          <w:rFonts w:ascii="Calibri" w:eastAsia="Times New Roman" w:hAnsi="Calibri" w:cs="Times New Roman"/>
          <w:b/>
          <w:szCs w:val="24"/>
          <w:u w:val="single"/>
          <w:lang w:val="en-US"/>
        </w:rPr>
      </w:pPr>
    </w:p>
    <w:p w:rsidR="0029402A" w:rsidRPr="00F449DE" w:rsidRDefault="0029402A" w:rsidP="00F449DE">
      <w:pPr>
        <w:keepNext/>
        <w:keepLines/>
        <w:spacing w:before="0" w:after="0" w:line="240" w:lineRule="auto"/>
        <w:outlineLvl w:val="0"/>
        <w:rPr>
          <w:rFonts w:ascii="Calibri" w:eastAsia="Times New Roman" w:hAnsi="Calibri" w:cs="Times New Roman"/>
          <w:b/>
          <w:bCs/>
          <w:color w:val="365F91"/>
          <w:szCs w:val="24"/>
          <w:lang w:val="pl-PL"/>
        </w:rPr>
      </w:pPr>
      <w:r w:rsidRPr="0029402A">
        <w:rPr>
          <w:rFonts w:ascii="Calibri" w:eastAsia="Times New Roman" w:hAnsi="Calibri" w:cs="Times New Roman"/>
          <w:b/>
          <w:bCs/>
          <w:color w:val="365F91"/>
          <w:szCs w:val="24"/>
          <w:lang w:val="pl-PL"/>
        </w:rPr>
        <w:t>STANJE U UPRAVNIM OBLASTIMA I IZVJEŠTAJ O RADU ORGANIZACIONIH JEDINICA</w:t>
      </w:r>
    </w:p>
    <w:p w:rsidR="0029402A" w:rsidRPr="0029402A" w:rsidRDefault="0029402A" w:rsidP="0029402A">
      <w:pPr>
        <w:spacing w:before="0" w:after="0" w:line="240" w:lineRule="auto"/>
        <w:ind w:firstLine="720"/>
        <w:rPr>
          <w:rFonts w:ascii="Calibri" w:eastAsia="Times New Roman" w:hAnsi="Calibri" w:cs="Times New Roman"/>
          <w:bCs/>
          <w:color w:val="000000"/>
          <w:szCs w:val="24"/>
          <w:lang w:val="pl-PL"/>
        </w:rPr>
      </w:pPr>
      <w:r w:rsidRPr="0029402A">
        <w:rPr>
          <w:rFonts w:ascii="Calibri" w:eastAsia="Times New Roman" w:hAnsi="Calibri" w:cs="Times New Roman"/>
          <w:b/>
          <w:bCs/>
          <w:color w:val="000000"/>
          <w:szCs w:val="24"/>
          <w:lang w:val="pl-PL"/>
        </w:rPr>
        <w:t xml:space="preserve">U Direktoratu za državni budžet </w:t>
      </w:r>
      <w:r w:rsidRPr="0029402A">
        <w:rPr>
          <w:rFonts w:ascii="Calibri" w:eastAsia="Times New Roman" w:hAnsi="Calibri" w:cs="Times New Roman"/>
          <w:bCs/>
          <w:color w:val="000000"/>
          <w:szCs w:val="24"/>
          <w:lang w:val="pl-PL"/>
        </w:rPr>
        <w:t>tokom 2020. godine obavljali su se poslovi koji se odnose na izradu i izvršenje godišnjeg zakona o budžetu.</w:t>
      </w:r>
    </w:p>
    <w:p w:rsidR="0029402A" w:rsidRPr="0029402A" w:rsidRDefault="0029402A" w:rsidP="0029402A">
      <w:pPr>
        <w:spacing w:before="0" w:after="0" w:line="240" w:lineRule="auto"/>
        <w:ind w:firstLine="720"/>
        <w:rPr>
          <w:rFonts w:ascii="Calibri" w:eastAsia="Times New Roman" w:hAnsi="Calibri" w:cs="Times New Roman"/>
          <w:bCs/>
          <w:color w:val="000000"/>
          <w:szCs w:val="24"/>
          <w:lang w:val="pl-PL"/>
        </w:rPr>
      </w:pPr>
      <w:r w:rsidRPr="0029402A">
        <w:rPr>
          <w:rFonts w:ascii="Calibri" w:eastAsia="Times New Roman" w:hAnsi="Calibri" w:cs="Times New Roman"/>
          <w:bCs/>
          <w:color w:val="000000"/>
          <w:szCs w:val="24"/>
          <w:lang w:val="pl-PL"/>
        </w:rPr>
        <w:t>U skladu sa planom izrade budžeta, Direktorat je pripremio instrukcije za potrošačke jedinice za pripremu godišnjih budžeta i srednjeg roka, a dostavljen je i finalni Priručnik o programskom budžetu svim potrošačkim jedinicama uz inovirani Budžetski cirkular za 2021. godinu. Priručnik je urađen kroz projekat “Unapređenje sistema budžetiranja, višegodišnjeg okvira budžeta i sistema unutrašnje finansijske kontrole u javnom sektoru”, a koji je dio Programa reforme upravljanja javnim finansijama 2016-2020. U saradnji sa ekspertima na projektu izrađen je prijedlog nove programske i organizacione klasifikacije na osnovu koje je pripremljen Budžetski cirkular za 2021. godinu, a po kojem je Direktorat za državni budžet pripremio Nacrt Zakona o budžetu za 2021. godinu.</w:t>
      </w:r>
    </w:p>
    <w:p w:rsidR="0029402A" w:rsidRPr="0029402A" w:rsidRDefault="0029402A" w:rsidP="0029402A">
      <w:pPr>
        <w:spacing w:before="0" w:after="0" w:line="240" w:lineRule="auto"/>
        <w:ind w:firstLine="720"/>
        <w:rPr>
          <w:rFonts w:ascii="Calibri" w:eastAsia="Times New Roman" w:hAnsi="Calibri" w:cs="Times New Roman"/>
          <w:bCs/>
          <w:color w:val="000000"/>
          <w:szCs w:val="24"/>
          <w:lang w:val="en-US"/>
        </w:rPr>
      </w:pPr>
      <w:r w:rsidRPr="0029402A">
        <w:rPr>
          <w:rFonts w:ascii="Calibri" w:eastAsia="Times New Roman" w:hAnsi="Calibri" w:cs="Times New Roman"/>
          <w:bCs/>
          <w:color w:val="000000"/>
          <w:szCs w:val="24"/>
          <w:lang w:val="pl-PL"/>
        </w:rPr>
        <w:t xml:space="preserve">U okviru Programa reforme upravljanja javnim finansijama 2016-2020 u toku je implementacija Projekta za unapređenje IT Sistema za planiranje budžeta. </w:t>
      </w:r>
      <w:r w:rsidRPr="0029402A">
        <w:rPr>
          <w:rFonts w:ascii="Calibri" w:eastAsia="Times New Roman" w:hAnsi="Calibri" w:cs="Times New Roman"/>
          <w:bCs/>
          <w:color w:val="000000"/>
          <w:szCs w:val="24"/>
          <w:lang w:val="en-US"/>
        </w:rPr>
        <w:t xml:space="preserve">S tim u vezi, jula 2020. godine budžetski cirkulari za 2021. godinu elektronski su dostavljeni potrošačkim jedinicama. </w:t>
      </w:r>
    </w:p>
    <w:p w:rsidR="0029402A" w:rsidRPr="0029402A" w:rsidRDefault="0029402A" w:rsidP="0029402A">
      <w:pPr>
        <w:spacing w:before="0" w:after="0" w:line="240" w:lineRule="auto"/>
        <w:ind w:firstLine="720"/>
        <w:rPr>
          <w:rFonts w:ascii="Calibri" w:eastAsia="Times New Roman" w:hAnsi="Calibri" w:cs="Times New Roman"/>
          <w:bCs/>
          <w:color w:val="000000"/>
          <w:szCs w:val="24"/>
          <w:lang w:val="en-US"/>
        </w:rPr>
      </w:pPr>
      <w:r w:rsidRPr="0029402A">
        <w:rPr>
          <w:rFonts w:ascii="Calibri" w:eastAsia="Times New Roman" w:hAnsi="Calibri" w:cs="Times New Roman"/>
          <w:bCs/>
          <w:color w:val="000000"/>
          <w:szCs w:val="24"/>
          <w:lang w:val="en-US"/>
        </w:rPr>
        <w:t>Takođe, tokom 2020. godine, sprovedene su aktivnosti na izmjeni i dopuni Zakona o budžetu za 2020. godinu.</w:t>
      </w:r>
    </w:p>
    <w:p w:rsidR="0029402A" w:rsidRPr="0029402A" w:rsidRDefault="0029402A" w:rsidP="0029402A">
      <w:pPr>
        <w:spacing w:before="0" w:after="0" w:line="240" w:lineRule="auto"/>
        <w:ind w:firstLine="720"/>
        <w:rPr>
          <w:rFonts w:ascii="Calibri" w:eastAsia="Times New Roman" w:hAnsi="Calibri" w:cs="Times New Roman"/>
          <w:bCs/>
          <w:color w:val="000000"/>
          <w:szCs w:val="24"/>
          <w:lang w:val="en-US"/>
        </w:rPr>
      </w:pPr>
      <w:r w:rsidRPr="0029402A">
        <w:rPr>
          <w:rFonts w:ascii="Calibri" w:eastAsia="Times New Roman" w:hAnsi="Calibri" w:cs="Times New Roman"/>
          <w:bCs/>
          <w:color w:val="000000"/>
          <w:szCs w:val="24"/>
          <w:lang w:val="en-US"/>
        </w:rPr>
        <w:t>Zaposleni u Direktoratu, osim pripreme procedura i uputstava, obavljali su i redovne aktivnosti na pripremi mišljenja na prijedloge zakona i drugih pravnih akata i odobravanja potrošnje sredstava planiranih godišnjim zakonima o budžetu, u skladu sa mjesečnim i kvartalnim planom potrošnje.</w:t>
      </w:r>
    </w:p>
    <w:p w:rsidR="0029402A" w:rsidRPr="0029402A" w:rsidRDefault="0029402A" w:rsidP="0029402A">
      <w:pPr>
        <w:spacing w:before="0" w:after="0" w:line="240" w:lineRule="auto"/>
        <w:ind w:firstLine="720"/>
        <w:rPr>
          <w:rFonts w:ascii="Calibri" w:eastAsia="Times New Roman" w:hAnsi="Calibri" w:cs="Times New Roman"/>
          <w:color w:val="FF0000"/>
          <w:szCs w:val="24"/>
          <w:lang w:val="en-US"/>
        </w:rPr>
      </w:pPr>
      <w:r w:rsidRPr="0029402A">
        <w:rPr>
          <w:rFonts w:ascii="Calibri" w:eastAsia="Times New Roman" w:hAnsi="Calibri" w:cs="Times New Roman"/>
          <w:bCs/>
          <w:color w:val="000000"/>
          <w:szCs w:val="24"/>
          <w:lang w:val="en-US"/>
        </w:rPr>
        <w:t xml:space="preserve">Iz nadležnosti Direktorata, a shodno </w:t>
      </w:r>
      <w:r w:rsidRPr="0029402A">
        <w:rPr>
          <w:rFonts w:ascii="Calibri" w:eastAsia="Times New Roman" w:hAnsi="Calibri" w:cs="Times New Roman"/>
          <w:color w:val="000000"/>
          <w:szCs w:val="24"/>
          <w:lang w:val="en-US"/>
        </w:rPr>
        <w:t>Zakonu o finansiranju političkih subjekata i izbornih kampanja ("Službeni list Crne Gore", br. 038/20 od 25.04.2020) tokom 2020. godine mjesečno su donešene odluke o visini budžetskih sredstava za finansiranje redovnog rada političkih subjekata u Skupštini kao i odluke o visini budžetskih sredstava za finansiranje redovnog rada ženskih organizacija u političkim subjektima</w:t>
      </w:r>
      <w:r w:rsidRPr="0029402A">
        <w:rPr>
          <w:rFonts w:ascii="Calibri" w:eastAsia="Times New Roman" w:hAnsi="Calibri" w:cs="Times New Roman"/>
          <w:szCs w:val="24"/>
          <w:lang w:val="en-US"/>
        </w:rPr>
        <w:t xml:space="preserve"> u Skupštini.</w:t>
      </w:r>
    </w:p>
    <w:p w:rsidR="0029402A" w:rsidRPr="0029402A" w:rsidRDefault="0029402A" w:rsidP="0029402A">
      <w:pPr>
        <w:spacing w:before="0" w:after="0" w:line="240" w:lineRule="auto"/>
        <w:ind w:firstLine="720"/>
        <w:rPr>
          <w:rFonts w:ascii="Calibri" w:eastAsia="Times New Roman" w:hAnsi="Calibri" w:cs="Times New Roman"/>
          <w:szCs w:val="24"/>
          <w:lang w:val="en-US"/>
        </w:rPr>
      </w:pPr>
      <w:r w:rsidRPr="0029402A">
        <w:rPr>
          <w:rFonts w:ascii="Calibri" w:eastAsia="Times New Roman" w:hAnsi="Calibri" w:cs="Times New Roman"/>
          <w:szCs w:val="24"/>
          <w:lang w:val="en-US"/>
        </w:rPr>
        <w:t xml:space="preserve">Pored navedenog, u skladu sa predviđenim aktivnostima i uz podršku kancelarije EU delegacije u Crnoj Gori finalizovan je tenderski postupak i procedura za nabavku serverske opreme pod nazivom "Nabavka opreme sa serverskim licencama za funkcionisanje novog sistema za centralizovani sistem zarada i planiranja budžeta" (iz sredstava EUIF fonda). Nakon pripremnih aktivnosti i sprovedenog postupka odabira ponuđača, aktivnosti su otpočele 20. avgusta 2020. godine. Serverska oprema je isporučena tokom oktobra 2020. godine. Potrebne licence su pribavljene uz pomoć Ministarstva javne uprave i nabavkom sa sajtova proizvođača. Radovi na adaptaciji serverske sobe u sklopu Mininstarstva finansija i socijalnog staranja su obavljeni i prostorija je adekvatno tehnički opremljena za prijem opreme. Nakon završetka instalacije serverske opreme, omogućen je pristup autorima sistema Centralizovanog obračuna zarada i Budžet planera uz koordinaciju sa Ministarstvom javne uprave putem odobrenog VPN pristupa. Interfejs sa sistemom HRMA je demonstriran i testiran preuzimanjem podataka za nekoliko testnih institucija.  </w:t>
      </w:r>
    </w:p>
    <w:p w:rsidR="0029402A" w:rsidRPr="0029402A" w:rsidRDefault="0029402A" w:rsidP="0029402A">
      <w:pPr>
        <w:autoSpaceDE w:val="0"/>
        <w:autoSpaceDN w:val="0"/>
        <w:adjustRightInd w:val="0"/>
        <w:spacing w:before="0" w:after="0" w:line="240" w:lineRule="auto"/>
        <w:ind w:firstLine="720"/>
        <w:contextualSpacing/>
        <w:rPr>
          <w:rFonts w:ascii="Calibri" w:eastAsia="Times New Roman" w:hAnsi="Calibri" w:cs="Times New Roman"/>
          <w:szCs w:val="24"/>
        </w:rPr>
      </w:pPr>
      <w:r w:rsidRPr="0029402A">
        <w:rPr>
          <w:rFonts w:ascii="Calibri" w:eastAsia="Times New Roman" w:hAnsi="Calibri" w:cs="Times New Roman"/>
          <w:szCs w:val="24"/>
        </w:rPr>
        <w:t xml:space="preserve">U skladu sa ustaljenom praksom, vođena je </w:t>
      </w:r>
      <w:r w:rsidRPr="0029402A">
        <w:rPr>
          <w:rFonts w:ascii="Calibri" w:eastAsia="Times New Roman" w:hAnsi="Calibri" w:cs="Times New Roman"/>
          <w:b/>
          <w:szCs w:val="24"/>
        </w:rPr>
        <w:t>politika kontrole obračuna zarada svih potrošačkih jedinica koje se finansiraju iz budžeta</w:t>
      </w:r>
      <w:r w:rsidRPr="0029402A">
        <w:rPr>
          <w:rFonts w:ascii="Calibri" w:eastAsia="Times New Roman" w:hAnsi="Calibri" w:cs="Times New Roman"/>
          <w:szCs w:val="24"/>
        </w:rPr>
        <w:t xml:space="preserve">. Naime, pored centralizovanog sistema obračuna zarada u Ministarstvu finansija i socijalnog staranja, u okviru kojeg se vrši obračun zarada za oko 9500 zaposlenih u državnoj upravi, omogućeno je vršenje kontrole obračuna zarada potrošačkih jedinica koje vrše samostalni obračun zarada. Kroz podnošenje standardizovanih izvještaja o obračunu zarada koje je propisalo Ministarstvo finansija i socijalno staranje, sprovođena je kontrola tehničke ispravnosti obračuna zarada, kao i ispunjavanje uslova za ostvarivanje dodataka na zaradu po osnovu prekovremenog, prazničnog, noćnog rada i drugih vidova dodataka utvrđenih propisima. </w:t>
      </w:r>
      <w:r w:rsidRPr="0029402A">
        <w:rPr>
          <w:rFonts w:ascii="Calibri" w:eastAsia="Times New Roman" w:hAnsi="Calibri" w:cs="Times New Roman"/>
          <w:szCs w:val="24"/>
        </w:rPr>
        <w:lastRenderedPageBreak/>
        <w:t>Takođe, se svakodnevno vrši usaglašavanje akata loklnih samouprava, javnih ustanova, kulturnih ustanova i drugih obaveznika primjene Zakona o zaradama zaposlenih u javnom sektoru sa zakonom i davanje mišljenja na iste, kao i prosleđivanje Vladi na davanje saglasnosti.</w:t>
      </w:r>
    </w:p>
    <w:p w:rsidR="0029402A" w:rsidRPr="0029402A" w:rsidRDefault="0029402A" w:rsidP="0029402A">
      <w:pPr>
        <w:autoSpaceDE w:val="0"/>
        <w:autoSpaceDN w:val="0"/>
        <w:adjustRightInd w:val="0"/>
        <w:spacing w:before="0" w:after="0" w:line="240" w:lineRule="auto"/>
        <w:contextualSpacing/>
        <w:rPr>
          <w:rFonts w:ascii="Calibri" w:eastAsia="Times New Roman" w:hAnsi="Calibri" w:cs="Times New Roman"/>
          <w:szCs w:val="24"/>
        </w:rPr>
      </w:pPr>
      <w:r w:rsidRPr="0029402A">
        <w:rPr>
          <w:rFonts w:ascii="Calibri" w:eastAsia="Times New Roman" w:hAnsi="Calibri" w:cs="Times New Roman"/>
          <w:szCs w:val="24"/>
        </w:rPr>
        <w:t xml:space="preserve">  -Priprema podzakonskih akata iz oblasti zarada zaposlenih u javnom sektoru;</w:t>
      </w:r>
    </w:p>
    <w:p w:rsidR="0029402A" w:rsidRPr="0029402A" w:rsidRDefault="0029402A" w:rsidP="0029402A">
      <w:pPr>
        <w:autoSpaceDE w:val="0"/>
        <w:autoSpaceDN w:val="0"/>
        <w:adjustRightInd w:val="0"/>
        <w:spacing w:before="0" w:after="0" w:line="240" w:lineRule="auto"/>
        <w:contextualSpacing/>
        <w:rPr>
          <w:rFonts w:ascii="Calibri" w:eastAsia="Times New Roman" w:hAnsi="Calibri" w:cs="Times New Roman"/>
          <w:szCs w:val="24"/>
        </w:rPr>
      </w:pPr>
      <w:r w:rsidRPr="0029402A">
        <w:rPr>
          <w:rFonts w:ascii="Calibri" w:eastAsia="Times New Roman" w:hAnsi="Calibri" w:cs="Times New Roman"/>
          <w:szCs w:val="24"/>
        </w:rPr>
        <w:t xml:space="preserve">  -Priprema i izrada analize i procjene fiskalnog uticaja vezanih za izmjene u politici zarada;</w:t>
      </w:r>
    </w:p>
    <w:p w:rsidR="0029402A" w:rsidRPr="0029402A" w:rsidRDefault="0029402A" w:rsidP="0029402A">
      <w:pPr>
        <w:autoSpaceDE w:val="0"/>
        <w:autoSpaceDN w:val="0"/>
        <w:adjustRightInd w:val="0"/>
        <w:spacing w:before="0" w:after="0" w:line="240" w:lineRule="auto"/>
        <w:contextualSpacing/>
        <w:rPr>
          <w:rFonts w:ascii="Calibri" w:eastAsia="Times New Roman" w:hAnsi="Calibri" w:cs="Times New Roman"/>
          <w:color w:val="000000"/>
          <w:szCs w:val="24"/>
        </w:rPr>
      </w:pPr>
      <w:r w:rsidRPr="0029402A">
        <w:rPr>
          <w:rFonts w:ascii="Calibri" w:eastAsia="Times New Roman" w:hAnsi="Calibri" w:cs="Times New Roman"/>
          <w:szCs w:val="24"/>
        </w:rPr>
        <w:t xml:space="preserve">  -Shodno članu 23 Zakona o procjeni uticaja na životnu sredinu, a na osnovu Pravilnika o načinu rada i visini nadoknade Komisije za ocjenu Elaborata o procjeni uticaja na životnu sredinu dajemo mišljenje o visini troškova za rad Komisije za ocjenu Elaborata o procjenu uticaja za tražene projekte.</w:t>
      </w:r>
    </w:p>
    <w:p w:rsidR="0029402A" w:rsidRPr="0029402A" w:rsidRDefault="0029402A" w:rsidP="0029402A">
      <w:pPr>
        <w:spacing w:before="0" w:after="0" w:line="240" w:lineRule="auto"/>
        <w:ind w:firstLine="720"/>
        <w:rPr>
          <w:rFonts w:ascii="Calibri" w:eastAsia="MinionPro-Cn" w:hAnsi="Calibri" w:cs="Times New Roman"/>
          <w:color w:val="000000"/>
          <w:szCs w:val="24"/>
        </w:rPr>
      </w:pPr>
      <w:r w:rsidRPr="0029402A">
        <w:rPr>
          <w:rFonts w:ascii="Calibri" w:eastAsia="Times New Roman" w:hAnsi="Calibri" w:cs="Times New Roman"/>
          <w:color w:val="000000"/>
          <w:szCs w:val="24"/>
        </w:rPr>
        <w:t xml:space="preserve">U 2020. godini nastavljeno je sa intenzivnijim aktivnostima u procesu pripreme i planiranja javnih investicija. Obrazac za prijavu kapitalnih projekata u jednom segmentu je značajno unaprijeđen. Vlada je usvojila Informaciju u vezi za otpočinjanja aktivnosti PIMA. S tim u vezi, takođe počele su aktivnosti sa MMF-om, a u vezi sa Ocjenom upravljanja javnim investicijama (PIMA) projektom. MMF je poslao zvanično pismo u kome nas </w:t>
      </w:r>
      <w:r w:rsidRPr="0029402A">
        <w:rPr>
          <w:rFonts w:ascii="Calibri" w:eastAsia="MinionPro-Cn" w:hAnsi="Calibri" w:cs="Times New Roman"/>
          <w:color w:val="000000"/>
          <w:szCs w:val="24"/>
        </w:rPr>
        <w:t>obavještava za početak PIMA projekta.</w:t>
      </w:r>
    </w:p>
    <w:p w:rsidR="0029402A" w:rsidRPr="0029402A" w:rsidRDefault="0029402A" w:rsidP="0029402A">
      <w:pPr>
        <w:autoSpaceDE w:val="0"/>
        <w:autoSpaceDN w:val="0"/>
        <w:adjustRightInd w:val="0"/>
        <w:spacing w:before="0" w:after="0" w:line="240" w:lineRule="auto"/>
        <w:ind w:firstLine="720"/>
        <w:rPr>
          <w:rFonts w:ascii="Calibri" w:eastAsia="MinionPro-Cn" w:hAnsi="Calibri" w:cs="Times New Roman"/>
          <w:color w:val="000000"/>
          <w:szCs w:val="24"/>
        </w:rPr>
      </w:pPr>
      <w:r w:rsidRPr="0029402A">
        <w:rPr>
          <w:rFonts w:ascii="Calibri" w:eastAsia="MinionPro-Cn" w:hAnsi="Calibri" w:cs="Times New Roman"/>
          <w:color w:val="000000"/>
          <w:szCs w:val="24"/>
        </w:rPr>
        <w:t>Takođe, u sklopu Projekta Unapređenje budžetskog sistema otpočele su i pripreme za izmjenu Odluke o izradi kapitalnog budžeta i utvrđivanju i vrednovanju kriterijuma za izbor kapitalnih projekata. </w:t>
      </w:r>
    </w:p>
    <w:p w:rsidR="0029402A" w:rsidRPr="0029402A" w:rsidRDefault="0029402A" w:rsidP="0029402A">
      <w:pPr>
        <w:autoSpaceDE w:val="0"/>
        <w:autoSpaceDN w:val="0"/>
        <w:adjustRightInd w:val="0"/>
        <w:spacing w:before="0" w:after="0" w:line="240" w:lineRule="auto"/>
        <w:ind w:firstLine="720"/>
        <w:rPr>
          <w:rFonts w:ascii="Calibri" w:eastAsia="MinionPro-Cn" w:hAnsi="Calibri" w:cs="Times New Roman"/>
          <w:color w:val="000000"/>
          <w:szCs w:val="24"/>
        </w:rPr>
      </w:pPr>
      <w:r w:rsidRPr="0029402A">
        <w:rPr>
          <w:rFonts w:ascii="Calibri" w:eastAsia="MinionPro-Cn" w:hAnsi="Calibri" w:cs="Times New Roman"/>
          <w:color w:val="000000"/>
          <w:szCs w:val="24"/>
        </w:rPr>
        <w:t>Istovremeno Direkcija za planiranje javnih investicija uključena je u izradu PFM izvještaja sa aspekta kapitalnog budžeta.</w:t>
      </w:r>
    </w:p>
    <w:p w:rsidR="0029402A" w:rsidRPr="0029402A" w:rsidRDefault="0029402A" w:rsidP="0029402A">
      <w:pPr>
        <w:spacing w:before="0" w:after="0" w:line="240" w:lineRule="auto"/>
        <w:ind w:firstLine="720"/>
        <w:rPr>
          <w:rFonts w:ascii="Calibri" w:eastAsia="Times New Roman" w:hAnsi="Calibri" w:cs="Times New Roman"/>
          <w:color w:val="000000"/>
          <w:szCs w:val="24"/>
        </w:rPr>
      </w:pPr>
      <w:r w:rsidRPr="0029402A">
        <w:rPr>
          <w:rFonts w:ascii="Calibri" w:eastAsia="MinionPro-Cn" w:hAnsi="Calibri" w:cs="Times New Roman"/>
          <w:color w:val="000000"/>
          <w:szCs w:val="24"/>
        </w:rPr>
        <w:t>Trenutne aktivnosti su na izmjenama Obrasca kao i na nastavku</w:t>
      </w:r>
      <w:r w:rsidRPr="0029402A">
        <w:rPr>
          <w:rFonts w:ascii="Calibri" w:eastAsia="Times New Roman" w:hAnsi="Calibri" w:cs="Times New Roman"/>
          <w:color w:val="000000"/>
          <w:szCs w:val="24"/>
        </w:rPr>
        <w:t xml:space="preserve"> pregovora sa MMF om vezano za PIMA aktivnosti.</w:t>
      </w:r>
    </w:p>
    <w:p w:rsidR="0029402A" w:rsidRPr="0029402A" w:rsidRDefault="0029402A" w:rsidP="0029402A">
      <w:pPr>
        <w:autoSpaceDE w:val="0"/>
        <w:autoSpaceDN w:val="0"/>
        <w:adjustRightInd w:val="0"/>
        <w:spacing w:before="0" w:after="0" w:line="240" w:lineRule="auto"/>
        <w:ind w:firstLine="720"/>
        <w:rPr>
          <w:rFonts w:ascii="Calibri" w:eastAsia="MinionPro-Cn" w:hAnsi="Calibri" w:cs="Times New Roman"/>
          <w:color w:val="000000"/>
          <w:szCs w:val="24"/>
        </w:rPr>
      </w:pPr>
      <w:r w:rsidRPr="0029402A">
        <w:rPr>
          <w:rFonts w:ascii="Calibri" w:eastAsia="MinionPro-Cn" w:hAnsi="Calibri" w:cs="Times New Roman"/>
          <w:color w:val="000000"/>
          <w:szCs w:val="24"/>
        </w:rPr>
        <w:t>U okviru ovog projekta u 2020. godini ažuriran je i unaprijeđen sadržaj obrazaca budžetske dokumentacije za kandidovanje i pripremu Kapitalnog budžeta, dok su obuke za kapitalni budžet bile planirane za četvrti kvartal 2020. godine ali su zbog pandemije COVID-19 takođe odložene za prvi kvartal 2021. godine.</w:t>
      </w:r>
    </w:p>
    <w:p w:rsidR="0029402A" w:rsidRPr="0029402A" w:rsidRDefault="0029402A" w:rsidP="0029402A">
      <w:pPr>
        <w:autoSpaceDE w:val="0"/>
        <w:autoSpaceDN w:val="0"/>
        <w:adjustRightInd w:val="0"/>
        <w:spacing w:before="0" w:after="0" w:line="240" w:lineRule="auto"/>
        <w:ind w:firstLine="720"/>
        <w:rPr>
          <w:rFonts w:ascii="Calibri" w:eastAsia="MinionPro-Cn" w:hAnsi="Calibri" w:cs="Times New Roman"/>
          <w:color w:val="000000"/>
          <w:szCs w:val="24"/>
          <w:lang w:val="de-DE"/>
        </w:rPr>
      </w:pPr>
      <w:r w:rsidRPr="0029402A">
        <w:rPr>
          <w:rFonts w:ascii="Calibri" w:eastAsia="MinionPro-Cn" w:hAnsi="Calibri" w:cs="Times New Roman"/>
          <w:color w:val="000000"/>
          <w:szCs w:val="24"/>
          <w:lang w:val="de-DE"/>
        </w:rPr>
        <w:t xml:space="preserve">U skladu sa Zakonom o budžetu i fiskalnoj odgovornosti, Direkcija za planiranje javnih investicija je svake godine u okviru Srednjoročne budžetske potrošnje utvrđivala limite potrošnje za kapitalne budžete Uprave za saobraćaj i Uprave javnih radove, koji predstavljaju polaznu osnovu za pripremu i planiranje godišnjih budžeta. </w:t>
      </w:r>
    </w:p>
    <w:p w:rsidR="0029402A" w:rsidRPr="0029402A" w:rsidRDefault="0029402A" w:rsidP="0029402A">
      <w:pPr>
        <w:spacing w:before="0" w:after="0" w:line="240" w:lineRule="auto"/>
        <w:ind w:firstLine="720"/>
        <w:rPr>
          <w:rFonts w:ascii="Calibri" w:eastAsia="Times New Roman" w:hAnsi="Calibri" w:cs="Times New Roman"/>
          <w:color w:val="000000"/>
          <w:szCs w:val="24"/>
          <w:lang w:val="de-DE"/>
        </w:rPr>
      </w:pPr>
      <w:r w:rsidRPr="0029402A">
        <w:rPr>
          <w:rFonts w:ascii="Calibri" w:eastAsia="Times New Roman" w:hAnsi="Calibri" w:cs="Times New Roman"/>
          <w:color w:val="000000"/>
          <w:szCs w:val="24"/>
          <w:lang w:val="de-DE"/>
        </w:rPr>
        <w:t xml:space="preserve">Izazovi koji su pred Direkcijom odnose se na: </w:t>
      </w:r>
    </w:p>
    <w:p w:rsidR="0029402A" w:rsidRPr="0029402A" w:rsidRDefault="0029402A" w:rsidP="0029402A">
      <w:pPr>
        <w:spacing w:before="0" w:after="0" w:line="240" w:lineRule="auto"/>
        <w:ind w:firstLine="720"/>
        <w:rPr>
          <w:rFonts w:ascii="Calibri" w:eastAsia="Times New Roman" w:hAnsi="Calibri" w:cs="Times New Roman"/>
          <w:color w:val="000000"/>
          <w:szCs w:val="24"/>
          <w:lang w:val="de-DE"/>
        </w:rPr>
      </w:pPr>
      <w:r w:rsidRPr="0029402A">
        <w:rPr>
          <w:rFonts w:ascii="Calibri" w:eastAsia="Times New Roman" w:hAnsi="Calibri" w:cs="Times New Roman"/>
          <w:color w:val="000000"/>
          <w:szCs w:val="24"/>
          <w:lang w:val="de-DE"/>
        </w:rPr>
        <w:t>Dalju reformu i unapređenje zakonske regulative u cilju poboljšanja pripreme, planiranja, realizacije, izvještavanja i monitoringa javnih investicija. Očekuje se dalji rad na PIMA i unapređenje budžetskog cirkulara za kapitalni budžet za 2022. godinu.</w:t>
      </w:r>
    </w:p>
    <w:p w:rsidR="0029402A" w:rsidRPr="0029402A" w:rsidRDefault="0029402A" w:rsidP="0029402A">
      <w:pPr>
        <w:autoSpaceDE w:val="0"/>
        <w:autoSpaceDN w:val="0"/>
        <w:adjustRightInd w:val="0"/>
        <w:spacing w:before="0" w:after="0" w:line="240" w:lineRule="auto"/>
        <w:contextualSpacing/>
        <w:rPr>
          <w:rFonts w:ascii="Calibri" w:eastAsia="Times New Roman" w:hAnsi="Calibri" w:cs="Times New Roman"/>
          <w:szCs w:val="24"/>
        </w:rPr>
      </w:pPr>
    </w:p>
    <w:p w:rsidR="0029402A" w:rsidRPr="0029402A" w:rsidRDefault="0029402A" w:rsidP="0029402A">
      <w:pPr>
        <w:keepNext/>
        <w:keepLines/>
        <w:spacing w:before="0" w:after="0" w:line="240" w:lineRule="auto"/>
        <w:outlineLvl w:val="0"/>
        <w:rPr>
          <w:rFonts w:ascii="Calibri" w:eastAsia="Times New Roman" w:hAnsi="Calibri" w:cs="Times New Roman"/>
          <w:b/>
          <w:bCs/>
          <w:color w:val="365F91"/>
          <w:szCs w:val="24"/>
          <w:lang w:val="sl-SI"/>
        </w:rPr>
      </w:pPr>
      <w:r w:rsidRPr="0029402A">
        <w:rPr>
          <w:rFonts w:ascii="Calibri" w:eastAsia="Times New Roman" w:hAnsi="Calibri" w:cs="Times New Roman"/>
          <w:b/>
          <w:bCs/>
          <w:color w:val="365F91"/>
          <w:szCs w:val="24"/>
        </w:rPr>
        <w:t>PREDLOG MJERA ZA UNAPREĐENJE</w:t>
      </w:r>
      <w:r w:rsidRPr="0029402A">
        <w:rPr>
          <w:rFonts w:ascii="Calibri" w:eastAsia="Times New Roman" w:hAnsi="Calibri" w:cs="Times New Roman"/>
          <w:b/>
          <w:bCs/>
          <w:color w:val="365F91"/>
          <w:szCs w:val="24"/>
          <w:lang w:val="sl-SI"/>
        </w:rPr>
        <w:t xml:space="preserve"> STANJA U NADLEŽNOSTI DIREKTORATA</w:t>
      </w:r>
    </w:p>
    <w:p w:rsidR="0029402A" w:rsidRPr="0029402A" w:rsidRDefault="0029402A" w:rsidP="0029402A">
      <w:pPr>
        <w:autoSpaceDE w:val="0"/>
        <w:autoSpaceDN w:val="0"/>
        <w:adjustRightInd w:val="0"/>
        <w:spacing w:before="0" w:after="0" w:line="240" w:lineRule="auto"/>
        <w:ind w:firstLine="360"/>
        <w:contextualSpacing/>
        <w:rPr>
          <w:rFonts w:ascii="Calibri" w:eastAsia="Times New Roman" w:hAnsi="Calibri" w:cs="Times New Roman"/>
          <w:szCs w:val="24"/>
          <w:lang w:val="en-US"/>
        </w:rPr>
      </w:pPr>
      <w:r w:rsidRPr="0029402A">
        <w:rPr>
          <w:rFonts w:ascii="Calibri" w:eastAsia="Times New Roman" w:hAnsi="Calibri" w:cs="Times New Roman"/>
          <w:szCs w:val="24"/>
        </w:rPr>
        <w:t xml:space="preserve">Značajan dio aktivnosti Direktorata </w:t>
      </w:r>
      <w:r w:rsidRPr="0029402A">
        <w:rPr>
          <w:rFonts w:ascii="Calibri" w:eastAsia="Times New Roman" w:hAnsi="Calibri" w:cs="Times New Roman"/>
          <w:szCs w:val="24"/>
          <w:lang w:val="en-US"/>
        </w:rPr>
        <w:t xml:space="preserve">državni budžet </w:t>
      </w:r>
      <w:r w:rsidRPr="0029402A">
        <w:rPr>
          <w:rFonts w:ascii="Calibri" w:eastAsia="Times New Roman" w:hAnsi="Calibri" w:cs="Times New Roman"/>
          <w:szCs w:val="24"/>
        </w:rPr>
        <w:t>usmjeren je ka unapređenju procesa planiranja budžeta kroz realizaciju tri projekta</w:t>
      </w:r>
      <w:r w:rsidRPr="0029402A">
        <w:rPr>
          <w:rFonts w:ascii="Calibri" w:eastAsia="Times New Roman" w:hAnsi="Calibri" w:cs="Times New Roman"/>
          <w:szCs w:val="24"/>
          <w:lang w:val="en-US"/>
        </w:rPr>
        <w:t xml:space="preserve">: </w:t>
      </w:r>
    </w:p>
    <w:p w:rsidR="0029402A" w:rsidRPr="0029402A" w:rsidRDefault="0029402A" w:rsidP="00FE2893">
      <w:pPr>
        <w:numPr>
          <w:ilvl w:val="0"/>
          <w:numId w:val="85"/>
        </w:numPr>
        <w:autoSpaceDE w:val="0"/>
        <w:autoSpaceDN w:val="0"/>
        <w:adjustRightInd w:val="0"/>
        <w:spacing w:before="0" w:after="0" w:line="240" w:lineRule="auto"/>
        <w:contextualSpacing/>
        <w:jc w:val="left"/>
        <w:rPr>
          <w:rFonts w:ascii="Calibri" w:eastAsia="Times New Roman" w:hAnsi="Calibri" w:cs="Times New Roman"/>
          <w:szCs w:val="24"/>
          <w:lang w:val="en-US"/>
        </w:rPr>
      </w:pPr>
      <w:r w:rsidRPr="0029402A">
        <w:rPr>
          <w:rFonts w:ascii="Calibri" w:eastAsia="Times New Roman" w:hAnsi="Calibri" w:cs="Times New Roman"/>
          <w:szCs w:val="24"/>
          <w:lang w:val="en-US"/>
        </w:rPr>
        <w:t xml:space="preserve">Unapređenje budžetskog sistema, višegodišnjeg budžetskog planiranja i sistema javne finansijske interne kontrole </w:t>
      </w:r>
    </w:p>
    <w:p w:rsidR="0029402A" w:rsidRPr="0029402A" w:rsidRDefault="0029402A" w:rsidP="00FE2893">
      <w:pPr>
        <w:numPr>
          <w:ilvl w:val="0"/>
          <w:numId w:val="85"/>
        </w:numPr>
        <w:autoSpaceDE w:val="0"/>
        <w:autoSpaceDN w:val="0"/>
        <w:adjustRightInd w:val="0"/>
        <w:spacing w:before="0" w:after="0" w:line="240" w:lineRule="auto"/>
        <w:contextualSpacing/>
        <w:jc w:val="left"/>
        <w:rPr>
          <w:rFonts w:ascii="Calibri" w:eastAsia="Times New Roman" w:hAnsi="Calibri" w:cs="Times New Roman"/>
          <w:szCs w:val="24"/>
          <w:lang w:val="en-US"/>
        </w:rPr>
      </w:pPr>
      <w:r w:rsidRPr="0029402A">
        <w:rPr>
          <w:rFonts w:ascii="Calibri" w:eastAsia="Times New Roman" w:hAnsi="Calibri" w:cs="Times New Roman"/>
          <w:szCs w:val="24"/>
          <w:lang w:val="en-US"/>
        </w:rPr>
        <w:t>Unaprijeđenje IT sistema za planiranje budžeta</w:t>
      </w:r>
    </w:p>
    <w:p w:rsidR="0029402A" w:rsidRPr="0029402A" w:rsidRDefault="0029402A" w:rsidP="00FE2893">
      <w:pPr>
        <w:numPr>
          <w:ilvl w:val="0"/>
          <w:numId w:val="85"/>
        </w:numPr>
        <w:autoSpaceDE w:val="0"/>
        <w:autoSpaceDN w:val="0"/>
        <w:adjustRightInd w:val="0"/>
        <w:spacing w:before="0" w:after="0" w:line="240" w:lineRule="auto"/>
        <w:contextualSpacing/>
        <w:jc w:val="left"/>
        <w:rPr>
          <w:rFonts w:ascii="Calibri" w:eastAsia="Times New Roman" w:hAnsi="Calibri" w:cs="Times New Roman"/>
          <w:szCs w:val="24"/>
          <w:lang w:val="en-US"/>
        </w:rPr>
      </w:pPr>
      <w:r w:rsidRPr="0029402A">
        <w:rPr>
          <w:rFonts w:ascii="Calibri" w:eastAsia="MinionPro-Cn" w:hAnsi="Calibri" w:cs="Times New Roman"/>
          <w:szCs w:val="24"/>
          <w:lang w:val="en-US"/>
        </w:rPr>
        <w:t>Implementacija sistema za centralizovani obračun zarada</w:t>
      </w:r>
    </w:p>
    <w:p w:rsidR="0029402A" w:rsidRPr="0029402A" w:rsidRDefault="0029402A" w:rsidP="0029402A">
      <w:pPr>
        <w:autoSpaceDE w:val="0"/>
        <w:autoSpaceDN w:val="0"/>
        <w:adjustRightInd w:val="0"/>
        <w:spacing w:before="0" w:after="0" w:line="240" w:lineRule="auto"/>
        <w:ind w:firstLine="360"/>
        <w:rPr>
          <w:rFonts w:ascii="Calibri" w:eastAsia="Times New Roman" w:hAnsi="Calibri" w:cs="Times New Roman"/>
          <w:szCs w:val="24"/>
          <w:lang w:val="en-US"/>
        </w:rPr>
      </w:pPr>
      <w:r w:rsidRPr="0029402A">
        <w:rPr>
          <w:rFonts w:ascii="Calibri" w:eastAsia="Times New Roman" w:hAnsi="Calibri" w:cs="Times New Roman"/>
          <w:szCs w:val="24"/>
          <w:lang w:val="en-US"/>
        </w:rPr>
        <w:t>Unapređenje budžetskog sistema, višegodišnjeg budžetskog planiranja i sistema javne finansijske interne kontrole i ima za cilj unaprijeđenje fiskalne održivosti i odgovorno upravljanje javnim finansijama u skladu sa najvišim standradima EU, kroz implementaciju višegodišnjeg okvira budžeta i programskog budžeta, zatim budžetiranje shodno učinku kroz definisanje indikatora.</w:t>
      </w:r>
    </w:p>
    <w:p w:rsidR="0029402A" w:rsidRPr="0029402A" w:rsidRDefault="0029402A" w:rsidP="0029402A">
      <w:pPr>
        <w:autoSpaceDE w:val="0"/>
        <w:autoSpaceDN w:val="0"/>
        <w:adjustRightInd w:val="0"/>
        <w:spacing w:before="0" w:after="0" w:line="240" w:lineRule="auto"/>
        <w:ind w:firstLine="360"/>
        <w:rPr>
          <w:rFonts w:ascii="Calibri" w:eastAsia="Times New Roman" w:hAnsi="Calibri" w:cs="Times New Roman"/>
          <w:szCs w:val="24"/>
          <w:lang w:val="en-US"/>
        </w:rPr>
      </w:pPr>
      <w:r w:rsidRPr="0029402A">
        <w:rPr>
          <w:rFonts w:ascii="Calibri" w:eastAsia="Times New Roman" w:hAnsi="Calibri" w:cs="Times New Roman"/>
          <w:szCs w:val="24"/>
          <w:lang w:val="en-US"/>
        </w:rPr>
        <w:t>Unaprijeđenje IT sistema za planiranje budžeta je u skladu sa međunarodnim iskustvima i predstavlja koncept od presudnog značaja za podršku programskom budžetiranju. Kako bi se omogućila adekvatna realizacija obaveza BMIS je dostupan u resornim minastarstvima i ostalim potrošačkim jedinicama.</w:t>
      </w:r>
    </w:p>
    <w:p w:rsidR="0029402A" w:rsidRPr="0029402A" w:rsidRDefault="0029402A" w:rsidP="0029402A">
      <w:pPr>
        <w:autoSpaceDE w:val="0"/>
        <w:autoSpaceDN w:val="0"/>
        <w:adjustRightInd w:val="0"/>
        <w:spacing w:before="0" w:after="0" w:line="240" w:lineRule="auto"/>
        <w:ind w:firstLine="360"/>
        <w:contextualSpacing/>
        <w:rPr>
          <w:rFonts w:ascii="Calibri" w:eastAsia="Times New Roman" w:hAnsi="Calibri" w:cs="Times New Roman"/>
          <w:szCs w:val="24"/>
        </w:rPr>
      </w:pPr>
      <w:r w:rsidRPr="0029402A">
        <w:rPr>
          <w:rFonts w:ascii="Calibri" w:eastAsia="Times New Roman" w:hAnsi="Calibri" w:cs="Times New Roman"/>
          <w:szCs w:val="24"/>
        </w:rPr>
        <w:lastRenderedPageBreak/>
        <w:t>Opšti cilj projekta „Implementacija Sistema za centralizovani obračun zarada” koji je finansiran kroz Instrumente pretpristupne pomoći (IPA II) 2014-2020 u sklopu politike podrške upravljanja javnim finansijama (PFM) je implementacije sistema koji će doprinijeti fiskalnoj održivosti i zdravom upravljanju javnim finansijama u skladu sa zahtjevima EU. Sistem će omogućiti znatno viši stepen kontrole, smanjiti broj mogućih grešaka i automatizovati brojne procese koji se trenutno obavljaju manuelno.</w:t>
      </w:r>
    </w:p>
    <w:p w:rsidR="0029402A" w:rsidRPr="0029402A" w:rsidRDefault="0029402A" w:rsidP="0029402A">
      <w:pPr>
        <w:autoSpaceDE w:val="0"/>
        <w:autoSpaceDN w:val="0"/>
        <w:adjustRightInd w:val="0"/>
        <w:spacing w:before="0" w:after="0" w:line="240" w:lineRule="auto"/>
        <w:ind w:firstLine="360"/>
        <w:contextualSpacing/>
        <w:rPr>
          <w:rFonts w:ascii="Calibri" w:eastAsia="Times New Roman" w:hAnsi="Calibri" w:cs="Times New Roman"/>
          <w:b/>
          <w:color w:val="548DD4"/>
          <w:szCs w:val="24"/>
          <w:u w:val="single"/>
          <w:lang w:val="pl-PL"/>
        </w:rPr>
      </w:pPr>
      <w:r w:rsidRPr="0029402A">
        <w:rPr>
          <w:rFonts w:ascii="Calibri" w:eastAsia="Times New Roman" w:hAnsi="Calibri" w:cs="Times New Roman"/>
          <w:szCs w:val="24"/>
        </w:rPr>
        <w:t>Predlog mjera je sproveđenje obuka krajnjih korisnika iz svih potrošačkih jedinica koje se finansiraju iz Budžeta CG i nakon završene obuke postepeno uključivanje korisnika radi prelaska na Centralizovan obračun zarada, koji će obuhvatiti zaposlene u javnom sektoru koji se finansiraju iz Budžeta Crne Gore i na taj način kontrolisati rashode i izvršene isplate za sve zaposlene u javnom sektoru u realnom vremenu.</w:t>
      </w:r>
      <w:r w:rsidRPr="0029402A">
        <w:rPr>
          <w:rFonts w:ascii="Calibri" w:eastAsia="Times New Roman" w:hAnsi="Calibri" w:cs="Times New Roman"/>
          <w:b/>
          <w:color w:val="548DD4"/>
          <w:szCs w:val="24"/>
          <w:u w:val="single"/>
          <w:lang w:val="pl-PL"/>
        </w:rPr>
        <w:t xml:space="preserve"> </w:t>
      </w:r>
    </w:p>
    <w:p w:rsidR="001640A4" w:rsidRDefault="001640A4" w:rsidP="008F659F">
      <w:pPr>
        <w:pStyle w:val="PlainText"/>
        <w:jc w:val="both"/>
        <w:rPr>
          <w:rFonts w:asciiTheme="minorHAnsi" w:hAnsiTheme="minorHAnsi" w:cs="Arial"/>
          <w:b/>
          <w:sz w:val="24"/>
          <w:szCs w:val="24"/>
        </w:rPr>
      </w:pPr>
    </w:p>
    <w:p w:rsidR="007D12AC" w:rsidRDefault="007D12AC" w:rsidP="00B64C8A">
      <w:pPr>
        <w:pStyle w:val="PlainText"/>
        <w:shd w:val="clear" w:color="auto" w:fill="F9D8CD" w:themeFill="accent1" w:themeFillTint="33"/>
        <w:jc w:val="both"/>
        <w:rPr>
          <w:rFonts w:asciiTheme="minorHAnsi" w:hAnsiTheme="minorHAnsi" w:cs="Arial"/>
          <w:b/>
          <w:sz w:val="24"/>
          <w:szCs w:val="24"/>
        </w:rPr>
      </w:pPr>
      <w:r>
        <w:rPr>
          <w:rFonts w:asciiTheme="minorHAnsi" w:hAnsiTheme="minorHAnsi" w:cs="Arial"/>
          <w:b/>
          <w:sz w:val="24"/>
          <w:szCs w:val="24"/>
        </w:rPr>
        <w:tab/>
      </w:r>
      <w:r w:rsidR="00B64C8A">
        <w:rPr>
          <w:rFonts w:asciiTheme="minorHAnsi" w:hAnsiTheme="minorHAnsi" w:cs="Arial"/>
          <w:b/>
          <w:sz w:val="24"/>
          <w:szCs w:val="24"/>
        </w:rPr>
        <w:t xml:space="preserve">3. </w:t>
      </w:r>
      <w:r>
        <w:rPr>
          <w:rFonts w:asciiTheme="minorHAnsi" w:hAnsiTheme="minorHAnsi" w:cs="Arial"/>
          <w:b/>
          <w:sz w:val="24"/>
          <w:szCs w:val="24"/>
        </w:rPr>
        <w:t>DIREKTORAT DRŽAVNOG TREZORA</w:t>
      </w:r>
    </w:p>
    <w:p w:rsidR="007D12AC" w:rsidRPr="00101664" w:rsidRDefault="007D12AC" w:rsidP="00101664">
      <w:pPr>
        <w:spacing w:after="0" w:line="240" w:lineRule="auto"/>
        <w:ind w:firstLine="360"/>
        <w:jc w:val="left"/>
        <w:rPr>
          <w:rFonts w:cs="Arial"/>
          <w:b/>
          <w:bCs/>
          <w:szCs w:val="24"/>
          <w:u w:val="single"/>
          <w:lang w:val="sv-FI"/>
        </w:rPr>
      </w:pPr>
      <w:r w:rsidRPr="00101664">
        <w:rPr>
          <w:rFonts w:cs="Arial"/>
          <w:b/>
          <w:bCs/>
          <w:szCs w:val="24"/>
          <w:u w:val="single"/>
          <w:lang w:val="sv-FI"/>
        </w:rPr>
        <w:t>Direkciji za računovodstvene usluge i izvršenje budžeta</w:t>
      </w:r>
    </w:p>
    <w:p w:rsidR="007D12AC" w:rsidRPr="001F3D14" w:rsidRDefault="007D12AC" w:rsidP="007D12AC">
      <w:pPr>
        <w:spacing w:before="0" w:after="0"/>
        <w:ind w:firstLine="360"/>
        <w:rPr>
          <w:rFonts w:cs="Arial"/>
          <w:b/>
          <w:bCs/>
          <w:szCs w:val="24"/>
          <w:lang w:val="hr-HR"/>
        </w:rPr>
      </w:pPr>
      <w:r w:rsidRPr="001F3D14">
        <w:rPr>
          <w:rFonts w:cs="Arial"/>
          <w:szCs w:val="24"/>
          <w:lang w:val="hr-HR"/>
        </w:rPr>
        <w:t>Tokom 2020.  godine, u  Direkciji   za   računovodstvene   usluge i izvršenje budžeta obavljane su  redovne aktivnosti koje se sastoje u obradi naloga korisnika bud</w:t>
      </w:r>
      <w:r w:rsidRPr="001F3D14">
        <w:rPr>
          <w:rFonts w:cs="Arial"/>
          <w:szCs w:val="24"/>
          <w:lang w:val="sl-SI"/>
        </w:rPr>
        <w:t>ž</w:t>
      </w:r>
      <w:r w:rsidRPr="001F3D14">
        <w:rPr>
          <w:rFonts w:cs="Arial"/>
          <w:szCs w:val="24"/>
          <w:lang w:val="hr-HR"/>
        </w:rPr>
        <w:t>eta, kreiranja više vrsta izvještaja za korisnike budžeta, kao i za potrebe drugih odsjeka unutar Sektora, Ministarstva, Vlade i nekih međunarodnih institucija;</w:t>
      </w:r>
    </w:p>
    <w:p w:rsidR="007D12AC" w:rsidRPr="001F3D14" w:rsidRDefault="007D12AC" w:rsidP="007D12AC">
      <w:pPr>
        <w:spacing w:before="0" w:after="0" w:line="240" w:lineRule="auto"/>
        <w:ind w:firstLine="360"/>
        <w:rPr>
          <w:rFonts w:cs="Arial"/>
          <w:bCs/>
          <w:iCs/>
          <w:szCs w:val="24"/>
          <w:lang w:val="hr-HR"/>
        </w:rPr>
      </w:pPr>
      <w:r w:rsidRPr="001F3D14">
        <w:rPr>
          <w:rFonts w:cs="Arial"/>
          <w:szCs w:val="24"/>
          <w:lang w:val="hr-HR"/>
        </w:rPr>
        <w:t xml:space="preserve">Direkcija za računovodstvene usluge i  izvršenje budžeta takođe obavlja i svakodnevna plaćanja obaveza korisnika budžeta, prati i evidentira izvršenje sudskih rješenja, evidentira dnevni priliv sredstava na državnim računima, vodi dnevne izvještaje o svim promjenama na Glavnom računu Državnog trezora i svakodnevno sačinjava </w:t>
      </w:r>
      <w:r w:rsidRPr="001F3D14">
        <w:rPr>
          <w:rFonts w:cs="Arial"/>
          <w:bCs/>
          <w:iCs/>
          <w:szCs w:val="24"/>
          <w:lang w:val="sl-SI"/>
        </w:rPr>
        <w:t>Izvještaj o promjenama obavljenim preko Glavnog državnog računa Trezora i dostavlja Predsjedniku Države, predsjedniku Vlade i ministru finansija;</w:t>
      </w:r>
    </w:p>
    <w:p w:rsidR="007D12AC" w:rsidRPr="00101664" w:rsidRDefault="007D12AC" w:rsidP="00101664">
      <w:pPr>
        <w:autoSpaceDE w:val="0"/>
        <w:autoSpaceDN w:val="0"/>
        <w:adjustRightInd w:val="0"/>
        <w:spacing w:after="0" w:line="240" w:lineRule="auto"/>
        <w:ind w:firstLine="360"/>
        <w:rPr>
          <w:rFonts w:eastAsia="Times New Roman" w:cs="Arial"/>
          <w:b/>
          <w:szCs w:val="24"/>
          <w:u w:val="single"/>
        </w:rPr>
      </w:pPr>
      <w:r w:rsidRPr="00101664">
        <w:rPr>
          <w:rFonts w:cs="Arial"/>
          <w:b/>
          <w:bCs/>
          <w:color w:val="000000"/>
          <w:szCs w:val="24"/>
          <w:u w:val="single"/>
          <w:lang w:val="hr-HR"/>
        </w:rPr>
        <w:t>Direkcija za budžetsko računovodstvo i izvještavanje</w:t>
      </w:r>
      <w:r w:rsidRPr="00101664">
        <w:rPr>
          <w:rFonts w:cs="Arial"/>
          <w:bCs/>
          <w:color w:val="000000"/>
          <w:szCs w:val="24"/>
          <w:u w:val="single"/>
        </w:rPr>
        <w:t xml:space="preserve"> </w:t>
      </w:r>
    </w:p>
    <w:p w:rsidR="007D12AC" w:rsidRPr="007D12AC" w:rsidRDefault="007D12AC" w:rsidP="007D12AC">
      <w:pPr>
        <w:autoSpaceDE w:val="0"/>
        <w:autoSpaceDN w:val="0"/>
        <w:adjustRightInd w:val="0"/>
        <w:spacing w:before="0" w:after="0" w:line="240" w:lineRule="auto"/>
        <w:ind w:firstLine="360"/>
        <w:rPr>
          <w:rFonts w:cs="Arial"/>
          <w:b/>
          <w:bCs/>
          <w:color w:val="000000"/>
          <w:szCs w:val="24"/>
        </w:rPr>
      </w:pPr>
      <w:r w:rsidRPr="007D12AC">
        <w:rPr>
          <w:rFonts w:cs="Arial"/>
          <w:bCs/>
          <w:color w:val="000000"/>
          <w:szCs w:val="24"/>
        </w:rPr>
        <w:t>Direkcija za budžetsko računovodstvo i izvještavanje</w:t>
      </w:r>
      <w:r w:rsidRPr="007D12AC">
        <w:rPr>
          <w:rFonts w:cs="Arial"/>
          <w:b/>
          <w:bCs/>
          <w:color w:val="000000"/>
          <w:szCs w:val="24"/>
        </w:rPr>
        <w:t xml:space="preserve"> </w:t>
      </w:r>
      <w:r w:rsidRPr="007D12AC">
        <w:rPr>
          <w:rFonts w:cs="Arial"/>
          <w:bCs/>
          <w:color w:val="000000"/>
          <w:szCs w:val="24"/>
        </w:rPr>
        <w:t>u 2020. godini radila je na poslovima iz svoje nadležnosti u skladu sa Pravilnikom o unutrašnjoj organizaciji i sistematizaciji.</w:t>
      </w:r>
    </w:p>
    <w:p w:rsidR="007D12AC" w:rsidRPr="007D12AC" w:rsidRDefault="007D12AC" w:rsidP="007D12AC">
      <w:pPr>
        <w:autoSpaceDE w:val="0"/>
        <w:autoSpaceDN w:val="0"/>
        <w:adjustRightInd w:val="0"/>
        <w:spacing w:before="0" w:after="0" w:line="240" w:lineRule="auto"/>
        <w:ind w:firstLine="360"/>
        <w:rPr>
          <w:rFonts w:cs="Arial"/>
          <w:bCs/>
          <w:color w:val="000000"/>
          <w:szCs w:val="24"/>
        </w:rPr>
      </w:pPr>
      <w:r w:rsidRPr="007D12AC">
        <w:rPr>
          <w:rFonts w:cs="Arial"/>
          <w:bCs/>
          <w:color w:val="000000"/>
          <w:szCs w:val="24"/>
        </w:rPr>
        <w:t>S tim u vezi aktivnosti Direkcije u 2020. godini odnosile su se na:</w:t>
      </w:r>
    </w:p>
    <w:p w:rsidR="007D12AC" w:rsidRPr="007D12AC" w:rsidRDefault="007D12AC" w:rsidP="009F291B">
      <w:pPr>
        <w:numPr>
          <w:ilvl w:val="0"/>
          <w:numId w:val="9"/>
        </w:numPr>
        <w:autoSpaceDE w:val="0"/>
        <w:autoSpaceDN w:val="0"/>
        <w:adjustRightInd w:val="0"/>
        <w:spacing w:before="0" w:after="0" w:line="240" w:lineRule="auto"/>
        <w:rPr>
          <w:rFonts w:cs="Arial"/>
          <w:bCs/>
          <w:color w:val="000000"/>
          <w:szCs w:val="24"/>
        </w:rPr>
      </w:pPr>
      <w:r w:rsidRPr="007D12AC">
        <w:rPr>
          <w:rFonts w:cs="Arial"/>
          <w:b/>
          <w:bCs/>
          <w:color w:val="000000"/>
          <w:szCs w:val="24"/>
        </w:rPr>
        <w:t xml:space="preserve">izradu podzakonskih akata za primjenu Zakona o računovodstvu u javnom sektoru, </w:t>
      </w:r>
      <w:r w:rsidRPr="007D12AC">
        <w:rPr>
          <w:rFonts w:cs="Arial"/>
          <w:bCs/>
          <w:color w:val="000000"/>
          <w:szCs w:val="24"/>
        </w:rPr>
        <w:t>te su u skladu sa tim pripremljeni nacrti: Pravilnika o kontnom okviru, Pravilnika o računovodstvenoj metodologiji, Pravilnika o centralnom i opštinskom registru javnog sektora, Pravilnika o finansijskom izvještavanju u javnom sektoru, Pravilnika o programu obuke i načinu polaganja ispita za sticanje sertifikata računovođe u javnom sektoru, Priručnika za program obuke i sertifikacije računovođa u javnom sektoru.</w:t>
      </w:r>
    </w:p>
    <w:p w:rsidR="007D12AC" w:rsidRPr="007D12AC" w:rsidRDefault="007D12AC" w:rsidP="009F291B">
      <w:pPr>
        <w:numPr>
          <w:ilvl w:val="0"/>
          <w:numId w:val="9"/>
        </w:numPr>
        <w:spacing w:before="0" w:after="0" w:line="240" w:lineRule="auto"/>
        <w:ind w:left="357" w:hanging="357"/>
        <w:jc w:val="left"/>
        <w:rPr>
          <w:rFonts w:cs="Arial"/>
          <w:bCs/>
          <w:color w:val="000000"/>
          <w:szCs w:val="24"/>
        </w:rPr>
      </w:pPr>
      <w:r w:rsidRPr="007D12AC">
        <w:rPr>
          <w:rFonts w:cs="Arial"/>
          <w:b/>
          <w:bCs/>
          <w:color w:val="000000"/>
          <w:szCs w:val="24"/>
        </w:rPr>
        <w:t>Zakon o završnom računu Budžeta Crne Gore za 2019. godinu</w:t>
      </w:r>
      <w:r w:rsidRPr="007D12AC">
        <w:rPr>
          <w:rFonts w:cs="Arial"/>
          <w:bCs/>
          <w:color w:val="000000"/>
          <w:szCs w:val="24"/>
        </w:rPr>
        <w:t xml:space="preserve"> – Direkcija je u toku 2020. godine radila na prikupljanju i analizi finansijskih izvještaja i izradi Predloga Zakona o završnom računu budžeta Crne Gore za 2019. godinu.</w:t>
      </w:r>
    </w:p>
    <w:p w:rsidR="007D12AC" w:rsidRPr="007D12AC" w:rsidRDefault="007D12AC" w:rsidP="009F291B">
      <w:pPr>
        <w:numPr>
          <w:ilvl w:val="0"/>
          <w:numId w:val="9"/>
        </w:numPr>
        <w:spacing w:before="0" w:after="0" w:line="240" w:lineRule="auto"/>
        <w:ind w:left="357" w:hanging="357"/>
        <w:jc w:val="left"/>
        <w:rPr>
          <w:rFonts w:cs="Arial"/>
          <w:bCs/>
          <w:color w:val="000000"/>
          <w:szCs w:val="24"/>
        </w:rPr>
      </w:pPr>
      <w:r w:rsidRPr="007D12AC">
        <w:rPr>
          <w:rFonts w:cs="Arial"/>
          <w:b/>
          <w:bCs/>
          <w:color w:val="000000"/>
          <w:szCs w:val="24"/>
        </w:rPr>
        <w:t>Koordinaciju trećeg kruga obuke za računovođe u javnom sekoru</w:t>
      </w:r>
      <w:r w:rsidRPr="007D12AC">
        <w:rPr>
          <w:rFonts w:cs="Arial"/>
          <w:bCs/>
          <w:color w:val="000000"/>
          <w:szCs w:val="24"/>
        </w:rPr>
        <w:t xml:space="preserve"> u saradnji sa CIPFA Institutom iz Velike Britanije i Centrom za izvrsnost u finansijama iz Slovenije. Obuka je vršena za 40 računovođa iz javnog sektora. Takođe, aktivno je rađeno i na pripremi neophodnih akata za lokalizaciju projekta obuke računovođa u javnom sektoru i pripremljena je legislativa i procedure za lokalizovanu obuku.</w:t>
      </w:r>
    </w:p>
    <w:p w:rsidR="007D12AC" w:rsidRPr="007D12AC" w:rsidRDefault="007D12AC" w:rsidP="009F291B">
      <w:pPr>
        <w:numPr>
          <w:ilvl w:val="0"/>
          <w:numId w:val="9"/>
        </w:numPr>
        <w:autoSpaceDE w:val="0"/>
        <w:autoSpaceDN w:val="0"/>
        <w:adjustRightInd w:val="0"/>
        <w:spacing w:before="0" w:after="0" w:line="240" w:lineRule="auto"/>
        <w:rPr>
          <w:rFonts w:cs="Arial"/>
          <w:bCs/>
          <w:color w:val="000000"/>
          <w:szCs w:val="24"/>
        </w:rPr>
      </w:pPr>
      <w:r w:rsidRPr="007D12AC">
        <w:rPr>
          <w:rFonts w:cs="Arial"/>
          <w:b/>
          <w:bCs/>
          <w:color w:val="000000"/>
          <w:szCs w:val="24"/>
        </w:rPr>
        <w:t xml:space="preserve">PULSAR projekat Svjetske banke – </w:t>
      </w:r>
      <w:r w:rsidRPr="007D12AC">
        <w:rPr>
          <w:rFonts w:cs="Arial"/>
          <w:bCs/>
          <w:color w:val="000000"/>
          <w:szCs w:val="24"/>
        </w:rPr>
        <w:t>Predstavnici Direkcije aktivno su učestvovali u PULSAR (Public Sector Accounting and Reporting) projektu Svjetske banke za podršku računovodstvu i finansijskom izvještavanju u javnom sektoru, kao dio radne grupe za finansijsko izvještavanje i upravljanje obukama u oblasti računovodstva javnog sektora.</w:t>
      </w:r>
    </w:p>
    <w:p w:rsidR="007D12AC" w:rsidRPr="007D12AC" w:rsidRDefault="007D12AC" w:rsidP="009F291B">
      <w:pPr>
        <w:numPr>
          <w:ilvl w:val="0"/>
          <w:numId w:val="9"/>
        </w:numPr>
        <w:autoSpaceDE w:val="0"/>
        <w:autoSpaceDN w:val="0"/>
        <w:adjustRightInd w:val="0"/>
        <w:spacing w:before="0" w:after="0" w:line="240" w:lineRule="auto"/>
        <w:rPr>
          <w:rFonts w:cs="Arial"/>
          <w:bCs/>
          <w:color w:val="000000"/>
          <w:szCs w:val="24"/>
        </w:rPr>
      </w:pPr>
      <w:r w:rsidRPr="007D12AC">
        <w:rPr>
          <w:rFonts w:cs="Arial"/>
          <w:b/>
          <w:bCs/>
          <w:color w:val="000000"/>
          <w:szCs w:val="24"/>
        </w:rPr>
        <w:lastRenderedPageBreak/>
        <w:t>Radionicu na temu “Prelazak na obračunsko računovodstvo i IPSAS standardi”</w:t>
      </w:r>
      <w:r w:rsidRPr="007D12AC">
        <w:rPr>
          <w:rFonts w:cs="Arial"/>
          <w:bCs/>
          <w:color w:val="000000"/>
          <w:szCs w:val="24"/>
        </w:rPr>
        <w:t xml:space="preserve"> za 34 računovođe u javnom sektoru, koja je održana od 11-13 februara 2020. godine u Budvi, a na kojoj su učešće uzeli domaći i međunarodni eksperti iz oblasti računovodstva.</w:t>
      </w:r>
    </w:p>
    <w:p w:rsidR="007D12AC" w:rsidRPr="007D12AC" w:rsidRDefault="007D12AC" w:rsidP="00146EBE">
      <w:pPr>
        <w:numPr>
          <w:ilvl w:val="0"/>
          <w:numId w:val="10"/>
        </w:numPr>
        <w:autoSpaceDE w:val="0"/>
        <w:autoSpaceDN w:val="0"/>
        <w:adjustRightInd w:val="0"/>
        <w:spacing w:before="0" w:after="0" w:line="240" w:lineRule="auto"/>
        <w:rPr>
          <w:rFonts w:cs="Arial"/>
          <w:bCs/>
          <w:color w:val="000000"/>
          <w:szCs w:val="24"/>
        </w:rPr>
      </w:pPr>
      <w:r w:rsidRPr="007D12AC">
        <w:rPr>
          <w:rFonts w:cs="Arial"/>
          <w:b/>
          <w:bCs/>
          <w:color w:val="000000"/>
          <w:szCs w:val="24"/>
        </w:rPr>
        <w:t>Izmjene i dopune Naredbe o načinu uplate javnih prihoda, Uputstva o radu državnog trezora i Pravilnika o finansijskom izvještavanju</w:t>
      </w:r>
      <w:r w:rsidRPr="007D12AC">
        <w:rPr>
          <w:rFonts w:cs="Arial"/>
          <w:bCs/>
          <w:color w:val="000000"/>
          <w:szCs w:val="24"/>
        </w:rPr>
        <w:t xml:space="preserve"> – Direkcija je vršila izmjene i dopune podzakonskih akata u skladu sa važećom regulativom i potrebama Ministarstva finansija i drugih potrošačkih jedinica.</w:t>
      </w:r>
    </w:p>
    <w:p w:rsidR="007D12AC" w:rsidRPr="007D12AC" w:rsidRDefault="007D12AC" w:rsidP="00146EBE">
      <w:pPr>
        <w:numPr>
          <w:ilvl w:val="0"/>
          <w:numId w:val="10"/>
        </w:numPr>
        <w:autoSpaceDE w:val="0"/>
        <w:autoSpaceDN w:val="0"/>
        <w:adjustRightInd w:val="0"/>
        <w:spacing w:before="0" w:after="0" w:line="240" w:lineRule="auto"/>
        <w:rPr>
          <w:rFonts w:cs="Arial"/>
          <w:color w:val="000000"/>
          <w:szCs w:val="24"/>
        </w:rPr>
      </w:pPr>
      <w:r w:rsidRPr="007D12AC">
        <w:rPr>
          <w:rFonts w:cs="Arial"/>
          <w:color w:val="000000"/>
          <w:szCs w:val="24"/>
        </w:rPr>
        <w:t xml:space="preserve">izradu </w:t>
      </w:r>
      <w:r w:rsidRPr="007D12AC">
        <w:rPr>
          <w:rFonts w:cs="Arial"/>
          <w:b/>
          <w:color w:val="000000"/>
          <w:szCs w:val="24"/>
        </w:rPr>
        <w:t>Predloga Akcionog plana za implementaciju preporuka Državne revizorske institucije</w:t>
      </w:r>
      <w:r w:rsidRPr="007D12AC">
        <w:rPr>
          <w:rFonts w:cs="Arial"/>
          <w:color w:val="000000"/>
          <w:szCs w:val="24"/>
        </w:rPr>
        <w:t xml:space="preserve"> – Na osnovu Zaključaka Skupštine Crne Gore i Izvještaja o reviziji Zakona o završnom računu za 2018. godinu, Vlada Crne Gore usvojila je 6. februara 2020. godine Akcioni plan za implementaciju preporuka Državne revizorske institucije.</w:t>
      </w:r>
    </w:p>
    <w:p w:rsidR="007D12AC" w:rsidRPr="007D12AC" w:rsidRDefault="007D12AC" w:rsidP="00146EBE">
      <w:pPr>
        <w:numPr>
          <w:ilvl w:val="0"/>
          <w:numId w:val="10"/>
        </w:numPr>
        <w:autoSpaceDE w:val="0"/>
        <w:autoSpaceDN w:val="0"/>
        <w:adjustRightInd w:val="0"/>
        <w:spacing w:before="0" w:after="0" w:line="240" w:lineRule="auto"/>
        <w:rPr>
          <w:rFonts w:cs="Arial"/>
          <w:bCs/>
          <w:color w:val="000000"/>
          <w:szCs w:val="24"/>
        </w:rPr>
      </w:pPr>
      <w:r w:rsidRPr="007D12AC">
        <w:rPr>
          <w:rFonts w:cs="Arial"/>
          <w:szCs w:val="24"/>
        </w:rPr>
        <w:t xml:space="preserve">pripremu kvartalnih </w:t>
      </w:r>
      <w:r w:rsidRPr="007D12AC">
        <w:rPr>
          <w:rFonts w:cs="Arial"/>
          <w:b/>
          <w:szCs w:val="24"/>
        </w:rPr>
        <w:t>Informacija</w:t>
      </w:r>
      <w:r w:rsidRPr="007D12AC">
        <w:rPr>
          <w:rFonts w:eastAsia="Calibri" w:cs="Arial"/>
          <w:b/>
          <w:bCs/>
          <w:color w:val="000000"/>
          <w:szCs w:val="24"/>
          <w:lang w:val="sl-SI"/>
        </w:rPr>
        <w:t xml:space="preserve"> </w:t>
      </w:r>
      <w:r w:rsidRPr="007D12AC">
        <w:rPr>
          <w:rFonts w:cs="Arial"/>
          <w:b/>
          <w:szCs w:val="24"/>
        </w:rPr>
        <w:t>o realizaciji Akcionog plana za implementaciju preporuka Državne revizorske institucije</w:t>
      </w:r>
      <w:r w:rsidRPr="007D12AC">
        <w:rPr>
          <w:rFonts w:cs="Arial"/>
          <w:szCs w:val="24"/>
        </w:rPr>
        <w:t xml:space="preserve"> datih prilikom usvajanja Zakona o Završnom računu za 2018. godine – Informacije o realizaciji Akcionog plana usvajaju se na sjednicama Vlade Crne Gore i potom dostavljaju skupštinskom Odboru za ekonomiju, finansije i budžet i Državnoj revizorskoj instituciji.</w:t>
      </w:r>
    </w:p>
    <w:p w:rsidR="007D12AC" w:rsidRPr="007D12AC" w:rsidRDefault="007D12AC" w:rsidP="00146EBE">
      <w:pPr>
        <w:numPr>
          <w:ilvl w:val="0"/>
          <w:numId w:val="10"/>
        </w:numPr>
        <w:autoSpaceDE w:val="0"/>
        <w:autoSpaceDN w:val="0"/>
        <w:adjustRightInd w:val="0"/>
        <w:spacing w:before="0" w:after="0" w:line="240" w:lineRule="auto"/>
        <w:rPr>
          <w:rFonts w:cs="Arial"/>
          <w:color w:val="000000"/>
          <w:szCs w:val="24"/>
          <w:lang w:val="sl-SI"/>
        </w:rPr>
      </w:pPr>
      <w:r w:rsidRPr="007D12AC">
        <w:rPr>
          <w:rFonts w:cs="Arial"/>
          <w:b/>
          <w:color w:val="000000"/>
          <w:szCs w:val="24"/>
        </w:rPr>
        <w:t xml:space="preserve">Stručno uputstvo svim korisnicima budžeta </w:t>
      </w:r>
      <w:r w:rsidRPr="007D12AC">
        <w:rPr>
          <w:rFonts w:cs="Arial"/>
          <w:b/>
          <w:color w:val="000000"/>
          <w:szCs w:val="24"/>
          <w:lang w:val="sl-SI"/>
        </w:rPr>
        <w:t>za izradu završnih računa za 2021. godinu</w:t>
      </w:r>
      <w:r w:rsidRPr="007D12AC">
        <w:rPr>
          <w:rFonts w:cs="Arial"/>
          <w:color w:val="000000"/>
          <w:szCs w:val="24"/>
          <w:lang w:val="sl-SI"/>
        </w:rPr>
        <w:t xml:space="preserve"> – Uputstvo se dostavlja shodno odredbama tačke 94 Uputstva o radu Državnog trezora i istim se daju detaljnije instrukcije za završna knjiženja i dostavljanje finansijskih izvještaja. </w:t>
      </w:r>
    </w:p>
    <w:p w:rsidR="007D12AC" w:rsidRPr="007D12AC" w:rsidRDefault="007D12AC" w:rsidP="00A97518">
      <w:pPr>
        <w:autoSpaceDE w:val="0"/>
        <w:autoSpaceDN w:val="0"/>
        <w:adjustRightInd w:val="0"/>
        <w:spacing w:after="0" w:line="240" w:lineRule="auto"/>
        <w:ind w:firstLine="360"/>
        <w:rPr>
          <w:rFonts w:cs="Arial"/>
          <w:bCs/>
          <w:color w:val="000000"/>
          <w:szCs w:val="24"/>
        </w:rPr>
      </w:pPr>
      <w:r w:rsidRPr="007D12AC">
        <w:rPr>
          <w:rFonts w:cs="Arial"/>
          <w:bCs/>
          <w:color w:val="000000"/>
          <w:szCs w:val="24"/>
        </w:rPr>
        <w:t xml:space="preserve">Direkcija je u 2020. godini radila na donošenju naloga za plaćanje odnosno preusmjeravanje poreza na dodatu vrijednost, a koje Poreska uprava nije u mogućnosti da realizuje. S tim u vezi u 2020. godini donešeno je </w:t>
      </w:r>
      <w:r w:rsidRPr="007D12AC">
        <w:rPr>
          <w:rFonts w:cs="Arial"/>
          <w:bCs/>
          <w:szCs w:val="24"/>
        </w:rPr>
        <w:t>1043</w:t>
      </w:r>
      <w:r w:rsidRPr="007D12AC">
        <w:rPr>
          <w:rFonts w:cs="Arial"/>
          <w:bCs/>
          <w:color w:val="000000"/>
          <w:szCs w:val="24"/>
        </w:rPr>
        <w:t xml:space="preserve"> naloga za preusmjer i </w:t>
      </w:r>
      <w:r w:rsidRPr="007D12AC">
        <w:rPr>
          <w:rFonts w:cs="Arial"/>
          <w:bCs/>
          <w:szCs w:val="24"/>
        </w:rPr>
        <w:t>469</w:t>
      </w:r>
      <w:r w:rsidRPr="007D12AC">
        <w:rPr>
          <w:rFonts w:cs="Arial"/>
          <w:b/>
          <w:bCs/>
          <w:szCs w:val="24"/>
        </w:rPr>
        <w:t xml:space="preserve"> </w:t>
      </w:r>
      <w:r w:rsidRPr="007D12AC">
        <w:rPr>
          <w:rFonts w:cs="Arial"/>
          <w:bCs/>
          <w:szCs w:val="24"/>
        </w:rPr>
        <w:t>naloga</w:t>
      </w:r>
      <w:r w:rsidRPr="007D12AC">
        <w:rPr>
          <w:rFonts w:cs="Arial"/>
          <w:bCs/>
          <w:color w:val="000000"/>
          <w:szCs w:val="24"/>
        </w:rPr>
        <w:t xml:space="preserve"> za plaćanje poreza na dodatu vrijednost, a o svakom realizovanom nalogu obaviještena je Poreska uprava posebnim aktom.</w:t>
      </w:r>
    </w:p>
    <w:p w:rsidR="007D12AC" w:rsidRPr="007D12AC" w:rsidRDefault="007D12AC" w:rsidP="007D12AC">
      <w:pPr>
        <w:autoSpaceDE w:val="0"/>
        <w:autoSpaceDN w:val="0"/>
        <w:adjustRightInd w:val="0"/>
        <w:spacing w:before="0" w:after="0" w:line="240" w:lineRule="auto"/>
        <w:rPr>
          <w:rFonts w:cs="Arial"/>
          <w:bCs/>
          <w:color w:val="000000"/>
          <w:szCs w:val="24"/>
        </w:rPr>
      </w:pPr>
      <w:r w:rsidRPr="007D12AC">
        <w:rPr>
          <w:rFonts w:cs="Arial"/>
          <w:bCs/>
          <w:color w:val="000000"/>
          <w:szCs w:val="24"/>
        </w:rPr>
        <w:t>Direkcija je u 2020. godini sprovodila proceduru otvaranja računa za uplatu javnih prihoda kod Centralne banke i računa za uplatu lokalnih javnih prihoda kod poslovnih banaka, kao i računa korisnika budžeta kod poslovnih banaka za posebne namjene.</w:t>
      </w:r>
    </w:p>
    <w:p w:rsidR="007D12AC" w:rsidRPr="007D12AC" w:rsidRDefault="007D12AC" w:rsidP="00A97518">
      <w:pPr>
        <w:autoSpaceDE w:val="0"/>
        <w:autoSpaceDN w:val="0"/>
        <w:adjustRightInd w:val="0"/>
        <w:spacing w:before="0" w:after="0" w:line="240" w:lineRule="auto"/>
        <w:ind w:firstLine="709"/>
        <w:rPr>
          <w:rFonts w:cs="Arial"/>
          <w:szCs w:val="24"/>
        </w:rPr>
      </w:pPr>
      <w:r w:rsidRPr="007D12AC">
        <w:rPr>
          <w:rFonts w:cs="Arial"/>
          <w:szCs w:val="24"/>
        </w:rPr>
        <w:t>U toku 2020. godine obrađeno je 505 predmeta za povraćaj i preusmjer pogrešno uplaćenih javnih prihoda.</w:t>
      </w:r>
    </w:p>
    <w:p w:rsidR="007D12AC" w:rsidRPr="007D12AC" w:rsidRDefault="007D12AC" w:rsidP="00A97518">
      <w:pPr>
        <w:autoSpaceDE w:val="0"/>
        <w:autoSpaceDN w:val="0"/>
        <w:adjustRightInd w:val="0"/>
        <w:spacing w:before="0" w:after="0" w:line="240" w:lineRule="auto"/>
        <w:ind w:firstLine="360"/>
        <w:rPr>
          <w:rFonts w:cs="Arial"/>
          <w:szCs w:val="24"/>
        </w:rPr>
      </w:pPr>
      <w:r w:rsidRPr="007D12AC">
        <w:rPr>
          <w:rFonts w:cs="Arial"/>
          <w:szCs w:val="24"/>
        </w:rPr>
        <w:t xml:space="preserve">Pored navedenog, redovne aktivnosti Direkcije odnosile su se i na: </w:t>
      </w:r>
    </w:p>
    <w:p w:rsidR="007D12AC" w:rsidRPr="007D12AC" w:rsidRDefault="007D12AC" w:rsidP="009F291B">
      <w:pPr>
        <w:numPr>
          <w:ilvl w:val="0"/>
          <w:numId w:val="4"/>
        </w:numPr>
        <w:spacing w:before="0" w:after="0" w:line="240" w:lineRule="auto"/>
        <w:ind w:left="360"/>
        <w:rPr>
          <w:rFonts w:cs="Arial"/>
          <w:szCs w:val="24"/>
        </w:rPr>
      </w:pPr>
      <w:r w:rsidRPr="007D12AC">
        <w:rPr>
          <w:rFonts w:cs="Arial"/>
          <w:bCs/>
          <w:color w:val="000000"/>
          <w:szCs w:val="24"/>
        </w:rPr>
        <w:t xml:space="preserve">pripremu mišljenja iz oblasti računovodstvene politike </w:t>
      </w:r>
      <w:r w:rsidRPr="007D12AC">
        <w:rPr>
          <w:rFonts w:cs="Arial"/>
          <w:szCs w:val="24"/>
        </w:rPr>
        <w:t>potrošačkim jedinicama, lokalnoj samoupravi, kao i organizovanje i učestvovanje u radu raznih sastanaka sa potrošačkim jedinicama Budžeta Crne Gore;</w:t>
      </w:r>
    </w:p>
    <w:p w:rsidR="007D12AC" w:rsidRPr="007D12AC" w:rsidRDefault="007D12AC" w:rsidP="009F291B">
      <w:pPr>
        <w:numPr>
          <w:ilvl w:val="0"/>
          <w:numId w:val="4"/>
        </w:numPr>
        <w:spacing w:before="0" w:after="0" w:line="240" w:lineRule="auto"/>
        <w:ind w:left="360"/>
        <w:rPr>
          <w:rFonts w:cs="Arial"/>
          <w:szCs w:val="24"/>
        </w:rPr>
      </w:pPr>
      <w:r w:rsidRPr="007D12AC">
        <w:rPr>
          <w:rFonts w:cs="Arial"/>
          <w:color w:val="000000"/>
          <w:szCs w:val="24"/>
        </w:rPr>
        <w:t>praćenje finansijskih izvještaja korisnika budžeta na kvartalanom nivou;</w:t>
      </w:r>
    </w:p>
    <w:p w:rsidR="007D12AC" w:rsidRPr="00A97518" w:rsidRDefault="007D12AC" w:rsidP="009F291B">
      <w:pPr>
        <w:numPr>
          <w:ilvl w:val="0"/>
          <w:numId w:val="4"/>
        </w:numPr>
        <w:spacing w:before="0" w:after="0" w:line="240" w:lineRule="auto"/>
        <w:ind w:left="360"/>
        <w:rPr>
          <w:rFonts w:cs="Arial"/>
          <w:szCs w:val="24"/>
        </w:rPr>
      </w:pPr>
      <w:r w:rsidRPr="007D12AC">
        <w:rPr>
          <w:rFonts w:cs="Arial"/>
          <w:szCs w:val="24"/>
        </w:rPr>
        <w:t xml:space="preserve">pripremu odgovora na pitanja u skladu sa slobodnim pristupom informacijama;  </w:t>
      </w:r>
    </w:p>
    <w:p w:rsidR="007D12AC" w:rsidRDefault="007D12AC" w:rsidP="00A97518">
      <w:pPr>
        <w:spacing w:before="0" w:after="0" w:line="240" w:lineRule="auto"/>
        <w:ind w:firstLine="360"/>
        <w:rPr>
          <w:rFonts w:cs="Arial"/>
          <w:szCs w:val="24"/>
        </w:rPr>
      </w:pPr>
      <w:r w:rsidRPr="007D12AC">
        <w:rPr>
          <w:rFonts w:cs="Arial"/>
          <w:szCs w:val="24"/>
        </w:rPr>
        <w:t>Na kvartalnom nivou prikupljane su neizmirene obaveze korisnika budžeta, o kojima je zajedno sa mjesečnim izvještajem o povraćaju poreza na dodatu vrijednost izvještavan Savjet za finansijsku stabilnost.</w:t>
      </w:r>
    </w:p>
    <w:p w:rsidR="007D12AC" w:rsidRPr="00101664" w:rsidRDefault="007D12AC" w:rsidP="00101664">
      <w:pPr>
        <w:spacing w:after="0" w:line="276" w:lineRule="auto"/>
        <w:ind w:firstLine="360"/>
        <w:rPr>
          <w:rFonts w:eastAsia="Times New Roman" w:cs="Arial"/>
          <w:b/>
          <w:szCs w:val="24"/>
          <w:u w:val="single"/>
        </w:rPr>
      </w:pPr>
      <w:r w:rsidRPr="00101664">
        <w:rPr>
          <w:rFonts w:eastAsia="Times New Roman" w:cs="Arial"/>
          <w:b/>
          <w:szCs w:val="24"/>
          <w:u w:val="single"/>
        </w:rPr>
        <w:t>Direkcija za upravljanje dugom, analizu zaduženosti i odnose sa inostranstvom (front office)</w:t>
      </w:r>
    </w:p>
    <w:p w:rsidR="007D12AC" w:rsidRPr="007D12AC" w:rsidRDefault="007D12AC" w:rsidP="00A97518">
      <w:pPr>
        <w:spacing w:before="0" w:after="0"/>
        <w:ind w:firstLine="360"/>
        <w:rPr>
          <w:rFonts w:cs="Arial"/>
          <w:szCs w:val="24"/>
          <w:lang w:val="pl-PL"/>
        </w:rPr>
      </w:pPr>
      <w:r w:rsidRPr="007D12AC">
        <w:rPr>
          <w:rFonts w:cs="Arial"/>
          <w:szCs w:val="24"/>
          <w:lang w:val="pl-PL"/>
        </w:rPr>
        <w:t>U Direkciji za upravljanje dugom, analizu zaduženosti i odnose sa inostranstvom (front office), u 2020. godini realizovane su sljedeće aktivnosti:</w:t>
      </w:r>
    </w:p>
    <w:p w:rsidR="007D12AC" w:rsidRPr="007D12AC" w:rsidRDefault="007D12AC" w:rsidP="009F291B">
      <w:pPr>
        <w:pStyle w:val="ListParagraph"/>
        <w:numPr>
          <w:ilvl w:val="0"/>
          <w:numId w:val="7"/>
        </w:numPr>
        <w:spacing w:before="0" w:after="0" w:line="240" w:lineRule="auto"/>
        <w:rPr>
          <w:rFonts w:cs="Arial"/>
          <w:szCs w:val="24"/>
          <w:lang w:val="pl-PL"/>
        </w:rPr>
      </w:pPr>
      <w:r w:rsidRPr="007D12AC">
        <w:rPr>
          <w:rFonts w:cs="Arial"/>
          <w:szCs w:val="24"/>
          <w:lang w:val="pl-PL"/>
        </w:rPr>
        <w:t>Pripremljen je, usvojen od strane Vlade i objavljen Izvještaj o javnom dugu za 2020. godinu;</w:t>
      </w:r>
    </w:p>
    <w:p w:rsidR="007D12AC" w:rsidRPr="007D12AC" w:rsidRDefault="007D12AC" w:rsidP="009F291B">
      <w:pPr>
        <w:pStyle w:val="ListParagraph"/>
        <w:numPr>
          <w:ilvl w:val="0"/>
          <w:numId w:val="7"/>
        </w:numPr>
        <w:spacing w:before="0" w:after="0" w:line="240" w:lineRule="auto"/>
        <w:rPr>
          <w:rFonts w:cs="Arial"/>
          <w:szCs w:val="24"/>
          <w:lang w:val="pl-PL"/>
        </w:rPr>
      </w:pPr>
      <w:r w:rsidRPr="007D12AC">
        <w:rPr>
          <w:rFonts w:cs="Arial"/>
          <w:szCs w:val="24"/>
          <w:lang w:val="pl-PL"/>
        </w:rPr>
        <w:t>Pripremljeni su  i objavljeni izvještaji o državnom dugu za I, II i III kvartal 2020. godine;</w:t>
      </w:r>
    </w:p>
    <w:p w:rsidR="007D12AC" w:rsidRPr="007D12AC" w:rsidRDefault="007D12AC" w:rsidP="009F291B">
      <w:pPr>
        <w:pStyle w:val="ListParagraph"/>
        <w:numPr>
          <w:ilvl w:val="0"/>
          <w:numId w:val="7"/>
        </w:numPr>
        <w:spacing w:before="0" w:after="0" w:line="240" w:lineRule="auto"/>
        <w:rPr>
          <w:rFonts w:cs="Arial"/>
          <w:szCs w:val="24"/>
          <w:lang w:val="pl-PL"/>
        </w:rPr>
      </w:pPr>
      <w:r w:rsidRPr="007D12AC">
        <w:rPr>
          <w:rFonts w:cs="Arial"/>
          <w:szCs w:val="24"/>
          <w:lang w:val="pl-PL"/>
        </w:rPr>
        <w:t xml:space="preserve">Učešće u pripremi Programa Ekonomskih reformi 2021-2023. godine; </w:t>
      </w:r>
    </w:p>
    <w:p w:rsidR="007D12AC" w:rsidRPr="007D12AC" w:rsidRDefault="007D12AC" w:rsidP="009F291B">
      <w:pPr>
        <w:pStyle w:val="ListParagraph"/>
        <w:numPr>
          <w:ilvl w:val="0"/>
          <w:numId w:val="7"/>
        </w:numPr>
        <w:spacing w:before="0" w:after="0" w:line="240" w:lineRule="auto"/>
        <w:rPr>
          <w:rFonts w:cs="Arial"/>
          <w:szCs w:val="24"/>
          <w:lang w:val="pl-PL"/>
        </w:rPr>
      </w:pPr>
      <w:r w:rsidRPr="007D12AC">
        <w:rPr>
          <w:rFonts w:cs="Arial"/>
          <w:szCs w:val="24"/>
          <w:lang w:val="pl-PL"/>
        </w:rPr>
        <w:t>Realizovana je emisija obveznica na me</w:t>
      </w:r>
      <w:r w:rsidRPr="007D12AC">
        <w:rPr>
          <w:rFonts w:cs="Arial"/>
          <w:szCs w:val="24"/>
        </w:rPr>
        <w:t>đunarodnom tržištu</w:t>
      </w:r>
      <w:r w:rsidRPr="007D12AC">
        <w:rPr>
          <w:rFonts w:cs="Arial"/>
          <w:szCs w:val="24"/>
          <w:lang w:val="pl-PL"/>
        </w:rPr>
        <w:t xml:space="preserve"> u iznosu od 750 miliona eura, sa kamatnom stopom iznosu 2,875% i rokom dospijeća od 7 godina;</w:t>
      </w:r>
    </w:p>
    <w:p w:rsidR="007D12AC" w:rsidRPr="007D12AC" w:rsidRDefault="007D12AC" w:rsidP="009F291B">
      <w:pPr>
        <w:pStyle w:val="ListParagraph"/>
        <w:numPr>
          <w:ilvl w:val="0"/>
          <w:numId w:val="7"/>
        </w:numPr>
        <w:spacing w:before="0" w:after="0" w:line="240" w:lineRule="auto"/>
        <w:rPr>
          <w:rFonts w:cs="Arial"/>
          <w:szCs w:val="24"/>
          <w:lang w:val="pl-PL"/>
        </w:rPr>
      </w:pPr>
      <w:r w:rsidRPr="007D12AC">
        <w:rPr>
          <w:rFonts w:cs="Arial"/>
          <w:szCs w:val="24"/>
          <w:lang w:val="pl-PL"/>
        </w:rPr>
        <w:t>Realizovano je zaključenje većeg broja kreditnih aranžmana za razvojne projekte i to:</w:t>
      </w:r>
    </w:p>
    <w:p w:rsidR="007D12AC" w:rsidRPr="007D12AC" w:rsidRDefault="007D12AC" w:rsidP="009F291B">
      <w:pPr>
        <w:numPr>
          <w:ilvl w:val="0"/>
          <w:numId w:val="8"/>
        </w:numPr>
        <w:spacing w:before="0" w:after="0" w:line="259" w:lineRule="auto"/>
        <w:contextualSpacing/>
        <w:rPr>
          <w:rFonts w:cs="Arial"/>
          <w:szCs w:val="24"/>
          <w:lang w:val="pl-PL"/>
        </w:rPr>
      </w:pPr>
      <w:r w:rsidRPr="007D12AC">
        <w:rPr>
          <w:rFonts w:cs="Arial"/>
          <w:szCs w:val="24"/>
          <w:lang w:val="pl-PL"/>
        </w:rPr>
        <w:lastRenderedPageBreak/>
        <w:t xml:space="preserve">sa Hapoalim bankom iz Izraela, za nadogradnju oklopnih vozila za Ministarstvo odbrane, u iznosu od 30,01 miliona eura; </w:t>
      </w:r>
    </w:p>
    <w:p w:rsidR="007D12AC" w:rsidRPr="007D12AC" w:rsidRDefault="007D12AC" w:rsidP="009F291B">
      <w:pPr>
        <w:numPr>
          <w:ilvl w:val="0"/>
          <w:numId w:val="8"/>
        </w:numPr>
        <w:spacing w:before="0" w:after="0" w:line="259" w:lineRule="auto"/>
        <w:contextualSpacing/>
        <w:rPr>
          <w:rFonts w:cs="Arial"/>
          <w:szCs w:val="24"/>
          <w:lang w:val="pl-PL"/>
        </w:rPr>
      </w:pPr>
      <w:r w:rsidRPr="007D12AC">
        <w:rPr>
          <w:rFonts w:cs="Arial"/>
          <w:szCs w:val="24"/>
          <w:lang w:val="pl-PL"/>
        </w:rPr>
        <w:t>sa sindikatom banaka (OTP, Credit Suisse, Crnogorska komercijalna banka i Societe Generale), uz garanciju Svjetske banke, čime je obezbijeđen iznos od 250 miliona eura,  za potrebe finansiranja budžeta;</w:t>
      </w:r>
    </w:p>
    <w:p w:rsidR="007D12AC" w:rsidRPr="007D12AC" w:rsidRDefault="007D12AC" w:rsidP="009F291B">
      <w:pPr>
        <w:numPr>
          <w:ilvl w:val="0"/>
          <w:numId w:val="8"/>
        </w:numPr>
        <w:spacing w:before="0" w:after="0" w:line="259" w:lineRule="auto"/>
        <w:contextualSpacing/>
        <w:rPr>
          <w:rFonts w:cs="Arial"/>
          <w:szCs w:val="24"/>
          <w:lang w:val="pl-PL"/>
        </w:rPr>
      </w:pPr>
      <w:r w:rsidRPr="007D12AC">
        <w:rPr>
          <w:rFonts w:cs="Arial"/>
          <w:szCs w:val="24"/>
          <w:lang w:val="pl-PL"/>
        </w:rPr>
        <w:t>sa Međunarodnim monetarnim fondom (MMF), u iznosu od 71,62 miliona eura kroz program Instrumenta za brzo finansiranje (RFI), za potrebe finansiranja budžeta.</w:t>
      </w:r>
    </w:p>
    <w:p w:rsidR="007D12AC" w:rsidRPr="007D12AC" w:rsidRDefault="007D12AC" w:rsidP="009F291B">
      <w:pPr>
        <w:numPr>
          <w:ilvl w:val="0"/>
          <w:numId w:val="8"/>
        </w:numPr>
        <w:spacing w:before="0" w:after="0" w:line="259" w:lineRule="auto"/>
        <w:contextualSpacing/>
        <w:rPr>
          <w:rFonts w:cs="Arial"/>
          <w:szCs w:val="24"/>
          <w:lang w:val="pl-PL"/>
        </w:rPr>
      </w:pPr>
      <w:r w:rsidRPr="007D12AC">
        <w:rPr>
          <w:rFonts w:cs="Arial"/>
          <w:szCs w:val="24"/>
          <w:lang w:val="pl-PL"/>
        </w:rPr>
        <w:t>sa Evropskom investicionom bankom (EIB), za finansiranje projekta „Program rekonstrukcije magistralnih puteva“, u iznosu od 40,0 miliona eura;</w:t>
      </w:r>
    </w:p>
    <w:p w:rsidR="007D12AC" w:rsidRPr="007D12AC" w:rsidRDefault="007D12AC" w:rsidP="009F291B">
      <w:pPr>
        <w:numPr>
          <w:ilvl w:val="0"/>
          <w:numId w:val="8"/>
        </w:numPr>
        <w:spacing w:before="0" w:after="0" w:line="259" w:lineRule="auto"/>
        <w:contextualSpacing/>
        <w:rPr>
          <w:rFonts w:cs="Arial"/>
          <w:szCs w:val="24"/>
          <w:lang w:val="pl-PL"/>
        </w:rPr>
      </w:pPr>
      <w:r w:rsidRPr="007D12AC">
        <w:rPr>
          <w:rFonts w:cs="Arial"/>
          <w:szCs w:val="24"/>
          <w:lang w:val="pl-PL"/>
        </w:rPr>
        <w:t>sa Agencijom za razvoj izvoza Kanade (EDC), za nabavku dva helikoptera Bell 505. Ugovorom o kreditu definisano je da ukupan aranžman iznosi 3 miliona eura;</w:t>
      </w:r>
    </w:p>
    <w:p w:rsidR="007D12AC" w:rsidRPr="007D12AC" w:rsidRDefault="007D12AC" w:rsidP="009F291B">
      <w:pPr>
        <w:numPr>
          <w:ilvl w:val="0"/>
          <w:numId w:val="8"/>
        </w:numPr>
        <w:spacing w:before="0" w:after="0" w:line="259" w:lineRule="auto"/>
        <w:contextualSpacing/>
        <w:rPr>
          <w:rFonts w:cs="Arial"/>
          <w:szCs w:val="24"/>
          <w:lang w:val="pl-PL"/>
        </w:rPr>
      </w:pPr>
      <w:r w:rsidRPr="007D12AC">
        <w:rPr>
          <w:rFonts w:cs="Arial"/>
          <w:szCs w:val="24"/>
          <w:lang w:val="pl-PL"/>
        </w:rPr>
        <w:t>sa</w:t>
      </w:r>
      <w:r w:rsidRPr="007D12AC">
        <w:rPr>
          <w:rFonts w:cs="Arial"/>
          <w:szCs w:val="24"/>
        </w:rPr>
        <w:t xml:space="preserve"> </w:t>
      </w:r>
      <w:r w:rsidRPr="007D12AC">
        <w:rPr>
          <w:rFonts w:cs="Arial"/>
          <w:szCs w:val="24"/>
          <w:lang w:val="pl-PL"/>
        </w:rPr>
        <w:t>Evropskom komisijom (EK), u okviru programa makrofinansijke pomoći Crnoj Gori, u iznosu od 60 miliona eura, za potrebe finansiranja budžeta;</w:t>
      </w:r>
    </w:p>
    <w:p w:rsidR="007D12AC" w:rsidRPr="007D12AC" w:rsidRDefault="007D12AC" w:rsidP="009F291B">
      <w:pPr>
        <w:pStyle w:val="ListParagraph"/>
        <w:numPr>
          <w:ilvl w:val="0"/>
          <w:numId w:val="8"/>
        </w:numPr>
        <w:autoSpaceDE w:val="0"/>
        <w:autoSpaceDN w:val="0"/>
        <w:adjustRightInd w:val="0"/>
        <w:spacing w:before="0" w:after="0" w:line="240" w:lineRule="auto"/>
        <w:contextualSpacing w:val="0"/>
        <w:rPr>
          <w:rFonts w:cs="Arial"/>
          <w:szCs w:val="24"/>
        </w:rPr>
      </w:pPr>
      <w:r w:rsidRPr="007D12AC">
        <w:rPr>
          <w:rFonts w:cs="Arial"/>
          <w:szCs w:val="24"/>
        </w:rPr>
        <w:t>sa Međunarodnom bankom za obnovu i razvoj (IBRD), u iznosu od 15 miliona eura za realizaciju Programa integrisanog razvoja koridora rijeka Save i Drine uz korišćenje višefaznog programskog pristupa.</w:t>
      </w:r>
    </w:p>
    <w:p w:rsidR="007D12AC" w:rsidRPr="007D12AC" w:rsidRDefault="007D12AC" w:rsidP="009F291B">
      <w:pPr>
        <w:pStyle w:val="ListParagraph"/>
        <w:numPr>
          <w:ilvl w:val="0"/>
          <w:numId w:val="8"/>
        </w:numPr>
        <w:autoSpaceDE w:val="0"/>
        <w:autoSpaceDN w:val="0"/>
        <w:adjustRightInd w:val="0"/>
        <w:spacing w:before="0" w:after="0" w:line="240" w:lineRule="auto"/>
        <w:contextualSpacing w:val="0"/>
        <w:rPr>
          <w:rFonts w:cs="Arial"/>
          <w:szCs w:val="24"/>
        </w:rPr>
      </w:pPr>
      <w:r w:rsidRPr="007D12AC">
        <w:rPr>
          <w:rFonts w:cs="Arial"/>
          <w:szCs w:val="24"/>
        </w:rPr>
        <w:t>sa Bankom za razvoj savjeta Evrope (CEB), u iznosu od 40 miliona eura, kao podrška crnogorskim mikro, malim i srednjim preduzećima, pogođenim COVID-om 19.</w:t>
      </w:r>
    </w:p>
    <w:p w:rsidR="007D12AC" w:rsidRPr="00A97518" w:rsidRDefault="007D12AC" w:rsidP="009F291B">
      <w:pPr>
        <w:pStyle w:val="ListParagraph"/>
        <w:numPr>
          <w:ilvl w:val="0"/>
          <w:numId w:val="8"/>
        </w:numPr>
        <w:autoSpaceDE w:val="0"/>
        <w:autoSpaceDN w:val="0"/>
        <w:adjustRightInd w:val="0"/>
        <w:spacing w:before="0" w:after="0" w:line="240" w:lineRule="auto"/>
        <w:contextualSpacing w:val="0"/>
        <w:rPr>
          <w:rFonts w:cs="Arial"/>
          <w:szCs w:val="24"/>
        </w:rPr>
      </w:pPr>
      <w:r w:rsidRPr="007D12AC">
        <w:rPr>
          <w:rFonts w:cs="Arial"/>
          <w:szCs w:val="24"/>
        </w:rPr>
        <w:t>sa Evropskom bankom za obnovu i razvoj (EBRD), u iznosu od 26 miliona eura za realizaciju dodatnog finansiranja Programa rekonstrukcije i unapređenja lokalnih puteva.</w:t>
      </w:r>
    </w:p>
    <w:p w:rsidR="007D12AC" w:rsidRPr="007D12AC" w:rsidRDefault="007D12AC" w:rsidP="009F291B">
      <w:pPr>
        <w:pStyle w:val="ListParagraph"/>
        <w:numPr>
          <w:ilvl w:val="0"/>
          <w:numId w:val="7"/>
        </w:numPr>
        <w:spacing w:before="0" w:after="0" w:line="240" w:lineRule="auto"/>
        <w:rPr>
          <w:rFonts w:cs="Arial"/>
          <w:szCs w:val="24"/>
          <w:lang w:val="pl-PL"/>
        </w:rPr>
      </w:pPr>
      <w:r w:rsidRPr="007D12AC">
        <w:rPr>
          <w:rFonts w:cs="Arial"/>
          <w:szCs w:val="24"/>
          <w:lang w:val="pl-PL"/>
        </w:rPr>
        <w:t>Izdate su sledeće državne garancije:</w:t>
      </w:r>
    </w:p>
    <w:p w:rsidR="007D12AC" w:rsidRPr="00A97518" w:rsidRDefault="007D12AC" w:rsidP="009F291B">
      <w:pPr>
        <w:pStyle w:val="ListParagraph"/>
        <w:numPr>
          <w:ilvl w:val="0"/>
          <w:numId w:val="8"/>
        </w:numPr>
        <w:autoSpaceDE w:val="0"/>
        <w:autoSpaceDN w:val="0"/>
        <w:adjustRightInd w:val="0"/>
        <w:spacing w:before="0" w:after="0" w:line="240" w:lineRule="auto"/>
        <w:contextualSpacing w:val="0"/>
        <w:rPr>
          <w:rFonts w:cs="Arial"/>
          <w:szCs w:val="24"/>
        </w:rPr>
      </w:pPr>
      <w:r w:rsidRPr="007D12AC">
        <w:rPr>
          <w:rFonts w:cs="Arial"/>
          <w:szCs w:val="24"/>
        </w:rPr>
        <w:t>za potrebe kreditnog aranžmana između Fonda za zaštitu depozita Crne Gore i Evropske banke za obnovu i razvoj (EBRD), u iznosu od 50,00 miliona eura.</w:t>
      </w:r>
    </w:p>
    <w:p w:rsidR="007D12AC" w:rsidRPr="007D12AC" w:rsidRDefault="007D12AC" w:rsidP="009F291B">
      <w:pPr>
        <w:pStyle w:val="ListParagraph"/>
        <w:numPr>
          <w:ilvl w:val="0"/>
          <w:numId w:val="7"/>
        </w:numPr>
        <w:spacing w:before="0" w:after="0" w:line="240" w:lineRule="auto"/>
        <w:rPr>
          <w:rFonts w:cs="Arial"/>
          <w:szCs w:val="24"/>
          <w:lang w:val="pl-PL"/>
        </w:rPr>
      </w:pPr>
      <w:r w:rsidRPr="007D12AC">
        <w:rPr>
          <w:rFonts w:cs="Arial"/>
          <w:szCs w:val="24"/>
          <w:lang w:val="pl-PL"/>
        </w:rPr>
        <w:t xml:space="preserve">nastavljeni su pregovori sa Exim Kina bankom u vezi sa produžetkom roka raspoloživosti kreditnih sredstava; </w:t>
      </w:r>
    </w:p>
    <w:p w:rsidR="007D12AC" w:rsidRPr="007D12AC" w:rsidRDefault="007D12AC" w:rsidP="009F291B">
      <w:pPr>
        <w:pStyle w:val="ListParagraph"/>
        <w:numPr>
          <w:ilvl w:val="0"/>
          <w:numId w:val="7"/>
        </w:numPr>
        <w:spacing w:before="0" w:after="0" w:line="240" w:lineRule="auto"/>
        <w:rPr>
          <w:rFonts w:cs="Arial"/>
          <w:szCs w:val="24"/>
          <w:lang w:val="pl-PL"/>
        </w:rPr>
      </w:pPr>
      <w:r w:rsidRPr="007D12AC">
        <w:rPr>
          <w:rFonts w:cs="Arial"/>
          <w:szCs w:val="24"/>
          <w:lang w:val="pl-PL"/>
        </w:rPr>
        <w:t xml:space="preserve">Sprovođene su Aktivnosti koje su vezane za pripremu budžeta za 2020. godinu; </w:t>
      </w:r>
    </w:p>
    <w:p w:rsidR="007D12AC" w:rsidRPr="00A97518" w:rsidRDefault="007D12AC" w:rsidP="009F291B">
      <w:pPr>
        <w:pStyle w:val="ListParagraph"/>
        <w:numPr>
          <w:ilvl w:val="0"/>
          <w:numId w:val="7"/>
        </w:numPr>
        <w:spacing w:before="0" w:after="0" w:line="240" w:lineRule="auto"/>
        <w:rPr>
          <w:rFonts w:eastAsiaTheme="minorEastAsia" w:cs="Arial"/>
          <w:szCs w:val="24"/>
          <w:lang w:val="pl-PL"/>
        </w:rPr>
      </w:pPr>
      <w:r w:rsidRPr="007D12AC">
        <w:rPr>
          <w:rFonts w:cs="Arial"/>
          <w:szCs w:val="24"/>
          <w:lang w:val="pl-PL"/>
        </w:rPr>
        <w:t>Obavljane su redovne aktivnosti koje se tiču analize zaduženosti, sprovođenja procedure povlačenja kreditni sredstava, aktivnosti vezanih za plaćanje kreditnih obaveza, izvještavanja prema međunarodnim finansijskim institucijama, centralnoj banci Crne Gore i kreditnim rejting agencijama i sl.</w:t>
      </w:r>
    </w:p>
    <w:p w:rsidR="007D12AC" w:rsidRPr="00101664" w:rsidRDefault="007D12AC" w:rsidP="00101664">
      <w:pPr>
        <w:spacing w:after="0" w:line="240" w:lineRule="auto"/>
        <w:ind w:firstLine="360"/>
        <w:jc w:val="left"/>
        <w:rPr>
          <w:rFonts w:cs="Arial"/>
          <w:b/>
          <w:bCs/>
          <w:iCs/>
          <w:szCs w:val="24"/>
          <w:u w:val="single"/>
          <w:lang w:val="pl-PL"/>
        </w:rPr>
      </w:pPr>
      <w:r w:rsidRPr="00101664">
        <w:rPr>
          <w:rFonts w:eastAsia="Times New Roman" w:cs="Arial"/>
          <w:b/>
          <w:szCs w:val="24"/>
          <w:u w:val="single"/>
        </w:rPr>
        <w:t>Direkcija za upravljanje gotovinom, servisiranje duga, evidenciju državnog i javnog duga (back office)</w:t>
      </w:r>
    </w:p>
    <w:p w:rsidR="007D12AC" w:rsidRPr="007D12AC" w:rsidRDefault="007D12AC" w:rsidP="00A97518">
      <w:pPr>
        <w:spacing w:before="0" w:after="0"/>
        <w:ind w:firstLine="360"/>
        <w:rPr>
          <w:rFonts w:cs="Arial"/>
          <w:b/>
          <w:bCs/>
          <w:iCs/>
          <w:szCs w:val="24"/>
          <w:lang w:val="pl-PL"/>
        </w:rPr>
      </w:pPr>
      <w:r w:rsidRPr="007D12AC">
        <w:rPr>
          <w:rFonts w:cs="Arial"/>
          <w:szCs w:val="24"/>
        </w:rPr>
        <w:t>Pored svakodnevnih redovnih aktivnosti i informacija dostavljenih Vladi Crne Gore pripremljene su i sljedeće informacije i izvještaji:</w:t>
      </w:r>
    </w:p>
    <w:p w:rsidR="007D12AC" w:rsidRPr="00A97518" w:rsidRDefault="007D12AC" w:rsidP="009F291B">
      <w:pPr>
        <w:numPr>
          <w:ilvl w:val="0"/>
          <w:numId w:val="5"/>
        </w:numPr>
        <w:spacing w:before="0" w:after="0" w:line="240" w:lineRule="auto"/>
        <w:rPr>
          <w:rFonts w:cs="Arial"/>
          <w:szCs w:val="24"/>
          <w:lang w:val="pl-PL"/>
        </w:rPr>
      </w:pPr>
      <w:r w:rsidRPr="007D12AC">
        <w:rPr>
          <w:rFonts w:cs="Arial"/>
          <w:szCs w:val="24"/>
          <w:lang w:val="pl-PL"/>
        </w:rPr>
        <w:t>Aktivnosti u cilju obezbjeđivanja tekuće likvidnosti putem kratkoročnih kredita i emisija Državnih zapisa;</w:t>
      </w:r>
    </w:p>
    <w:p w:rsidR="007D12AC" w:rsidRPr="00A97518" w:rsidRDefault="007D12AC" w:rsidP="009F291B">
      <w:pPr>
        <w:numPr>
          <w:ilvl w:val="0"/>
          <w:numId w:val="5"/>
        </w:numPr>
        <w:spacing w:before="0" w:after="0" w:line="240" w:lineRule="auto"/>
        <w:rPr>
          <w:rFonts w:cs="Arial"/>
          <w:szCs w:val="24"/>
          <w:lang w:val="pl-PL"/>
        </w:rPr>
      </w:pPr>
      <w:r w:rsidRPr="007D12AC">
        <w:rPr>
          <w:rFonts w:cs="Arial"/>
          <w:szCs w:val="24"/>
          <w:lang w:val="pl-PL"/>
        </w:rPr>
        <w:t>Redovne aktivnosti u cilju servisiranja i otplate državnog duga;</w:t>
      </w:r>
    </w:p>
    <w:p w:rsidR="007D12AC" w:rsidRPr="00A97518" w:rsidRDefault="007D12AC" w:rsidP="009F291B">
      <w:pPr>
        <w:numPr>
          <w:ilvl w:val="0"/>
          <w:numId w:val="5"/>
        </w:numPr>
        <w:spacing w:before="0" w:after="0" w:line="240" w:lineRule="auto"/>
        <w:rPr>
          <w:rFonts w:cs="Arial"/>
          <w:szCs w:val="24"/>
          <w:lang w:val="pl-PL"/>
        </w:rPr>
      </w:pPr>
      <w:r w:rsidRPr="007D12AC">
        <w:rPr>
          <w:rFonts w:cs="Arial"/>
          <w:szCs w:val="24"/>
          <w:lang w:val="pl-PL"/>
        </w:rPr>
        <w:t>Redovne aktivnostu u cilju realizacije donacija korisnika budžeta;</w:t>
      </w:r>
    </w:p>
    <w:p w:rsidR="007D12AC" w:rsidRPr="00A97518" w:rsidRDefault="007D12AC" w:rsidP="009F291B">
      <w:pPr>
        <w:numPr>
          <w:ilvl w:val="0"/>
          <w:numId w:val="5"/>
        </w:numPr>
        <w:spacing w:before="0" w:after="0" w:line="240" w:lineRule="auto"/>
        <w:rPr>
          <w:rFonts w:cs="Arial"/>
          <w:szCs w:val="24"/>
          <w:lang w:val="pl-PL"/>
        </w:rPr>
      </w:pPr>
      <w:r w:rsidRPr="007D12AC">
        <w:rPr>
          <w:rFonts w:cs="Arial"/>
          <w:szCs w:val="24"/>
          <w:lang w:val="pl-PL"/>
        </w:rPr>
        <w:t>Redovne aktivnosti u cilju realizacije projektnih zajmova;</w:t>
      </w:r>
    </w:p>
    <w:p w:rsidR="007D12AC" w:rsidRPr="00A97518" w:rsidRDefault="007D12AC" w:rsidP="009F291B">
      <w:pPr>
        <w:pStyle w:val="PlainText"/>
        <w:numPr>
          <w:ilvl w:val="0"/>
          <w:numId w:val="5"/>
        </w:numPr>
        <w:jc w:val="both"/>
        <w:rPr>
          <w:rFonts w:asciiTheme="minorHAnsi" w:eastAsiaTheme="minorEastAsia" w:hAnsiTheme="minorHAnsi" w:cs="Arial"/>
          <w:sz w:val="24"/>
          <w:szCs w:val="24"/>
          <w:lang w:val="pl-PL"/>
        </w:rPr>
      </w:pPr>
      <w:r w:rsidRPr="007D12AC">
        <w:rPr>
          <w:rFonts w:asciiTheme="minorHAnsi" w:eastAsiaTheme="minorEastAsia" w:hAnsiTheme="minorHAnsi" w:cs="Arial"/>
          <w:sz w:val="24"/>
          <w:szCs w:val="24"/>
          <w:lang w:val="pl-PL"/>
        </w:rPr>
        <w:t>Izvještaj o državnom dugu Crne Gore za I, II i III kvartal 2020. godine;</w:t>
      </w:r>
    </w:p>
    <w:p w:rsidR="007D12AC" w:rsidRPr="00A97518" w:rsidRDefault="007D12AC" w:rsidP="009F291B">
      <w:pPr>
        <w:pStyle w:val="PlainText"/>
        <w:numPr>
          <w:ilvl w:val="0"/>
          <w:numId w:val="5"/>
        </w:numPr>
        <w:jc w:val="both"/>
        <w:rPr>
          <w:rFonts w:asciiTheme="minorHAnsi" w:eastAsiaTheme="minorEastAsia" w:hAnsiTheme="minorHAnsi" w:cs="Arial"/>
          <w:sz w:val="24"/>
          <w:szCs w:val="24"/>
          <w:lang w:val="pl-PL"/>
        </w:rPr>
      </w:pPr>
      <w:r w:rsidRPr="007D12AC">
        <w:rPr>
          <w:rFonts w:asciiTheme="minorHAnsi" w:hAnsiTheme="minorHAnsi" w:cs="Arial"/>
          <w:sz w:val="24"/>
          <w:szCs w:val="24"/>
          <w:lang w:val="pl-PL"/>
        </w:rPr>
        <w:t>Izvještaj o javnom dugu za 2019. godinu;</w:t>
      </w:r>
    </w:p>
    <w:p w:rsidR="007D12AC" w:rsidRPr="00A97518" w:rsidRDefault="007D12AC" w:rsidP="009F291B">
      <w:pPr>
        <w:pStyle w:val="PlainText"/>
        <w:numPr>
          <w:ilvl w:val="0"/>
          <w:numId w:val="5"/>
        </w:numPr>
        <w:jc w:val="both"/>
        <w:rPr>
          <w:rFonts w:asciiTheme="minorHAnsi" w:eastAsiaTheme="minorEastAsia" w:hAnsiTheme="minorHAnsi" w:cs="Arial"/>
          <w:sz w:val="24"/>
          <w:szCs w:val="24"/>
          <w:lang w:val="pl-PL"/>
        </w:rPr>
      </w:pPr>
      <w:r w:rsidRPr="007D12AC">
        <w:rPr>
          <w:rFonts w:asciiTheme="minorHAnsi" w:hAnsiTheme="minorHAnsi" w:cs="Arial"/>
          <w:sz w:val="24"/>
          <w:szCs w:val="24"/>
          <w:lang w:val="sv-FI"/>
        </w:rPr>
        <w:t>Redovne aktivnosti u cilju vođenja evidencije i praćenja stanja ino i domaćeg duga i ino i domaćih garancija;</w:t>
      </w:r>
    </w:p>
    <w:p w:rsidR="007D12AC" w:rsidRPr="00A97518" w:rsidRDefault="007D12AC" w:rsidP="009F291B">
      <w:pPr>
        <w:pStyle w:val="PlainText"/>
        <w:numPr>
          <w:ilvl w:val="0"/>
          <w:numId w:val="5"/>
        </w:numPr>
        <w:jc w:val="both"/>
        <w:rPr>
          <w:rFonts w:asciiTheme="minorHAnsi" w:hAnsiTheme="minorHAnsi" w:cs="Arial"/>
          <w:sz w:val="24"/>
          <w:szCs w:val="24"/>
          <w:lang w:val="sv-FI"/>
        </w:rPr>
      </w:pPr>
      <w:r w:rsidRPr="007D12AC">
        <w:rPr>
          <w:rFonts w:asciiTheme="minorHAnsi" w:eastAsia="Times New Roman" w:hAnsiTheme="minorHAnsi" w:cs="Arial"/>
          <w:sz w:val="24"/>
          <w:szCs w:val="24"/>
          <w:lang w:val="sr-Latn-CS"/>
        </w:rPr>
        <w:t xml:space="preserve">Saradnja sa centralnom monetarnom institucijom i drugim relevantnim finansijskim institucijama u vezi sa pitanjima politike likvidnosti; </w:t>
      </w:r>
    </w:p>
    <w:p w:rsidR="007D12AC" w:rsidRPr="00A97518" w:rsidRDefault="007D12AC" w:rsidP="009F291B">
      <w:pPr>
        <w:pStyle w:val="PlainText"/>
        <w:numPr>
          <w:ilvl w:val="0"/>
          <w:numId w:val="5"/>
        </w:numPr>
        <w:jc w:val="both"/>
        <w:rPr>
          <w:rFonts w:asciiTheme="minorHAnsi" w:hAnsiTheme="minorHAnsi" w:cs="Arial"/>
          <w:sz w:val="24"/>
          <w:szCs w:val="24"/>
          <w:lang w:val="sv-FI"/>
        </w:rPr>
      </w:pPr>
      <w:r w:rsidRPr="007D12AC">
        <w:rPr>
          <w:rFonts w:asciiTheme="minorHAnsi" w:eastAsia="Times New Roman" w:hAnsiTheme="minorHAnsi" w:cs="Arial"/>
          <w:sz w:val="24"/>
          <w:szCs w:val="24"/>
          <w:lang w:val="sv-FI"/>
        </w:rPr>
        <w:t xml:space="preserve">Redovne aktivnosti u cilju </w:t>
      </w:r>
      <w:r w:rsidRPr="007D12AC">
        <w:rPr>
          <w:rFonts w:asciiTheme="minorHAnsi" w:eastAsia="Times New Roman" w:hAnsiTheme="minorHAnsi" w:cs="Arial"/>
          <w:sz w:val="24"/>
          <w:szCs w:val="24"/>
          <w:lang w:val="sr-Latn-CS"/>
        </w:rPr>
        <w:t>pripreme izvještaja i planova  novčanih tokova u cilju blagovremenog servisiranja duga;</w:t>
      </w:r>
    </w:p>
    <w:p w:rsidR="007D12AC" w:rsidRPr="00A97518" w:rsidRDefault="007D12AC" w:rsidP="009F291B">
      <w:pPr>
        <w:pStyle w:val="PlainText"/>
        <w:numPr>
          <w:ilvl w:val="0"/>
          <w:numId w:val="5"/>
        </w:numPr>
        <w:jc w:val="both"/>
        <w:rPr>
          <w:rFonts w:asciiTheme="minorHAnsi" w:hAnsiTheme="minorHAnsi" w:cs="Arial"/>
          <w:sz w:val="24"/>
          <w:szCs w:val="24"/>
          <w:lang w:val="sv-FI"/>
        </w:rPr>
      </w:pPr>
      <w:r w:rsidRPr="007D12AC">
        <w:rPr>
          <w:rFonts w:asciiTheme="minorHAnsi" w:hAnsiTheme="minorHAnsi" w:cs="Arial"/>
          <w:sz w:val="24"/>
          <w:szCs w:val="24"/>
          <w:lang w:val="sv-FI"/>
        </w:rPr>
        <w:lastRenderedPageBreak/>
        <w:t>Redovne aktivnosti u cilju predlaganja opcija investiranja državnog novca ;</w:t>
      </w:r>
    </w:p>
    <w:p w:rsidR="007D12AC" w:rsidRPr="00A97518" w:rsidRDefault="007D12AC" w:rsidP="009F291B">
      <w:pPr>
        <w:pStyle w:val="PlainText"/>
        <w:numPr>
          <w:ilvl w:val="0"/>
          <w:numId w:val="5"/>
        </w:numPr>
        <w:jc w:val="both"/>
        <w:rPr>
          <w:rFonts w:asciiTheme="minorHAnsi" w:hAnsiTheme="minorHAnsi" w:cs="Arial"/>
          <w:sz w:val="24"/>
          <w:szCs w:val="24"/>
          <w:lang w:val="sv-FI"/>
        </w:rPr>
      </w:pPr>
      <w:r w:rsidRPr="007D12AC">
        <w:rPr>
          <w:rFonts w:asciiTheme="minorHAnsi" w:hAnsiTheme="minorHAnsi" w:cs="Arial"/>
          <w:sz w:val="24"/>
          <w:szCs w:val="24"/>
          <w:lang w:val="sv-FI"/>
        </w:rPr>
        <w:t>Redovne aktivnosti u cilju kvartalnog prikupljanja podataka i evidencije stanja duga lokalne samouprave i izrade izvještaja o stanju duga lokalne samouprave;</w:t>
      </w:r>
    </w:p>
    <w:p w:rsidR="007D12AC" w:rsidRPr="00A97518" w:rsidRDefault="007D12AC" w:rsidP="009F291B">
      <w:pPr>
        <w:pStyle w:val="PlainText"/>
        <w:numPr>
          <w:ilvl w:val="0"/>
          <w:numId w:val="5"/>
        </w:numPr>
        <w:jc w:val="both"/>
        <w:rPr>
          <w:rFonts w:asciiTheme="minorHAnsi" w:hAnsiTheme="minorHAnsi" w:cs="Arial"/>
          <w:sz w:val="24"/>
          <w:szCs w:val="24"/>
          <w:lang w:val="sv-FI"/>
        </w:rPr>
      </w:pPr>
      <w:r w:rsidRPr="007D12AC">
        <w:rPr>
          <w:rFonts w:asciiTheme="minorHAnsi" w:hAnsiTheme="minorHAnsi" w:cs="Arial"/>
          <w:sz w:val="24"/>
          <w:szCs w:val="24"/>
          <w:lang w:val="sv-FI"/>
        </w:rPr>
        <w:t>Konsolidovano praćenje stanja novčanih sredstava na svim državnim računima;</w:t>
      </w:r>
    </w:p>
    <w:p w:rsidR="007D12AC" w:rsidRPr="00A97518" w:rsidRDefault="007D12AC" w:rsidP="009F291B">
      <w:pPr>
        <w:pStyle w:val="PlainText"/>
        <w:numPr>
          <w:ilvl w:val="0"/>
          <w:numId w:val="5"/>
        </w:numPr>
        <w:jc w:val="both"/>
        <w:rPr>
          <w:rFonts w:asciiTheme="minorHAnsi" w:hAnsiTheme="minorHAnsi" w:cs="Arial"/>
          <w:sz w:val="24"/>
          <w:szCs w:val="24"/>
          <w:lang w:val="sv-FI"/>
        </w:rPr>
      </w:pPr>
      <w:r w:rsidRPr="007D12AC">
        <w:rPr>
          <w:rFonts w:asciiTheme="minorHAnsi" w:hAnsiTheme="minorHAnsi" w:cs="Arial"/>
          <w:sz w:val="24"/>
          <w:szCs w:val="24"/>
          <w:lang w:val="sv-FI"/>
        </w:rPr>
        <w:t xml:space="preserve">Praćenja stanja na državnim bankarskim računima, otvaranje i zatvaranje računa </w:t>
      </w:r>
      <w:r w:rsidRPr="007D12AC">
        <w:rPr>
          <w:rFonts w:asciiTheme="minorHAnsi" w:eastAsia="Times New Roman" w:hAnsiTheme="minorHAnsi" w:cs="Arial"/>
          <w:sz w:val="24"/>
          <w:szCs w:val="24"/>
          <w:lang w:val="sr-Latn-CS"/>
        </w:rPr>
        <w:t>za potrebe projektnih zajmova potrošačkih jedinica budžeta države, donacija i IPA sredstava</w:t>
      </w:r>
      <w:r w:rsidRPr="007D12AC">
        <w:rPr>
          <w:rFonts w:asciiTheme="minorHAnsi" w:eastAsia="Times New Roman" w:hAnsiTheme="minorHAnsi" w:cs="Arial"/>
          <w:sz w:val="24"/>
          <w:szCs w:val="24"/>
        </w:rPr>
        <w:t>;</w:t>
      </w:r>
    </w:p>
    <w:p w:rsidR="00A97518" w:rsidRPr="00A97518" w:rsidRDefault="007D12AC" w:rsidP="009F291B">
      <w:pPr>
        <w:pStyle w:val="PlainText"/>
        <w:numPr>
          <w:ilvl w:val="0"/>
          <w:numId w:val="5"/>
        </w:numPr>
        <w:jc w:val="both"/>
        <w:rPr>
          <w:rFonts w:asciiTheme="minorHAnsi" w:hAnsiTheme="minorHAnsi" w:cs="Arial"/>
          <w:sz w:val="24"/>
          <w:szCs w:val="24"/>
          <w:lang w:val="sv-FI"/>
        </w:rPr>
      </w:pPr>
      <w:r w:rsidRPr="007D12AC">
        <w:rPr>
          <w:rFonts w:asciiTheme="minorHAnsi" w:hAnsiTheme="minorHAnsi" w:cs="Arial"/>
          <w:sz w:val="24"/>
          <w:szCs w:val="24"/>
          <w:lang w:val="sv-FI"/>
        </w:rPr>
        <w:t>Aktivnosti u pogledu zaduživanja na domaćem bankarskom tržištu preko kreditnih ugovora i emisija obveznica na domaćem tržištu, u skladu sa godišnjim zakonom o budžetu i odlukom o zaduživanju.</w:t>
      </w:r>
    </w:p>
    <w:p w:rsidR="007D12AC" w:rsidRPr="00B64C8A" w:rsidRDefault="007D12AC" w:rsidP="00B64C8A">
      <w:pPr>
        <w:pStyle w:val="ListParagraph"/>
        <w:spacing w:after="0" w:line="276" w:lineRule="auto"/>
        <w:ind w:left="360"/>
        <w:jc w:val="left"/>
        <w:rPr>
          <w:rFonts w:eastAsia="Times New Roman" w:cs="Arial"/>
          <w:b/>
          <w:szCs w:val="24"/>
          <w:u w:val="single"/>
        </w:rPr>
      </w:pPr>
      <w:r w:rsidRPr="00B64C8A">
        <w:rPr>
          <w:rFonts w:eastAsia="Times New Roman" w:cs="Arial"/>
          <w:b/>
          <w:szCs w:val="24"/>
          <w:u w:val="single"/>
        </w:rPr>
        <w:t>Direkcija za održavanje SAP-a i drugih informatičkih sistema Državnog trezora</w:t>
      </w:r>
    </w:p>
    <w:p w:rsidR="007D12AC" w:rsidRPr="007D12AC" w:rsidRDefault="007D12AC" w:rsidP="00A97518">
      <w:pPr>
        <w:spacing w:before="0" w:after="0"/>
        <w:ind w:firstLine="360"/>
        <w:rPr>
          <w:rFonts w:cs="Arial"/>
          <w:b/>
          <w:szCs w:val="24"/>
        </w:rPr>
      </w:pPr>
      <w:r w:rsidRPr="007D12AC">
        <w:rPr>
          <w:rFonts w:cs="Arial"/>
          <w:szCs w:val="24"/>
        </w:rPr>
        <w:t>Redovne aktivnosti Direkcije za održavanje Sap-a i drugih IS u Direktoratu za državni trezor tokom 2020. godine su,</w:t>
      </w:r>
    </w:p>
    <w:p w:rsidR="007D12AC" w:rsidRPr="007D12AC" w:rsidRDefault="007D12AC" w:rsidP="009F291B">
      <w:pPr>
        <w:pStyle w:val="ListParagraph"/>
        <w:numPr>
          <w:ilvl w:val="0"/>
          <w:numId w:val="6"/>
        </w:numPr>
        <w:spacing w:before="0" w:after="0" w:line="276" w:lineRule="auto"/>
        <w:contextualSpacing w:val="0"/>
        <w:jc w:val="left"/>
        <w:rPr>
          <w:rFonts w:cs="Arial"/>
          <w:szCs w:val="24"/>
        </w:rPr>
      </w:pPr>
      <w:r w:rsidRPr="007D12AC">
        <w:rPr>
          <w:rFonts w:cs="Arial"/>
          <w:szCs w:val="24"/>
        </w:rPr>
        <w:t>Prihodni modul – aplikacija za  raspodjelu javnih prihoda, dnevna obrada podataka i priprema izvjestaja, administracija baze;</w:t>
      </w:r>
    </w:p>
    <w:p w:rsidR="007D12AC" w:rsidRPr="007D12AC" w:rsidRDefault="007D12AC" w:rsidP="009F291B">
      <w:pPr>
        <w:pStyle w:val="ListParagraph"/>
        <w:numPr>
          <w:ilvl w:val="0"/>
          <w:numId w:val="6"/>
        </w:numPr>
        <w:spacing w:before="0" w:after="0" w:line="276" w:lineRule="auto"/>
        <w:contextualSpacing w:val="0"/>
        <w:jc w:val="left"/>
        <w:rPr>
          <w:rFonts w:cs="Arial"/>
          <w:szCs w:val="24"/>
        </w:rPr>
      </w:pPr>
      <w:r w:rsidRPr="007D12AC">
        <w:rPr>
          <w:rFonts w:cs="Arial"/>
          <w:szCs w:val="24"/>
        </w:rPr>
        <w:t>REES- aplikacija koja služi za praćenje analitike uplata na prihodne podračune 832, dnevna obrada podataka i priprema izvjestaja, podrska korisnicima;</w:t>
      </w:r>
    </w:p>
    <w:p w:rsidR="007D12AC" w:rsidRPr="007D12AC" w:rsidRDefault="007D12AC" w:rsidP="009F291B">
      <w:pPr>
        <w:pStyle w:val="ListParagraph"/>
        <w:numPr>
          <w:ilvl w:val="0"/>
          <w:numId w:val="6"/>
        </w:numPr>
        <w:spacing w:before="0" w:after="0" w:line="276" w:lineRule="auto"/>
        <w:contextualSpacing w:val="0"/>
        <w:jc w:val="left"/>
        <w:rPr>
          <w:rFonts w:cs="Arial"/>
          <w:szCs w:val="24"/>
        </w:rPr>
      </w:pPr>
      <w:r w:rsidRPr="007D12AC">
        <w:rPr>
          <w:rFonts w:cs="Arial"/>
          <w:szCs w:val="24"/>
        </w:rPr>
        <w:t>RTGS – sistem platnog prometa Centralne banke, sprovodjenje placanja sa racuna Ministarstva finansija, dnevna obrada izvoda, administracija lokalne baze</w:t>
      </w:r>
    </w:p>
    <w:p w:rsidR="007D12AC" w:rsidRPr="007D12AC" w:rsidRDefault="007D12AC" w:rsidP="009F291B">
      <w:pPr>
        <w:pStyle w:val="ListParagraph"/>
        <w:numPr>
          <w:ilvl w:val="0"/>
          <w:numId w:val="6"/>
        </w:numPr>
        <w:spacing w:before="0" w:after="0" w:line="276" w:lineRule="auto"/>
        <w:contextualSpacing w:val="0"/>
        <w:jc w:val="left"/>
        <w:rPr>
          <w:rFonts w:cs="Arial"/>
          <w:szCs w:val="24"/>
        </w:rPr>
      </w:pPr>
      <w:r w:rsidRPr="007D12AC">
        <w:rPr>
          <w:rFonts w:cs="Arial"/>
          <w:szCs w:val="24"/>
        </w:rPr>
        <w:t>SAP sistem za praćenje izvršenja budžeta i javni dug - sprovodjenje procedura automatskog plaćanja, generisanje izveštaja, sprovođenje standardnih SAP-ovih procedura, podrška krajnjim korisnicima -službenicima računovodstva svih potrošačkih jedinica, obuka krajnjih korisnika za rad u sistemu, administracija;</w:t>
      </w:r>
    </w:p>
    <w:p w:rsidR="007D12AC" w:rsidRPr="007D12AC" w:rsidRDefault="007D12AC" w:rsidP="009F291B">
      <w:pPr>
        <w:pStyle w:val="ListParagraph"/>
        <w:numPr>
          <w:ilvl w:val="0"/>
          <w:numId w:val="6"/>
        </w:numPr>
        <w:spacing w:before="0" w:after="0" w:line="276" w:lineRule="auto"/>
        <w:contextualSpacing w:val="0"/>
        <w:jc w:val="left"/>
        <w:rPr>
          <w:rFonts w:cs="Arial"/>
          <w:szCs w:val="24"/>
        </w:rPr>
      </w:pPr>
      <w:r w:rsidRPr="007D12AC">
        <w:rPr>
          <w:rFonts w:cs="Arial"/>
          <w:szCs w:val="24"/>
        </w:rPr>
        <w:t xml:space="preserve">SAP sistem za procese praćenja IPA programa – podrška korisnicima sistema, administracija </w:t>
      </w:r>
    </w:p>
    <w:p w:rsidR="007D12AC" w:rsidRPr="007D12AC" w:rsidRDefault="007D12AC" w:rsidP="009F291B">
      <w:pPr>
        <w:pStyle w:val="ListParagraph"/>
        <w:numPr>
          <w:ilvl w:val="0"/>
          <w:numId w:val="6"/>
        </w:numPr>
        <w:spacing w:before="0" w:after="0" w:line="276" w:lineRule="auto"/>
        <w:jc w:val="left"/>
        <w:rPr>
          <w:rFonts w:cs="Arial"/>
          <w:szCs w:val="24"/>
        </w:rPr>
      </w:pPr>
      <w:r w:rsidRPr="007D12AC">
        <w:rPr>
          <w:rFonts w:cs="Arial"/>
          <w:szCs w:val="24"/>
        </w:rPr>
        <w:t>Katalog državnih propisa – mrežna aplikacija instalirana na preko 100 računara kod zaposlenih u MF. Kontrola automatskog ažuriranja i instalacija kataloga po potrebi.</w:t>
      </w:r>
    </w:p>
    <w:p w:rsidR="007D12AC" w:rsidRPr="007D12AC" w:rsidRDefault="007D12AC" w:rsidP="00A97518">
      <w:pPr>
        <w:spacing w:before="0" w:after="0"/>
        <w:ind w:firstLine="360"/>
        <w:rPr>
          <w:rFonts w:cs="Arial"/>
          <w:szCs w:val="24"/>
        </w:rPr>
      </w:pPr>
      <w:r w:rsidRPr="007D12AC">
        <w:rPr>
          <w:rFonts w:cs="Arial"/>
          <w:szCs w:val="24"/>
        </w:rPr>
        <w:t xml:space="preserve">U 2020. godini je zapocet projekat implementacije funkcionalnosti unapređenja procesa elektronskog plaćanja naloga za izvršenje budžeta u okviru postojećeg SAP ERP sistema čiji cilj je da se </w:t>
      </w:r>
      <w:r w:rsidRPr="007D12AC">
        <w:rPr>
          <w:rFonts w:cs="Arial"/>
          <w:szCs w:val="24"/>
          <w:lang w:val="sr-Latn-RS"/>
        </w:rPr>
        <w:t>smanji ili potpuno izostavi upotreba papira</w:t>
      </w:r>
      <w:r w:rsidRPr="007D12AC">
        <w:rPr>
          <w:rFonts w:cs="Arial"/>
          <w:szCs w:val="24"/>
        </w:rPr>
        <w:t xml:space="preserve"> u procesu placanja obaveza direknih budzetskih korisnika na način što će se zahtjevi za placanje verifikovati i odobravati za plaćanje koristeci SAP funkcionalnosti. Projekat je poceo u n</w:t>
      </w:r>
      <w:r w:rsidR="00552E09">
        <w:rPr>
          <w:rFonts w:cs="Arial"/>
          <w:szCs w:val="24"/>
        </w:rPr>
        <w:t>ovembru 2020. godine. Što se tič</w:t>
      </w:r>
      <w:r w:rsidRPr="007D12AC">
        <w:rPr>
          <w:rFonts w:cs="Arial"/>
          <w:szCs w:val="24"/>
        </w:rPr>
        <w:t>e prelaska na produkciju, trebalo bi da bude po dogovoru, u 2021. godini.</w:t>
      </w:r>
    </w:p>
    <w:p w:rsidR="007D12AC" w:rsidRPr="001F3D14" w:rsidRDefault="007D12AC" w:rsidP="00101664">
      <w:pPr>
        <w:spacing w:before="0" w:after="0"/>
        <w:rPr>
          <w:rFonts w:cs="Arial"/>
          <w:szCs w:val="24"/>
        </w:rPr>
      </w:pPr>
    </w:p>
    <w:p w:rsidR="007D12AC" w:rsidRDefault="00150BF8" w:rsidP="00B64C8A">
      <w:pPr>
        <w:pStyle w:val="PlainText"/>
        <w:shd w:val="clear" w:color="auto" w:fill="F9D8CD" w:themeFill="accent1" w:themeFillTint="33"/>
        <w:jc w:val="both"/>
        <w:rPr>
          <w:rFonts w:asciiTheme="minorHAnsi" w:hAnsiTheme="minorHAnsi" w:cs="Arial"/>
          <w:b/>
          <w:sz w:val="24"/>
          <w:szCs w:val="24"/>
        </w:rPr>
      </w:pPr>
      <w:r>
        <w:rPr>
          <w:rFonts w:asciiTheme="minorHAnsi" w:hAnsiTheme="minorHAnsi" w:cs="Arial"/>
          <w:b/>
          <w:sz w:val="24"/>
          <w:szCs w:val="24"/>
        </w:rPr>
        <w:tab/>
      </w:r>
      <w:r w:rsidR="00B64C8A">
        <w:rPr>
          <w:rFonts w:asciiTheme="minorHAnsi" w:hAnsiTheme="minorHAnsi" w:cs="Arial"/>
          <w:b/>
          <w:sz w:val="24"/>
          <w:szCs w:val="24"/>
        </w:rPr>
        <w:t xml:space="preserve">4. </w:t>
      </w:r>
      <w:r>
        <w:rPr>
          <w:rFonts w:asciiTheme="minorHAnsi" w:hAnsiTheme="minorHAnsi" w:cs="Arial"/>
          <w:b/>
          <w:sz w:val="24"/>
          <w:szCs w:val="24"/>
        </w:rPr>
        <w:t>DIREKTORAT ZA PORESKI I CARINSKI SISTEM</w:t>
      </w:r>
    </w:p>
    <w:p w:rsidR="00A90812" w:rsidRDefault="00A90812" w:rsidP="008F659F">
      <w:pPr>
        <w:pStyle w:val="PlainText"/>
        <w:jc w:val="both"/>
        <w:rPr>
          <w:rFonts w:asciiTheme="minorHAnsi" w:hAnsiTheme="minorHAnsi" w:cs="Arial"/>
          <w:b/>
          <w:sz w:val="24"/>
          <w:szCs w:val="24"/>
        </w:rPr>
      </w:pPr>
    </w:p>
    <w:p w:rsidR="00150BF8" w:rsidRPr="00A90812" w:rsidRDefault="00A90812" w:rsidP="006A2062">
      <w:pPr>
        <w:pStyle w:val="PlainText"/>
        <w:spacing w:line="276" w:lineRule="auto"/>
        <w:jc w:val="both"/>
        <w:rPr>
          <w:rFonts w:asciiTheme="minorHAnsi" w:hAnsiTheme="minorHAnsi" w:cs="Arial"/>
          <w:b/>
          <w:color w:val="0070C0"/>
          <w:sz w:val="24"/>
          <w:szCs w:val="24"/>
        </w:rPr>
      </w:pPr>
      <w:r w:rsidRPr="00A90812">
        <w:rPr>
          <w:rFonts w:asciiTheme="minorHAnsi" w:hAnsiTheme="minorHAnsi" w:cs="Arial"/>
          <w:b/>
          <w:color w:val="0070C0"/>
          <w:sz w:val="24"/>
          <w:szCs w:val="24"/>
        </w:rPr>
        <w:t>Realizacija Programa rada Vlade Crne Gore za 2020. godinu</w:t>
      </w:r>
    </w:p>
    <w:p w:rsidR="00150BF8" w:rsidRPr="00150BF8" w:rsidRDefault="00150BF8" w:rsidP="00A90812">
      <w:pPr>
        <w:spacing w:before="0" w:after="0" w:line="240" w:lineRule="auto"/>
        <w:ind w:firstLine="360"/>
        <w:rPr>
          <w:rFonts w:ascii="Calibri" w:eastAsia="Calibri" w:hAnsi="Calibri" w:cs="Tahoma"/>
          <w:szCs w:val="24"/>
        </w:rPr>
      </w:pPr>
      <w:r w:rsidRPr="00150BF8">
        <w:rPr>
          <w:rFonts w:ascii="Calibri" w:eastAsia="Calibri" w:hAnsi="Calibri" w:cs="Tahoma"/>
          <w:szCs w:val="24"/>
        </w:rPr>
        <w:t>Programom rada Vlade Crne Gore za 2020. godinu predviđene su aktivnosti iz tematskog i normativnog dijela, i to:</w:t>
      </w:r>
    </w:p>
    <w:p w:rsidR="00150BF8" w:rsidRPr="00150BF8" w:rsidRDefault="00150BF8" w:rsidP="00146EBE">
      <w:pPr>
        <w:numPr>
          <w:ilvl w:val="0"/>
          <w:numId w:val="11"/>
        </w:numPr>
        <w:spacing w:before="0" w:after="200" w:line="240" w:lineRule="auto"/>
        <w:contextualSpacing/>
        <w:jc w:val="left"/>
        <w:rPr>
          <w:rFonts w:ascii="Calibri" w:eastAsia="Calibri" w:hAnsi="Calibri" w:cs="Tahoma"/>
          <w:szCs w:val="24"/>
        </w:rPr>
      </w:pPr>
      <w:r w:rsidRPr="00150BF8">
        <w:rPr>
          <w:rFonts w:ascii="Calibri" w:eastAsia="Calibri" w:hAnsi="Calibri" w:cs="Tahoma"/>
          <w:i/>
          <w:szCs w:val="24"/>
        </w:rPr>
        <w:t>Izvještaj o realizaciji poreske politike u 2019. godini</w:t>
      </w:r>
      <w:r w:rsidRPr="00150BF8">
        <w:rPr>
          <w:rFonts w:ascii="Calibri" w:eastAsia="Calibri" w:hAnsi="Calibri" w:cs="Tahoma"/>
          <w:szCs w:val="24"/>
        </w:rPr>
        <w:t xml:space="preserve"> (tematski dio), rok I kvartal;</w:t>
      </w:r>
    </w:p>
    <w:p w:rsidR="00150BF8" w:rsidRPr="00150BF8" w:rsidRDefault="00150BF8" w:rsidP="00146EBE">
      <w:pPr>
        <w:numPr>
          <w:ilvl w:val="0"/>
          <w:numId w:val="11"/>
        </w:numPr>
        <w:spacing w:before="0" w:after="200" w:line="240" w:lineRule="auto"/>
        <w:contextualSpacing/>
        <w:jc w:val="left"/>
        <w:rPr>
          <w:rFonts w:ascii="Calibri" w:eastAsia="Calibri" w:hAnsi="Calibri" w:cs="Tahoma"/>
          <w:i/>
          <w:szCs w:val="24"/>
        </w:rPr>
      </w:pPr>
      <w:r w:rsidRPr="00150BF8">
        <w:rPr>
          <w:rFonts w:ascii="Calibri" w:eastAsia="Calibri" w:hAnsi="Calibri" w:cs="Tahoma"/>
          <w:i/>
          <w:szCs w:val="24"/>
        </w:rPr>
        <w:t xml:space="preserve">Predlog Zakona o izmjenama i dopunama Zakona o poreskoj administraciji </w:t>
      </w:r>
      <w:r w:rsidRPr="00150BF8">
        <w:rPr>
          <w:rFonts w:ascii="Calibri" w:eastAsia="Calibri" w:hAnsi="Calibri" w:cs="Tahoma"/>
          <w:szCs w:val="24"/>
          <w:lang w:val="sr-Latn-RS"/>
        </w:rPr>
        <w:t>(normativni dio), rok II kvartal;</w:t>
      </w:r>
    </w:p>
    <w:p w:rsidR="00150BF8" w:rsidRPr="00150BF8" w:rsidRDefault="00150BF8" w:rsidP="00146EBE">
      <w:pPr>
        <w:numPr>
          <w:ilvl w:val="0"/>
          <w:numId w:val="11"/>
        </w:numPr>
        <w:spacing w:before="0" w:after="200" w:line="240" w:lineRule="auto"/>
        <w:contextualSpacing/>
        <w:jc w:val="left"/>
        <w:rPr>
          <w:rFonts w:ascii="Calibri" w:eastAsia="Calibri" w:hAnsi="Calibri" w:cs="Tahoma"/>
          <w:i/>
          <w:szCs w:val="24"/>
        </w:rPr>
      </w:pPr>
      <w:r w:rsidRPr="00150BF8">
        <w:rPr>
          <w:rFonts w:ascii="Calibri" w:eastAsia="Calibri" w:hAnsi="Calibri" w:cs="Tahoma"/>
          <w:i/>
          <w:szCs w:val="24"/>
        </w:rPr>
        <w:t xml:space="preserve">Predlog Zakona o izmjenama i dopunama Zakona o porezu na dobit pravnih lica </w:t>
      </w:r>
      <w:r w:rsidRPr="00150BF8">
        <w:rPr>
          <w:rFonts w:ascii="Calibri" w:eastAsia="Calibri" w:hAnsi="Calibri" w:cs="Tahoma"/>
          <w:szCs w:val="24"/>
          <w:lang w:val="sr-Latn-RS"/>
        </w:rPr>
        <w:t>(normativni dio), rok II kvartal;</w:t>
      </w:r>
    </w:p>
    <w:p w:rsidR="00150BF8" w:rsidRPr="00150BF8" w:rsidRDefault="00150BF8" w:rsidP="00146EBE">
      <w:pPr>
        <w:numPr>
          <w:ilvl w:val="0"/>
          <w:numId w:val="11"/>
        </w:numPr>
        <w:spacing w:before="0" w:after="200" w:line="240" w:lineRule="auto"/>
        <w:contextualSpacing/>
        <w:jc w:val="left"/>
        <w:rPr>
          <w:rFonts w:ascii="Calibri" w:eastAsia="Calibri" w:hAnsi="Calibri" w:cs="Tahoma"/>
          <w:i/>
          <w:szCs w:val="24"/>
        </w:rPr>
      </w:pPr>
      <w:r w:rsidRPr="00150BF8">
        <w:rPr>
          <w:rFonts w:ascii="Calibri" w:eastAsia="Calibri" w:hAnsi="Calibri" w:cs="Tahoma"/>
          <w:i/>
          <w:szCs w:val="24"/>
        </w:rPr>
        <w:t xml:space="preserve">Predlog Zakona o izmjenama i dopunama Zakona o porezu na dodatu vrijednost </w:t>
      </w:r>
      <w:r w:rsidRPr="00150BF8">
        <w:rPr>
          <w:rFonts w:ascii="Calibri" w:eastAsia="Calibri" w:hAnsi="Calibri" w:cs="Tahoma"/>
          <w:szCs w:val="24"/>
        </w:rPr>
        <w:t>(normativni dio), rok II kvartal;</w:t>
      </w:r>
    </w:p>
    <w:p w:rsidR="00150BF8" w:rsidRPr="00150BF8" w:rsidRDefault="00150BF8" w:rsidP="00146EBE">
      <w:pPr>
        <w:numPr>
          <w:ilvl w:val="0"/>
          <w:numId w:val="11"/>
        </w:numPr>
        <w:spacing w:before="0" w:after="200" w:line="240" w:lineRule="auto"/>
        <w:contextualSpacing/>
        <w:jc w:val="left"/>
        <w:rPr>
          <w:rFonts w:ascii="Calibri" w:eastAsia="Calibri" w:hAnsi="Calibri" w:cs="Tahoma"/>
          <w:szCs w:val="24"/>
        </w:rPr>
      </w:pPr>
      <w:r w:rsidRPr="00150BF8">
        <w:rPr>
          <w:rFonts w:ascii="Calibri" w:eastAsia="Calibri" w:hAnsi="Calibri" w:cs="Tahoma"/>
          <w:i/>
          <w:szCs w:val="24"/>
        </w:rPr>
        <w:t xml:space="preserve">Predlog Carinskog zakona </w:t>
      </w:r>
      <w:r w:rsidRPr="00150BF8">
        <w:rPr>
          <w:rFonts w:ascii="Calibri" w:eastAsia="Calibri" w:hAnsi="Calibri" w:cs="Tahoma"/>
          <w:szCs w:val="24"/>
        </w:rPr>
        <w:t>(normativni dio), rok IV kvartal.</w:t>
      </w:r>
    </w:p>
    <w:p w:rsidR="00150BF8" w:rsidRPr="00150BF8" w:rsidRDefault="00150BF8" w:rsidP="00A90812">
      <w:pPr>
        <w:spacing w:before="0" w:after="0" w:line="240" w:lineRule="auto"/>
        <w:ind w:firstLine="357"/>
        <w:rPr>
          <w:rFonts w:ascii="Calibri" w:eastAsia="Calibri" w:hAnsi="Calibri" w:cs="Tahoma"/>
          <w:szCs w:val="24"/>
        </w:rPr>
      </w:pPr>
      <w:r w:rsidRPr="00150BF8">
        <w:rPr>
          <w:rFonts w:ascii="Calibri" w:eastAsia="Calibri" w:hAnsi="Calibri" w:cs="Tahoma"/>
          <w:szCs w:val="24"/>
        </w:rPr>
        <w:lastRenderedPageBreak/>
        <w:t>Shodno navedenim obavezama iz Programa rada Vlade Crne Gore za 2020. godinu, Ministarstvo finansija i socijalnog staranja- Direktorat za poreski i carinski sistem je pripremio i Vladi Crne Gore dostavio sljedeće:</w:t>
      </w:r>
    </w:p>
    <w:p w:rsidR="00150BF8" w:rsidRPr="00150BF8" w:rsidRDefault="00A90812" w:rsidP="00A90812">
      <w:pPr>
        <w:spacing w:before="0" w:after="0" w:line="240" w:lineRule="auto"/>
        <w:contextualSpacing/>
        <w:jc w:val="left"/>
        <w:rPr>
          <w:rFonts w:ascii="Calibri" w:eastAsia="Calibri" w:hAnsi="Calibri" w:cs="Times New Roman"/>
          <w:b/>
          <w:i/>
          <w:szCs w:val="24"/>
        </w:rPr>
      </w:pPr>
      <w:r>
        <w:rPr>
          <w:rFonts w:ascii="Calibri" w:eastAsia="Times New Roman" w:hAnsi="Calibri" w:cs="Times New Roman"/>
          <w:b/>
          <w:i/>
          <w:szCs w:val="24"/>
        </w:rPr>
        <w:t xml:space="preserve">1. </w:t>
      </w:r>
      <w:r w:rsidR="00150BF8" w:rsidRPr="00150BF8">
        <w:rPr>
          <w:rFonts w:ascii="Calibri" w:eastAsia="Times New Roman" w:hAnsi="Calibri" w:cs="Times New Roman"/>
          <w:b/>
          <w:i/>
          <w:szCs w:val="24"/>
        </w:rPr>
        <w:t xml:space="preserve">Izvještaj o realizaciji poreske politike u 2019. godini </w:t>
      </w:r>
      <w:r w:rsidR="00150BF8" w:rsidRPr="00150BF8">
        <w:rPr>
          <w:rFonts w:ascii="Calibri" w:eastAsia="Times New Roman" w:hAnsi="Calibri" w:cs="Times New Roman"/>
          <w:szCs w:val="24"/>
        </w:rPr>
        <w:t>pripremljen je u skladu sa Programom rada Vlade Crne Gore za 2020. godinu, i sastoji se iz 8 poglavlja:</w:t>
      </w:r>
    </w:p>
    <w:p w:rsidR="00150BF8" w:rsidRPr="00150BF8" w:rsidRDefault="00150BF8" w:rsidP="00146EBE">
      <w:pPr>
        <w:numPr>
          <w:ilvl w:val="0"/>
          <w:numId w:val="12"/>
        </w:numPr>
        <w:spacing w:before="0" w:after="200" w:line="240" w:lineRule="auto"/>
        <w:contextualSpacing/>
        <w:jc w:val="left"/>
        <w:rPr>
          <w:rFonts w:ascii="Calibri" w:eastAsia="Calibri" w:hAnsi="Calibri" w:cs="Times New Roman"/>
          <w:b/>
          <w:i/>
          <w:szCs w:val="24"/>
        </w:rPr>
      </w:pPr>
      <w:r w:rsidRPr="00150BF8">
        <w:rPr>
          <w:rFonts w:ascii="Calibri" w:eastAsia="Calibri" w:hAnsi="Calibri" w:cs="Times New Roman"/>
          <w:szCs w:val="24"/>
        </w:rPr>
        <w:t>pregled normativnih aktivnosti sa poreskog aspekta u 2019. godini;</w:t>
      </w:r>
    </w:p>
    <w:p w:rsidR="00150BF8" w:rsidRPr="00150BF8" w:rsidRDefault="00150BF8" w:rsidP="00146EBE">
      <w:pPr>
        <w:numPr>
          <w:ilvl w:val="0"/>
          <w:numId w:val="12"/>
        </w:numPr>
        <w:spacing w:before="0" w:after="200" w:line="240" w:lineRule="auto"/>
        <w:contextualSpacing/>
        <w:jc w:val="left"/>
        <w:rPr>
          <w:rFonts w:ascii="Calibri" w:eastAsia="Calibri" w:hAnsi="Calibri" w:cs="Times New Roman"/>
          <w:b/>
          <w:i/>
          <w:szCs w:val="24"/>
        </w:rPr>
      </w:pPr>
      <w:r w:rsidRPr="00150BF8">
        <w:rPr>
          <w:rFonts w:ascii="Calibri" w:eastAsia="Calibri" w:hAnsi="Calibri" w:cs="Times New Roman"/>
          <w:szCs w:val="24"/>
        </w:rPr>
        <w:t>bruto naplate Uprave prihoda i Uprave carina, sa osvrtom na lokalne prihode i dijeljenje prihoda sa jedinicama lokalne samouprave;</w:t>
      </w:r>
    </w:p>
    <w:p w:rsidR="00150BF8" w:rsidRPr="00150BF8" w:rsidRDefault="00150BF8" w:rsidP="00146EBE">
      <w:pPr>
        <w:numPr>
          <w:ilvl w:val="0"/>
          <w:numId w:val="12"/>
        </w:numPr>
        <w:spacing w:before="0" w:after="200" w:line="240" w:lineRule="auto"/>
        <w:contextualSpacing/>
        <w:jc w:val="left"/>
        <w:rPr>
          <w:rFonts w:ascii="Calibri" w:eastAsia="Calibri" w:hAnsi="Calibri" w:cs="Times New Roman"/>
          <w:b/>
          <w:i/>
          <w:szCs w:val="24"/>
        </w:rPr>
      </w:pPr>
      <w:r w:rsidRPr="00150BF8">
        <w:rPr>
          <w:rFonts w:ascii="Calibri" w:eastAsia="Calibri" w:hAnsi="Calibri" w:cs="Times New Roman"/>
          <w:szCs w:val="24"/>
        </w:rPr>
        <w:t>reprogram poreskog potraživanja u skladu sa Zakonom o reprogramu poreskog potraživanja;</w:t>
      </w:r>
    </w:p>
    <w:p w:rsidR="00150BF8" w:rsidRPr="00150BF8" w:rsidRDefault="00150BF8" w:rsidP="00146EBE">
      <w:pPr>
        <w:numPr>
          <w:ilvl w:val="0"/>
          <w:numId w:val="12"/>
        </w:numPr>
        <w:spacing w:before="0" w:after="200" w:line="240" w:lineRule="auto"/>
        <w:contextualSpacing/>
        <w:jc w:val="left"/>
        <w:rPr>
          <w:rFonts w:ascii="Calibri" w:eastAsia="Calibri" w:hAnsi="Calibri" w:cs="Times New Roman"/>
          <w:b/>
          <w:i/>
          <w:szCs w:val="24"/>
        </w:rPr>
      </w:pPr>
      <w:r w:rsidRPr="00150BF8">
        <w:rPr>
          <w:rFonts w:ascii="Calibri" w:eastAsia="Calibri" w:hAnsi="Calibri" w:cs="Times New Roman"/>
          <w:szCs w:val="24"/>
        </w:rPr>
        <w:t>opterećenje po osnovu rada u Crnoj Gori u 2019. godini;</w:t>
      </w:r>
    </w:p>
    <w:p w:rsidR="00150BF8" w:rsidRPr="00150BF8" w:rsidRDefault="00150BF8" w:rsidP="00146EBE">
      <w:pPr>
        <w:numPr>
          <w:ilvl w:val="0"/>
          <w:numId w:val="12"/>
        </w:numPr>
        <w:spacing w:before="0" w:after="200" w:line="240" w:lineRule="auto"/>
        <w:contextualSpacing/>
        <w:jc w:val="left"/>
        <w:rPr>
          <w:rFonts w:ascii="Calibri" w:eastAsia="Calibri" w:hAnsi="Calibri" w:cs="Times New Roman"/>
          <w:b/>
          <w:i/>
          <w:szCs w:val="24"/>
        </w:rPr>
      </w:pPr>
      <w:r w:rsidRPr="00150BF8">
        <w:rPr>
          <w:rFonts w:ascii="Calibri" w:eastAsia="Calibri" w:hAnsi="Calibri" w:cs="Times New Roman"/>
          <w:szCs w:val="24"/>
        </w:rPr>
        <w:t>pregled usklađenosti propisa Crne Gore sa direktivama Evropske unije, uz osvrt na poređenje najvažnijih poreskih oblika Crne Gore za državama Evrope;</w:t>
      </w:r>
    </w:p>
    <w:p w:rsidR="00150BF8" w:rsidRPr="00150BF8" w:rsidRDefault="00150BF8" w:rsidP="00146EBE">
      <w:pPr>
        <w:numPr>
          <w:ilvl w:val="0"/>
          <w:numId w:val="12"/>
        </w:numPr>
        <w:spacing w:before="0" w:after="200" w:line="240" w:lineRule="auto"/>
        <w:contextualSpacing/>
        <w:jc w:val="left"/>
        <w:rPr>
          <w:rFonts w:ascii="Calibri" w:eastAsia="Calibri" w:hAnsi="Calibri" w:cs="Times New Roman"/>
          <w:b/>
          <w:i/>
          <w:szCs w:val="24"/>
        </w:rPr>
      </w:pPr>
      <w:r w:rsidRPr="00150BF8">
        <w:rPr>
          <w:rFonts w:ascii="Calibri" w:eastAsia="Calibri" w:hAnsi="Calibri" w:cs="Times New Roman"/>
          <w:szCs w:val="24"/>
        </w:rPr>
        <w:t>izvještaj o radu Direkcije za izdavanje odobrenja za obavljanje proizvodnje, obrade i prometa duvanskih proizvoda i Direkcije za drugostepeni poreski i carinski postupak;</w:t>
      </w:r>
    </w:p>
    <w:p w:rsidR="00150BF8" w:rsidRPr="00150BF8" w:rsidRDefault="00150BF8" w:rsidP="00146EBE">
      <w:pPr>
        <w:numPr>
          <w:ilvl w:val="0"/>
          <w:numId w:val="12"/>
        </w:numPr>
        <w:spacing w:before="0" w:after="200" w:line="240" w:lineRule="auto"/>
        <w:contextualSpacing/>
        <w:jc w:val="left"/>
        <w:rPr>
          <w:rFonts w:ascii="Calibri" w:eastAsia="Calibri" w:hAnsi="Calibri" w:cs="Times New Roman"/>
          <w:b/>
          <w:i/>
          <w:szCs w:val="24"/>
        </w:rPr>
      </w:pPr>
      <w:r w:rsidRPr="00150BF8">
        <w:rPr>
          <w:rFonts w:ascii="Calibri" w:eastAsia="Calibri" w:hAnsi="Calibri" w:cs="Times New Roman"/>
          <w:szCs w:val="24"/>
        </w:rPr>
        <w:t>borba protiv sive ekonomije u 2019. godini u upravama koje se bave naplatom poreskih i carinskih prihoda;</w:t>
      </w:r>
    </w:p>
    <w:p w:rsidR="00101664" w:rsidRDefault="00150BF8" w:rsidP="00101664">
      <w:pPr>
        <w:numPr>
          <w:ilvl w:val="0"/>
          <w:numId w:val="12"/>
        </w:numPr>
        <w:spacing w:before="0" w:after="200" w:line="240" w:lineRule="auto"/>
        <w:ind w:left="1434" w:hanging="357"/>
        <w:jc w:val="left"/>
        <w:rPr>
          <w:rFonts w:ascii="Calibri" w:eastAsia="Calibri" w:hAnsi="Calibri" w:cs="Times New Roman"/>
          <w:b/>
          <w:i/>
          <w:szCs w:val="24"/>
        </w:rPr>
      </w:pPr>
      <w:r w:rsidRPr="00150BF8">
        <w:rPr>
          <w:rFonts w:ascii="Calibri" w:eastAsia="Calibri" w:hAnsi="Calibri" w:cs="Times New Roman"/>
          <w:szCs w:val="24"/>
        </w:rPr>
        <w:t>pregled najbitnih projekata koji se realizuju u 2019. godini u upravama za naplatu poreskih i carinskih prihoda.</w:t>
      </w:r>
    </w:p>
    <w:p w:rsidR="00150BF8" w:rsidRPr="00101664" w:rsidRDefault="00A90812" w:rsidP="00101664">
      <w:pPr>
        <w:spacing w:before="0" w:after="200" w:line="240" w:lineRule="auto"/>
        <w:rPr>
          <w:rFonts w:ascii="Calibri" w:eastAsia="Calibri" w:hAnsi="Calibri" w:cs="Times New Roman"/>
          <w:b/>
          <w:i/>
          <w:szCs w:val="24"/>
        </w:rPr>
      </w:pPr>
      <w:r w:rsidRPr="00101664">
        <w:rPr>
          <w:rFonts w:ascii="Calibri" w:eastAsia="Calibri" w:hAnsi="Calibri" w:cs="Times New Roman"/>
          <w:b/>
          <w:i/>
          <w:szCs w:val="24"/>
        </w:rPr>
        <w:t xml:space="preserve">2. </w:t>
      </w:r>
      <w:r w:rsidR="00150BF8" w:rsidRPr="00101664">
        <w:rPr>
          <w:rFonts w:ascii="Calibri" w:eastAsia="Calibri" w:hAnsi="Calibri" w:cs="Times New Roman"/>
          <w:b/>
          <w:i/>
          <w:szCs w:val="24"/>
        </w:rPr>
        <w:t>Zakon o izmjenama i dopunama Zakona o porezu na dodatu vrijednost</w:t>
      </w:r>
      <w:r w:rsidR="00150BF8" w:rsidRPr="00101664">
        <w:rPr>
          <w:rFonts w:ascii="Calibri" w:eastAsia="Calibri" w:hAnsi="Calibri" w:cs="Times New Roman"/>
          <w:szCs w:val="24"/>
        </w:rPr>
        <w:t xml:space="preserve"> (</w:t>
      </w:r>
      <w:r w:rsidR="00150BF8" w:rsidRPr="00101664">
        <w:rPr>
          <w:rFonts w:ascii="Calibri" w:eastAsia="Calibri" w:hAnsi="Calibri" w:cs="Times New Roman"/>
          <w:i/>
          <w:szCs w:val="24"/>
        </w:rPr>
        <w:t>Službeni list Crne Gore“, broj 80/20</w:t>
      </w:r>
      <w:r w:rsidR="00150BF8" w:rsidRPr="00101664">
        <w:rPr>
          <w:rFonts w:ascii="Calibri" w:eastAsia="Calibri" w:hAnsi="Calibri" w:cs="Times New Roman"/>
          <w:szCs w:val="24"/>
        </w:rPr>
        <w:t xml:space="preserve">) realizovan je shodno Programu rada Vlade Crne Gore za 2020. godinu, i predstavljao je jednu od mjera Vlade Crne Gore kao pomoć </w:t>
      </w:r>
      <w:r w:rsidR="00150BF8" w:rsidRPr="00101664">
        <w:rPr>
          <w:rFonts w:ascii="Calibri" w:eastAsia="Calibri" w:hAnsi="Calibri" w:cs="Times New Roman"/>
          <w:szCs w:val="24"/>
          <w:lang w:val="en-GB"/>
        </w:rPr>
        <w:t>najpogođenijem dijelu privrede u cilju ublažavanja negativnih posljedica izazvanih pandemijom zarazne bolesti Covid-19.</w:t>
      </w:r>
    </w:p>
    <w:p w:rsidR="00150BF8" w:rsidRPr="00150BF8" w:rsidRDefault="00150BF8" w:rsidP="00A90812">
      <w:pPr>
        <w:spacing w:before="0" w:after="0" w:line="240" w:lineRule="auto"/>
        <w:ind w:firstLine="357"/>
        <w:rPr>
          <w:rFonts w:ascii="Calibri" w:eastAsia="Calibri" w:hAnsi="Calibri" w:cs="Times New Roman"/>
          <w:szCs w:val="24"/>
          <w:lang w:val="sr-Latn-ME"/>
        </w:rPr>
      </w:pPr>
      <w:r w:rsidRPr="00150BF8">
        <w:rPr>
          <w:rFonts w:ascii="Calibri" w:eastAsia="Calibri" w:hAnsi="Calibri" w:cs="Times New Roman"/>
          <w:szCs w:val="24"/>
          <w:lang w:val="sr-Latn-ME"/>
        </w:rPr>
        <w:t xml:space="preserve">Novim zakonskim rješenjima propisano je da se PDV obračunava i plaća po sniženoj stopi PDV-a od 7% na usluge pripremanja i usluživanja hrane, pića i napitaka, osim alkoholnih pića, gaziranih pića sa dodatkom šećera i kafe, u objektima za pružanje ugostiteljskih usluga, i to na period od godinu dana. Prestankom važenja navedene odredbe člana 24a Zakona o porezu na dodatu vrijednost počeće da se primjenjuje zakonsko rješenje po kojem se usluge pripremanja i usluživanja hrane, flaširane vode za piće i bezalkoholnih pića u restoranima i objektima u kojima se pružaju catering usluge oporezuju po sniženoj stopi PDV-a od 7%. </w:t>
      </w:r>
    </w:p>
    <w:p w:rsidR="00150BF8" w:rsidRPr="00150BF8" w:rsidRDefault="00150BF8" w:rsidP="00A90812">
      <w:pPr>
        <w:spacing w:before="0" w:after="0" w:line="240" w:lineRule="auto"/>
        <w:ind w:firstLine="357"/>
        <w:rPr>
          <w:rFonts w:ascii="Calibri" w:eastAsia="Times New Roman" w:hAnsi="Calibri" w:cs="Tahoma"/>
          <w:szCs w:val="24"/>
          <w:lang w:val="sl-SI"/>
        </w:rPr>
      </w:pPr>
      <w:r w:rsidRPr="00150BF8">
        <w:rPr>
          <w:rFonts w:ascii="Calibri" w:eastAsia="Times New Roman" w:hAnsi="Calibri" w:cs="Tahoma"/>
          <w:bCs/>
          <w:szCs w:val="24"/>
        </w:rPr>
        <w:t>Pored navedenog, usvojene</w:t>
      </w:r>
      <w:r w:rsidRPr="00150BF8">
        <w:rPr>
          <w:rFonts w:ascii="Calibri" w:eastAsia="Calibri" w:hAnsi="Calibri" w:cs="Tahoma"/>
          <w:szCs w:val="24"/>
          <w:lang w:val="en-GB"/>
        </w:rPr>
        <w:t xml:space="preserve"> su nove kategorije poreskog oslobođenja od plaćanja PDV-a na uvoz, odnosno plaćanje PDV-a po stopi od 0% kada je u pitanju unutrašnji promet</w:t>
      </w:r>
      <w:r w:rsidRPr="00150BF8">
        <w:rPr>
          <w:rFonts w:ascii="Calibri" w:eastAsia="Times New Roman" w:hAnsi="Calibri" w:cs="Tahoma"/>
          <w:szCs w:val="24"/>
          <w:lang w:val="sl-SI"/>
        </w:rPr>
        <w:t xml:space="preserve">, pri isporuci proizvoda, odnosno usluga državnim organima i organizacijama i organima jedinice lokalne samouprave i drugim javno pravnim tijelima, kada je to predviđeno ugovorom o donaciji, odnosno na  isporuku medicinskih sredstava  i zaštitne opreme, kao donacije državnim organima i organizacijama i organima jedinice lokalne samouprave i drugim javno pravnim tijelima, namijenjenih suzbijanju posljedica nastalih usljed pandemije zarazne bolesti. </w:t>
      </w:r>
    </w:p>
    <w:p w:rsidR="00150BF8" w:rsidRPr="00150BF8" w:rsidRDefault="00150BF8" w:rsidP="00A90812">
      <w:pPr>
        <w:spacing w:before="0" w:after="0" w:line="240" w:lineRule="auto"/>
        <w:ind w:firstLine="357"/>
        <w:rPr>
          <w:rFonts w:ascii="Calibri" w:eastAsia="Calibri" w:hAnsi="Calibri" w:cs="Tahoma"/>
          <w:szCs w:val="24"/>
          <w:lang w:val="en-GB"/>
        </w:rPr>
      </w:pPr>
      <w:r w:rsidRPr="00150BF8">
        <w:rPr>
          <w:rFonts w:ascii="Calibri" w:eastAsia="Times New Roman" w:hAnsi="Calibri" w:cs="Tahoma"/>
          <w:szCs w:val="24"/>
          <w:lang w:val="sl-SI"/>
        </w:rPr>
        <w:t xml:space="preserve">Značajan vid podrške privredi i građanima u vremenu kada se preporučuju mjere u cilju suzbijanja pandemije zarazne bolesti COVID 19 predstavlja i </w:t>
      </w:r>
      <w:r w:rsidRPr="00150BF8">
        <w:rPr>
          <w:rFonts w:ascii="Calibri" w:eastAsia="Calibri" w:hAnsi="Calibri" w:cs="Tahoma"/>
          <w:szCs w:val="24"/>
          <w:lang w:val="en-GB"/>
        </w:rPr>
        <w:t>novo zakonsko rješenje koje poreskom obvezniku olakšava poslovne transakcije, na način što mu se daje mogućnost da može izdati račun u elektronskom obliku</w:t>
      </w:r>
      <w:r w:rsidRPr="00150BF8">
        <w:rPr>
          <w:rFonts w:ascii="Calibri" w:eastAsia="Calibri" w:hAnsi="Calibri" w:cs="Tahoma"/>
          <w:szCs w:val="24"/>
        </w:rPr>
        <w:t xml:space="preserve"> uz saglasnost primaoca računa</w:t>
      </w:r>
      <w:r w:rsidRPr="00150BF8">
        <w:rPr>
          <w:rFonts w:ascii="Calibri" w:eastAsia="Calibri" w:hAnsi="Calibri" w:cs="Tahoma"/>
          <w:szCs w:val="24"/>
          <w:lang w:val="en-GB"/>
        </w:rPr>
        <w:t xml:space="preserve">, pod uslovom i na način propisan zakonskim aktom koji uređuje ovu oblast. Na taj način smanjiće se administriranje poreskog organa, poreskom obvezniku olakšavaju se poslovne aktivnosti, i neće imati obavezu da traži dozvolu od poreskog organa da kupcu proizvoda i usluga izda račun u elektronskom obliku. </w:t>
      </w:r>
    </w:p>
    <w:p w:rsidR="00150BF8" w:rsidRDefault="00150BF8" w:rsidP="00A90812">
      <w:pPr>
        <w:spacing w:before="0" w:after="0" w:line="240" w:lineRule="auto"/>
        <w:ind w:firstLine="357"/>
        <w:rPr>
          <w:rFonts w:ascii="Calibri" w:eastAsia="Times New Roman" w:hAnsi="Calibri" w:cs="Tahoma"/>
          <w:bCs/>
          <w:szCs w:val="24"/>
          <w:lang w:eastAsia="sr-Latn-CS"/>
        </w:rPr>
      </w:pPr>
      <w:r w:rsidRPr="00150BF8">
        <w:rPr>
          <w:rFonts w:ascii="Calibri" w:eastAsia="Calibri" w:hAnsi="Calibri" w:cs="Tahoma"/>
          <w:szCs w:val="24"/>
          <w:lang w:val="en-GB"/>
        </w:rPr>
        <w:t xml:space="preserve">Uvedena je i novina da se u </w:t>
      </w:r>
      <w:r w:rsidRPr="00150BF8">
        <w:rPr>
          <w:rFonts w:ascii="Calibri" w:eastAsia="Times New Roman" w:hAnsi="Calibri" w:cs="Tahoma"/>
          <w:bCs/>
          <w:szCs w:val="24"/>
          <w:lang w:eastAsia="sr-Latn-CS"/>
        </w:rPr>
        <w:t xml:space="preserve">cilju efikasnosti, racionalnizacije korišćenja radnih mjesta i kontrole, mjesečna prijava za obračun PDV podnosi isključivo elektronskim putem, što je u skladu sa evropskim poreskim zakonodavstvom. Ova novina se odloženo primjenjuje od 5. novembra 2020. </w:t>
      </w:r>
      <w:r w:rsidRPr="00150BF8">
        <w:rPr>
          <w:rFonts w:ascii="Calibri" w:eastAsia="Times New Roman" w:hAnsi="Calibri" w:cs="Tahoma"/>
          <w:bCs/>
          <w:szCs w:val="24"/>
          <w:lang w:eastAsia="sr-Latn-CS"/>
        </w:rPr>
        <w:lastRenderedPageBreak/>
        <w:t>godine, kako bi organ državne uprave nadležan za naplatu prihoda i PDV obveznici bili blagovremeno upoznati sa novim zakonskim rješenjem, a samim tim i prilagod</w:t>
      </w:r>
      <w:r w:rsidR="00A90812">
        <w:rPr>
          <w:rFonts w:ascii="Calibri" w:eastAsia="Times New Roman" w:hAnsi="Calibri" w:cs="Tahoma"/>
          <w:bCs/>
          <w:szCs w:val="24"/>
          <w:lang w:eastAsia="sr-Latn-CS"/>
        </w:rPr>
        <w:t xml:space="preserve">ili svoje poslovne aktivnosti. </w:t>
      </w:r>
    </w:p>
    <w:p w:rsidR="00A90812" w:rsidRPr="00150BF8" w:rsidRDefault="00A90812" w:rsidP="00A90812">
      <w:pPr>
        <w:spacing w:before="0" w:after="0" w:line="240" w:lineRule="auto"/>
        <w:ind w:firstLine="357"/>
        <w:rPr>
          <w:rFonts w:ascii="Calibri" w:eastAsia="Calibri" w:hAnsi="Calibri" w:cs="Times New Roman"/>
          <w:szCs w:val="24"/>
          <w:lang w:val="sr-Latn-ME"/>
        </w:rPr>
      </w:pPr>
    </w:p>
    <w:p w:rsidR="00150BF8" w:rsidRPr="00150BF8" w:rsidRDefault="00150BF8" w:rsidP="00A90812">
      <w:pPr>
        <w:spacing w:before="0" w:after="0" w:line="240" w:lineRule="auto"/>
        <w:ind w:firstLine="357"/>
        <w:rPr>
          <w:rFonts w:ascii="Calibri" w:eastAsia="Calibri" w:hAnsi="Calibri" w:cs="Times New Roman"/>
          <w:szCs w:val="24"/>
          <w:lang w:val="sr-Latn-ME"/>
        </w:rPr>
      </w:pPr>
      <w:r w:rsidRPr="00150BF8">
        <w:rPr>
          <w:rFonts w:ascii="Calibri" w:eastAsia="Calibri" w:hAnsi="Calibri" w:cs="Times New Roman"/>
          <w:szCs w:val="24"/>
          <w:lang w:val="sr-Latn-ME"/>
        </w:rPr>
        <w:t xml:space="preserve">Za preostale tri obaveze iz Programa rada Vlade za 2020. godini Ministarstvo finansija i socijalnog staranja je u završnoj fazi realizacije, sa sljedećim obrazloženjem: </w:t>
      </w:r>
    </w:p>
    <w:p w:rsidR="00150BF8" w:rsidRPr="00150BF8" w:rsidRDefault="00A90812" w:rsidP="00A90812">
      <w:pPr>
        <w:autoSpaceDE w:val="0"/>
        <w:autoSpaceDN w:val="0"/>
        <w:adjustRightInd w:val="0"/>
        <w:spacing w:before="0" w:after="0" w:line="240" w:lineRule="auto"/>
        <w:contextualSpacing/>
        <w:rPr>
          <w:rFonts w:ascii="Calibri" w:eastAsia="Calibri" w:hAnsi="Calibri" w:cs="Calibri"/>
          <w:szCs w:val="24"/>
          <w:lang w:val="en-US"/>
        </w:rPr>
      </w:pPr>
      <w:r>
        <w:rPr>
          <w:rFonts w:ascii="Calibri" w:eastAsia="Calibri" w:hAnsi="Calibri" w:cs="Times New Roman"/>
          <w:b/>
          <w:i/>
          <w:szCs w:val="24"/>
          <w:lang w:val="sr-Latn-ME"/>
        </w:rPr>
        <w:t xml:space="preserve">1. </w:t>
      </w:r>
      <w:r w:rsidR="00150BF8" w:rsidRPr="00150BF8">
        <w:rPr>
          <w:rFonts w:ascii="Calibri" w:eastAsia="Calibri" w:hAnsi="Calibri" w:cs="Times New Roman"/>
          <w:b/>
          <w:i/>
          <w:szCs w:val="24"/>
          <w:lang w:val="sr-Latn-ME"/>
        </w:rPr>
        <w:t>Predlog zakona o izmjenama i dopunama Zakona o poreskoj administraciji</w:t>
      </w:r>
      <w:r w:rsidR="00150BF8" w:rsidRPr="00150BF8">
        <w:rPr>
          <w:rFonts w:ascii="Calibri" w:eastAsia="Calibri" w:hAnsi="Calibri" w:cs="Times New Roman"/>
          <w:i/>
          <w:szCs w:val="24"/>
          <w:lang w:val="sr-Latn-ME"/>
        </w:rPr>
        <w:t xml:space="preserve">: </w:t>
      </w:r>
      <w:r w:rsidR="00150BF8" w:rsidRPr="00150BF8">
        <w:rPr>
          <w:rFonts w:ascii="Calibri" w:eastAsia="Calibri" w:hAnsi="Calibri" w:cs="Tahoma"/>
          <w:szCs w:val="24"/>
          <w:lang w:val="sl-SI"/>
        </w:rPr>
        <w:t xml:space="preserve">Ovo ministarstvo je u skladu sa Programom rada Vlade Crne Gore za 2020. godinu pripremilo Predlog zakona o izmjenama i dopunama Zakona o poreskoj administraciji, kojim je izvršeno usklađivanje sa Direktivama EU, u dijelu koji se odnosi na razmjenu informacija kojim raspolaže Uprava prihoda sa nadležnim poreskim organima zemalja članica EU i drugim zemljama. Navedeni Predlog zakona, na čiji tekst su dobijena mišljenja nadležnih ministarstava i Evropske komisije, upućen je Vladi Crne Gore na razmatranje i utvrđivanje 17.09.2020.godine, međutim isti nije razmatran, jer je Vlada Crne Gore u tom periodu bila u tehničkom mandatu. Imajući u vidu da je, u međuvremenu, donijeta </w:t>
      </w:r>
      <w:r w:rsidR="00150BF8" w:rsidRPr="00150BF8">
        <w:rPr>
          <w:rFonts w:ascii="Calibri" w:eastAsia="Calibri" w:hAnsi="Calibri" w:cs="Calibri"/>
          <w:szCs w:val="24"/>
          <w:lang w:val="en-US"/>
        </w:rPr>
        <w:t xml:space="preserve"> Uredba o organizaciji i načinu rada državne uprave ("Službeni list Crne Gore", br. 118/20), kojim je </w:t>
      </w:r>
      <w:r w:rsidR="00150BF8" w:rsidRPr="00150BF8">
        <w:rPr>
          <w:rFonts w:ascii="Calibri" w:eastAsia="Calibri" w:hAnsi="Calibri" w:cs="Tahoma"/>
          <w:szCs w:val="24"/>
          <w:lang w:val="sl-SI"/>
        </w:rPr>
        <w:t xml:space="preserve"> izvršena reorganizacija državne uprave, odnosno ministarstava, bilo je neophodno pribaviti nova mišljenja nadležnih organa. Takođe, usled potrebe da se izvrši dodatna  izmjena pojedinih članova važećeg zakona, neophodno je ponovo pribaviti mišljenje Evropske komisije.Stoga, donošenje navedenog Predloga zakona odloženo je za III kvartal 2021.godine. </w:t>
      </w:r>
    </w:p>
    <w:p w:rsidR="00150BF8" w:rsidRPr="00150BF8" w:rsidRDefault="00A90812" w:rsidP="00A90812">
      <w:pPr>
        <w:spacing w:before="0" w:after="200" w:line="240" w:lineRule="auto"/>
        <w:contextualSpacing/>
        <w:rPr>
          <w:rFonts w:ascii="Calibri" w:eastAsia="Calibri" w:hAnsi="Calibri" w:cs="Times New Roman"/>
          <w:b/>
          <w:i/>
          <w:szCs w:val="24"/>
        </w:rPr>
      </w:pPr>
      <w:r>
        <w:rPr>
          <w:rFonts w:ascii="Calibri" w:eastAsia="Calibri" w:hAnsi="Calibri" w:cs="Times New Roman"/>
          <w:b/>
          <w:i/>
          <w:szCs w:val="24"/>
        </w:rPr>
        <w:t xml:space="preserve">2. </w:t>
      </w:r>
      <w:r w:rsidR="00150BF8" w:rsidRPr="00150BF8">
        <w:rPr>
          <w:rFonts w:ascii="Calibri" w:eastAsia="Calibri" w:hAnsi="Calibri" w:cs="Times New Roman"/>
          <w:b/>
          <w:i/>
          <w:szCs w:val="24"/>
        </w:rPr>
        <w:t xml:space="preserve">Predlog Zakona o izmjenama i dopunama Zakona o porezu na dobit pravnih lica: </w:t>
      </w:r>
      <w:r w:rsidR="00150BF8" w:rsidRPr="00150BF8">
        <w:rPr>
          <w:rFonts w:ascii="Calibri" w:eastAsia="Calibri" w:hAnsi="Calibri" w:cs="Times New Roman"/>
          <w:szCs w:val="24"/>
        </w:rPr>
        <w:t xml:space="preserve">Programom rada Vlade Crne Gore za 2020. godinu izrada Predloga Zakona o izmjenama i dopunama Zakona o porezu na dobit pravnih lica, bila je predviđena za II kvartal 2020. godine. U cilju usklađivanja nacionalnog poreskog zakonodavstva sa Direktivama Evropske unije, predviđenim izmjenama izvršiće se usklađivanje važećeg zakona sa Direktivom Savjeta 2011/96/EU (poslednji put izmijenjena sa Direktivom Savjeta 2014/0086/EU i 2015/0121/EU) o zajedničkom sistemu oporezivanja koji se primjenjuje na matična i zavisna društva iz država članica EU i Direktivom Savjeta EU 32003L0049 o zajedničkom sistemu oporezivanja isplata kamata i autorskih naknada između povezanih društava iz država članica EU. U cilju sprječavanja izbjegavanja plaćanja poreza, odnosno smanjenja poreske evazije, a uzimajući u obzir sve veći broj poreskih obveznika koji imaju transakcije sa povezanim licima, ukazala se potreba za izmjenama i dopunama važećeg zakona u dijelu koji se odnosi na oporezivanje prihoda od transakcija između povezanih lica u oblasti transfernih cijena. Predloženim zakonskim izmjenama izvršiće se unaprjeđenje postojećih zakonskih rješenja u pogledu definicije povezanih lica, metoda koje su potrebne za utvrđivanje “cijene van dohvata ruke“, vođenje i dostavljanje potrebne dokumentacije o transfernim cijenama kako bi se opravdale navedene transakcije. Predlog Zakona o izmjenama i dopunama Zakona o porezu na dobit pravnih lica, sa tabelom usklađenosti  i odgovarajućom pratećom dokumentacijom, upućen je posredstvom kancelarije za evropske integracije EK u Briselu u martu 2020. godine. Mišljenja Agencije za zaštitu konkurencije, Ministarstva Pravde,  Ministarstva javne uprave su  dobijena, ali budući da su starija od šest mjeseci, ova mišljenja moraju biti obnovljena. Misljenje Sekretarijata za zakonodavstvo je stiglo u martu mjesecu 2021. godine. Komentari predstavnika EK su stigli tek krajem decembra 2020. godine, nakon niza urgencija koje je ovo ministarstvo uputilo, posredstvom kancelarije za evropske integracije. </w:t>
      </w:r>
      <w:r w:rsidR="00150BF8" w:rsidRPr="00150BF8">
        <w:rPr>
          <w:rFonts w:ascii="Calibri" w:eastAsia="Calibri" w:hAnsi="Calibri" w:cs="Times New Roman"/>
          <w:szCs w:val="24"/>
          <w:shd w:val="clear" w:color="auto" w:fill="FFFFFF"/>
        </w:rPr>
        <w:t>Predstavnici EK su istakli da su saglasni sa tekstom Predloga Zakona o izmjenama i dopunama Zakona o porezu na dobit pravnih lica, i Kancelarija za evropske integracije treba da  dostavi misljenje na Predlog zakona.</w:t>
      </w:r>
    </w:p>
    <w:p w:rsidR="00150BF8" w:rsidRPr="00150BF8" w:rsidRDefault="00A90812" w:rsidP="00A90812">
      <w:pPr>
        <w:spacing w:before="0" w:after="200" w:line="240" w:lineRule="auto"/>
        <w:contextualSpacing/>
        <w:rPr>
          <w:rFonts w:ascii="Calibri" w:eastAsia="Calibri" w:hAnsi="Calibri" w:cs="Times New Roman"/>
          <w:szCs w:val="24"/>
        </w:rPr>
      </w:pPr>
      <w:r>
        <w:rPr>
          <w:rFonts w:ascii="Calibri" w:eastAsia="Calibri" w:hAnsi="Calibri" w:cs="Times New Roman"/>
          <w:b/>
          <w:i/>
          <w:szCs w:val="24"/>
        </w:rPr>
        <w:t xml:space="preserve">3. </w:t>
      </w:r>
      <w:r w:rsidR="00150BF8" w:rsidRPr="00150BF8">
        <w:rPr>
          <w:rFonts w:ascii="Calibri" w:eastAsia="Calibri" w:hAnsi="Calibri" w:cs="Times New Roman"/>
          <w:b/>
          <w:i/>
          <w:szCs w:val="24"/>
        </w:rPr>
        <w:t xml:space="preserve">Predlog Carinskog zakona: </w:t>
      </w:r>
      <w:r w:rsidR="00150BF8" w:rsidRPr="00150BF8">
        <w:rPr>
          <w:rFonts w:ascii="Calibri" w:eastAsia="Calibri" w:hAnsi="Calibri" w:cs="Times New Roman"/>
          <w:szCs w:val="24"/>
        </w:rPr>
        <w:t xml:space="preserve">Carinski zakon predviđen je za IV kvartal 2020. godine. Urađen je predlog Zakona koji je usaglašen sa pravno-tehničkim pravilima Sekretarijata za zakonodavstvo (SZZ). Izrada ovog zakona zahtijeva potpuno usaglašavanje sa pravnom tekovinom Evropske unije koja se tiče oblasti carina. S tim u vezi, pojedina zakonska rješenja nijesu bila prihvatljiva sa aspekta strogo definisanih pravnih i tehničkih pravila, odnosno zahtjeva Sekretarijata za zakonodavstvo. Kako je Radna grupa za pripremu Predloga Carinskog zakona brojala oko 30 članova (Ministarstvo </w:t>
      </w:r>
      <w:r w:rsidR="00150BF8" w:rsidRPr="00150BF8">
        <w:rPr>
          <w:rFonts w:ascii="Calibri" w:eastAsia="Calibri" w:hAnsi="Calibri" w:cs="Times New Roman"/>
          <w:szCs w:val="24"/>
        </w:rPr>
        <w:lastRenderedPageBreak/>
        <w:t xml:space="preserve">finansija i socijalnog staranja, Uprava carina, privatni sektor...) postojao je veliki broj komentara koje je trebalo usaglasiti. Zadatak Radne grupe je da pripremi Predlog Carinskog zakona koji će biti usklađen sa Carinskim zakonom Evropske unije (Regulativa EU broj 952/2013 Evropskog parlamenta i Savjeta kojom se utvrđuje Carinski zakon Unije). Rad je organizovan kroz uspostavljanje timova za posebne oblasti kojima koordinišu članovi Radne grupe iz Ministarstva finansija i socijalnog staranja, iz Direkcije za carinski sistem i carinsku politiku. Preduzeti su svi potrebni koraci u procesu konsultacija sa privrednom zajednicom, NVO sektorom i drugim zainteresovanim stranama. Imajući u vidu da se javna rasprava održala dostavljanjem primjedbi, predloga i sugestija od strane Odbora udruženja špeditera Privredne komore, u pripremi Izvještaja sa sprovedene javne rasprave su učestvovali predstavnici Ministarstva finansija i socijalnog staranja i Uprave carina, koji su članovi Radne grupe za izradu ovog propisa. Predstavnici SZZ-a, iako zvanično pozvani, nijesu bili članovi Radne grupe. To je dodatno usporilo proces, jer su se naknadno upoznali sa tekstom ovog obimnog propisa. Povodom kašnjenja, treba pomenuti i uslove rada, odnosno otežane uslove za komunikaciju velikog broja članova RG.  Predlog Carinskog zakona je početkom marta o.g., preko Kancelarije za evropske integracije, upućen Evropskoj komisiji na razmatranje. </w:t>
      </w:r>
    </w:p>
    <w:p w:rsidR="00101664" w:rsidRDefault="00101664" w:rsidP="00537B42">
      <w:pPr>
        <w:tabs>
          <w:tab w:val="left" w:pos="6340"/>
        </w:tabs>
        <w:spacing w:before="0" w:after="0" w:line="240" w:lineRule="auto"/>
        <w:rPr>
          <w:rFonts w:ascii="Calibri" w:eastAsia="Calibri" w:hAnsi="Calibri" w:cs="Times New Roman"/>
          <w:b/>
          <w:color w:val="0070C0"/>
          <w:szCs w:val="24"/>
        </w:rPr>
      </w:pPr>
    </w:p>
    <w:p w:rsidR="00150BF8" w:rsidRPr="00150BF8" w:rsidRDefault="00150BF8" w:rsidP="00537B42">
      <w:pPr>
        <w:tabs>
          <w:tab w:val="left" w:pos="6340"/>
        </w:tabs>
        <w:spacing w:before="0" w:after="0" w:line="240" w:lineRule="auto"/>
        <w:rPr>
          <w:rFonts w:ascii="Calibri" w:eastAsia="Calibri" w:hAnsi="Calibri" w:cs="Times New Roman"/>
          <w:b/>
          <w:color w:val="0070C0"/>
          <w:szCs w:val="24"/>
        </w:rPr>
      </w:pPr>
      <w:r w:rsidRPr="00150BF8">
        <w:rPr>
          <w:rFonts w:ascii="Calibri" w:eastAsia="Calibri" w:hAnsi="Calibri" w:cs="Times New Roman"/>
          <w:b/>
          <w:color w:val="0070C0"/>
          <w:szCs w:val="24"/>
        </w:rPr>
        <w:t>REALIZACIJA OBAVEZA PO PROGRAMU PRISTUPANJA CG U EU</w:t>
      </w:r>
    </w:p>
    <w:p w:rsidR="00150BF8" w:rsidRPr="00150BF8" w:rsidRDefault="00150BF8" w:rsidP="006A2062">
      <w:pPr>
        <w:spacing w:before="0" w:after="0" w:line="240" w:lineRule="auto"/>
        <w:ind w:firstLine="633"/>
        <w:rPr>
          <w:rFonts w:ascii="Calibri" w:eastAsia="Calibri" w:hAnsi="Calibri" w:cs="Tahoma"/>
          <w:szCs w:val="24"/>
        </w:rPr>
      </w:pPr>
      <w:r w:rsidRPr="00150BF8">
        <w:rPr>
          <w:rFonts w:ascii="Calibri" w:eastAsia="Calibri" w:hAnsi="Calibri" w:cs="Tahoma"/>
          <w:szCs w:val="24"/>
        </w:rPr>
        <w:t>Programom pristupanja Crne Gore Evropskoj uniji za 2020. godinu predviđene su četiri izmjene poreskih i carinskih propisa, i to:</w:t>
      </w:r>
    </w:p>
    <w:p w:rsidR="00150BF8" w:rsidRPr="00150BF8" w:rsidRDefault="00150BF8" w:rsidP="00146EBE">
      <w:pPr>
        <w:numPr>
          <w:ilvl w:val="0"/>
          <w:numId w:val="13"/>
        </w:numPr>
        <w:spacing w:before="0" w:after="0" w:line="240" w:lineRule="auto"/>
        <w:ind w:left="993"/>
        <w:contextualSpacing/>
        <w:jc w:val="left"/>
        <w:rPr>
          <w:rFonts w:ascii="Calibri" w:eastAsia="Calibri" w:hAnsi="Calibri" w:cs="Times New Roman"/>
          <w:szCs w:val="24"/>
        </w:rPr>
      </w:pPr>
      <w:r w:rsidRPr="00150BF8">
        <w:rPr>
          <w:rFonts w:ascii="Calibri" w:eastAsia="Calibri" w:hAnsi="Calibri" w:cs="Times New Roman"/>
          <w:szCs w:val="24"/>
        </w:rPr>
        <w:t>Zakon o izmjenama i dopunama Zakona o poreza na dodatu vrijednost,</w:t>
      </w:r>
    </w:p>
    <w:p w:rsidR="00150BF8" w:rsidRPr="00150BF8" w:rsidRDefault="00150BF8" w:rsidP="00146EBE">
      <w:pPr>
        <w:numPr>
          <w:ilvl w:val="0"/>
          <w:numId w:val="13"/>
        </w:numPr>
        <w:spacing w:before="0" w:after="0" w:line="240" w:lineRule="auto"/>
        <w:ind w:left="993"/>
        <w:contextualSpacing/>
        <w:jc w:val="left"/>
        <w:rPr>
          <w:rFonts w:ascii="Calibri" w:eastAsia="Calibri" w:hAnsi="Calibri" w:cs="Times New Roman"/>
          <w:szCs w:val="24"/>
        </w:rPr>
      </w:pPr>
      <w:r w:rsidRPr="00150BF8">
        <w:rPr>
          <w:rFonts w:ascii="Calibri" w:eastAsia="Calibri" w:hAnsi="Calibri" w:cs="Times New Roman"/>
          <w:szCs w:val="24"/>
        </w:rPr>
        <w:t>Zakon o izmjenama i dopunama Zakona o porezu na dobit pravnih lica,</w:t>
      </w:r>
    </w:p>
    <w:p w:rsidR="00150BF8" w:rsidRPr="00150BF8" w:rsidRDefault="00150BF8" w:rsidP="00146EBE">
      <w:pPr>
        <w:numPr>
          <w:ilvl w:val="0"/>
          <w:numId w:val="13"/>
        </w:numPr>
        <w:spacing w:before="0" w:after="0" w:line="240" w:lineRule="auto"/>
        <w:ind w:left="993"/>
        <w:contextualSpacing/>
        <w:jc w:val="left"/>
        <w:rPr>
          <w:rFonts w:ascii="Calibri" w:eastAsia="Calibri" w:hAnsi="Calibri" w:cs="Times New Roman"/>
          <w:szCs w:val="24"/>
        </w:rPr>
      </w:pPr>
      <w:r w:rsidRPr="00150BF8">
        <w:rPr>
          <w:rFonts w:ascii="Calibri" w:eastAsia="Calibri" w:hAnsi="Calibri" w:cs="Times New Roman"/>
          <w:szCs w:val="24"/>
        </w:rPr>
        <w:t xml:space="preserve">Zakon o izmjenama i dopunama Zakona o poreskoj administraciji i </w:t>
      </w:r>
    </w:p>
    <w:p w:rsidR="00150BF8" w:rsidRPr="00150BF8" w:rsidRDefault="00150BF8" w:rsidP="00146EBE">
      <w:pPr>
        <w:numPr>
          <w:ilvl w:val="0"/>
          <w:numId w:val="13"/>
        </w:numPr>
        <w:spacing w:before="0" w:after="200" w:line="240" w:lineRule="auto"/>
        <w:ind w:left="992" w:hanging="357"/>
        <w:contextualSpacing/>
        <w:jc w:val="left"/>
        <w:rPr>
          <w:rFonts w:ascii="Calibri" w:eastAsia="Calibri" w:hAnsi="Calibri" w:cs="Times New Roman"/>
          <w:szCs w:val="24"/>
        </w:rPr>
      </w:pPr>
      <w:r w:rsidRPr="00150BF8">
        <w:rPr>
          <w:rFonts w:ascii="Calibri" w:eastAsia="Calibri" w:hAnsi="Calibri" w:cs="Times New Roman"/>
          <w:szCs w:val="24"/>
        </w:rPr>
        <w:t>Carinski zakon.</w:t>
      </w:r>
    </w:p>
    <w:p w:rsidR="00150BF8" w:rsidRPr="00150BF8" w:rsidRDefault="00150BF8" w:rsidP="00150BF8">
      <w:pPr>
        <w:spacing w:before="0" w:line="240" w:lineRule="auto"/>
        <w:rPr>
          <w:rFonts w:ascii="Calibri" w:eastAsia="Calibri" w:hAnsi="Calibri" w:cs="Times New Roman"/>
          <w:szCs w:val="24"/>
        </w:rPr>
      </w:pPr>
      <w:r w:rsidRPr="00150BF8">
        <w:rPr>
          <w:rFonts w:ascii="Calibri" w:eastAsia="Calibri" w:hAnsi="Calibri" w:cs="Times New Roman"/>
          <w:b/>
          <w:i/>
          <w:szCs w:val="24"/>
        </w:rPr>
        <w:t>Zakon o izmjenama i dopunama Zakona o porezu na dodatu vrijednost</w:t>
      </w:r>
      <w:r w:rsidRPr="00150BF8">
        <w:rPr>
          <w:rFonts w:ascii="Calibri" w:eastAsia="Calibri" w:hAnsi="Calibri" w:cs="Times New Roman"/>
          <w:szCs w:val="24"/>
        </w:rPr>
        <w:t xml:space="preserve"> – shodno Programu pristupanja Crne Gore Evropskoj uniji predviđeno je donošenje propisa u II kvartalu, a početak primjene u III kvartalu 2020. godine. Navedena obaveza je ispoštovana i propis je objavljen u „</w:t>
      </w:r>
      <w:r w:rsidRPr="00150BF8">
        <w:rPr>
          <w:rFonts w:ascii="Calibri" w:eastAsia="Calibri" w:hAnsi="Calibri" w:cs="Times New Roman"/>
          <w:i/>
          <w:szCs w:val="24"/>
        </w:rPr>
        <w:t>Službenom listu Crne Gore“, broj 80/20</w:t>
      </w:r>
      <w:r w:rsidRPr="00150BF8">
        <w:rPr>
          <w:rFonts w:ascii="Calibri" w:eastAsia="Calibri" w:hAnsi="Calibri" w:cs="Times New Roman"/>
          <w:szCs w:val="24"/>
        </w:rPr>
        <w:t xml:space="preserve">, sa početkom primjene od 4. avgusta 2020. godine. </w:t>
      </w:r>
    </w:p>
    <w:p w:rsidR="00150BF8" w:rsidRPr="00150BF8" w:rsidRDefault="00150BF8" w:rsidP="00150BF8">
      <w:pPr>
        <w:spacing w:before="0" w:line="240" w:lineRule="auto"/>
        <w:rPr>
          <w:rFonts w:ascii="Calibri" w:eastAsia="Calibri" w:hAnsi="Calibri" w:cs="Times New Roman"/>
          <w:szCs w:val="24"/>
        </w:rPr>
      </w:pPr>
      <w:r w:rsidRPr="00150BF8">
        <w:rPr>
          <w:rFonts w:ascii="Calibri" w:eastAsia="Calibri" w:hAnsi="Calibri" w:cs="Times New Roman"/>
          <w:b/>
          <w:i/>
          <w:szCs w:val="24"/>
        </w:rPr>
        <w:t>Zakon o izmjenama i dopunama Zakona o porezu na dobit pravnih lica</w:t>
      </w:r>
      <w:r w:rsidRPr="00150BF8">
        <w:rPr>
          <w:rFonts w:ascii="Calibri" w:eastAsia="Calibri" w:hAnsi="Calibri" w:cs="Times New Roman"/>
          <w:szCs w:val="24"/>
        </w:rPr>
        <w:t xml:space="preserve"> – shodno Programu pristupanja Crne Gore Evropskoj uniji predviđeno je donošenje propisa u II kvartalu, a početak primjene u III kvartalu 2020. godine. Međutim, donošenje navedenog propisa odloženo je za IV kvartal 2021. godine.</w:t>
      </w:r>
    </w:p>
    <w:p w:rsidR="00150BF8" w:rsidRPr="00150BF8" w:rsidRDefault="00150BF8" w:rsidP="00150BF8">
      <w:pPr>
        <w:spacing w:before="0" w:line="240" w:lineRule="auto"/>
        <w:rPr>
          <w:rFonts w:ascii="Calibri" w:eastAsia="Calibri" w:hAnsi="Calibri" w:cs="Times New Roman"/>
          <w:szCs w:val="24"/>
        </w:rPr>
      </w:pPr>
      <w:r w:rsidRPr="00150BF8">
        <w:rPr>
          <w:rFonts w:ascii="Calibri" w:eastAsia="Calibri" w:hAnsi="Calibri" w:cs="Times New Roman"/>
          <w:b/>
          <w:i/>
          <w:szCs w:val="24"/>
        </w:rPr>
        <w:t>Zakon o izmjenama i dopunama Zakona o poreskoj administraciji</w:t>
      </w:r>
      <w:r w:rsidRPr="00150BF8">
        <w:rPr>
          <w:rFonts w:ascii="Calibri" w:eastAsia="Calibri" w:hAnsi="Calibri" w:cs="Times New Roman"/>
          <w:szCs w:val="24"/>
        </w:rPr>
        <w:t xml:space="preserve"> – shodno Programu pristupanja Crne Gore Evropskoj uniji predviđeno je donošenje propisa u II kvartalu, a početak primjene u IV kvartalu 2020. godine, međutim donošenje navedenog propisa odloženo je za III kvartal 2021.godine, a početak primjene u IV kvartalu 2021.godine.</w:t>
      </w:r>
    </w:p>
    <w:p w:rsidR="00150BF8" w:rsidRPr="00150BF8" w:rsidRDefault="00150BF8" w:rsidP="00150BF8">
      <w:pPr>
        <w:spacing w:before="0" w:line="240" w:lineRule="auto"/>
        <w:rPr>
          <w:rFonts w:ascii="Calibri" w:eastAsia="Calibri" w:hAnsi="Calibri" w:cs="Times New Roman"/>
          <w:szCs w:val="24"/>
        </w:rPr>
      </w:pPr>
      <w:r w:rsidRPr="00150BF8">
        <w:rPr>
          <w:rFonts w:ascii="Calibri" w:eastAsia="Calibri" w:hAnsi="Calibri" w:cs="Times New Roman"/>
          <w:b/>
          <w:i/>
          <w:szCs w:val="24"/>
        </w:rPr>
        <w:t>Carinski zakon</w:t>
      </w:r>
      <w:r w:rsidRPr="00150BF8">
        <w:rPr>
          <w:rFonts w:ascii="Calibri" w:eastAsia="Calibri" w:hAnsi="Calibri" w:cs="Times New Roman"/>
          <w:szCs w:val="24"/>
        </w:rPr>
        <w:t xml:space="preserve"> – shodno Programu pristupanja Crne Gore Evropskoj uniji predviđeno je donošenje propisa u IV kvartalu 2020. godine, a početak primjene u II kvartalu 2021. godine. Zbog gore navedenih okolnosti, donošenje propisa je Programom pristupanja Crne Gore EU 2021-2023 odloženo za IV kvartal 2021.</w:t>
      </w:r>
    </w:p>
    <w:p w:rsidR="00150BF8" w:rsidRPr="00150BF8" w:rsidRDefault="00150BF8" w:rsidP="00537B42">
      <w:pPr>
        <w:tabs>
          <w:tab w:val="left" w:pos="6340"/>
        </w:tabs>
        <w:spacing w:before="0" w:after="0" w:line="240" w:lineRule="auto"/>
        <w:rPr>
          <w:rFonts w:ascii="Calibri" w:eastAsia="Calibri" w:hAnsi="Calibri" w:cs="Times New Roman"/>
          <w:b/>
          <w:color w:val="0070C0"/>
          <w:szCs w:val="24"/>
        </w:rPr>
      </w:pPr>
      <w:r w:rsidRPr="00150BF8">
        <w:rPr>
          <w:rFonts w:ascii="Calibri" w:eastAsia="Calibri" w:hAnsi="Calibri" w:cs="Times New Roman"/>
          <w:b/>
          <w:color w:val="0070C0"/>
          <w:szCs w:val="24"/>
        </w:rPr>
        <w:t>REALIZACIJA PROGRAMA RADA MINISTARSTVA ZA 2020. GODINU</w:t>
      </w:r>
    </w:p>
    <w:p w:rsidR="00150BF8" w:rsidRPr="00150BF8" w:rsidRDefault="006A2062" w:rsidP="00150BF8">
      <w:pPr>
        <w:tabs>
          <w:tab w:val="left" w:pos="6340"/>
        </w:tabs>
        <w:spacing w:before="0" w:after="0" w:line="240" w:lineRule="auto"/>
        <w:rPr>
          <w:rFonts w:ascii="Calibri" w:eastAsia="Calibri" w:hAnsi="Calibri" w:cs="Times New Roman"/>
          <w:color w:val="000000"/>
          <w:szCs w:val="24"/>
        </w:rPr>
      </w:pPr>
      <w:r>
        <w:rPr>
          <w:rFonts w:ascii="Calibri" w:eastAsia="Calibri" w:hAnsi="Calibri" w:cs="Times New Roman"/>
          <w:color w:val="000000"/>
          <w:szCs w:val="24"/>
        </w:rPr>
        <w:t xml:space="preserve">            </w:t>
      </w:r>
      <w:r w:rsidR="00150BF8" w:rsidRPr="00150BF8">
        <w:rPr>
          <w:rFonts w:ascii="Calibri" w:eastAsia="Calibri" w:hAnsi="Calibri" w:cs="Times New Roman"/>
          <w:color w:val="000000"/>
          <w:szCs w:val="24"/>
        </w:rPr>
        <w:t>Pored opisanih materijala, Ministarstvo finansija - Direktorat za poreski i carinski sistem je pripremilo predloge zakona i uredbi i donijelo sljedeća podzakonska akta:</w:t>
      </w:r>
    </w:p>
    <w:p w:rsidR="00150BF8" w:rsidRPr="00150BF8" w:rsidRDefault="00A90812" w:rsidP="00A90812">
      <w:pPr>
        <w:spacing w:before="0" w:after="200" w:line="240" w:lineRule="auto"/>
        <w:contextualSpacing/>
        <w:rPr>
          <w:rFonts w:ascii="Calibri" w:eastAsia="Calibri" w:hAnsi="Calibri" w:cs="Arial"/>
          <w:bCs/>
          <w:szCs w:val="24"/>
          <w:lang w:val="sl-SI" w:eastAsia="sr-Latn-ME"/>
        </w:rPr>
      </w:pPr>
      <w:r>
        <w:rPr>
          <w:rFonts w:ascii="Calibri" w:eastAsia="Calibri" w:hAnsi="Calibri" w:cs="Times New Roman"/>
          <w:b/>
          <w:i/>
          <w:szCs w:val="24"/>
          <w:lang w:val="sr-Latn-ME"/>
        </w:rPr>
        <w:t xml:space="preserve">1. </w:t>
      </w:r>
      <w:r w:rsidR="00150BF8" w:rsidRPr="00150BF8">
        <w:rPr>
          <w:rFonts w:ascii="Calibri" w:eastAsia="Calibri" w:hAnsi="Calibri" w:cs="Times New Roman"/>
          <w:b/>
          <w:i/>
          <w:szCs w:val="24"/>
          <w:lang w:val="sr-Latn-ME"/>
        </w:rPr>
        <w:t>Zakon o izmjenama i dopunama Zakona o fiskalizaciji u prometu proizvoda i usluga</w:t>
      </w:r>
      <w:r w:rsidR="00150BF8" w:rsidRPr="00150BF8">
        <w:rPr>
          <w:rFonts w:ascii="Calibri" w:eastAsia="Calibri" w:hAnsi="Calibri" w:cs="Times New Roman"/>
          <w:szCs w:val="24"/>
          <w:lang w:val="sr-Latn-ME"/>
        </w:rPr>
        <w:t xml:space="preserve">: </w:t>
      </w:r>
      <w:r w:rsidR="00150BF8" w:rsidRPr="00150BF8">
        <w:rPr>
          <w:rFonts w:ascii="Calibri" w:eastAsia="Calibri" w:hAnsi="Calibri" w:cs="Arial"/>
          <w:bCs/>
          <w:szCs w:val="24"/>
          <w:lang w:val="sl-SI" w:eastAsia="sr-Latn-ME"/>
        </w:rPr>
        <w:t xml:space="preserve">Razlozi za izmjenu navedenog Zakona obrazlažu se potrebom nedostatka vremena za prilagođavanje obveznika fiskalizacije novom sistemu evidentiranja prometa proizvoda i usluga putem elektronskih naplatnih uređaja, što je inicirano od strane velikih poreskih obveznika, strukovnih udruženja, mikro, malih i srednjih preduzeća. Proces implementacije navedenog zakonskog rješenja, kako je to </w:t>
      </w:r>
      <w:r w:rsidR="00150BF8" w:rsidRPr="00150BF8">
        <w:rPr>
          <w:rFonts w:ascii="Calibri" w:eastAsia="Calibri" w:hAnsi="Calibri" w:cs="Arial"/>
          <w:bCs/>
          <w:szCs w:val="24"/>
          <w:lang w:val="sl-SI" w:eastAsia="sr-Latn-ME"/>
        </w:rPr>
        <w:lastRenderedPageBreak/>
        <w:t>ukazano od strane velikog broja privrednika, dodatno usložnjava situacija izazvana pandemijom COVID – 19, usljed koje je došlo do smanjenja</w:t>
      </w:r>
      <w:r w:rsidR="00150BF8" w:rsidRPr="00150BF8">
        <w:rPr>
          <w:rFonts w:ascii="Calibri" w:eastAsia="Calibri" w:hAnsi="Calibri" w:cs="Arial"/>
          <w:color w:val="000000"/>
          <w:szCs w:val="24"/>
          <w:lang w:val="sr-Latn-ME"/>
        </w:rPr>
        <w:t xml:space="preserve"> ekonomske aktivnosti privrednih subjekata. </w:t>
      </w:r>
      <w:r w:rsidR="00150BF8" w:rsidRPr="00150BF8">
        <w:rPr>
          <w:rFonts w:ascii="Calibri" w:eastAsia="Calibri" w:hAnsi="Calibri" w:cs="Arial"/>
          <w:bCs/>
          <w:szCs w:val="24"/>
          <w:lang w:val="sl-SI" w:eastAsia="sr-Latn-ME"/>
        </w:rPr>
        <w:t>Zbog svega navedenog, kao i uvažavajući potrebe privredne zajednice, navedenim zakonskim rješenjem daje se mogućnost prelaznog perioda, do 1. juna 2021. godine, za uspostavljanje sistema elektronske fiskalizacije u realnom vremenu (on line). Ovo bi značilo, da se poreskim obveznicima u prvih pet mjeseci 2021. godine, ostavlja mogućnost izbora načina evidentiranja prometa proizvoda odnosno usluga, uz obavezu uvođenja primjene sistema on line fiskalizacije u realnom vremenu, od 1. juna 2021. godine, za sve obveznike u skladu sa Zakonom. Donošenjem predloženog zakona uspostaviće se sistem kojim će se obezbijediti dostupnost podataka o prometu proizvoda i usluga sa ciljem:</w:t>
      </w:r>
    </w:p>
    <w:p w:rsidR="00150BF8" w:rsidRPr="00150BF8" w:rsidRDefault="00150BF8" w:rsidP="00146EBE">
      <w:pPr>
        <w:numPr>
          <w:ilvl w:val="0"/>
          <w:numId w:val="15"/>
        </w:numPr>
        <w:spacing w:before="0" w:after="200" w:line="240" w:lineRule="auto"/>
        <w:contextualSpacing/>
        <w:rPr>
          <w:rFonts w:ascii="Calibri" w:eastAsia="Calibri" w:hAnsi="Calibri" w:cs="Arial"/>
          <w:bCs/>
          <w:szCs w:val="24"/>
          <w:lang w:val="sl-SI" w:eastAsia="sr-Latn-ME"/>
        </w:rPr>
      </w:pPr>
      <w:r w:rsidRPr="00150BF8">
        <w:rPr>
          <w:rFonts w:ascii="Calibri" w:eastAsia="Times New Roman" w:hAnsi="Calibri" w:cs="Arial"/>
          <w:bCs/>
          <w:color w:val="000000"/>
          <w:szCs w:val="24"/>
          <w:lang w:val="sl-SI" w:eastAsia="sr-Latn-ME"/>
        </w:rPr>
        <w:t>efikasne kontrole prometa, odnosno kontrola svih isporuka proizvoda i usluga, što će značajno doprinijeti smanjivanju neformalne ekonomije u ovoj oblasti;</w:t>
      </w:r>
    </w:p>
    <w:p w:rsidR="00150BF8" w:rsidRPr="00150BF8" w:rsidRDefault="00150BF8" w:rsidP="00146EBE">
      <w:pPr>
        <w:numPr>
          <w:ilvl w:val="0"/>
          <w:numId w:val="15"/>
        </w:numPr>
        <w:spacing w:before="0" w:after="200" w:line="240" w:lineRule="auto"/>
        <w:contextualSpacing/>
        <w:rPr>
          <w:rFonts w:ascii="Calibri" w:eastAsia="Calibri" w:hAnsi="Calibri" w:cs="Arial"/>
          <w:bCs/>
          <w:szCs w:val="24"/>
          <w:lang w:val="sl-SI" w:eastAsia="sr-Latn-ME"/>
        </w:rPr>
      </w:pPr>
      <w:r w:rsidRPr="00150BF8">
        <w:rPr>
          <w:rFonts w:ascii="Calibri" w:eastAsia="Times New Roman" w:hAnsi="Calibri" w:cs="Arial"/>
          <w:bCs/>
          <w:color w:val="000000"/>
          <w:szCs w:val="24"/>
          <w:lang w:val="sl-SI" w:eastAsia="sr-Latn-ME"/>
        </w:rPr>
        <w:t>postepenog smanjivanja poreske administracije što će poreskim obveznicima olakšati postupak obračunavanja i plaćanja poreskih obaveza;</w:t>
      </w:r>
    </w:p>
    <w:p w:rsidR="00150BF8" w:rsidRPr="00150BF8" w:rsidRDefault="00150BF8" w:rsidP="00146EBE">
      <w:pPr>
        <w:numPr>
          <w:ilvl w:val="0"/>
          <w:numId w:val="15"/>
        </w:numPr>
        <w:spacing w:before="0" w:after="200" w:line="240" w:lineRule="auto"/>
        <w:contextualSpacing/>
        <w:rPr>
          <w:rFonts w:ascii="Calibri" w:eastAsia="Calibri" w:hAnsi="Calibri" w:cs="Arial"/>
          <w:bCs/>
          <w:szCs w:val="24"/>
          <w:lang w:val="sl-SI" w:eastAsia="sr-Latn-ME"/>
        </w:rPr>
      </w:pPr>
      <w:r w:rsidRPr="00150BF8">
        <w:rPr>
          <w:rFonts w:ascii="Calibri" w:eastAsia="Times New Roman" w:hAnsi="Calibri" w:cs="Arial"/>
          <w:bCs/>
          <w:color w:val="000000"/>
          <w:szCs w:val="24"/>
          <w:lang w:val="sl-SI" w:eastAsia="sr-Latn-ME"/>
        </w:rPr>
        <w:t>stvaranja uslova za efikasno upravljanje poreskim kontrolama i postupcima prinudne naplate korišćenjem jasnih kriterijuma za analizu rizika u poslovanju poreskog obveznika.</w:t>
      </w:r>
    </w:p>
    <w:p w:rsidR="00150BF8" w:rsidRPr="00150BF8" w:rsidRDefault="00A90812" w:rsidP="00A90812">
      <w:pPr>
        <w:spacing w:before="0" w:after="200" w:line="240" w:lineRule="auto"/>
        <w:contextualSpacing/>
        <w:rPr>
          <w:rFonts w:ascii="Calibri" w:eastAsia="Times New Roman" w:hAnsi="Calibri" w:cs="Arial"/>
          <w:bCs/>
          <w:color w:val="000000"/>
          <w:szCs w:val="24"/>
          <w:lang w:val="sl-SI" w:eastAsia="sr-Latn-ME"/>
        </w:rPr>
      </w:pPr>
      <w:r>
        <w:rPr>
          <w:rFonts w:ascii="Calibri" w:eastAsia="Calibri" w:hAnsi="Calibri" w:cs="Calibri"/>
          <w:b/>
          <w:i/>
          <w:szCs w:val="24"/>
          <w:lang w:val="sr-Latn-ME"/>
        </w:rPr>
        <w:t xml:space="preserve">2. </w:t>
      </w:r>
      <w:r w:rsidR="00150BF8" w:rsidRPr="00150BF8">
        <w:rPr>
          <w:rFonts w:ascii="Calibri" w:eastAsia="Calibri" w:hAnsi="Calibri" w:cs="Calibri"/>
          <w:b/>
          <w:i/>
          <w:szCs w:val="24"/>
          <w:lang w:val="sr-Latn-ME"/>
        </w:rPr>
        <w:t>Uredba o bližem postupku očitavanja fiskalne memorije poreske registar</w:t>
      </w:r>
      <w:r w:rsidR="00150BF8" w:rsidRPr="00150BF8">
        <w:rPr>
          <w:rFonts w:ascii="Calibri" w:eastAsia="Calibri" w:hAnsi="Calibri" w:cs="Calibri"/>
          <w:b/>
          <w:szCs w:val="24"/>
          <w:lang w:val="sr-Latn-ME"/>
        </w:rPr>
        <w:t xml:space="preserve"> kase </w:t>
      </w:r>
      <w:r w:rsidR="00150BF8" w:rsidRPr="00150BF8">
        <w:rPr>
          <w:rFonts w:ascii="Calibri" w:eastAsia="Calibri" w:hAnsi="Calibri" w:cs="Calibri"/>
          <w:szCs w:val="24"/>
          <w:lang w:val="sr-Latn-ME"/>
        </w:rPr>
        <w:t xml:space="preserve">("Službeni list Crne Gore", broj 129/20), se primjenjuje od 1. januara 2021. godine. Navedenom uredbom se propisuje </w:t>
      </w:r>
      <w:r w:rsidR="00150BF8" w:rsidRPr="00150BF8">
        <w:rPr>
          <w:rFonts w:ascii="Calibri" w:eastAsia="Calibri" w:hAnsi="Calibri" w:cs="Arial"/>
          <w:szCs w:val="24"/>
          <w:lang w:val="hr-HR"/>
        </w:rPr>
        <w:t>bliži postupak očitavanja fiskalne memorije poreske registar kase pri čemu ovlašćeni serviser provjerava ispravnost  servisne, programske i fiskalne plombe poreske registar kase u</w:t>
      </w:r>
      <w:r w:rsidR="00150BF8" w:rsidRPr="00150BF8">
        <w:rPr>
          <w:rFonts w:ascii="Calibri" w:eastAsia="Calibri" w:hAnsi="Calibri" w:cs="Arial"/>
          <w:szCs w:val="24"/>
          <w:lang w:val="sr-Latn-RS"/>
        </w:rPr>
        <w:t>z prisustvo ovlašćenog službenika</w:t>
      </w:r>
      <w:r w:rsidR="00150BF8" w:rsidRPr="00150BF8">
        <w:rPr>
          <w:rFonts w:ascii="Calibri" w:eastAsia="Calibri" w:hAnsi="Calibri" w:cs="Arial"/>
          <w:szCs w:val="24"/>
          <w:lang w:val="hr-HR"/>
        </w:rPr>
        <w:t xml:space="preserve"> organa uprave nadležnog za naplatu poreza poreskog obveznika čija se kasa očitava. Nakon provjere njene ispravnosti ovlašćeni serviser uklanja servisnu, programsku i fiskalnu plombu i vrši očitavanje fiskalne memorije poreske registar kase.</w:t>
      </w:r>
    </w:p>
    <w:p w:rsidR="00150BF8" w:rsidRPr="00150BF8" w:rsidRDefault="00A90812" w:rsidP="00A90812">
      <w:pPr>
        <w:spacing w:before="0" w:after="200" w:line="240" w:lineRule="auto"/>
        <w:contextualSpacing/>
        <w:rPr>
          <w:rFonts w:ascii="Calibri" w:eastAsia="Times New Roman" w:hAnsi="Calibri" w:cs="Arial"/>
          <w:bCs/>
          <w:color w:val="000000"/>
          <w:szCs w:val="24"/>
          <w:lang w:val="sl-SI" w:eastAsia="sr-Latn-ME"/>
        </w:rPr>
      </w:pPr>
      <w:r>
        <w:rPr>
          <w:rFonts w:ascii="Calibri" w:eastAsia="Times New Roman" w:hAnsi="Calibri" w:cs="Calibri"/>
          <w:b/>
          <w:i/>
          <w:szCs w:val="24"/>
          <w:lang w:val="en-CA" w:eastAsia="en-CA"/>
        </w:rPr>
        <w:t xml:space="preserve">3. </w:t>
      </w:r>
      <w:r w:rsidR="00150BF8" w:rsidRPr="00150BF8">
        <w:rPr>
          <w:rFonts w:ascii="Calibri" w:eastAsia="Times New Roman" w:hAnsi="Calibri" w:cs="Calibri"/>
          <w:b/>
          <w:i/>
          <w:szCs w:val="24"/>
          <w:lang w:val="en-CA" w:eastAsia="en-CA"/>
        </w:rPr>
        <w:t>Uredba o odlaganju naplate carine i poreza na dodatu vrijednost nastalih prilikom uvoza proizvoda</w:t>
      </w:r>
      <w:r w:rsidR="00150BF8" w:rsidRPr="00150BF8">
        <w:rPr>
          <w:rFonts w:ascii="Calibri" w:eastAsia="Times New Roman" w:hAnsi="Calibri" w:cs="Calibri"/>
          <w:b/>
          <w:szCs w:val="24"/>
          <w:lang w:val="en-CA" w:eastAsia="en-CA"/>
        </w:rPr>
        <w:t xml:space="preserve"> </w:t>
      </w:r>
      <w:r w:rsidR="00150BF8" w:rsidRPr="00150BF8">
        <w:rPr>
          <w:rFonts w:ascii="Calibri" w:eastAsia="Times New Roman" w:hAnsi="Calibri" w:cs="Calibri"/>
          <w:szCs w:val="24"/>
          <w:lang w:val="en-CA" w:eastAsia="en-CA"/>
        </w:rPr>
        <w:t>(</w:t>
      </w:r>
      <w:r w:rsidR="00150BF8" w:rsidRPr="00150BF8">
        <w:rPr>
          <w:rFonts w:ascii="Calibri" w:eastAsia="Calibri" w:hAnsi="Calibri" w:cs="Arial"/>
          <w:i/>
          <w:szCs w:val="24"/>
          <w:lang w:eastAsia="en-CA"/>
        </w:rPr>
        <w:t>„Službeni list CG“, broj 37/20</w:t>
      </w:r>
      <w:r w:rsidR="00150BF8" w:rsidRPr="00150BF8">
        <w:rPr>
          <w:rFonts w:ascii="Calibri" w:eastAsia="Calibri" w:hAnsi="Calibri" w:cs="Arial"/>
          <w:szCs w:val="24"/>
          <w:lang w:eastAsia="en-CA"/>
        </w:rPr>
        <w:t>)</w:t>
      </w:r>
      <w:r w:rsidR="00150BF8" w:rsidRPr="00150BF8">
        <w:rPr>
          <w:rFonts w:ascii="Calibri" w:eastAsia="Times New Roman" w:hAnsi="Calibri" w:cs="Calibri"/>
          <w:szCs w:val="24"/>
          <w:lang w:val="en-CA" w:eastAsia="en-CA"/>
        </w:rPr>
        <w:t xml:space="preserve"> - </w:t>
      </w:r>
      <w:r w:rsidR="00150BF8" w:rsidRPr="00150BF8">
        <w:rPr>
          <w:rFonts w:ascii="Calibri" w:eastAsia="Times New Roman" w:hAnsi="Calibri" w:cs="Calibri"/>
          <w:szCs w:val="24"/>
          <w:lang w:val="sr-Latn-ME" w:eastAsia="en-CA"/>
        </w:rPr>
        <w:t>Ovom uredbom utvrđuje se odložena naplata carinskog duga (carine i PDV-a) koji dospijeva za naplatu u aprilu i maju 2020. godine, carinskim dužnicima kojima je zabranjeno obavljanje djelatnosti usljed pandemije zarazne bolesti COVID-19. Predloženo je odlaganje plaćanja carinskog duga od 60 dana od dana prihvatanja carinske deklaracije. Treće lice je dužno da obezbijedi bankarsku garanciju ukoliko je preuzelo da umjesto dužnika plati carinski dug.</w:t>
      </w:r>
    </w:p>
    <w:p w:rsidR="00150BF8" w:rsidRPr="00150BF8" w:rsidRDefault="00A90812" w:rsidP="00A90812">
      <w:pPr>
        <w:spacing w:before="0" w:after="200" w:line="240" w:lineRule="auto"/>
        <w:contextualSpacing/>
        <w:rPr>
          <w:rFonts w:ascii="Calibri" w:eastAsia="Times New Roman" w:hAnsi="Calibri" w:cs="Arial"/>
          <w:bCs/>
          <w:color w:val="000000"/>
          <w:szCs w:val="24"/>
          <w:lang w:val="sl-SI" w:eastAsia="sr-Latn-ME"/>
        </w:rPr>
      </w:pPr>
      <w:r>
        <w:rPr>
          <w:rFonts w:ascii="Calibri" w:eastAsia="Times New Roman" w:hAnsi="Calibri" w:cs="Arial"/>
          <w:b/>
          <w:bCs/>
          <w:i/>
          <w:color w:val="000000"/>
          <w:szCs w:val="24"/>
          <w:lang w:val="sl-SI" w:eastAsia="sr-Latn-ME"/>
        </w:rPr>
        <w:t xml:space="preserve">4. </w:t>
      </w:r>
      <w:r w:rsidR="00150BF8" w:rsidRPr="00150BF8">
        <w:rPr>
          <w:rFonts w:ascii="Calibri" w:eastAsia="Times New Roman" w:hAnsi="Calibri" w:cs="Arial"/>
          <w:b/>
          <w:bCs/>
          <w:i/>
          <w:color w:val="000000"/>
          <w:szCs w:val="24"/>
          <w:lang w:val="sl-SI" w:eastAsia="sr-Latn-ME"/>
        </w:rPr>
        <w:t>Uredba o uslovima za odlaganje naplate dospjelih poreskih i neporeskih potraživanja</w:t>
      </w:r>
      <w:r w:rsidR="00150BF8" w:rsidRPr="00150BF8">
        <w:rPr>
          <w:rFonts w:ascii="Calibri" w:eastAsia="Times New Roman" w:hAnsi="Calibri" w:cs="Arial"/>
          <w:bCs/>
          <w:color w:val="000000"/>
          <w:szCs w:val="24"/>
          <w:lang w:val="sl-SI" w:eastAsia="sr-Latn-ME"/>
        </w:rPr>
        <w:t xml:space="preserve"> </w:t>
      </w:r>
      <w:r w:rsidR="00150BF8" w:rsidRPr="00150BF8">
        <w:rPr>
          <w:rFonts w:ascii="Calibri" w:eastAsia="Times New Roman" w:hAnsi="Calibri" w:cs="Arial"/>
          <w:bCs/>
          <w:i/>
          <w:color w:val="000000"/>
          <w:szCs w:val="24"/>
          <w:lang w:val="sl-SI" w:eastAsia="sr-Latn-ME"/>
        </w:rPr>
        <w:t>(„Slu</w:t>
      </w:r>
      <w:r w:rsidR="00150BF8" w:rsidRPr="00150BF8">
        <w:rPr>
          <w:rFonts w:ascii="Calibri" w:eastAsia="Times New Roman" w:hAnsi="Calibri" w:cs="Arial"/>
          <w:bCs/>
          <w:i/>
          <w:color w:val="000000"/>
          <w:szCs w:val="24"/>
          <w:lang w:val="sr-Latn-RS" w:eastAsia="sr-Latn-ME"/>
        </w:rPr>
        <w:t xml:space="preserve">žbeni </w:t>
      </w:r>
      <w:r w:rsidR="00150BF8" w:rsidRPr="00150BF8">
        <w:rPr>
          <w:rFonts w:ascii="Calibri" w:eastAsia="Times New Roman" w:hAnsi="Calibri" w:cs="Arial"/>
          <w:bCs/>
          <w:i/>
          <w:color w:val="000000"/>
          <w:szCs w:val="24"/>
          <w:lang w:val="sl-SI" w:eastAsia="sr-Latn-ME"/>
        </w:rPr>
        <w:t>list CG“, broj 27/20),</w:t>
      </w:r>
      <w:r w:rsidR="00150BF8" w:rsidRPr="00150BF8">
        <w:rPr>
          <w:rFonts w:ascii="Calibri" w:eastAsia="Times New Roman" w:hAnsi="Calibri" w:cs="Arial"/>
          <w:bCs/>
          <w:color w:val="000000"/>
          <w:szCs w:val="24"/>
          <w:lang w:val="sl-SI" w:eastAsia="sr-Latn-ME"/>
        </w:rPr>
        <w:t xml:space="preserve"> kojom su propisani uslovi pod kojima se, poreskim dužnicima koji nijesu u mogućnosti da izmire poreske obaveze, usljed negativnih efekata na poslovanje izazvanih pandemijom Covid - 19 virusa, može odobriti odlaganje naplate dospjelih poreskih i neporeskih potraživanja, za period od 90 dana od dana dospjeća obaveza u martu, aprilu i maju 2020. godine.</w:t>
      </w:r>
    </w:p>
    <w:p w:rsidR="00150BF8" w:rsidRPr="00150BF8" w:rsidRDefault="00A90812" w:rsidP="00A90812">
      <w:pPr>
        <w:spacing w:before="0" w:after="200" w:line="240" w:lineRule="auto"/>
        <w:contextualSpacing/>
        <w:rPr>
          <w:rFonts w:ascii="Calibri" w:eastAsia="Times New Roman" w:hAnsi="Calibri" w:cs="Arial"/>
          <w:bCs/>
          <w:color w:val="000000"/>
          <w:szCs w:val="24"/>
          <w:lang w:val="sl-SI" w:eastAsia="sr-Latn-ME"/>
        </w:rPr>
      </w:pPr>
      <w:r>
        <w:rPr>
          <w:rFonts w:ascii="Calibri" w:eastAsia="Times New Roman" w:hAnsi="Calibri" w:cs="Arial"/>
          <w:b/>
          <w:bCs/>
          <w:i/>
          <w:color w:val="000000"/>
          <w:szCs w:val="24"/>
          <w:lang w:val="sl-SI" w:eastAsia="sr-Latn-ME"/>
        </w:rPr>
        <w:t xml:space="preserve">5. </w:t>
      </w:r>
      <w:r w:rsidR="00150BF8" w:rsidRPr="00150BF8">
        <w:rPr>
          <w:rFonts w:ascii="Calibri" w:eastAsia="Times New Roman" w:hAnsi="Calibri" w:cs="Arial"/>
          <w:b/>
          <w:bCs/>
          <w:i/>
          <w:color w:val="000000"/>
          <w:szCs w:val="24"/>
          <w:lang w:val="sl-SI" w:eastAsia="sr-Latn-ME"/>
        </w:rPr>
        <w:t>Uredba o izmjeni i dopuni uredbe o uslovima za odlaganje naplate dospjelih poreskih i neporeskih potraživanja</w:t>
      </w:r>
      <w:r w:rsidR="00150BF8" w:rsidRPr="00150BF8">
        <w:rPr>
          <w:rFonts w:ascii="Calibri" w:eastAsia="Times New Roman" w:hAnsi="Calibri" w:cs="Arial"/>
          <w:bCs/>
          <w:color w:val="000000"/>
          <w:szCs w:val="24"/>
          <w:lang w:val="sl-SI" w:eastAsia="sr-Latn-ME"/>
        </w:rPr>
        <w:t xml:space="preserve"> </w:t>
      </w:r>
      <w:r w:rsidR="00150BF8" w:rsidRPr="00150BF8">
        <w:rPr>
          <w:rFonts w:ascii="Calibri" w:eastAsia="Times New Roman" w:hAnsi="Calibri" w:cs="Arial"/>
          <w:bCs/>
          <w:i/>
          <w:color w:val="000000"/>
          <w:szCs w:val="24"/>
          <w:lang w:val="sl-SI" w:eastAsia="sr-Latn-ME"/>
        </w:rPr>
        <w:t>(„Službeni list CG",broj 50/20</w:t>
      </w:r>
      <w:r w:rsidR="00150BF8" w:rsidRPr="00150BF8">
        <w:rPr>
          <w:rFonts w:ascii="Calibri" w:eastAsia="Times New Roman" w:hAnsi="Calibri" w:cs="Arial"/>
          <w:bCs/>
          <w:color w:val="000000"/>
          <w:szCs w:val="24"/>
          <w:lang w:val="sl-SI" w:eastAsia="sr-Latn-ME"/>
        </w:rPr>
        <w:t>), kojom je poreskim obveznicima omogućeno da dospjele obaveze plaćaju u 24 jednake rate, od dana njihovog dospjeća, imajući u vidu da isti usled novonastale situacije skoro tri mjeseca nijesu obavljali djelatnost za koju su registrovani ili su poslovali u manjem obimu,  te ta lica nijesu bila u mogućnosti da dospjele obaveze izmire ni nakon isteka roka od 90 dana.</w:t>
      </w:r>
    </w:p>
    <w:p w:rsidR="00150BF8" w:rsidRPr="00150BF8" w:rsidRDefault="00A90812" w:rsidP="00A90812">
      <w:pPr>
        <w:spacing w:before="0" w:after="200" w:line="240" w:lineRule="auto"/>
        <w:contextualSpacing/>
        <w:rPr>
          <w:rFonts w:ascii="Calibri" w:eastAsia="Times New Roman" w:hAnsi="Calibri" w:cs="Arial"/>
          <w:bCs/>
          <w:color w:val="000000"/>
          <w:szCs w:val="24"/>
          <w:lang w:val="sl-SI" w:eastAsia="sr-Latn-ME"/>
        </w:rPr>
      </w:pPr>
      <w:r>
        <w:rPr>
          <w:rFonts w:ascii="Calibri" w:eastAsia="Times New Roman" w:hAnsi="Calibri" w:cs="Arial"/>
          <w:b/>
          <w:bCs/>
          <w:i/>
          <w:color w:val="000000"/>
          <w:szCs w:val="24"/>
          <w:lang w:val="sl-SI" w:eastAsia="sr-Latn-ME"/>
        </w:rPr>
        <w:t xml:space="preserve">6. </w:t>
      </w:r>
      <w:r w:rsidR="00150BF8" w:rsidRPr="00150BF8">
        <w:rPr>
          <w:rFonts w:ascii="Calibri" w:eastAsia="Times New Roman" w:hAnsi="Calibri" w:cs="Arial"/>
          <w:b/>
          <w:bCs/>
          <w:i/>
          <w:color w:val="000000"/>
          <w:szCs w:val="24"/>
          <w:lang w:val="sl-SI" w:eastAsia="sr-Latn-ME"/>
        </w:rPr>
        <w:t>Uredba o carinskoj tarifi za 2020. godinu</w:t>
      </w:r>
      <w:r w:rsidR="00150BF8" w:rsidRPr="00150BF8">
        <w:rPr>
          <w:rFonts w:ascii="Calibri" w:eastAsia="Times New Roman" w:hAnsi="Calibri" w:cs="Arial"/>
          <w:bCs/>
          <w:color w:val="000000"/>
          <w:szCs w:val="24"/>
          <w:lang w:val="sl-SI" w:eastAsia="sr-Latn-ME"/>
        </w:rPr>
        <w:t xml:space="preserve"> </w:t>
      </w:r>
      <w:r w:rsidR="00150BF8" w:rsidRPr="00150BF8">
        <w:rPr>
          <w:rFonts w:ascii="Calibri" w:eastAsia="Times New Roman" w:hAnsi="Calibri" w:cs="Arial"/>
          <w:bCs/>
          <w:i/>
          <w:color w:val="000000"/>
          <w:szCs w:val="24"/>
          <w:lang w:val="sl-SI" w:eastAsia="sr-Latn-ME"/>
        </w:rPr>
        <w:t>("Službeni list Crne Gore", br. 4/20</w:t>
      </w:r>
      <w:r w:rsidR="00150BF8" w:rsidRPr="00150BF8">
        <w:rPr>
          <w:rFonts w:ascii="Calibri" w:eastAsia="Times New Roman" w:hAnsi="Calibri" w:cs="Arial"/>
          <w:bCs/>
          <w:color w:val="000000"/>
          <w:szCs w:val="24"/>
          <w:lang w:val="sl-SI" w:eastAsia="sr-Latn-ME"/>
        </w:rPr>
        <w:t>), kojom je izvršeno usklađivanje nomenklature carinske tarife sa Kombinovanom nomenklaturom Evropske unije. Uredbom je utvrđena i visina carinskih stopa za 2020. godinu, u skladu sa dinamikom  utvrđenom Zakonom  o potvrđivanju  Protokola  o  pristupanju  Crne Gore  Sporazumu iz Markeša o osnivanju  Svjetske  trgovinske  organizacije. Kako je  Crna Gora  preuzela obaveze sadržane Ministarskom deklaracijom o proširenju trgovine proizvodima informacione tehnologije (ITA 2 Sporazum) i Protokolom o izmjeni aneksa sporazuma o trgovini civilnim vazduhoplovima, pomenutom Uredbom su liberalizovane  carinske stope u dijelu roba informacione tehnologije i civilnih vazduhoplova.</w:t>
      </w:r>
    </w:p>
    <w:p w:rsidR="00150BF8" w:rsidRPr="00150BF8" w:rsidRDefault="00A90812" w:rsidP="00A90812">
      <w:pPr>
        <w:spacing w:before="0" w:after="200" w:line="240" w:lineRule="auto"/>
        <w:contextualSpacing/>
        <w:rPr>
          <w:rFonts w:ascii="Calibri" w:eastAsia="Times New Roman" w:hAnsi="Calibri" w:cs="Arial"/>
          <w:bCs/>
          <w:color w:val="000000"/>
          <w:szCs w:val="24"/>
          <w:lang w:val="sl-SI" w:eastAsia="sr-Latn-ME"/>
        </w:rPr>
      </w:pPr>
      <w:r>
        <w:rPr>
          <w:rFonts w:ascii="Calibri" w:eastAsia="Times New Roman" w:hAnsi="Calibri" w:cs="Arial"/>
          <w:b/>
          <w:bCs/>
          <w:i/>
          <w:color w:val="000000"/>
          <w:szCs w:val="24"/>
          <w:lang w:val="sl-SI" w:eastAsia="sr-Latn-ME"/>
        </w:rPr>
        <w:lastRenderedPageBreak/>
        <w:t xml:space="preserve">7. </w:t>
      </w:r>
      <w:r w:rsidR="00150BF8" w:rsidRPr="00150BF8">
        <w:rPr>
          <w:rFonts w:ascii="Calibri" w:eastAsia="Times New Roman" w:hAnsi="Calibri" w:cs="Arial"/>
          <w:b/>
          <w:bCs/>
          <w:i/>
          <w:color w:val="000000"/>
          <w:szCs w:val="24"/>
          <w:lang w:val="sl-SI" w:eastAsia="sr-Latn-ME"/>
        </w:rPr>
        <w:t xml:space="preserve">Odluka o načinu ostvarivanja prava na oslobađanje od plaćanja poreza na dodatu vrijednost i carine za medicinska sredstva i zaštitnu opremu koja se uvoze kao donacija, radi suzbijanja posljedica nastalih usljed epidemije zarazne bolesti COVID 19 </w:t>
      </w:r>
      <w:r w:rsidR="00150BF8" w:rsidRPr="00150BF8">
        <w:rPr>
          <w:rFonts w:ascii="Calibri" w:eastAsia="Times New Roman" w:hAnsi="Calibri" w:cs="Tahoma"/>
          <w:bCs/>
          <w:color w:val="000000"/>
          <w:szCs w:val="24"/>
          <w:lang w:eastAsia="sr-Latn-CS"/>
        </w:rPr>
        <w:t>(„</w:t>
      </w:r>
      <w:r w:rsidR="00150BF8" w:rsidRPr="00150BF8">
        <w:rPr>
          <w:rFonts w:ascii="Calibri" w:eastAsia="Times New Roman" w:hAnsi="Calibri" w:cs="Tahoma"/>
          <w:bCs/>
          <w:i/>
          <w:color w:val="000000"/>
          <w:szCs w:val="24"/>
          <w:lang w:eastAsia="sr-Latn-CS"/>
        </w:rPr>
        <w:t>Službeni list Crne Gore“, broj 32/20</w:t>
      </w:r>
      <w:r w:rsidR="00150BF8" w:rsidRPr="00150BF8">
        <w:rPr>
          <w:rFonts w:ascii="Calibri" w:eastAsia="Times New Roman" w:hAnsi="Calibri" w:cs="Tahoma"/>
          <w:bCs/>
          <w:color w:val="000000"/>
          <w:szCs w:val="24"/>
          <w:lang w:eastAsia="sr-Latn-CS"/>
        </w:rPr>
        <w:t xml:space="preserve">) - </w:t>
      </w:r>
      <w:r w:rsidR="00150BF8" w:rsidRPr="00150BF8">
        <w:rPr>
          <w:rFonts w:ascii="Calibri" w:eastAsia="Calibri" w:hAnsi="Calibri" w:cs="Calibri"/>
          <w:szCs w:val="24"/>
        </w:rPr>
        <w:t>Oslobađanje od plaćanja poreza na dodatu vrijednost i carine za medicinska sredstva i zaštitnu opremu koja se uvozi u Crnu Goru kao donacija, radi suzbijanja posljedica nastalih usljed epidemije zarazne bolesti COVID 19 vrši se na način propisan ovom odlukom.</w:t>
      </w:r>
    </w:p>
    <w:p w:rsidR="00150BF8" w:rsidRPr="00150BF8" w:rsidRDefault="00A90812" w:rsidP="00A90812">
      <w:pPr>
        <w:spacing w:before="0" w:after="200" w:line="240" w:lineRule="auto"/>
        <w:contextualSpacing/>
        <w:rPr>
          <w:rFonts w:ascii="Calibri" w:eastAsia="Times New Roman" w:hAnsi="Calibri" w:cs="Tahoma"/>
          <w:bCs/>
          <w:color w:val="000000"/>
          <w:szCs w:val="24"/>
          <w:lang w:eastAsia="sr-Latn-CS"/>
        </w:rPr>
      </w:pPr>
      <w:r>
        <w:rPr>
          <w:rFonts w:ascii="Calibri" w:eastAsia="Times New Roman" w:hAnsi="Calibri" w:cs="Tahoma"/>
          <w:b/>
          <w:bCs/>
          <w:i/>
          <w:color w:val="000000"/>
          <w:szCs w:val="24"/>
          <w:lang w:eastAsia="sr-Latn-CS"/>
        </w:rPr>
        <w:t xml:space="preserve">8. </w:t>
      </w:r>
      <w:r w:rsidR="00150BF8" w:rsidRPr="00150BF8">
        <w:rPr>
          <w:rFonts w:ascii="Calibri" w:eastAsia="Times New Roman" w:hAnsi="Calibri" w:cs="Tahoma"/>
          <w:b/>
          <w:bCs/>
          <w:i/>
          <w:color w:val="000000"/>
          <w:szCs w:val="24"/>
          <w:lang w:eastAsia="sr-Latn-CS"/>
        </w:rPr>
        <w:t>Pravilnik o izmjenama pravilnika o obliku i sadržini godišnje prijave za obračunavanje i plaćanje poreza na dohodak fizičkih lica</w:t>
      </w:r>
      <w:r w:rsidR="00150BF8" w:rsidRPr="00150BF8">
        <w:rPr>
          <w:rFonts w:ascii="Calibri" w:eastAsia="Times New Roman" w:hAnsi="Calibri" w:cs="Tahoma"/>
          <w:bCs/>
          <w:color w:val="000000"/>
          <w:szCs w:val="24"/>
          <w:lang w:eastAsia="sr-Latn-CS"/>
        </w:rPr>
        <w:t xml:space="preserve"> („</w:t>
      </w:r>
      <w:r w:rsidR="00150BF8" w:rsidRPr="00150BF8">
        <w:rPr>
          <w:rFonts w:ascii="Calibri" w:eastAsia="Times New Roman" w:hAnsi="Calibri" w:cs="Tahoma"/>
          <w:bCs/>
          <w:i/>
          <w:color w:val="000000"/>
          <w:szCs w:val="24"/>
          <w:lang w:eastAsia="sr-Latn-CS"/>
        </w:rPr>
        <w:t>Službeni list Crne Gore“, broj 09/20</w:t>
      </w:r>
      <w:r w:rsidR="00150BF8" w:rsidRPr="00150BF8">
        <w:rPr>
          <w:rFonts w:ascii="Calibri" w:eastAsia="Times New Roman" w:hAnsi="Calibri" w:cs="Tahoma"/>
          <w:bCs/>
          <w:color w:val="000000"/>
          <w:szCs w:val="24"/>
          <w:lang w:eastAsia="sr-Latn-CS"/>
        </w:rPr>
        <w:t>) – Citiranim pravilnikom izvršeno je usklađivanje podzakonskog akta sa Zakonom o izmjenama i dopunama Zakona o porezu na dohodak fizičkih lica, koji je usvojen u Skupštini Crne Gore krajem 2019.  godine. Neophodnost izmjena uslovljena je, između ostalog, izdvajanjem prihoda od sportske djelatnosti i prihoda od autorskih i srodnih prava, patenta, žiga i prihoda samostalnog stručnjaka u kulturi za posebne izvore prihoda, te potrebom širenja popisa dodataka uz Godišnju prijavu poreza na dohodak fizičkih lica;</w:t>
      </w:r>
    </w:p>
    <w:p w:rsidR="00150BF8" w:rsidRPr="00150BF8" w:rsidRDefault="00A90812" w:rsidP="00A90812">
      <w:pPr>
        <w:spacing w:before="0" w:after="200" w:line="240" w:lineRule="auto"/>
        <w:contextualSpacing/>
        <w:rPr>
          <w:rFonts w:ascii="Calibri" w:eastAsia="Times New Roman" w:hAnsi="Calibri" w:cs="Tahoma"/>
          <w:bCs/>
          <w:color w:val="000000"/>
          <w:szCs w:val="24"/>
          <w:lang w:eastAsia="sr-Latn-CS"/>
        </w:rPr>
      </w:pPr>
      <w:r>
        <w:rPr>
          <w:rFonts w:ascii="Calibri" w:eastAsia="Times New Roman" w:hAnsi="Calibri" w:cs="Tahoma"/>
          <w:b/>
          <w:bCs/>
          <w:i/>
          <w:color w:val="000000"/>
          <w:szCs w:val="24"/>
          <w:lang w:eastAsia="sr-Latn-CS"/>
        </w:rPr>
        <w:t xml:space="preserve">9. </w:t>
      </w:r>
      <w:r w:rsidR="00150BF8" w:rsidRPr="00150BF8">
        <w:rPr>
          <w:rFonts w:ascii="Calibri" w:eastAsia="Times New Roman" w:hAnsi="Calibri" w:cs="Tahoma"/>
          <w:b/>
          <w:bCs/>
          <w:i/>
          <w:color w:val="000000"/>
          <w:szCs w:val="24"/>
          <w:lang w:eastAsia="sr-Latn-CS"/>
        </w:rPr>
        <w:t xml:space="preserve">Pravilnik o izmjeni pravilnika o obliku, sadržini, načinu popunjavanja i dostavljanja jedinstvenog obrasca izvještaja o obračunatom i plaćenom porezu na dohodak fizičkih lica i doprinosima za obavezno socijalno osiguranje </w:t>
      </w:r>
      <w:r w:rsidR="00150BF8" w:rsidRPr="00150BF8">
        <w:rPr>
          <w:rFonts w:ascii="Calibri" w:eastAsia="Times New Roman" w:hAnsi="Calibri" w:cs="Tahoma"/>
          <w:bCs/>
          <w:i/>
          <w:color w:val="000000"/>
          <w:szCs w:val="24"/>
          <w:lang w:eastAsia="sr-Latn-CS"/>
        </w:rPr>
        <w:t>(„Službeni list Crne Gore“, broj 09/20)</w:t>
      </w:r>
      <w:r w:rsidR="00150BF8" w:rsidRPr="00150BF8">
        <w:rPr>
          <w:rFonts w:ascii="Calibri" w:eastAsia="Times New Roman" w:hAnsi="Calibri" w:cs="Tahoma"/>
          <w:bCs/>
          <w:color w:val="000000"/>
          <w:szCs w:val="24"/>
          <w:lang w:eastAsia="sr-Latn-CS"/>
        </w:rPr>
        <w:t xml:space="preserve"> – Navedenim pravilnikom se vrši usklađivanje podzakonskog akta sa Zakonom o izmjenama i dopunama Zakona o porezu na dohodak fizičkih lica, koji je usvojen u Skupštini Crne Gore krajem 2019.  godine, u dijelu ažuriranja šifrarnika osnova za obračun i dodavanja dvije nove šifre za prihode od sportske djelatnosti i prihoda od autorskih i srodnih prava, patenta, žiga i prihoda samostalnog stručnjaka u kulturi.</w:t>
      </w:r>
    </w:p>
    <w:p w:rsidR="00150BF8" w:rsidRPr="00150BF8" w:rsidRDefault="00A90812" w:rsidP="00A90812">
      <w:pPr>
        <w:spacing w:before="0" w:after="200" w:line="240" w:lineRule="auto"/>
        <w:contextualSpacing/>
        <w:rPr>
          <w:rFonts w:ascii="Calibri" w:eastAsia="Times New Roman" w:hAnsi="Calibri" w:cs="Tahoma"/>
          <w:bCs/>
          <w:color w:val="000000"/>
          <w:szCs w:val="24"/>
          <w:lang w:eastAsia="sr-Latn-CS"/>
        </w:rPr>
      </w:pPr>
      <w:r>
        <w:rPr>
          <w:rFonts w:ascii="Calibri" w:eastAsia="Times New Roman" w:hAnsi="Calibri" w:cs="Tahoma"/>
          <w:b/>
          <w:bCs/>
          <w:i/>
          <w:color w:val="000000"/>
          <w:szCs w:val="24"/>
          <w:lang w:eastAsia="sr-Latn-CS"/>
        </w:rPr>
        <w:t xml:space="preserve">10. </w:t>
      </w:r>
      <w:r w:rsidR="00150BF8" w:rsidRPr="00150BF8">
        <w:rPr>
          <w:rFonts w:ascii="Calibri" w:eastAsia="Times New Roman" w:hAnsi="Calibri" w:cs="Tahoma"/>
          <w:b/>
          <w:bCs/>
          <w:i/>
          <w:color w:val="000000"/>
          <w:szCs w:val="24"/>
          <w:lang w:eastAsia="sr-Latn-CS"/>
        </w:rPr>
        <w:t xml:space="preserve">Pravilnik o izmjeni pravilnika o obliku i sadržini prijave poreza na dodatu vrijednost </w:t>
      </w:r>
      <w:r w:rsidR="00150BF8" w:rsidRPr="00150BF8">
        <w:rPr>
          <w:rFonts w:ascii="Calibri" w:eastAsia="Times New Roman" w:hAnsi="Calibri" w:cs="Tahoma"/>
          <w:bCs/>
          <w:i/>
          <w:color w:val="000000"/>
          <w:szCs w:val="24"/>
          <w:lang w:eastAsia="sr-Latn-CS"/>
        </w:rPr>
        <w:t xml:space="preserve">(„Službeni list Crne Gore“, broj 65/20) – </w:t>
      </w:r>
      <w:r w:rsidR="00150BF8" w:rsidRPr="00150BF8">
        <w:rPr>
          <w:rFonts w:ascii="Calibri" w:eastAsia="Times New Roman" w:hAnsi="Calibri" w:cs="Tahoma"/>
          <w:bCs/>
          <w:color w:val="000000"/>
          <w:szCs w:val="24"/>
          <w:lang w:eastAsia="sr-Latn-CS"/>
        </w:rPr>
        <w:t xml:space="preserve">Navedenim pravilnikom vrši se usklađivanje prijave poreza na dodatu vrijednost sa Zakonom o porezu na dodatu vrijednost. </w:t>
      </w:r>
    </w:p>
    <w:p w:rsidR="00150BF8" w:rsidRPr="00150BF8" w:rsidRDefault="00A90812" w:rsidP="00A90812">
      <w:pPr>
        <w:spacing w:before="0" w:after="200" w:line="240" w:lineRule="auto"/>
        <w:contextualSpacing/>
        <w:rPr>
          <w:rFonts w:ascii="Calibri" w:eastAsia="Times New Roman" w:hAnsi="Calibri" w:cs="Tahoma"/>
          <w:bCs/>
          <w:i/>
          <w:color w:val="000000"/>
          <w:szCs w:val="24"/>
          <w:lang w:eastAsia="sr-Latn-CS"/>
        </w:rPr>
      </w:pPr>
      <w:r>
        <w:rPr>
          <w:rFonts w:ascii="Calibri" w:eastAsia="Times New Roman" w:hAnsi="Calibri" w:cs="Times New Roman"/>
          <w:b/>
          <w:i/>
          <w:szCs w:val="24"/>
          <w:lang w:val="en-US"/>
        </w:rPr>
        <w:t xml:space="preserve">11. </w:t>
      </w:r>
      <w:r w:rsidR="00150BF8" w:rsidRPr="00150BF8">
        <w:rPr>
          <w:rFonts w:ascii="Calibri" w:eastAsia="Times New Roman" w:hAnsi="Calibri" w:cs="Times New Roman"/>
          <w:b/>
          <w:i/>
          <w:szCs w:val="24"/>
          <w:lang w:val="en-US"/>
        </w:rPr>
        <w:t>Pravilnik o uslovima i načinu izdavanja upozorenja i naloga ovlašćenih carinskih službenika</w:t>
      </w:r>
      <w:r w:rsidR="00150BF8" w:rsidRPr="00150BF8">
        <w:rPr>
          <w:rFonts w:ascii="Calibri" w:eastAsia="Times New Roman" w:hAnsi="Calibri" w:cs="Times New Roman"/>
          <w:b/>
          <w:szCs w:val="24"/>
          <w:lang w:val="en-US"/>
        </w:rPr>
        <w:t xml:space="preserve"> </w:t>
      </w:r>
      <w:r w:rsidR="00150BF8" w:rsidRPr="00150BF8">
        <w:rPr>
          <w:rFonts w:ascii="Calibri" w:eastAsia="Times New Roman" w:hAnsi="Calibri" w:cs="Calibri"/>
          <w:szCs w:val="24"/>
          <w:lang w:val="en-US"/>
        </w:rPr>
        <w:t>(</w:t>
      </w:r>
      <w:r w:rsidR="00150BF8" w:rsidRPr="00150BF8">
        <w:rPr>
          <w:rFonts w:ascii="Calibri" w:eastAsia="Calibri" w:hAnsi="Calibri" w:cs="Arial"/>
          <w:i/>
          <w:szCs w:val="24"/>
        </w:rPr>
        <w:t>„Službeni list CG“, broj 7/20</w:t>
      </w:r>
      <w:r w:rsidR="00150BF8" w:rsidRPr="00150BF8">
        <w:rPr>
          <w:rFonts w:ascii="Calibri" w:eastAsia="Calibri" w:hAnsi="Calibri" w:cs="Arial"/>
          <w:szCs w:val="24"/>
        </w:rPr>
        <w:t>) -</w:t>
      </w:r>
      <w:r w:rsidR="00150BF8" w:rsidRPr="00150BF8">
        <w:rPr>
          <w:rFonts w:ascii="Calibri" w:eastAsia="Times New Roman" w:hAnsi="Calibri" w:cs="Times New Roman"/>
          <w:szCs w:val="24"/>
          <w:lang w:val="en-US"/>
        </w:rPr>
        <w:t xml:space="preserve"> Ovim pravilnikom propisuju se uslovi i način izdavanja upozorenja i naloga u postupku sprovođenja ovlašćenja carinskog službenika. Upozorenje je radnja kojom ovlašćeni carinski službenik u postupku sprovođenja nadzora ukazuje licu da svojim ponašanjem, djelovanjem ili propuštanjem određene radnje može dovesti u opasnost svoju bezbjednost ili bezbjednost drugog lica, ili bi moglo da počini ili izazazove drugo lice da počini kažnjivu radnju, kao i radnja koja se primjenjuje u slučajevima kada se ugrožava roba koja se nalazi na mjestu nadzora. Nalog je radnja kojom ovlašćeni carinski službenik u postupku sprovođenja nadzora obavezuje lice na određeno ponašanje, djelovanje, zabranu ili propuštanje određenog postupanja.</w:t>
      </w:r>
    </w:p>
    <w:p w:rsidR="00150BF8" w:rsidRPr="00150BF8" w:rsidRDefault="00A90812" w:rsidP="00A90812">
      <w:pPr>
        <w:spacing w:before="0" w:after="200" w:line="240" w:lineRule="auto"/>
        <w:contextualSpacing/>
        <w:rPr>
          <w:rFonts w:ascii="Calibri" w:eastAsia="Times New Roman" w:hAnsi="Calibri" w:cs="Arial"/>
          <w:bCs/>
          <w:color w:val="000000"/>
          <w:szCs w:val="24"/>
          <w:lang w:val="sl-SI" w:eastAsia="sr-Latn-ME"/>
        </w:rPr>
      </w:pPr>
      <w:r>
        <w:rPr>
          <w:rFonts w:ascii="Calibri" w:eastAsia="Times New Roman" w:hAnsi="Calibri" w:cs="Times New Roman"/>
          <w:b/>
          <w:bCs/>
          <w:i/>
          <w:color w:val="000000"/>
          <w:szCs w:val="24"/>
          <w:lang w:val="sr-Latn-ME" w:eastAsia="sr-Latn-ME"/>
        </w:rPr>
        <w:t xml:space="preserve">12. </w:t>
      </w:r>
      <w:r w:rsidR="00150BF8" w:rsidRPr="00150BF8">
        <w:rPr>
          <w:rFonts w:ascii="Calibri" w:eastAsia="Times New Roman" w:hAnsi="Calibri" w:cs="Times New Roman"/>
          <w:b/>
          <w:bCs/>
          <w:i/>
          <w:color w:val="000000"/>
          <w:szCs w:val="24"/>
          <w:lang w:val="sr-Latn-ME" w:eastAsia="sr-Latn-ME"/>
        </w:rPr>
        <w:t xml:space="preserve">Pravilnik </w:t>
      </w:r>
      <w:r w:rsidR="00150BF8" w:rsidRPr="00150BF8">
        <w:rPr>
          <w:rFonts w:ascii="Calibri" w:eastAsia="Calibri" w:hAnsi="Calibri" w:cs="Times New Roman"/>
          <w:b/>
          <w:bCs/>
          <w:i/>
          <w:color w:val="000000"/>
          <w:szCs w:val="24"/>
          <w:lang w:val="sr-Latn-ME" w:eastAsia="sr-Latn-ME"/>
        </w:rPr>
        <w:t>o  praćenju, zaustavljanju, pregledu i pretresu prevoznih sredstava, putnika i prtljaga</w:t>
      </w:r>
      <w:r w:rsidR="00150BF8" w:rsidRPr="00150BF8">
        <w:rPr>
          <w:rFonts w:ascii="Calibri" w:eastAsia="Calibri" w:hAnsi="Calibri" w:cs="Times New Roman"/>
          <w:b/>
          <w:bCs/>
          <w:color w:val="000000"/>
          <w:szCs w:val="24"/>
          <w:lang w:val="sr-Latn-ME" w:eastAsia="sr-Latn-ME"/>
        </w:rPr>
        <w:t xml:space="preserve"> </w:t>
      </w:r>
      <w:r w:rsidR="00150BF8" w:rsidRPr="00150BF8">
        <w:rPr>
          <w:rFonts w:ascii="Calibri" w:eastAsia="Times New Roman" w:hAnsi="Calibri" w:cs="Calibri"/>
          <w:i/>
          <w:szCs w:val="24"/>
          <w:lang w:val="en-CA" w:eastAsia="en-CA"/>
        </w:rPr>
        <w:t>(</w:t>
      </w:r>
      <w:r w:rsidR="00150BF8" w:rsidRPr="00150BF8">
        <w:rPr>
          <w:rFonts w:ascii="Calibri" w:eastAsia="Calibri" w:hAnsi="Calibri" w:cs="Arial"/>
          <w:i/>
          <w:szCs w:val="24"/>
          <w:lang w:eastAsia="en-CA"/>
        </w:rPr>
        <w:t>„Službeni list CG“, broj 9/20)</w:t>
      </w:r>
      <w:r w:rsidR="00150BF8" w:rsidRPr="00150BF8">
        <w:rPr>
          <w:rFonts w:ascii="Calibri" w:eastAsia="Times New Roman" w:hAnsi="Calibri" w:cs="Times New Roman"/>
          <w:b/>
          <w:bCs/>
          <w:color w:val="000000"/>
          <w:szCs w:val="24"/>
          <w:lang w:val="sr-Latn-ME" w:eastAsia="sr-Latn-ME"/>
        </w:rPr>
        <w:t xml:space="preserve"> - </w:t>
      </w:r>
      <w:r w:rsidR="00150BF8" w:rsidRPr="00150BF8">
        <w:rPr>
          <w:rFonts w:ascii="Calibri" w:eastAsia="Calibri" w:hAnsi="Calibri" w:cs="Times New Roman"/>
          <w:color w:val="000000"/>
          <w:szCs w:val="24"/>
          <w:lang w:val="sr-Latn-ME" w:eastAsia="sr-Latn-ME"/>
        </w:rPr>
        <w:t>Ovlašćeni carinski službenik prilikom</w:t>
      </w:r>
      <w:r w:rsidR="00150BF8" w:rsidRPr="00150BF8">
        <w:rPr>
          <w:rFonts w:ascii="Calibri" w:eastAsia="Calibri" w:hAnsi="Calibri" w:cs="Times New Roman"/>
          <w:color w:val="000000"/>
          <w:szCs w:val="24"/>
          <w:lang w:val="sr-Latn-ME" w:eastAsia="en-CA"/>
        </w:rPr>
        <w:t xml:space="preserve"> praćenja, </w:t>
      </w:r>
      <w:r w:rsidR="00150BF8" w:rsidRPr="00150BF8">
        <w:rPr>
          <w:rFonts w:ascii="Calibri" w:eastAsia="Calibri" w:hAnsi="Calibri" w:cs="Times New Roman"/>
          <w:color w:val="000000"/>
          <w:szCs w:val="24"/>
          <w:lang w:val="en-CA" w:eastAsia="en-CA"/>
        </w:rPr>
        <w:t>zaustavljanja</w:t>
      </w:r>
      <w:r w:rsidR="00150BF8" w:rsidRPr="00150BF8">
        <w:rPr>
          <w:rFonts w:ascii="Calibri" w:eastAsia="Calibri" w:hAnsi="Calibri" w:cs="Times New Roman"/>
          <w:color w:val="000000"/>
          <w:szCs w:val="24"/>
          <w:lang w:val="sr-Latn-ME" w:eastAsia="en-CA"/>
        </w:rPr>
        <w:t xml:space="preserve">, </w:t>
      </w:r>
      <w:r w:rsidR="00150BF8" w:rsidRPr="00150BF8">
        <w:rPr>
          <w:rFonts w:ascii="Calibri" w:eastAsia="Calibri" w:hAnsi="Calibri" w:cs="Times New Roman"/>
          <w:color w:val="000000"/>
          <w:szCs w:val="24"/>
          <w:lang w:val="en-CA" w:eastAsia="en-CA"/>
        </w:rPr>
        <w:t>pregleda</w:t>
      </w:r>
      <w:r w:rsidR="00150BF8" w:rsidRPr="00150BF8">
        <w:rPr>
          <w:rFonts w:ascii="Calibri" w:eastAsia="Calibri" w:hAnsi="Calibri" w:cs="Times New Roman"/>
          <w:color w:val="000000"/>
          <w:szCs w:val="24"/>
          <w:lang w:val="sr-Latn-ME" w:eastAsia="en-CA"/>
        </w:rPr>
        <w:t xml:space="preserve"> </w:t>
      </w:r>
      <w:r w:rsidR="00150BF8" w:rsidRPr="00150BF8">
        <w:rPr>
          <w:rFonts w:ascii="Calibri" w:eastAsia="Calibri" w:hAnsi="Calibri" w:cs="Times New Roman"/>
          <w:color w:val="000000"/>
          <w:szCs w:val="24"/>
          <w:lang w:val="en-CA" w:eastAsia="en-CA"/>
        </w:rPr>
        <w:t>i</w:t>
      </w:r>
      <w:r w:rsidR="00150BF8" w:rsidRPr="00150BF8">
        <w:rPr>
          <w:rFonts w:ascii="Calibri" w:eastAsia="Calibri" w:hAnsi="Calibri" w:cs="Times New Roman"/>
          <w:color w:val="000000"/>
          <w:szCs w:val="24"/>
          <w:lang w:val="sr-Latn-ME" w:eastAsia="en-CA"/>
        </w:rPr>
        <w:t xml:space="preserve"> </w:t>
      </w:r>
      <w:r w:rsidR="00150BF8" w:rsidRPr="00150BF8">
        <w:rPr>
          <w:rFonts w:ascii="Calibri" w:eastAsia="Calibri" w:hAnsi="Calibri" w:cs="Times New Roman"/>
          <w:color w:val="000000"/>
          <w:szCs w:val="24"/>
          <w:lang w:val="en-CA" w:eastAsia="en-CA"/>
        </w:rPr>
        <w:t>pretresa</w:t>
      </w:r>
      <w:r w:rsidR="00150BF8" w:rsidRPr="00150BF8">
        <w:rPr>
          <w:rFonts w:ascii="Calibri" w:eastAsia="Calibri" w:hAnsi="Calibri" w:cs="Times New Roman"/>
          <w:color w:val="000000"/>
          <w:szCs w:val="24"/>
          <w:lang w:val="sr-Latn-ME" w:eastAsia="en-CA"/>
        </w:rPr>
        <w:t xml:space="preserve"> </w:t>
      </w:r>
      <w:r w:rsidR="00150BF8" w:rsidRPr="00150BF8">
        <w:rPr>
          <w:rFonts w:ascii="Calibri" w:eastAsia="Calibri" w:hAnsi="Calibri" w:cs="Times New Roman"/>
          <w:color w:val="000000"/>
          <w:szCs w:val="24"/>
          <w:lang w:val="en-CA" w:eastAsia="en-CA"/>
        </w:rPr>
        <w:t>prevoznih</w:t>
      </w:r>
      <w:r w:rsidR="00150BF8" w:rsidRPr="00150BF8">
        <w:rPr>
          <w:rFonts w:ascii="Calibri" w:eastAsia="Calibri" w:hAnsi="Calibri" w:cs="Times New Roman"/>
          <w:color w:val="000000"/>
          <w:szCs w:val="24"/>
          <w:lang w:val="sr-Latn-ME" w:eastAsia="en-CA"/>
        </w:rPr>
        <w:t xml:space="preserve"> </w:t>
      </w:r>
      <w:r w:rsidR="00150BF8" w:rsidRPr="00150BF8">
        <w:rPr>
          <w:rFonts w:ascii="Calibri" w:eastAsia="Calibri" w:hAnsi="Calibri" w:cs="Times New Roman"/>
          <w:color w:val="000000"/>
          <w:szCs w:val="24"/>
          <w:lang w:val="en-CA" w:eastAsia="en-CA"/>
        </w:rPr>
        <w:t>sredstava</w:t>
      </w:r>
      <w:r w:rsidR="00150BF8" w:rsidRPr="00150BF8">
        <w:rPr>
          <w:rFonts w:ascii="Calibri" w:eastAsia="Calibri" w:hAnsi="Calibri" w:cs="Times New Roman"/>
          <w:color w:val="000000"/>
          <w:szCs w:val="24"/>
          <w:lang w:val="sr-Latn-ME" w:eastAsia="en-CA"/>
        </w:rPr>
        <w:t xml:space="preserve">, </w:t>
      </w:r>
      <w:r w:rsidR="00150BF8" w:rsidRPr="00150BF8">
        <w:rPr>
          <w:rFonts w:ascii="Calibri" w:eastAsia="Calibri" w:hAnsi="Calibri" w:cs="Times New Roman"/>
          <w:color w:val="000000"/>
          <w:szCs w:val="24"/>
          <w:lang w:val="en-CA" w:eastAsia="en-CA"/>
        </w:rPr>
        <w:t>putnika</w:t>
      </w:r>
      <w:r w:rsidR="00150BF8" w:rsidRPr="00150BF8">
        <w:rPr>
          <w:rFonts w:ascii="Calibri" w:eastAsia="Calibri" w:hAnsi="Calibri" w:cs="Times New Roman"/>
          <w:color w:val="000000"/>
          <w:szCs w:val="24"/>
          <w:lang w:val="sr-Latn-ME" w:eastAsia="en-CA"/>
        </w:rPr>
        <w:t xml:space="preserve"> </w:t>
      </w:r>
      <w:r w:rsidR="00150BF8" w:rsidRPr="00150BF8">
        <w:rPr>
          <w:rFonts w:ascii="Calibri" w:eastAsia="Calibri" w:hAnsi="Calibri" w:cs="Times New Roman"/>
          <w:color w:val="000000"/>
          <w:szCs w:val="24"/>
          <w:lang w:val="en-CA" w:eastAsia="en-CA"/>
        </w:rPr>
        <w:t>i</w:t>
      </w:r>
      <w:r w:rsidR="00150BF8" w:rsidRPr="00150BF8">
        <w:rPr>
          <w:rFonts w:ascii="Calibri" w:eastAsia="Calibri" w:hAnsi="Calibri" w:cs="Times New Roman"/>
          <w:color w:val="000000"/>
          <w:szCs w:val="24"/>
          <w:lang w:val="sr-Latn-ME" w:eastAsia="en-CA"/>
        </w:rPr>
        <w:t xml:space="preserve"> </w:t>
      </w:r>
      <w:r w:rsidR="00150BF8" w:rsidRPr="00150BF8">
        <w:rPr>
          <w:rFonts w:ascii="Calibri" w:eastAsia="Calibri" w:hAnsi="Calibri" w:cs="Times New Roman"/>
          <w:color w:val="000000"/>
          <w:szCs w:val="24"/>
          <w:lang w:val="en-CA" w:eastAsia="en-CA"/>
        </w:rPr>
        <w:t>prtljaga</w:t>
      </w:r>
      <w:r w:rsidR="00150BF8" w:rsidRPr="00150BF8">
        <w:rPr>
          <w:rFonts w:ascii="Calibri" w:eastAsia="Calibri" w:hAnsi="Calibri" w:cs="Times New Roman"/>
          <w:color w:val="000000"/>
          <w:szCs w:val="24"/>
          <w:lang w:val="sr-Latn-ME" w:eastAsia="en-CA"/>
        </w:rPr>
        <w:t xml:space="preserve"> </w:t>
      </w:r>
      <w:r w:rsidR="00150BF8" w:rsidRPr="00150BF8">
        <w:rPr>
          <w:rFonts w:ascii="Calibri" w:eastAsia="Calibri" w:hAnsi="Calibri" w:cs="Times New Roman"/>
          <w:color w:val="000000"/>
          <w:szCs w:val="24"/>
          <w:lang w:val="en-CA" w:eastAsia="en-CA"/>
        </w:rPr>
        <w:t>u</w:t>
      </w:r>
      <w:r w:rsidR="00150BF8" w:rsidRPr="00150BF8">
        <w:rPr>
          <w:rFonts w:ascii="Calibri" w:eastAsia="Calibri" w:hAnsi="Calibri" w:cs="Times New Roman"/>
          <w:color w:val="000000"/>
          <w:szCs w:val="24"/>
          <w:lang w:val="sr-Latn-ME" w:eastAsia="en-CA"/>
        </w:rPr>
        <w:t xml:space="preserve"> </w:t>
      </w:r>
      <w:r w:rsidR="00150BF8" w:rsidRPr="00150BF8">
        <w:rPr>
          <w:rFonts w:ascii="Calibri" w:eastAsia="Calibri" w:hAnsi="Calibri" w:cs="Times New Roman"/>
          <w:color w:val="000000"/>
          <w:szCs w:val="24"/>
          <w:lang w:val="en-CA" w:eastAsia="en-CA"/>
        </w:rPr>
        <w:t>sprovođenju carinskog</w:t>
      </w:r>
      <w:r w:rsidR="00150BF8" w:rsidRPr="00150BF8">
        <w:rPr>
          <w:rFonts w:ascii="Calibri" w:eastAsia="Calibri" w:hAnsi="Calibri" w:cs="Times New Roman"/>
          <w:color w:val="000000"/>
          <w:szCs w:val="24"/>
          <w:lang w:val="sr-Latn-ME" w:eastAsia="en-CA"/>
        </w:rPr>
        <w:t xml:space="preserve"> </w:t>
      </w:r>
      <w:r w:rsidR="00150BF8" w:rsidRPr="00150BF8">
        <w:rPr>
          <w:rFonts w:ascii="Calibri" w:eastAsia="Calibri" w:hAnsi="Calibri" w:cs="Times New Roman"/>
          <w:color w:val="000000"/>
          <w:szCs w:val="24"/>
          <w:lang w:val="en-CA" w:eastAsia="en-CA"/>
        </w:rPr>
        <w:t xml:space="preserve">nadzora postupa na način propisan ovim pravilnikom. Isto je propisano Prilogom, kao sastavnim dijelom Pravilnika i odnosi se na drumski i pomorski saobraćaj. </w:t>
      </w:r>
    </w:p>
    <w:p w:rsidR="00150BF8" w:rsidRPr="00150BF8" w:rsidRDefault="00A90812" w:rsidP="00A90812">
      <w:pPr>
        <w:spacing w:before="0" w:after="200" w:line="240" w:lineRule="auto"/>
        <w:contextualSpacing/>
        <w:rPr>
          <w:rFonts w:ascii="Calibri" w:eastAsia="Times New Roman" w:hAnsi="Calibri" w:cs="Arial"/>
          <w:bCs/>
          <w:color w:val="000000"/>
          <w:szCs w:val="24"/>
          <w:lang w:val="sl-SI" w:eastAsia="sr-Latn-ME"/>
        </w:rPr>
      </w:pPr>
      <w:r>
        <w:rPr>
          <w:rFonts w:ascii="Calibri" w:eastAsia="Times New Roman" w:hAnsi="Calibri" w:cs="Times New Roman"/>
          <w:b/>
          <w:bCs/>
          <w:i/>
          <w:color w:val="000000"/>
          <w:szCs w:val="24"/>
          <w:lang w:val="sr-Latn-ME" w:eastAsia="sr-Latn-ME"/>
        </w:rPr>
        <w:t xml:space="preserve">13. </w:t>
      </w:r>
      <w:r w:rsidR="00150BF8" w:rsidRPr="00150BF8">
        <w:rPr>
          <w:rFonts w:ascii="Calibri" w:eastAsia="Times New Roman" w:hAnsi="Calibri" w:cs="Times New Roman"/>
          <w:b/>
          <w:bCs/>
          <w:i/>
          <w:color w:val="000000"/>
          <w:szCs w:val="24"/>
          <w:lang w:val="sr-Latn-ME" w:eastAsia="sr-Latn-ME"/>
        </w:rPr>
        <w:t>Pravilnik o izmjeni Pravilnika o posebnim mjerama carinskog nadzora i carinskom postupku za robe koje se koriste za snabdijevanje prevoznih sredstava u međunarodnom prometu robe</w:t>
      </w:r>
      <w:r w:rsidR="00150BF8" w:rsidRPr="00150BF8">
        <w:rPr>
          <w:rFonts w:ascii="Calibri" w:eastAsia="Times New Roman" w:hAnsi="Calibri" w:cs="Times New Roman"/>
          <w:b/>
          <w:bCs/>
          <w:color w:val="000000"/>
          <w:szCs w:val="24"/>
          <w:lang w:val="sr-Latn-ME" w:eastAsia="sr-Latn-ME"/>
        </w:rPr>
        <w:t xml:space="preserve"> </w:t>
      </w:r>
      <w:r w:rsidR="00150BF8" w:rsidRPr="00150BF8">
        <w:rPr>
          <w:rFonts w:ascii="Calibri" w:eastAsia="Times New Roman" w:hAnsi="Calibri" w:cs="Calibri"/>
          <w:i/>
          <w:szCs w:val="24"/>
          <w:lang w:val="en-CA" w:eastAsia="en-CA"/>
        </w:rPr>
        <w:t>(</w:t>
      </w:r>
      <w:r w:rsidR="00150BF8" w:rsidRPr="00150BF8">
        <w:rPr>
          <w:rFonts w:ascii="Calibri" w:eastAsia="Calibri" w:hAnsi="Calibri" w:cs="Arial"/>
          <w:i/>
          <w:szCs w:val="24"/>
          <w:lang w:eastAsia="en-CA"/>
        </w:rPr>
        <w:t>„Službeni list CG“, broj 106/20) -</w:t>
      </w:r>
      <w:r w:rsidR="00150BF8" w:rsidRPr="00150BF8">
        <w:rPr>
          <w:rFonts w:ascii="Calibri" w:eastAsia="Times New Roman" w:hAnsi="Calibri" w:cs="Times New Roman"/>
          <w:b/>
          <w:bCs/>
          <w:color w:val="000000"/>
          <w:szCs w:val="24"/>
          <w:lang w:val="sr-Latn-ME" w:eastAsia="sr-Latn-ME"/>
        </w:rPr>
        <w:t xml:space="preserve"> </w:t>
      </w:r>
      <w:r w:rsidR="00150BF8" w:rsidRPr="00150BF8">
        <w:rPr>
          <w:rFonts w:ascii="Calibri" w:eastAsia="Calibri" w:hAnsi="Calibri" w:cs="Arial"/>
          <w:szCs w:val="24"/>
          <w:shd w:val="clear" w:color="auto" w:fill="FFFFFF"/>
          <w:lang w:val="en-CA" w:eastAsia="en-CA"/>
        </w:rPr>
        <w:t>Član 6 stav 2 Pravilnika propisivao je mogućnost carinskog organa da odredi način na koji se brodovi snabdijevaju gorivom u slučajevima kao što su remont, opravka i sl., a što je izuzetak u odnosu na pravilo definisano u članu 2 stav 1 Pravilnika, koje glasi: “</w:t>
      </w:r>
      <w:r w:rsidR="00150BF8" w:rsidRPr="00150BF8">
        <w:rPr>
          <w:rFonts w:ascii="Calibri" w:eastAsia="Calibri" w:hAnsi="Calibri" w:cs="Arial"/>
          <w:szCs w:val="24"/>
          <w:lang w:val="en-CA" w:eastAsia="en-CA"/>
        </w:rPr>
        <w:t>Brodovi, jahte i čamci, prilikom isplovljavanja iz pristaništa, odnosno luke, brodogradilišta ili sa carinskog područja Crne Gore (u daljem tekstu: carinsko područje) mogu se, pod carinskim nadzorom, snabdijevati životnim namirnicama i drugim potrebnim proizvodima iz carinskih skladišta tipa "A", "C" i "D" i posebnih spremišta u slobodnim zonama.”</w:t>
      </w:r>
      <w:r w:rsidR="00150BF8" w:rsidRPr="00150BF8">
        <w:rPr>
          <w:rFonts w:ascii="Calibri" w:eastAsia="Calibri" w:hAnsi="Calibri" w:cs="Arial"/>
          <w:szCs w:val="24"/>
          <w:shd w:val="clear" w:color="auto" w:fill="FFFFFF"/>
          <w:lang w:val="en-CA" w:eastAsia="en-CA"/>
        </w:rPr>
        <w:t xml:space="preserve"> Kako se u praksi javljaju situacije koje zahtijevaju ovakvo postupanje carinskog organa, pri čemu iste nijesu definisane članom 6 stav 2 Pravilnika, javila se potreba za izmjenom ove norme.</w:t>
      </w:r>
    </w:p>
    <w:p w:rsidR="00150BF8" w:rsidRPr="00150BF8" w:rsidRDefault="00A90812" w:rsidP="00A90812">
      <w:pPr>
        <w:spacing w:before="0" w:after="200" w:line="240" w:lineRule="auto"/>
        <w:contextualSpacing/>
        <w:rPr>
          <w:rFonts w:ascii="Calibri" w:eastAsia="Times New Roman" w:hAnsi="Calibri" w:cs="Arial"/>
          <w:bCs/>
          <w:color w:val="000000"/>
          <w:szCs w:val="24"/>
          <w:lang w:val="sl-SI" w:eastAsia="sr-Latn-ME"/>
        </w:rPr>
      </w:pPr>
      <w:r>
        <w:rPr>
          <w:rFonts w:ascii="Calibri" w:eastAsia="Calibri" w:hAnsi="Calibri" w:cs="Calibri"/>
          <w:b/>
          <w:i/>
          <w:szCs w:val="24"/>
          <w:lang w:val="sr-Latn-ME"/>
        </w:rPr>
        <w:lastRenderedPageBreak/>
        <w:t xml:space="preserve">14. </w:t>
      </w:r>
      <w:r w:rsidR="00150BF8" w:rsidRPr="00150BF8">
        <w:rPr>
          <w:rFonts w:ascii="Calibri" w:eastAsia="Calibri" w:hAnsi="Calibri" w:cs="Calibri"/>
          <w:b/>
          <w:i/>
          <w:szCs w:val="24"/>
          <w:lang w:val="sr-Latn-ME"/>
        </w:rPr>
        <w:t>Pravilnik o bližem načinu funkcionisanja informacionog sistema za elektronsku razmjenu podataka i postupku elektronske razmjene podataka o akcizama</w:t>
      </w:r>
      <w:r w:rsidR="00150BF8" w:rsidRPr="00150BF8">
        <w:rPr>
          <w:rFonts w:ascii="Calibri" w:eastAsia="Calibri" w:hAnsi="Calibri" w:cs="Calibri"/>
          <w:szCs w:val="24"/>
          <w:lang w:val="sr-Latn-ME"/>
        </w:rPr>
        <w:t xml:space="preserve"> (</w:t>
      </w:r>
      <w:r w:rsidR="00150BF8" w:rsidRPr="00150BF8">
        <w:rPr>
          <w:rFonts w:ascii="Calibri" w:eastAsia="Calibri" w:hAnsi="Calibri" w:cs="Calibri"/>
          <w:i/>
          <w:szCs w:val="24"/>
          <w:lang w:val="sr-Latn-ME"/>
        </w:rPr>
        <w:t>"Službeni list Crne Gore", broj 115/20</w:t>
      </w:r>
      <w:r w:rsidR="00150BF8" w:rsidRPr="00150BF8">
        <w:rPr>
          <w:rFonts w:ascii="Calibri" w:eastAsia="Calibri" w:hAnsi="Calibri" w:cs="Calibri"/>
          <w:szCs w:val="24"/>
          <w:lang w:val="sr-Latn-ME"/>
        </w:rPr>
        <w:t xml:space="preserve">), se primjenjuje od 1. januara 2021. godine. Navedenim pravilnikom je, shodno zakonskom ovlašćenju, propisano funkcionisanje informacionog sistema kao i </w:t>
      </w:r>
      <w:r w:rsidR="00150BF8" w:rsidRPr="00150BF8">
        <w:rPr>
          <w:rFonts w:ascii="Calibri" w:eastAsia="Times New Roman" w:hAnsi="Calibri" w:cs="Arial"/>
          <w:color w:val="231F20"/>
          <w:szCs w:val="24"/>
          <w:lang w:val="sr-Latn-ME"/>
        </w:rPr>
        <w:t xml:space="preserve">postupak elektronske razmjene podataka </w:t>
      </w:r>
      <w:r w:rsidR="00150BF8" w:rsidRPr="00150BF8">
        <w:rPr>
          <w:rFonts w:ascii="Calibri" w:eastAsia="Calibri" w:hAnsi="Calibri" w:cs="Calibri"/>
          <w:szCs w:val="24"/>
          <w:lang w:val="sr-Latn-ME"/>
        </w:rPr>
        <w:t xml:space="preserve"> </w:t>
      </w:r>
      <w:r w:rsidR="00150BF8" w:rsidRPr="00150BF8">
        <w:rPr>
          <w:rFonts w:ascii="Calibri" w:eastAsia="Times New Roman" w:hAnsi="Calibri" w:cs="Arial"/>
          <w:szCs w:val="24"/>
          <w:lang w:val="sr-Latn-ME"/>
        </w:rPr>
        <w:t>o akcizama koja se vrši na osnovu autorizovanog digitalnog sertifikata u skladu sa zakonom kojim se uređuju elektronska uprava, elektronska identifikacija i elektronski potpis.</w:t>
      </w:r>
    </w:p>
    <w:p w:rsidR="00150BF8" w:rsidRPr="00150BF8" w:rsidRDefault="00A90812" w:rsidP="00A90812">
      <w:pPr>
        <w:spacing w:before="0" w:after="200" w:line="240" w:lineRule="auto"/>
        <w:contextualSpacing/>
        <w:rPr>
          <w:rFonts w:ascii="Calibri" w:eastAsia="Times New Roman" w:hAnsi="Calibri" w:cs="Arial"/>
          <w:bCs/>
          <w:i/>
          <w:color w:val="000000"/>
          <w:szCs w:val="24"/>
          <w:lang w:val="sl-SI" w:eastAsia="sr-Latn-ME"/>
        </w:rPr>
      </w:pPr>
      <w:r>
        <w:rPr>
          <w:rFonts w:ascii="Calibri" w:eastAsia="Times New Roman" w:hAnsi="Calibri" w:cs="Arial"/>
          <w:b/>
          <w:bCs/>
          <w:i/>
          <w:color w:val="000000"/>
          <w:szCs w:val="24"/>
          <w:lang w:val="sl-SI" w:eastAsia="sr-Latn-ME"/>
        </w:rPr>
        <w:t xml:space="preserve">15. </w:t>
      </w:r>
      <w:r w:rsidR="00150BF8" w:rsidRPr="00150BF8">
        <w:rPr>
          <w:rFonts w:ascii="Calibri" w:eastAsia="Times New Roman" w:hAnsi="Calibri" w:cs="Arial"/>
          <w:b/>
          <w:bCs/>
          <w:i/>
          <w:color w:val="000000"/>
          <w:szCs w:val="24"/>
          <w:lang w:val="sl-SI" w:eastAsia="sr-Latn-ME"/>
        </w:rPr>
        <w:t xml:space="preserve">Pravilnik o sadržaju i načinu ovjere knjige računa, načinu  dostavljanja računa bez jedinstvenog identifikacionog koda računa i načinu provjere računa za koji je izvršen postupak fiskalizacije </w:t>
      </w:r>
      <w:r w:rsidR="00150BF8" w:rsidRPr="00150BF8">
        <w:rPr>
          <w:rFonts w:ascii="Calibri" w:eastAsia="Times New Roman" w:hAnsi="Calibri" w:cs="Arial"/>
          <w:bCs/>
          <w:i/>
          <w:color w:val="000000"/>
          <w:szCs w:val="24"/>
          <w:lang w:val="sl-SI" w:eastAsia="sr-Latn-ME"/>
        </w:rPr>
        <w:t xml:space="preserve">("Službeni list Crne Gore", br. 54/20) - </w:t>
      </w:r>
      <w:r w:rsidR="00150BF8" w:rsidRPr="00150BF8">
        <w:rPr>
          <w:rFonts w:ascii="Calibri" w:eastAsia="Times New Roman" w:hAnsi="Calibri" w:cs="Arial"/>
          <w:bCs/>
          <w:color w:val="000000"/>
          <w:szCs w:val="24"/>
          <w:lang w:val="sl-SI" w:eastAsia="sr-Latn-ME"/>
        </w:rPr>
        <w:t>Ovim pravilnikom propisuje se sadržaj i način ovjere knjige računa, obrazac obavještenja o prestanku rada fiskalnog servisa, način dostavljanja računa koji su izdati nakon prestanka rada fiskalnog servisa i način provjere prijavljenih računa za koji je izvršen postupak fiskalizacije.</w:t>
      </w:r>
    </w:p>
    <w:p w:rsidR="00A90812" w:rsidRDefault="00A90812" w:rsidP="00A90812">
      <w:pPr>
        <w:spacing w:before="0" w:after="200" w:line="240" w:lineRule="auto"/>
        <w:contextualSpacing/>
        <w:rPr>
          <w:rFonts w:ascii="Calibri" w:eastAsia="Times New Roman" w:hAnsi="Calibri" w:cs="Arial"/>
          <w:bCs/>
          <w:i/>
          <w:color w:val="000000"/>
          <w:szCs w:val="24"/>
          <w:lang w:val="sl-SI" w:eastAsia="sr-Latn-ME"/>
        </w:rPr>
      </w:pPr>
      <w:r>
        <w:rPr>
          <w:rFonts w:ascii="Calibri" w:eastAsia="Times New Roman" w:hAnsi="Calibri" w:cs="Arial"/>
          <w:b/>
          <w:bCs/>
          <w:i/>
          <w:color w:val="000000"/>
          <w:szCs w:val="24"/>
          <w:lang w:val="sl-SI" w:eastAsia="sr-Latn-ME"/>
        </w:rPr>
        <w:t xml:space="preserve">16. </w:t>
      </w:r>
      <w:r w:rsidR="00150BF8" w:rsidRPr="00150BF8">
        <w:rPr>
          <w:rFonts w:ascii="Calibri" w:eastAsia="Times New Roman" w:hAnsi="Calibri" w:cs="Arial"/>
          <w:b/>
          <w:bCs/>
          <w:i/>
          <w:color w:val="000000"/>
          <w:szCs w:val="24"/>
          <w:lang w:val="sl-SI" w:eastAsia="sr-Latn-ME"/>
        </w:rPr>
        <w:t xml:space="preserve">Pravilnik o sadržaju prijave oznake operatera fiskalnog  servisa, načinu generisanja identifikacionog koda obveznika fiskalizacije i načinu dostavljanja podataka i generisanja oznake o poslovnim prostorima obveznika fiskalizacije </w:t>
      </w:r>
      <w:r w:rsidR="00150BF8" w:rsidRPr="00150BF8">
        <w:rPr>
          <w:rFonts w:ascii="Calibri" w:eastAsia="Times New Roman" w:hAnsi="Calibri" w:cs="Arial"/>
          <w:bCs/>
          <w:i/>
          <w:color w:val="000000"/>
          <w:szCs w:val="24"/>
          <w:lang w:val="sl-SI" w:eastAsia="sr-Latn-ME"/>
        </w:rPr>
        <w:t xml:space="preserve">("Službeni list Crne Gore", br. 54/20) - </w:t>
      </w:r>
      <w:r w:rsidR="00150BF8" w:rsidRPr="00150BF8">
        <w:rPr>
          <w:rFonts w:ascii="Calibri" w:eastAsia="Times New Roman" w:hAnsi="Calibri" w:cs="Arial"/>
          <w:bCs/>
          <w:color w:val="000000"/>
          <w:szCs w:val="24"/>
          <w:lang w:val="sl-SI" w:eastAsia="sr-Latn-ME"/>
        </w:rPr>
        <w:t>Ovim pravilnikom propisuje se sadržaj prijave oznake operatora fiskalnog servisa, način uvida u podatke dostavljene organu uprave nadležnom za poslove naplate javnih prihoda i način testiranja korišćenja fiskalnog servisa, način generisanja, dužina i tip zapisa za identifikacioni kod obveznika fiskalizacije, način dostavljanja podataka i način generisanja oznake o poslovnim prostorima u kojima obveznik fiskalizacije obavlja djelatnost i sadržaj jedinstvene identifikacione oznake proizvođača i održavalaca programskog rješenja.</w:t>
      </w:r>
    </w:p>
    <w:p w:rsidR="00150BF8" w:rsidRPr="00150BF8" w:rsidRDefault="00A90812" w:rsidP="00A90812">
      <w:pPr>
        <w:spacing w:before="0" w:after="200" w:line="240" w:lineRule="auto"/>
        <w:contextualSpacing/>
        <w:rPr>
          <w:rFonts w:ascii="Calibri" w:eastAsia="Times New Roman" w:hAnsi="Calibri" w:cs="Arial"/>
          <w:bCs/>
          <w:i/>
          <w:color w:val="000000"/>
          <w:szCs w:val="24"/>
          <w:lang w:val="sl-SI" w:eastAsia="sr-Latn-ME"/>
        </w:rPr>
      </w:pPr>
      <w:r w:rsidRPr="00A90812">
        <w:rPr>
          <w:rFonts w:ascii="Calibri" w:eastAsia="Times New Roman" w:hAnsi="Calibri" w:cs="Arial"/>
          <w:b/>
          <w:bCs/>
          <w:i/>
          <w:color w:val="000000"/>
          <w:szCs w:val="24"/>
          <w:lang w:val="sl-SI" w:eastAsia="sr-Latn-ME"/>
        </w:rPr>
        <w:t>17.</w:t>
      </w:r>
      <w:r>
        <w:rPr>
          <w:rFonts w:ascii="Calibri" w:eastAsia="Times New Roman" w:hAnsi="Calibri" w:cs="Arial"/>
          <w:bCs/>
          <w:i/>
          <w:color w:val="000000"/>
          <w:szCs w:val="24"/>
          <w:lang w:val="sl-SI" w:eastAsia="sr-Latn-ME"/>
        </w:rPr>
        <w:t xml:space="preserve"> </w:t>
      </w:r>
      <w:r w:rsidR="00150BF8" w:rsidRPr="00150BF8">
        <w:rPr>
          <w:rFonts w:ascii="Calibri" w:eastAsia="Times New Roman" w:hAnsi="Calibri" w:cs="Arial"/>
          <w:b/>
          <w:bCs/>
          <w:i/>
          <w:color w:val="000000"/>
          <w:szCs w:val="24"/>
          <w:lang w:val="sl-SI" w:eastAsia="sr-Latn-ME"/>
        </w:rPr>
        <w:t xml:space="preserve">Pravilnik o obliku i strukturi poruka i sigurnosnim mehanizmima za razmjenu poruka fiskalnog računa i načinu dostavljanja računa koji su izdati u slučaju prekida stalne internet veze </w:t>
      </w:r>
      <w:r w:rsidR="00150BF8" w:rsidRPr="00150BF8">
        <w:rPr>
          <w:rFonts w:ascii="Calibri" w:eastAsia="Times New Roman" w:hAnsi="Calibri" w:cs="Arial"/>
          <w:bCs/>
          <w:i/>
          <w:color w:val="000000"/>
          <w:szCs w:val="24"/>
          <w:lang w:val="sl-SI" w:eastAsia="sr-Latn-ME"/>
        </w:rPr>
        <w:t xml:space="preserve">("Službeni list Crne Gore", br. 54/20) - </w:t>
      </w:r>
      <w:r w:rsidR="00150BF8" w:rsidRPr="00150BF8">
        <w:rPr>
          <w:rFonts w:ascii="Calibri" w:eastAsia="Times New Roman" w:hAnsi="Calibri" w:cs="Arial"/>
          <w:bCs/>
          <w:color w:val="000000"/>
          <w:szCs w:val="24"/>
          <w:lang w:val="sl-SI" w:eastAsia="sr-Latn-ME"/>
        </w:rPr>
        <w:t>Ovim pravilnikom propisuje se oblik i struktura poruka sa obaveznim elementima fiskalnog računa, dužina i izgled zapisa za jedinstveni identifikacioni kod računa, protokoli i sigurnosni mehanizmi za razmjenu poruka, model primjene kod kojeg se koristi centralni informacioni sistem obveznika fiskalizacije za slanje i potpisivanje elektronskih poruka, model primjene u kojem se slanje i potpisivanje poruka obavlja pojedinačno na elektronskim naplatnim uređajima, standardne poruke o greškama, protokoli o postupanju u slučaju grešaka, a koje su dio fiskalnog servisa, za potrebe sprovođenja postupka fiskalizacije izdavanja fiskalnih računa, odnosno prodaje roba ili usluga putem samonaplatnih uređaja (automata) i način dostavljanja računa koji su izdati u slučaju prekida stalne internet veze.</w:t>
      </w:r>
    </w:p>
    <w:p w:rsidR="00150BF8" w:rsidRPr="00150BF8" w:rsidRDefault="00A90812" w:rsidP="00A90812">
      <w:pPr>
        <w:spacing w:before="0" w:after="200" w:line="240" w:lineRule="auto"/>
        <w:contextualSpacing/>
        <w:rPr>
          <w:rFonts w:ascii="Calibri" w:eastAsia="Times New Roman" w:hAnsi="Calibri" w:cs="Arial"/>
          <w:bCs/>
          <w:i/>
          <w:color w:val="000000"/>
          <w:szCs w:val="24"/>
          <w:lang w:val="sl-SI" w:eastAsia="sr-Latn-ME"/>
        </w:rPr>
      </w:pPr>
      <w:r>
        <w:rPr>
          <w:rFonts w:ascii="Calibri" w:eastAsia="Times New Roman" w:hAnsi="Calibri" w:cs="Arial"/>
          <w:b/>
          <w:bCs/>
          <w:i/>
          <w:color w:val="000000"/>
          <w:szCs w:val="24"/>
          <w:lang w:val="sl-SI" w:eastAsia="sr-Latn-ME"/>
        </w:rPr>
        <w:t xml:space="preserve">18. </w:t>
      </w:r>
      <w:r w:rsidR="00150BF8" w:rsidRPr="00150BF8">
        <w:rPr>
          <w:rFonts w:ascii="Calibri" w:eastAsia="Times New Roman" w:hAnsi="Calibri" w:cs="Arial"/>
          <w:b/>
          <w:bCs/>
          <w:i/>
          <w:color w:val="000000"/>
          <w:szCs w:val="24"/>
          <w:lang w:val="sl-SI" w:eastAsia="sr-Latn-ME"/>
        </w:rPr>
        <w:t xml:space="preserve">Pravilnik o postupku izdavanja i postupku obnavljanja potvrde  o nedostupnosti usluge pristupa internetu i načinu sprovođenja provjere dostupnosti usluge pristupa internetu na lokaciji na kojoj poreski obveznik obavlja djelatnost </w:t>
      </w:r>
      <w:r w:rsidR="00150BF8" w:rsidRPr="00150BF8">
        <w:rPr>
          <w:rFonts w:ascii="Calibri" w:eastAsia="Times New Roman" w:hAnsi="Calibri" w:cs="Arial"/>
          <w:bCs/>
          <w:i/>
          <w:color w:val="000000"/>
          <w:szCs w:val="24"/>
          <w:lang w:val="sl-SI" w:eastAsia="sr-Latn-ME"/>
        </w:rPr>
        <w:t xml:space="preserve">("Službeni list Crne Gore", br. 72/20)-  </w:t>
      </w:r>
      <w:r w:rsidR="00150BF8" w:rsidRPr="00150BF8">
        <w:rPr>
          <w:rFonts w:ascii="Calibri" w:eastAsia="Times New Roman" w:hAnsi="Calibri" w:cs="Arial"/>
          <w:bCs/>
          <w:color w:val="000000"/>
          <w:szCs w:val="24"/>
          <w:lang w:val="sl-SI" w:eastAsia="sr-Latn-ME"/>
        </w:rPr>
        <w:t>Ovim pravilnikom propisuje se postupak izdavanja potvrde o nedostupnosti usluge pristupa internetu, postupak obnavljanja potvrde o nedostupnosti usluge pristupa internetu i način sprovođenja provjere dostupnosti usluge pristupa internetu na lokaciji na kojoj poreski obveznik obavlja djelatnost.</w:t>
      </w:r>
    </w:p>
    <w:p w:rsidR="00225C4F" w:rsidRDefault="00225C4F" w:rsidP="00225C4F">
      <w:pPr>
        <w:tabs>
          <w:tab w:val="left" w:pos="6340"/>
        </w:tabs>
        <w:spacing w:before="0" w:after="0" w:line="276" w:lineRule="auto"/>
        <w:rPr>
          <w:rFonts w:ascii="Calibri" w:eastAsia="Calibri" w:hAnsi="Calibri" w:cs="Times New Roman"/>
          <w:b/>
          <w:color w:val="0070C0"/>
          <w:szCs w:val="24"/>
        </w:rPr>
      </w:pPr>
    </w:p>
    <w:p w:rsidR="00150BF8" w:rsidRPr="00150BF8" w:rsidRDefault="00150BF8" w:rsidP="00537B42">
      <w:pPr>
        <w:tabs>
          <w:tab w:val="left" w:pos="6340"/>
        </w:tabs>
        <w:spacing w:before="0" w:after="0" w:line="240" w:lineRule="auto"/>
        <w:rPr>
          <w:rFonts w:ascii="Calibri" w:eastAsia="Calibri" w:hAnsi="Calibri" w:cs="Times New Roman"/>
          <w:b/>
          <w:color w:val="0070C0"/>
          <w:szCs w:val="24"/>
        </w:rPr>
      </w:pPr>
      <w:r w:rsidRPr="00150BF8">
        <w:rPr>
          <w:rFonts w:ascii="Calibri" w:eastAsia="Calibri" w:hAnsi="Calibri" w:cs="Times New Roman"/>
          <w:b/>
          <w:color w:val="0070C0"/>
          <w:szCs w:val="24"/>
        </w:rPr>
        <w:t>REALIZOVANJE ZAKLJUČAKA VLADE CRNE GORE</w:t>
      </w:r>
    </w:p>
    <w:p w:rsidR="00150BF8" w:rsidRPr="00150BF8" w:rsidRDefault="0042669F" w:rsidP="00150BF8">
      <w:pPr>
        <w:tabs>
          <w:tab w:val="left" w:pos="6340"/>
        </w:tabs>
        <w:spacing w:before="0" w:after="0" w:line="240" w:lineRule="auto"/>
        <w:rPr>
          <w:rFonts w:ascii="Calibri" w:eastAsia="Calibri" w:hAnsi="Calibri" w:cs="Times New Roman"/>
          <w:szCs w:val="24"/>
        </w:rPr>
      </w:pPr>
      <w:r>
        <w:rPr>
          <w:rFonts w:ascii="Calibri" w:eastAsia="Calibri" w:hAnsi="Calibri" w:cs="Times New Roman"/>
          <w:szCs w:val="24"/>
        </w:rPr>
        <w:t xml:space="preserve">             </w:t>
      </w:r>
      <w:r w:rsidR="00150BF8" w:rsidRPr="00150BF8">
        <w:rPr>
          <w:rFonts w:ascii="Calibri" w:eastAsia="Calibri" w:hAnsi="Calibri" w:cs="Times New Roman"/>
          <w:szCs w:val="24"/>
        </w:rPr>
        <w:t>Tokom 2020. godine Vlada Crne Gore je donijela sljedeće zaključke, a koji se odnose na Direktorat za poreski i carinski sistem:</w:t>
      </w:r>
    </w:p>
    <w:p w:rsidR="00150BF8" w:rsidRPr="00150BF8" w:rsidRDefault="00150BF8" w:rsidP="00146EBE">
      <w:pPr>
        <w:numPr>
          <w:ilvl w:val="0"/>
          <w:numId w:val="16"/>
        </w:numPr>
        <w:tabs>
          <w:tab w:val="left" w:pos="6340"/>
        </w:tabs>
        <w:spacing w:before="0" w:after="0" w:line="240" w:lineRule="auto"/>
        <w:contextualSpacing/>
        <w:jc w:val="left"/>
        <w:rPr>
          <w:rFonts w:ascii="Calibri" w:eastAsia="Calibri" w:hAnsi="Calibri" w:cs="Times New Roman"/>
          <w:szCs w:val="24"/>
        </w:rPr>
      </w:pPr>
      <w:r w:rsidRPr="00150BF8">
        <w:rPr>
          <w:rFonts w:ascii="Calibri" w:eastAsia="Calibri" w:hAnsi="Calibri" w:cs="Times New Roman"/>
          <w:szCs w:val="24"/>
        </w:rPr>
        <w:t>Zaključak broj 07-2382 od 23. aprila 2020. godine – realizacija se vrši u kontinuitetu;</w:t>
      </w:r>
    </w:p>
    <w:p w:rsidR="00150BF8" w:rsidRPr="00150BF8" w:rsidRDefault="00150BF8" w:rsidP="00146EBE">
      <w:pPr>
        <w:numPr>
          <w:ilvl w:val="0"/>
          <w:numId w:val="16"/>
        </w:numPr>
        <w:tabs>
          <w:tab w:val="left" w:pos="6340"/>
        </w:tabs>
        <w:spacing w:before="0" w:after="0" w:line="240" w:lineRule="auto"/>
        <w:contextualSpacing/>
        <w:jc w:val="left"/>
        <w:rPr>
          <w:rFonts w:ascii="Calibri" w:eastAsia="Calibri" w:hAnsi="Calibri" w:cs="Times New Roman"/>
          <w:szCs w:val="24"/>
        </w:rPr>
      </w:pPr>
      <w:r w:rsidRPr="00150BF8">
        <w:rPr>
          <w:rFonts w:ascii="Calibri" w:eastAsia="Calibri" w:hAnsi="Calibri" w:cs="Times New Roman"/>
          <w:szCs w:val="24"/>
        </w:rPr>
        <w:t>Zaključak broj 07-3711 od 23. jula 2020. godine – realizovan,</w:t>
      </w:r>
    </w:p>
    <w:p w:rsidR="00150BF8" w:rsidRPr="00150BF8" w:rsidRDefault="00150BF8" w:rsidP="00146EBE">
      <w:pPr>
        <w:numPr>
          <w:ilvl w:val="0"/>
          <w:numId w:val="16"/>
        </w:numPr>
        <w:tabs>
          <w:tab w:val="left" w:pos="6340"/>
        </w:tabs>
        <w:spacing w:before="0" w:after="0" w:line="240" w:lineRule="auto"/>
        <w:contextualSpacing/>
        <w:jc w:val="left"/>
        <w:rPr>
          <w:rFonts w:ascii="Calibri" w:eastAsia="Calibri" w:hAnsi="Calibri" w:cs="Times New Roman"/>
          <w:szCs w:val="24"/>
        </w:rPr>
      </w:pPr>
      <w:r w:rsidRPr="00150BF8">
        <w:rPr>
          <w:rFonts w:ascii="Calibri" w:eastAsia="Calibri" w:hAnsi="Calibri" w:cs="Times New Roman"/>
          <w:szCs w:val="24"/>
        </w:rPr>
        <w:t>Zaključak broj 07-2356 od 13. aprila 2020. godine – realizovan,</w:t>
      </w:r>
    </w:p>
    <w:p w:rsidR="00150BF8" w:rsidRPr="00150BF8" w:rsidRDefault="00150BF8" w:rsidP="00146EBE">
      <w:pPr>
        <w:numPr>
          <w:ilvl w:val="0"/>
          <w:numId w:val="16"/>
        </w:numPr>
        <w:tabs>
          <w:tab w:val="left" w:pos="6340"/>
        </w:tabs>
        <w:spacing w:before="0" w:after="0" w:line="240" w:lineRule="auto"/>
        <w:contextualSpacing/>
        <w:jc w:val="left"/>
        <w:rPr>
          <w:rFonts w:ascii="Calibri" w:eastAsia="Calibri" w:hAnsi="Calibri" w:cs="Times New Roman"/>
          <w:szCs w:val="24"/>
        </w:rPr>
      </w:pPr>
      <w:r w:rsidRPr="00150BF8">
        <w:rPr>
          <w:rFonts w:ascii="Calibri" w:eastAsia="Calibri" w:hAnsi="Calibri" w:cs="Times New Roman"/>
          <w:szCs w:val="24"/>
        </w:rPr>
        <w:t>Zaključak broj 07-2130 od 19. marta 2020. godine – realizovan,</w:t>
      </w:r>
    </w:p>
    <w:p w:rsidR="00150BF8" w:rsidRPr="00150BF8" w:rsidRDefault="00150BF8" w:rsidP="00146EBE">
      <w:pPr>
        <w:numPr>
          <w:ilvl w:val="0"/>
          <w:numId w:val="16"/>
        </w:numPr>
        <w:tabs>
          <w:tab w:val="left" w:pos="6340"/>
        </w:tabs>
        <w:spacing w:before="0" w:after="0" w:line="240" w:lineRule="auto"/>
        <w:contextualSpacing/>
        <w:jc w:val="left"/>
        <w:rPr>
          <w:rFonts w:ascii="Calibri" w:eastAsia="Calibri" w:hAnsi="Calibri" w:cs="Times New Roman"/>
          <w:szCs w:val="24"/>
        </w:rPr>
      </w:pPr>
      <w:r w:rsidRPr="00150BF8">
        <w:rPr>
          <w:rFonts w:ascii="Calibri" w:eastAsia="Calibri" w:hAnsi="Calibri" w:cs="Times New Roman"/>
          <w:szCs w:val="24"/>
        </w:rPr>
        <w:t>Zaključak broj 07-2766 od 20. maja 2020. godine – realizovan,</w:t>
      </w:r>
    </w:p>
    <w:p w:rsidR="00150BF8" w:rsidRPr="00150BF8" w:rsidRDefault="00150BF8" w:rsidP="00146EBE">
      <w:pPr>
        <w:numPr>
          <w:ilvl w:val="0"/>
          <w:numId w:val="16"/>
        </w:numPr>
        <w:tabs>
          <w:tab w:val="left" w:pos="6340"/>
        </w:tabs>
        <w:spacing w:before="0" w:after="0" w:line="240" w:lineRule="auto"/>
        <w:contextualSpacing/>
        <w:jc w:val="left"/>
        <w:rPr>
          <w:rFonts w:ascii="Calibri" w:eastAsia="Calibri" w:hAnsi="Calibri" w:cs="Times New Roman"/>
          <w:szCs w:val="24"/>
        </w:rPr>
      </w:pPr>
      <w:r w:rsidRPr="00150BF8">
        <w:rPr>
          <w:rFonts w:ascii="Calibri" w:eastAsia="Calibri" w:hAnsi="Calibri" w:cs="Times New Roman"/>
          <w:szCs w:val="24"/>
        </w:rPr>
        <w:t>Zaključak broj 07-2450 od 14. maja 2020. godine – realizovan,</w:t>
      </w:r>
    </w:p>
    <w:p w:rsidR="00150BF8" w:rsidRPr="00150BF8" w:rsidRDefault="00150BF8" w:rsidP="00146EBE">
      <w:pPr>
        <w:numPr>
          <w:ilvl w:val="0"/>
          <w:numId w:val="16"/>
        </w:numPr>
        <w:tabs>
          <w:tab w:val="left" w:pos="6340"/>
        </w:tabs>
        <w:spacing w:before="0" w:after="0" w:line="240" w:lineRule="auto"/>
        <w:contextualSpacing/>
        <w:jc w:val="left"/>
        <w:rPr>
          <w:rFonts w:ascii="Calibri" w:eastAsia="Calibri" w:hAnsi="Calibri" w:cs="Times New Roman"/>
          <w:szCs w:val="24"/>
        </w:rPr>
      </w:pPr>
      <w:r w:rsidRPr="00150BF8">
        <w:rPr>
          <w:rFonts w:ascii="Calibri" w:eastAsia="Calibri" w:hAnsi="Calibri" w:cs="Times New Roman"/>
          <w:szCs w:val="24"/>
        </w:rPr>
        <w:lastRenderedPageBreak/>
        <w:t>Zaključak broj 07-2601 od 28. maja 2020. godine – realizovan,</w:t>
      </w:r>
    </w:p>
    <w:p w:rsidR="00150BF8" w:rsidRPr="00150BF8" w:rsidRDefault="00150BF8" w:rsidP="00146EBE">
      <w:pPr>
        <w:numPr>
          <w:ilvl w:val="0"/>
          <w:numId w:val="16"/>
        </w:numPr>
        <w:tabs>
          <w:tab w:val="left" w:pos="6340"/>
        </w:tabs>
        <w:spacing w:before="0" w:after="0" w:line="240" w:lineRule="auto"/>
        <w:contextualSpacing/>
        <w:jc w:val="left"/>
        <w:rPr>
          <w:rFonts w:ascii="Calibri" w:eastAsia="Calibri" w:hAnsi="Calibri" w:cs="Times New Roman"/>
          <w:szCs w:val="24"/>
        </w:rPr>
      </w:pPr>
      <w:r w:rsidRPr="00150BF8">
        <w:rPr>
          <w:rFonts w:ascii="Calibri" w:eastAsia="Calibri" w:hAnsi="Calibri" w:cs="Times New Roman"/>
          <w:szCs w:val="24"/>
        </w:rPr>
        <w:t>Zaključak broj 07-3184 od 16. jula 2020. godine – realizovan,</w:t>
      </w:r>
    </w:p>
    <w:p w:rsidR="00150BF8" w:rsidRPr="00150BF8" w:rsidRDefault="00150BF8" w:rsidP="00146EBE">
      <w:pPr>
        <w:numPr>
          <w:ilvl w:val="0"/>
          <w:numId w:val="16"/>
        </w:numPr>
        <w:tabs>
          <w:tab w:val="left" w:pos="6340"/>
        </w:tabs>
        <w:spacing w:before="0" w:after="0" w:line="240" w:lineRule="auto"/>
        <w:contextualSpacing/>
        <w:jc w:val="left"/>
        <w:rPr>
          <w:rFonts w:ascii="Calibri" w:eastAsia="Calibri" w:hAnsi="Calibri" w:cs="Times New Roman"/>
          <w:szCs w:val="24"/>
        </w:rPr>
      </w:pPr>
      <w:r w:rsidRPr="00150BF8">
        <w:rPr>
          <w:rFonts w:ascii="Calibri" w:eastAsia="Calibri" w:hAnsi="Calibri" w:cs="Times New Roman"/>
          <w:szCs w:val="24"/>
        </w:rPr>
        <w:t>Zaključak broj 07-3160 od 16. jula 2020. godine – realizovan,</w:t>
      </w:r>
    </w:p>
    <w:p w:rsidR="00150BF8" w:rsidRPr="00150BF8" w:rsidRDefault="00150BF8" w:rsidP="00146EBE">
      <w:pPr>
        <w:numPr>
          <w:ilvl w:val="0"/>
          <w:numId w:val="16"/>
        </w:numPr>
        <w:tabs>
          <w:tab w:val="left" w:pos="6340"/>
        </w:tabs>
        <w:spacing w:before="0" w:after="0" w:line="240" w:lineRule="auto"/>
        <w:contextualSpacing/>
        <w:jc w:val="left"/>
        <w:rPr>
          <w:rFonts w:ascii="Calibri" w:eastAsia="Calibri" w:hAnsi="Calibri" w:cs="Times New Roman"/>
          <w:szCs w:val="24"/>
        </w:rPr>
      </w:pPr>
      <w:r w:rsidRPr="00150BF8">
        <w:rPr>
          <w:rFonts w:ascii="Calibri" w:eastAsia="Calibri" w:hAnsi="Calibri" w:cs="Times New Roman"/>
          <w:szCs w:val="24"/>
        </w:rPr>
        <w:t>Zaključak broj 07-4047 od 27. avgusta 2020. godine – realizovan,</w:t>
      </w:r>
    </w:p>
    <w:p w:rsidR="00150BF8" w:rsidRPr="00150BF8" w:rsidRDefault="00150BF8" w:rsidP="00146EBE">
      <w:pPr>
        <w:numPr>
          <w:ilvl w:val="0"/>
          <w:numId w:val="16"/>
        </w:numPr>
        <w:tabs>
          <w:tab w:val="left" w:pos="6340"/>
        </w:tabs>
        <w:spacing w:before="0" w:after="0" w:line="240" w:lineRule="auto"/>
        <w:contextualSpacing/>
        <w:jc w:val="left"/>
        <w:rPr>
          <w:rFonts w:ascii="Calibri" w:eastAsia="Calibri" w:hAnsi="Calibri" w:cs="Times New Roman"/>
          <w:szCs w:val="24"/>
        </w:rPr>
      </w:pPr>
      <w:r w:rsidRPr="00150BF8">
        <w:rPr>
          <w:rFonts w:ascii="Calibri" w:eastAsia="Calibri" w:hAnsi="Calibri" w:cs="Times New Roman"/>
          <w:szCs w:val="24"/>
        </w:rPr>
        <w:t>Zaključak broj 07-5642/2 od 24. decembra 2020. godine – realizovan,</w:t>
      </w:r>
    </w:p>
    <w:p w:rsidR="00150BF8" w:rsidRPr="00150BF8" w:rsidRDefault="00150BF8" w:rsidP="00146EBE">
      <w:pPr>
        <w:numPr>
          <w:ilvl w:val="0"/>
          <w:numId w:val="16"/>
        </w:numPr>
        <w:tabs>
          <w:tab w:val="left" w:pos="6340"/>
        </w:tabs>
        <w:spacing w:before="0" w:after="0" w:line="240" w:lineRule="auto"/>
        <w:contextualSpacing/>
        <w:jc w:val="left"/>
        <w:rPr>
          <w:rFonts w:ascii="Calibri" w:eastAsia="Calibri" w:hAnsi="Calibri" w:cs="Times New Roman"/>
          <w:szCs w:val="24"/>
        </w:rPr>
      </w:pPr>
      <w:r w:rsidRPr="00150BF8">
        <w:rPr>
          <w:rFonts w:ascii="Calibri" w:eastAsia="Calibri" w:hAnsi="Calibri" w:cs="Times New Roman"/>
          <w:szCs w:val="24"/>
        </w:rPr>
        <w:t>Zaključak broj 07-5731/2 od 29. decembra 2020. godine – realizovan.</w:t>
      </w:r>
    </w:p>
    <w:p w:rsidR="00150BF8" w:rsidRPr="00150BF8" w:rsidRDefault="00150BF8" w:rsidP="00150BF8">
      <w:pPr>
        <w:tabs>
          <w:tab w:val="left" w:pos="6340"/>
        </w:tabs>
        <w:spacing w:before="0" w:after="0" w:line="240" w:lineRule="auto"/>
        <w:rPr>
          <w:rFonts w:ascii="Calibri" w:eastAsia="Calibri" w:hAnsi="Calibri" w:cs="Times New Roman"/>
          <w:szCs w:val="24"/>
        </w:rPr>
      </w:pPr>
    </w:p>
    <w:p w:rsidR="00150BF8" w:rsidRPr="00150BF8" w:rsidRDefault="00150BF8" w:rsidP="00537B42">
      <w:pPr>
        <w:tabs>
          <w:tab w:val="left" w:pos="6340"/>
        </w:tabs>
        <w:spacing w:before="0" w:after="0" w:line="240" w:lineRule="auto"/>
        <w:rPr>
          <w:rFonts w:ascii="Calibri" w:eastAsia="Calibri" w:hAnsi="Calibri" w:cs="Times New Roman"/>
          <w:b/>
          <w:color w:val="0070C0"/>
          <w:szCs w:val="24"/>
        </w:rPr>
      </w:pPr>
      <w:r w:rsidRPr="00150BF8">
        <w:rPr>
          <w:rFonts w:ascii="Calibri" w:eastAsia="Calibri" w:hAnsi="Calibri" w:cs="Times New Roman"/>
          <w:b/>
          <w:color w:val="0070C0"/>
          <w:szCs w:val="24"/>
        </w:rPr>
        <w:t>STANJE U UPRAVNIM OBLASTIMA I IZVJEŠTAJ O RADU ORGANIZACIONIH JEDINICA</w:t>
      </w:r>
    </w:p>
    <w:p w:rsidR="00150BF8" w:rsidRPr="00150BF8" w:rsidRDefault="00150BF8" w:rsidP="0042669F">
      <w:pPr>
        <w:spacing w:before="0" w:after="0" w:line="240" w:lineRule="auto"/>
        <w:ind w:firstLine="709"/>
        <w:rPr>
          <w:rFonts w:ascii="Calibri" w:eastAsia="Calibri" w:hAnsi="Calibri" w:cs="Arial"/>
          <w:bCs/>
          <w:szCs w:val="24"/>
        </w:rPr>
      </w:pPr>
      <w:r w:rsidRPr="00150BF8">
        <w:rPr>
          <w:rFonts w:ascii="Calibri" w:eastAsia="Calibri" w:hAnsi="Calibri" w:cs="Arial"/>
          <w:bCs/>
          <w:szCs w:val="24"/>
        </w:rPr>
        <w:t>Osnovna nadležnost Direkcije za izdavanje odobrenja za obavljanje proizvodnje, obrade i prometa duvanskih proizvoda</w:t>
      </w:r>
      <w:r w:rsidRPr="00150BF8">
        <w:rPr>
          <w:rFonts w:ascii="Calibri" w:eastAsia="Calibri" w:hAnsi="Calibri" w:cs="Arial"/>
          <w:b/>
          <w:bCs/>
          <w:szCs w:val="24"/>
        </w:rPr>
        <w:t xml:space="preserve"> </w:t>
      </w:r>
      <w:r w:rsidRPr="00150BF8">
        <w:rPr>
          <w:rFonts w:ascii="Calibri" w:eastAsia="Calibri" w:hAnsi="Calibri" w:cs="Arial"/>
          <w:bCs/>
          <w:szCs w:val="24"/>
        </w:rPr>
        <w:t xml:space="preserve">je primjena propisanih procedura po Zakonu o duvanu, za odlučivanje po zahtjevima privrednih subjekata radi izdavanja odobrenja za obavljanje određenih djelatnosti propisanih Zakonom. </w:t>
      </w:r>
    </w:p>
    <w:p w:rsidR="00150BF8" w:rsidRDefault="00150BF8" w:rsidP="0042669F">
      <w:pPr>
        <w:spacing w:before="0" w:after="0" w:line="240" w:lineRule="auto"/>
        <w:ind w:firstLine="709"/>
        <w:rPr>
          <w:rFonts w:ascii="Calibri" w:eastAsia="Calibri" w:hAnsi="Calibri" w:cs="Arial"/>
          <w:szCs w:val="24"/>
        </w:rPr>
      </w:pPr>
      <w:r w:rsidRPr="00150BF8">
        <w:rPr>
          <w:rFonts w:ascii="Calibri" w:eastAsia="Calibri" w:hAnsi="Calibri" w:cs="Arial"/>
          <w:szCs w:val="24"/>
        </w:rPr>
        <w:t xml:space="preserve">U toku 2020. godine </w:t>
      </w:r>
      <w:r w:rsidRPr="00150BF8">
        <w:rPr>
          <w:rFonts w:ascii="Calibri" w:eastAsia="Calibri" w:hAnsi="Calibri" w:cs="Arial"/>
          <w:bCs/>
          <w:szCs w:val="24"/>
        </w:rPr>
        <w:t>Direkcija</w:t>
      </w:r>
      <w:r w:rsidRPr="00150BF8">
        <w:rPr>
          <w:rFonts w:ascii="Calibri" w:eastAsia="Calibri" w:hAnsi="Calibri" w:cs="Arial"/>
          <w:b/>
          <w:bCs/>
          <w:szCs w:val="24"/>
        </w:rPr>
        <w:t xml:space="preserve"> </w:t>
      </w:r>
      <w:r w:rsidRPr="00150BF8">
        <w:rPr>
          <w:rFonts w:ascii="Calibri" w:eastAsia="Calibri" w:hAnsi="Calibri" w:cs="Arial"/>
          <w:bCs/>
          <w:szCs w:val="24"/>
        </w:rPr>
        <w:t xml:space="preserve">za izdavanje odobrenja za obavljanje proizvodnje, obrade i prometa duvanskih proizvoda </w:t>
      </w:r>
      <w:r w:rsidRPr="00150BF8">
        <w:rPr>
          <w:rFonts w:ascii="Calibri" w:eastAsia="Calibri" w:hAnsi="Calibri" w:cs="Arial"/>
          <w:szCs w:val="24"/>
        </w:rPr>
        <w:t>donijela je 1.029 rješenja. U sljedećoj tabeli dat je pregled donesenih rješenja u 2020. godini.</w:t>
      </w:r>
    </w:p>
    <w:p w:rsidR="00537B42" w:rsidRPr="00150BF8" w:rsidRDefault="00537B42" w:rsidP="0042669F">
      <w:pPr>
        <w:spacing w:before="0" w:after="0" w:line="240" w:lineRule="auto"/>
        <w:ind w:firstLine="709"/>
        <w:rPr>
          <w:rFonts w:ascii="Calibri" w:eastAsia="Calibri" w:hAnsi="Calibri" w:cs="Arial"/>
          <w:szCs w:val="24"/>
        </w:rPr>
      </w:pPr>
    </w:p>
    <w:p w:rsidR="00150BF8" w:rsidRDefault="00150BF8" w:rsidP="00150BF8">
      <w:pPr>
        <w:keepNext/>
        <w:spacing w:before="0" w:after="0" w:line="240" w:lineRule="auto"/>
        <w:jc w:val="center"/>
        <w:rPr>
          <w:rFonts w:ascii="Calibri Light" w:eastAsia="Calibri" w:hAnsi="Calibri Light" w:cs="Times New Roman"/>
          <w:i/>
          <w:iCs/>
          <w:color w:val="002060"/>
          <w:sz w:val="18"/>
          <w:szCs w:val="18"/>
        </w:rPr>
      </w:pPr>
      <w:r w:rsidRPr="00150BF8">
        <w:rPr>
          <w:rFonts w:ascii="Calibri Light" w:eastAsia="Calibri" w:hAnsi="Calibri Light" w:cs="Times New Roman"/>
          <w:i/>
          <w:iCs/>
          <w:color w:val="002060"/>
          <w:sz w:val="18"/>
          <w:szCs w:val="18"/>
        </w:rPr>
        <w:t>Pregled rješenja Direkcije za izdavanje odobrenja za obavljanje proizvodnje, obrade i prometa duvanskih proizvoda</w:t>
      </w:r>
    </w:p>
    <w:p w:rsidR="00101664" w:rsidRPr="00150BF8" w:rsidRDefault="00101664" w:rsidP="00150BF8">
      <w:pPr>
        <w:keepNext/>
        <w:spacing w:before="0" w:after="0" w:line="240" w:lineRule="auto"/>
        <w:jc w:val="center"/>
        <w:rPr>
          <w:rFonts w:ascii="Calibri Light" w:eastAsia="Calibri" w:hAnsi="Calibri Light" w:cs="Times New Roman"/>
          <w:i/>
          <w:iCs/>
          <w:color w:val="002060"/>
          <w:sz w:val="18"/>
          <w:szCs w:val="18"/>
        </w:rPr>
      </w:pPr>
    </w:p>
    <w:tbl>
      <w:tblPr>
        <w:tblStyle w:val="LightList-Accent51"/>
        <w:tblW w:w="9636" w:type="dxa"/>
        <w:tblLayout w:type="fixed"/>
        <w:tblLook w:val="04A0" w:firstRow="1" w:lastRow="0" w:firstColumn="1" w:lastColumn="0" w:noHBand="0" w:noVBand="1"/>
      </w:tblPr>
      <w:tblGrid>
        <w:gridCol w:w="817"/>
        <w:gridCol w:w="7796"/>
        <w:gridCol w:w="1023"/>
      </w:tblGrid>
      <w:tr w:rsidR="00150BF8" w:rsidRPr="00150BF8" w:rsidTr="00225C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top w:val="threeDEmboss" w:sz="18" w:space="0" w:color="00B0F0"/>
              <w:left w:val="threeDEmboss" w:sz="18" w:space="0" w:color="00B0F0"/>
            </w:tcBorders>
            <w:shd w:val="clear" w:color="auto" w:fill="00B0F0"/>
            <w:vAlign w:val="center"/>
            <w:hideMark/>
          </w:tcPr>
          <w:p w:rsidR="00150BF8" w:rsidRPr="00150BF8" w:rsidRDefault="00150BF8" w:rsidP="00150BF8">
            <w:pPr>
              <w:spacing w:before="0" w:after="0" w:line="240" w:lineRule="auto"/>
              <w:jc w:val="center"/>
              <w:rPr>
                <w:rFonts w:ascii="Calibri Light" w:eastAsia="Calibri" w:hAnsi="Calibri Light" w:cs="Arial"/>
                <w:sz w:val="22"/>
              </w:rPr>
            </w:pPr>
            <w:r w:rsidRPr="00150BF8">
              <w:rPr>
                <w:rFonts w:ascii="Calibri Light" w:eastAsia="Calibri" w:hAnsi="Calibri Light" w:cs="Arial"/>
                <w:sz w:val="22"/>
              </w:rPr>
              <w:t>Redni broj</w:t>
            </w:r>
          </w:p>
        </w:tc>
        <w:tc>
          <w:tcPr>
            <w:tcW w:w="7796" w:type="dxa"/>
            <w:tcBorders>
              <w:top w:val="threeDEmboss" w:sz="18" w:space="0" w:color="00B0F0"/>
            </w:tcBorders>
            <w:shd w:val="clear" w:color="auto" w:fill="00B0F0"/>
            <w:vAlign w:val="center"/>
            <w:hideMark/>
          </w:tcPr>
          <w:p w:rsidR="00150BF8" w:rsidRPr="00150BF8" w:rsidRDefault="00150BF8" w:rsidP="00150BF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Light" w:eastAsia="Calibri" w:hAnsi="Calibri Light" w:cs="Arial"/>
                <w:sz w:val="22"/>
              </w:rPr>
            </w:pPr>
            <w:r w:rsidRPr="00150BF8">
              <w:rPr>
                <w:rFonts w:ascii="Calibri Light" w:eastAsia="Calibri" w:hAnsi="Calibri Light" w:cs="Arial"/>
                <w:sz w:val="22"/>
              </w:rPr>
              <w:t>Vrsta rješenja</w:t>
            </w:r>
          </w:p>
        </w:tc>
        <w:tc>
          <w:tcPr>
            <w:tcW w:w="1023" w:type="dxa"/>
            <w:tcBorders>
              <w:top w:val="threeDEmboss" w:sz="18" w:space="0" w:color="00B0F0"/>
              <w:right w:val="threeDEmboss" w:sz="18" w:space="0" w:color="00B0F0"/>
            </w:tcBorders>
            <w:shd w:val="clear" w:color="auto" w:fill="00B0F0"/>
            <w:vAlign w:val="center"/>
            <w:hideMark/>
          </w:tcPr>
          <w:p w:rsidR="00150BF8" w:rsidRPr="00150BF8" w:rsidRDefault="00150BF8" w:rsidP="00150BF8">
            <w:pPr>
              <w:spacing w:before="0" w:after="0" w:line="240" w:lineRule="auto"/>
              <w:ind w:left="-108" w:firstLine="108"/>
              <w:jc w:val="center"/>
              <w:cnfStyle w:val="100000000000" w:firstRow="1" w:lastRow="0" w:firstColumn="0" w:lastColumn="0" w:oddVBand="0" w:evenVBand="0" w:oddHBand="0" w:evenHBand="0" w:firstRowFirstColumn="0" w:firstRowLastColumn="0" w:lastRowFirstColumn="0" w:lastRowLastColumn="0"/>
              <w:rPr>
                <w:rFonts w:ascii="Calibri Light" w:eastAsia="Calibri" w:hAnsi="Calibri Light" w:cs="Arial"/>
                <w:sz w:val="22"/>
              </w:rPr>
            </w:pPr>
            <w:r w:rsidRPr="00150BF8">
              <w:rPr>
                <w:rFonts w:ascii="Calibri Light" w:eastAsia="Calibri" w:hAnsi="Calibri Light" w:cs="Arial"/>
                <w:sz w:val="22"/>
              </w:rPr>
              <w:t>Broj rješenja</w:t>
            </w:r>
          </w:p>
        </w:tc>
      </w:tr>
      <w:tr w:rsidR="00150BF8" w:rsidRPr="00150BF8" w:rsidTr="00225C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left w:val="threeDEmboss" w:sz="18" w:space="0" w:color="00B0F0"/>
            </w:tcBorders>
            <w:hideMark/>
          </w:tcPr>
          <w:p w:rsidR="00150BF8" w:rsidRPr="00150BF8" w:rsidRDefault="00150BF8" w:rsidP="00150BF8">
            <w:pPr>
              <w:spacing w:before="0" w:after="0" w:line="240" w:lineRule="auto"/>
              <w:jc w:val="center"/>
              <w:rPr>
                <w:rFonts w:ascii="Calibri Light" w:eastAsia="Calibri" w:hAnsi="Calibri Light" w:cs="Arial"/>
                <w:sz w:val="20"/>
                <w:szCs w:val="20"/>
              </w:rPr>
            </w:pPr>
            <w:r w:rsidRPr="00150BF8">
              <w:rPr>
                <w:rFonts w:ascii="Calibri Light" w:eastAsia="Calibri" w:hAnsi="Calibri Light" w:cs="Arial"/>
                <w:sz w:val="20"/>
                <w:szCs w:val="20"/>
              </w:rPr>
              <w:t>1.</w:t>
            </w:r>
          </w:p>
        </w:tc>
        <w:tc>
          <w:tcPr>
            <w:tcW w:w="7796" w:type="dxa"/>
            <w:hideMark/>
          </w:tcPr>
          <w:p w:rsidR="00150BF8" w:rsidRPr="00150BF8" w:rsidRDefault="00150BF8" w:rsidP="00150BF8">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Light" w:eastAsia="Calibri" w:hAnsi="Calibri Light" w:cs="Arial"/>
                <w:bCs/>
                <w:sz w:val="20"/>
                <w:szCs w:val="20"/>
              </w:rPr>
            </w:pPr>
            <w:r w:rsidRPr="00150BF8">
              <w:rPr>
                <w:rFonts w:ascii="Calibri Light" w:eastAsia="Calibri" w:hAnsi="Calibri Light" w:cs="Arial"/>
                <w:bCs/>
                <w:sz w:val="20"/>
                <w:szCs w:val="20"/>
              </w:rPr>
              <w:t>Obavljanje uvoza duvana, obrađenog duvana i duvanskih proizvoda</w:t>
            </w:r>
          </w:p>
        </w:tc>
        <w:tc>
          <w:tcPr>
            <w:tcW w:w="1023" w:type="dxa"/>
            <w:tcBorders>
              <w:right w:val="threeDEmboss" w:sz="18" w:space="0" w:color="00B0F0"/>
            </w:tcBorders>
            <w:hideMark/>
          </w:tcPr>
          <w:p w:rsidR="00150BF8" w:rsidRPr="00150BF8" w:rsidRDefault="00150BF8" w:rsidP="00150BF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Arial"/>
                <w:bCs/>
                <w:sz w:val="20"/>
                <w:szCs w:val="20"/>
              </w:rPr>
            </w:pPr>
            <w:r w:rsidRPr="00150BF8">
              <w:rPr>
                <w:rFonts w:ascii="Calibri Light" w:eastAsia="Calibri" w:hAnsi="Calibri Light" w:cs="Arial"/>
                <w:bCs/>
                <w:sz w:val="20"/>
                <w:szCs w:val="20"/>
              </w:rPr>
              <w:t>3</w:t>
            </w:r>
          </w:p>
        </w:tc>
      </w:tr>
      <w:tr w:rsidR="00150BF8" w:rsidRPr="00150BF8" w:rsidTr="00225C4F">
        <w:tc>
          <w:tcPr>
            <w:cnfStyle w:val="001000000000" w:firstRow="0" w:lastRow="0" w:firstColumn="1" w:lastColumn="0" w:oddVBand="0" w:evenVBand="0" w:oddHBand="0" w:evenHBand="0" w:firstRowFirstColumn="0" w:firstRowLastColumn="0" w:lastRowFirstColumn="0" w:lastRowLastColumn="0"/>
            <w:tcW w:w="817" w:type="dxa"/>
            <w:tcBorders>
              <w:left w:val="threeDEmboss" w:sz="18" w:space="0" w:color="00B0F0"/>
            </w:tcBorders>
            <w:hideMark/>
          </w:tcPr>
          <w:p w:rsidR="00150BF8" w:rsidRPr="00150BF8" w:rsidRDefault="00150BF8" w:rsidP="00150BF8">
            <w:pPr>
              <w:spacing w:before="0" w:after="0" w:line="240" w:lineRule="auto"/>
              <w:jc w:val="center"/>
              <w:rPr>
                <w:rFonts w:ascii="Calibri Light" w:eastAsia="Calibri" w:hAnsi="Calibri Light" w:cs="Arial"/>
                <w:sz w:val="20"/>
                <w:szCs w:val="20"/>
              </w:rPr>
            </w:pPr>
            <w:r w:rsidRPr="00150BF8">
              <w:rPr>
                <w:rFonts w:ascii="Calibri Light" w:eastAsia="Calibri" w:hAnsi="Calibri Light" w:cs="Arial"/>
                <w:sz w:val="20"/>
                <w:szCs w:val="20"/>
              </w:rPr>
              <w:t>2.</w:t>
            </w:r>
          </w:p>
        </w:tc>
        <w:tc>
          <w:tcPr>
            <w:tcW w:w="7796" w:type="dxa"/>
            <w:hideMark/>
          </w:tcPr>
          <w:p w:rsidR="00150BF8" w:rsidRPr="00150BF8" w:rsidRDefault="00150BF8" w:rsidP="00150BF8">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Light" w:eastAsia="Calibri" w:hAnsi="Calibri Light" w:cs="Arial"/>
                <w:bCs/>
                <w:sz w:val="20"/>
                <w:szCs w:val="20"/>
              </w:rPr>
            </w:pPr>
            <w:r w:rsidRPr="00150BF8">
              <w:rPr>
                <w:rFonts w:ascii="Calibri Light" w:eastAsia="Calibri" w:hAnsi="Calibri Light" w:cs="Arial"/>
                <w:bCs/>
                <w:sz w:val="20"/>
                <w:szCs w:val="20"/>
              </w:rPr>
              <w:t>Obavljanje prometa na veliko duvanskim proizvodima</w:t>
            </w:r>
          </w:p>
        </w:tc>
        <w:tc>
          <w:tcPr>
            <w:tcW w:w="1023" w:type="dxa"/>
            <w:tcBorders>
              <w:right w:val="threeDEmboss" w:sz="18" w:space="0" w:color="00B0F0"/>
            </w:tcBorders>
            <w:hideMark/>
          </w:tcPr>
          <w:p w:rsidR="00150BF8" w:rsidRPr="00150BF8" w:rsidRDefault="00150BF8" w:rsidP="00150BF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Arial"/>
                <w:bCs/>
                <w:sz w:val="20"/>
                <w:szCs w:val="20"/>
              </w:rPr>
            </w:pPr>
            <w:r w:rsidRPr="00150BF8">
              <w:rPr>
                <w:rFonts w:ascii="Calibri Light" w:eastAsia="Calibri" w:hAnsi="Calibri Light" w:cs="Arial"/>
                <w:bCs/>
                <w:sz w:val="20"/>
                <w:szCs w:val="20"/>
              </w:rPr>
              <w:t>2</w:t>
            </w:r>
          </w:p>
        </w:tc>
      </w:tr>
      <w:tr w:rsidR="00150BF8" w:rsidRPr="00150BF8" w:rsidTr="00225C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left w:val="threeDEmboss" w:sz="18" w:space="0" w:color="00B0F0"/>
            </w:tcBorders>
            <w:hideMark/>
          </w:tcPr>
          <w:p w:rsidR="00150BF8" w:rsidRPr="00150BF8" w:rsidRDefault="00150BF8" w:rsidP="00150BF8">
            <w:pPr>
              <w:spacing w:before="0" w:after="0" w:line="240" w:lineRule="auto"/>
              <w:jc w:val="center"/>
              <w:rPr>
                <w:rFonts w:ascii="Calibri Light" w:eastAsia="Calibri" w:hAnsi="Calibri Light" w:cs="Arial"/>
                <w:sz w:val="20"/>
                <w:szCs w:val="20"/>
              </w:rPr>
            </w:pPr>
            <w:r w:rsidRPr="00150BF8">
              <w:rPr>
                <w:rFonts w:ascii="Calibri Light" w:eastAsia="Calibri" w:hAnsi="Calibri Light" w:cs="Arial"/>
                <w:sz w:val="20"/>
                <w:szCs w:val="20"/>
              </w:rPr>
              <w:t>3.</w:t>
            </w:r>
          </w:p>
        </w:tc>
        <w:tc>
          <w:tcPr>
            <w:tcW w:w="7796" w:type="dxa"/>
            <w:hideMark/>
          </w:tcPr>
          <w:p w:rsidR="00150BF8" w:rsidRPr="00150BF8" w:rsidRDefault="00150BF8" w:rsidP="00150BF8">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Light" w:eastAsia="Calibri" w:hAnsi="Calibri Light" w:cs="Arial"/>
                <w:bCs/>
                <w:sz w:val="20"/>
                <w:szCs w:val="20"/>
              </w:rPr>
            </w:pPr>
            <w:r w:rsidRPr="00150BF8">
              <w:rPr>
                <w:rFonts w:ascii="Calibri Light" w:eastAsia="Calibri" w:hAnsi="Calibri Light" w:cs="Arial"/>
                <w:bCs/>
                <w:sz w:val="20"/>
                <w:szCs w:val="20"/>
              </w:rPr>
              <w:t>Obavljanje prometa na malo duvanskim proizvodima</w:t>
            </w:r>
          </w:p>
        </w:tc>
        <w:tc>
          <w:tcPr>
            <w:tcW w:w="1023" w:type="dxa"/>
            <w:tcBorders>
              <w:right w:val="threeDEmboss" w:sz="18" w:space="0" w:color="00B0F0"/>
            </w:tcBorders>
            <w:hideMark/>
          </w:tcPr>
          <w:p w:rsidR="00150BF8" w:rsidRPr="00150BF8" w:rsidRDefault="00150BF8" w:rsidP="00150BF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Arial"/>
                <w:bCs/>
                <w:sz w:val="20"/>
                <w:szCs w:val="20"/>
              </w:rPr>
            </w:pPr>
            <w:r w:rsidRPr="00150BF8">
              <w:rPr>
                <w:rFonts w:ascii="Calibri Light" w:eastAsia="Calibri" w:hAnsi="Calibri Light" w:cs="Arial"/>
                <w:bCs/>
                <w:sz w:val="20"/>
                <w:szCs w:val="20"/>
              </w:rPr>
              <w:t>812</w:t>
            </w:r>
          </w:p>
        </w:tc>
      </w:tr>
      <w:tr w:rsidR="00150BF8" w:rsidRPr="00150BF8" w:rsidTr="00225C4F">
        <w:tc>
          <w:tcPr>
            <w:cnfStyle w:val="001000000000" w:firstRow="0" w:lastRow="0" w:firstColumn="1" w:lastColumn="0" w:oddVBand="0" w:evenVBand="0" w:oddHBand="0" w:evenHBand="0" w:firstRowFirstColumn="0" w:firstRowLastColumn="0" w:lastRowFirstColumn="0" w:lastRowLastColumn="0"/>
            <w:tcW w:w="817" w:type="dxa"/>
            <w:tcBorders>
              <w:left w:val="threeDEmboss" w:sz="18" w:space="0" w:color="00B0F0"/>
            </w:tcBorders>
            <w:hideMark/>
          </w:tcPr>
          <w:p w:rsidR="00150BF8" w:rsidRPr="00150BF8" w:rsidRDefault="00150BF8" w:rsidP="00150BF8">
            <w:pPr>
              <w:spacing w:before="0" w:after="0" w:line="240" w:lineRule="auto"/>
              <w:jc w:val="center"/>
              <w:rPr>
                <w:rFonts w:ascii="Calibri Light" w:eastAsia="Calibri" w:hAnsi="Calibri Light" w:cs="Arial"/>
                <w:sz w:val="20"/>
                <w:szCs w:val="20"/>
              </w:rPr>
            </w:pPr>
            <w:r w:rsidRPr="00150BF8">
              <w:rPr>
                <w:rFonts w:ascii="Calibri Light" w:eastAsia="Calibri" w:hAnsi="Calibri Light" w:cs="Arial"/>
                <w:sz w:val="20"/>
                <w:szCs w:val="20"/>
              </w:rPr>
              <w:t>4.</w:t>
            </w:r>
          </w:p>
        </w:tc>
        <w:tc>
          <w:tcPr>
            <w:tcW w:w="7796" w:type="dxa"/>
            <w:hideMark/>
          </w:tcPr>
          <w:p w:rsidR="00150BF8" w:rsidRPr="00150BF8" w:rsidRDefault="00150BF8" w:rsidP="00150BF8">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Light" w:eastAsia="Calibri" w:hAnsi="Calibri Light" w:cs="Arial"/>
                <w:bCs/>
                <w:sz w:val="20"/>
                <w:szCs w:val="20"/>
              </w:rPr>
            </w:pPr>
            <w:r w:rsidRPr="00150BF8">
              <w:rPr>
                <w:rFonts w:ascii="Calibri Light" w:eastAsia="Calibri" w:hAnsi="Calibri Light" w:cs="Arial"/>
                <w:sz w:val="20"/>
                <w:szCs w:val="20"/>
              </w:rPr>
              <w:t>Brisanje iz Evidencije trgovaca na malo duvanskim proizvodima</w:t>
            </w:r>
          </w:p>
        </w:tc>
        <w:tc>
          <w:tcPr>
            <w:tcW w:w="1023" w:type="dxa"/>
            <w:tcBorders>
              <w:right w:val="threeDEmboss" w:sz="18" w:space="0" w:color="00B0F0"/>
            </w:tcBorders>
            <w:hideMark/>
          </w:tcPr>
          <w:p w:rsidR="00150BF8" w:rsidRPr="00150BF8" w:rsidRDefault="00150BF8" w:rsidP="00150BF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Arial"/>
                <w:bCs/>
                <w:sz w:val="20"/>
                <w:szCs w:val="20"/>
              </w:rPr>
            </w:pPr>
            <w:r w:rsidRPr="00150BF8">
              <w:rPr>
                <w:rFonts w:ascii="Calibri Light" w:eastAsia="Calibri" w:hAnsi="Calibri Light" w:cs="Arial"/>
                <w:bCs/>
                <w:sz w:val="20"/>
                <w:szCs w:val="20"/>
              </w:rPr>
              <w:t>7</w:t>
            </w:r>
          </w:p>
        </w:tc>
      </w:tr>
      <w:tr w:rsidR="00150BF8" w:rsidRPr="00150BF8" w:rsidTr="00225C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left w:val="threeDEmboss" w:sz="18" w:space="0" w:color="00B0F0"/>
            </w:tcBorders>
            <w:hideMark/>
          </w:tcPr>
          <w:p w:rsidR="00150BF8" w:rsidRPr="00150BF8" w:rsidRDefault="00150BF8" w:rsidP="00150BF8">
            <w:pPr>
              <w:spacing w:before="0" w:after="0" w:line="240" w:lineRule="auto"/>
              <w:jc w:val="center"/>
              <w:rPr>
                <w:rFonts w:ascii="Calibri Light" w:eastAsia="Calibri" w:hAnsi="Calibri Light" w:cs="Arial"/>
                <w:sz w:val="20"/>
                <w:szCs w:val="20"/>
              </w:rPr>
            </w:pPr>
            <w:r w:rsidRPr="00150BF8">
              <w:rPr>
                <w:rFonts w:ascii="Calibri Light" w:eastAsia="Calibri" w:hAnsi="Calibri Light" w:cs="Arial"/>
                <w:sz w:val="20"/>
                <w:szCs w:val="20"/>
              </w:rPr>
              <w:t>5.</w:t>
            </w:r>
          </w:p>
        </w:tc>
        <w:tc>
          <w:tcPr>
            <w:tcW w:w="7796" w:type="dxa"/>
            <w:hideMark/>
          </w:tcPr>
          <w:p w:rsidR="00150BF8" w:rsidRPr="00150BF8" w:rsidRDefault="00150BF8" w:rsidP="00150BF8">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Light" w:eastAsia="Calibri" w:hAnsi="Calibri Light" w:cs="Arial"/>
                <w:bCs/>
                <w:sz w:val="20"/>
                <w:szCs w:val="20"/>
              </w:rPr>
            </w:pPr>
            <w:r w:rsidRPr="00150BF8">
              <w:rPr>
                <w:rFonts w:ascii="Calibri Light" w:eastAsia="Calibri" w:hAnsi="Calibri Light" w:cs="Arial"/>
                <w:sz w:val="20"/>
                <w:szCs w:val="20"/>
              </w:rPr>
              <w:t>Upis u registar uvoznika duvana, obrađenog duvana i duvanskih proizvoda</w:t>
            </w:r>
          </w:p>
        </w:tc>
        <w:tc>
          <w:tcPr>
            <w:tcW w:w="1023" w:type="dxa"/>
            <w:tcBorders>
              <w:right w:val="threeDEmboss" w:sz="18" w:space="0" w:color="00B0F0"/>
            </w:tcBorders>
            <w:hideMark/>
          </w:tcPr>
          <w:p w:rsidR="00150BF8" w:rsidRPr="00150BF8" w:rsidRDefault="00150BF8" w:rsidP="00150BF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Arial"/>
                <w:bCs/>
                <w:sz w:val="20"/>
                <w:szCs w:val="20"/>
              </w:rPr>
            </w:pPr>
            <w:r w:rsidRPr="00150BF8">
              <w:rPr>
                <w:rFonts w:ascii="Calibri Light" w:eastAsia="Calibri" w:hAnsi="Calibri Light" w:cs="Arial"/>
                <w:bCs/>
                <w:sz w:val="20"/>
                <w:szCs w:val="20"/>
              </w:rPr>
              <w:t>3</w:t>
            </w:r>
          </w:p>
        </w:tc>
      </w:tr>
      <w:tr w:rsidR="00150BF8" w:rsidRPr="00150BF8" w:rsidTr="00225C4F">
        <w:tc>
          <w:tcPr>
            <w:cnfStyle w:val="001000000000" w:firstRow="0" w:lastRow="0" w:firstColumn="1" w:lastColumn="0" w:oddVBand="0" w:evenVBand="0" w:oddHBand="0" w:evenHBand="0" w:firstRowFirstColumn="0" w:firstRowLastColumn="0" w:lastRowFirstColumn="0" w:lastRowLastColumn="0"/>
            <w:tcW w:w="817" w:type="dxa"/>
            <w:tcBorders>
              <w:left w:val="threeDEmboss" w:sz="18" w:space="0" w:color="00B0F0"/>
            </w:tcBorders>
            <w:hideMark/>
          </w:tcPr>
          <w:p w:rsidR="00150BF8" w:rsidRPr="00150BF8" w:rsidRDefault="00150BF8" w:rsidP="00150BF8">
            <w:pPr>
              <w:spacing w:before="0" w:after="0" w:line="240" w:lineRule="auto"/>
              <w:jc w:val="center"/>
              <w:rPr>
                <w:rFonts w:ascii="Calibri Light" w:eastAsia="Calibri" w:hAnsi="Calibri Light" w:cs="Arial"/>
                <w:sz w:val="20"/>
                <w:szCs w:val="20"/>
              </w:rPr>
            </w:pPr>
            <w:r w:rsidRPr="00150BF8">
              <w:rPr>
                <w:rFonts w:ascii="Calibri Light" w:eastAsia="Calibri" w:hAnsi="Calibri Light" w:cs="Arial"/>
                <w:sz w:val="20"/>
                <w:szCs w:val="20"/>
              </w:rPr>
              <w:t>6.</w:t>
            </w:r>
          </w:p>
        </w:tc>
        <w:tc>
          <w:tcPr>
            <w:tcW w:w="7796" w:type="dxa"/>
            <w:hideMark/>
          </w:tcPr>
          <w:p w:rsidR="00150BF8" w:rsidRPr="00150BF8" w:rsidRDefault="00150BF8" w:rsidP="00150BF8">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Light" w:eastAsia="Calibri" w:hAnsi="Calibri Light" w:cs="Arial"/>
                <w:bCs/>
                <w:sz w:val="20"/>
                <w:szCs w:val="20"/>
              </w:rPr>
            </w:pPr>
            <w:r w:rsidRPr="00150BF8">
              <w:rPr>
                <w:rFonts w:ascii="Calibri Light" w:eastAsia="Calibri" w:hAnsi="Calibri Light" w:cs="Arial"/>
                <w:sz w:val="20"/>
                <w:szCs w:val="20"/>
              </w:rPr>
              <w:t>Upis u registar trgovaca na veliko duvanskim proizvodima</w:t>
            </w:r>
          </w:p>
        </w:tc>
        <w:tc>
          <w:tcPr>
            <w:tcW w:w="1023" w:type="dxa"/>
            <w:tcBorders>
              <w:right w:val="threeDEmboss" w:sz="18" w:space="0" w:color="00B0F0"/>
            </w:tcBorders>
            <w:hideMark/>
          </w:tcPr>
          <w:p w:rsidR="00150BF8" w:rsidRPr="00150BF8" w:rsidRDefault="00150BF8" w:rsidP="00150BF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Arial"/>
                <w:bCs/>
                <w:sz w:val="20"/>
                <w:szCs w:val="20"/>
              </w:rPr>
            </w:pPr>
            <w:r w:rsidRPr="00150BF8">
              <w:rPr>
                <w:rFonts w:ascii="Calibri Light" w:eastAsia="Calibri" w:hAnsi="Calibri Light" w:cs="Arial"/>
                <w:bCs/>
                <w:sz w:val="20"/>
                <w:szCs w:val="20"/>
              </w:rPr>
              <w:t>2</w:t>
            </w:r>
          </w:p>
        </w:tc>
      </w:tr>
      <w:tr w:rsidR="00150BF8" w:rsidRPr="00150BF8" w:rsidTr="00225C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left w:val="threeDEmboss" w:sz="18" w:space="0" w:color="00B0F0"/>
              <w:bottom w:val="threeDEmboss" w:sz="18" w:space="0" w:color="00B0F0"/>
            </w:tcBorders>
            <w:hideMark/>
          </w:tcPr>
          <w:p w:rsidR="00150BF8" w:rsidRPr="00150BF8" w:rsidRDefault="00150BF8" w:rsidP="00150BF8">
            <w:pPr>
              <w:spacing w:before="0" w:after="0" w:line="240" w:lineRule="auto"/>
              <w:jc w:val="center"/>
              <w:rPr>
                <w:rFonts w:ascii="Calibri Light" w:eastAsia="Calibri" w:hAnsi="Calibri Light" w:cs="Arial"/>
                <w:sz w:val="20"/>
                <w:szCs w:val="20"/>
              </w:rPr>
            </w:pPr>
            <w:r w:rsidRPr="00150BF8">
              <w:rPr>
                <w:rFonts w:ascii="Calibri Light" w:eastAsia="Calibri" w:hAnsi="Calibri Light" w:cs="Arial"/>
                <w:sz w:val="20"/>
                <w:szCs w:val="20"/>
              </w:rPr>
              <w:t>7.</w:t>
            </w:r>
          </w:p>
        </w:tc>
        <w:tc>
          <w:tcPr>
            <w:tcW w:w="7796" w:type="dxa"/>
            <w:tcBorders>
              <w:bottom w:val="threeDEmboss" w:sz="18" w:space="0" w:color="00B0F0"/>
            </w:tcBorders>
            <w:hideMark/>
          </w:tcPr>
          <w:p w:rsidR="00150BF8" w:rsidRPr="00150BF8" w:rsidRDefault="00150BF8" w:rsidP="00150BF8">
            <w:pPr>
              <w:spacing w:before="0" w:after="0" w:line="240" w:lineRule="auto"/>
              <w:cnfStyle w:val="000000100000" w:firstRow="0" w:lastRow="0" w:firstColumn="0" w:lastColumn="0" w:oddVBand="0" w:evenVBand="0" w:oddHBand="1" w:evenHBand="0" w:firstRowFirstColumn="0" w:firstRowLastColumn="0" w:lastRowFirstColumn="0" w:lastRowLastColumn="0"/>
              <w:rPr>
                <w:rFonts w:ascii="Calibri Light" w:eastAsia="Calibri" w:hAnsi="Calibri Light" w:cs="Arial"/>
                <w:bCs/>
                <w:sz w:val="20"/>
                <w:szCs w:val="20"/>
              </w:rPr>
            </w:pPr>
            <w:r w:rsidRPr="00150BF8">
              <w:rPr>
                <w:rFonts w:ascii="Calibri Light" w:eastAsia="Calibri" w:hAnsi="Calibri Light" w:cs="Arial"/>
                <w:sz w:val="20"/>
                <w:szCs w:val="20"/>
              </w:rPr>
              <w:t>Upis u registar o markama duvanskih proizvoda</w:t>
            </w:r>
          </w:p>
        </w:tc>
        <w:tc>
          <w:tcPr>
            <w:tcW w:w="1023" w:type="dxa"/>
            <w:tcBorders>
              <w:bottom w:val="threeDEmboss" w:sz="18" w:space="0" w:color="00B0F0"/>
              <w:right w:val="threeDEmboss" w:sz="18" w:space="0" w:color="00B0F0"/>
            </w:tcBorders>
            <w:hideMark/>
          </w:tcPr>
          <w:p w:rsidR="00150BF8" w:rsidRPr="00150BF8" w:rsidRDefault="00150BF8" w:rsidP="00150BF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Arial"/>
                <w:bCs/>
                <w:sz w:val="20"/>
                <w:szCs w:val="20"/>
              </w:rPr>
            </w:pPr>
            <w:r w:rsidRPr="00150BF8">
              <w:rPr>
                <w:rFonts w:ascii="Calibri Light" w:eastAsia="Calibri" w:hAnsi="Calibri Light" w:cs="Arial"/>
                <w:bCs/>
                <w:sz w:val="20"/>
                <w:szCs w:val="20"/>
              </w:rPr>
              <w:t>200</w:t>
            </w:r>
          </w:p>
        </w:tc>
      </w:tr>
    </w:tbl>
    <w:p w:rsidR="00150BF8" w:rsidRPr="00150BF8" w:rsidRDefault="00150BF8" w:rsidP="00150BF8">
      <w:pPr>
        <w:spacing w:before="0" w:line="240" w:lineRule="auto"/>
        <w:contextualSpacing/>
        <w:rPr>
          <w:rFonts w:ascii="Calibri Light" w:eastAsia="Calibri" w:hAnsi="Calibri Light" w:cs="Arial"/>
          <w:sz w:val="22"/>
        </w:rPr>
      </w:pPr>
    </w:p>
    <w:p w:rsidR="00150BF8" w:rsidRPr="00150BF8" w:rsidRDefault="00150BF8" w:rsidP="0042669F">
      <w:pPr>
        <w:spacing w:before="0" w:after="0" w:line="240" w:lineRule="auto"/>
        <w:ind w:firstLine="709"/>
        <w:rPr>
          <w:rFonts w:ascii="Calibri" w:eastAsia="Calibri" w:hAnsi="Calibri" w:cs="Arial"/>
          <w:szCs w:val="24"/>
        </w:rPr>
      </w:pPr>
      <w:r w:rsidRPr="00150BF8">
        <w:rPr>
          <w:rFonts w:ascii="Calibri" w:eastAsia="Calibri" w:hAnsi="Calibri" w:cs="Arial"/>
          <w:szCs w:val="24"/>
          <w:lang w:val="pl-PL"/>
        </w:rPr>
        <w:t xml:space="preserve">Shodno Zakonu o duvanu </w:t>
      </w:r>
      <w:r w:rsidRPr="00150BF8">
        <w:rPr>
          <w:rFonts w:ascii="Calibri" w:eastAsia="Calibri" w:hAnsi="Calibri" w:cs="Arial"/>
          <w:szCs w:val="24"/>
        </w:rPr>
        <w:t xml:space="preserve">jedna od nadležnosti Direkcije je i praćenje stanja na tržištu duvanskih proizvoda. </w:t>
      </w:r>
    </w:p>
    <w:p w:rsidR="00150BF8" w:rsidRPr="00150BF8" w:rsidRDefault="00150BF8" w:rsidP="0042669F">
      <w:pPr>
        <w:spacing w:before="0" w:after="0" w:line="240" w:lineRule="auto"/>
        <w:ind w:firstLine="709"/>
        <w:rPr>
          <w:rFonts w:ascii="Calibri" w:eastAsia="Calibri" w:hAnsi="Calibri" w:cs="Arial"/>
          <w:bCs/>
          <w:noProof/>
          <w:szCs w:val="24"/>
        </w:rPr>
      </w:pPr>
      <w:r w:rsidRPr="00150BF8">
        <w:rPr>
          <w:rFonts w:ascii="Calibri" w:eastAsia="Calibri" w:hAnsi="Calibri" w:cs="Arial"/>
          <w:szCs w:val="24"/>
        </w:rPr>
        <w:t>U 2020.</w:t>
      </w:r>
      <w:r w:rsidR="00674E2C">
        <w:rPr>
          <w:rFonts w:ascii="Calibri" w:eastAsia="Calibri" w:hAnsi="Calibri" w:cs="Arial"/>
          <w:szCs w:val="24"/>
        </w:rPr>
        <w:t xml:space="preserve"> </w:t>
      </w:r>
      <w:r w:rsidRPr="00150BF8">
        <w:rPr>
          <w:rFonts w:ascii="Calibri" w:eastAsia="Calibri" w:hAnsi="Calibri" w:cs="Arial"/>
          <w:szCs w:val="24"/>
        </w:rPr>
        <w:t>godini dominirala je prodaja cigareta nabavljena od inostranih proizvođača u ukupnoj prodaji cigareta.</w:t>
      </w:r>
      <w:r w:rsidRPr="00150BF8">
        <w:rPr>
          <w:rFonts w:ascii="Calibri" w:eastAsia="Calibri" w:hAnsi="Calibri" w:cs="Arial"/>
          <w:bCs/>
          <w:noProof/>
          <w:szCs w:val="24"/>
        </w:rPr>
        <w:t xml:space="preserve"> Ostvarena prodaja cigareta u 2020. godini manja je u odnosu na prethodnu godinu. </w:t>
      </w:r>
    </w:p>
    <w:p w:rsidR="00150BF8" w:rsidRPr="00150BF8" w:rsidRDefault="00150BF8" w:rsidP="0042669F">
      <w:pPr>
        <w:spacing w:before="0" w:after="0" w:line="240" w:lineRule="auto"/>
        <w:ind w:firstLine="709"/>
        <w:rPr>
          <w:rFonts w:ascii="Calibri" w:eastAsia="Calibri" w:hAnsi="Calibri" w:cs="Arial"/>
          <w:szCs w:val="24"/>
        </w:rPr>
      </w:pPr>
      <w:r w:rsidRPr="00150BF8">
        <w:rPr>
          <w:rFonts w:ascii="Calibri" w:eastAsia="Calibri" w:hAnsi="Calibri" w:cs="Arial"/>
          <w:bCs/>
          <w:noProof/>
          <w:szCs w:val="24"/>
        </w:rPr>
        <w:t xml:space="preserve">Krajnji subjekti u prometnom lancu su maloprodajni objekti, i  prema evidenciji </w:t>
      </w:r>
      <w:r w:rsidRPr="00150BF8">
        <w:rPr>
          <w:rFonts w:ascii="Calibri" w:eastAsia="Calibri" w:hAnsi="Calibri" w:cs="Arial"/>
          <w:bCs/>
          <w:szCs w:val="24"/>
        </w:rPr>
        <w:t>Direkcije</w:t>
      </w:r>
      <w:r w:rsidRPr="00150BF8">
        <w:rPr>
          <w:rFonts w:ascii="Calibri" w:eastAsia="Calibri" w:hAnsi="Calibri" w:cs="Arial"/>
          <w:bCs/>
          <w:noProof/>
          <w:szCs w:val="24"/>
        </w:rPr>
        <w:t xml:space="preserve"> dozvolu za prodaju cigareta ima oko 1.700 maloprodajnih objekata.</w:t>
      </w:r>
      <w:r w:rsidRPr="00150BF8">
        <w:rPr>
          <w:rFonts w:ascii="Calibri" w:eastAsia="Calibri" w:hAnsi="Calibri" w:cs="Arial"/>
          <w:szCs w:val="24"/>
        </w:rPr>
        <w:t xml:space="preserve"> </w:t>
      </w:r>
    </w:p>
    <w:p w:rsidR="00150BF8" w:rsidRPr="00150BF8" w:rsidRDefault="00150BF8" w:rsidP="0042669F">
      <w:pPr>
        <w:spacing w:before="0" w:after="0" w:line="240" w:lineRule="auto"/>
        <w:ind w:firstLine="709"/>
        <w:rPr>
          <w:rFonts w:ascii="Calibri" w:eastAsia="Calibri" w:hAnsi="Calibri" w:cs="Arial"/>
          <w:noProof/>
          <w:szCs w:val="24"/>
        </w:rPr>
      </w:pPr>
      <w:r w:rsidRPr="00150BF8">
        <w:rPr>
          <w:rFonts w:ascii="Calibri" w:eastAsia="Calibri" w:hAnsi="Calibri" w:cs="Arial"/>
          <w:szCs w:val="24"/>
        </w:rPr>
        <w:t xml:space="preserve">Direkcija vodi i Registar o robnim markama duvanskih proizvoda, pa u 2020. godini ima registrovanih </w:t>
      </w:r>
      <w:r w:rsidRPr="00150BF8">
        <w:rPr>
          <w:rFonts w:ascii="Calibri" w:eastAsia="Calibri" w:hAnsi="Calibri" w:cs="Arial"/>
          <w:noProof/>
          <w:szCs w:val="24"/>
        </w:rPr>
        <w:t>184 marki cigareta, od čega se u prometu nalazi 137 marki.</w:t>
      </w:r>
    </w:p>
    <w:p w:rsidR="00150BF8" w:rsidRPr="00150BF8" w:rsidRDefault="00150BF8" w:rsidP="0042669F">
      <w:pPr>
        <w:spacing w:before="0" w:after="0" w:line="240" w:lineRule="auto"/>
        <w:ind w:firstLine="709"/>
        <w:rPr>
          <w:rFonts w:ascii="Calibri" w:eastAsia="Times New Roman" w:hAnsi="Calibri" w:cs="Times New Roman"/>
          <w:szCs w:val="24"/>
        </w:rPr>
      </w:pPr>
      <w:r w:rsidRPr="00150BF8">
        <w:rPr>
          <w:rFonts w:ascii="Calibri" w:eastAsia="Times New Roman" w:hAnsi="Calibri" w:cs="Times New Roman"/>
          <w:szCs w:val="24"/>
        </w:rPr>
        <w:t xml:space="preserve">Ministarstvo finansija i socijalnog staranja vrši nadzor nad zakonitošću pojedinačnih akata Poreske uprave, Uprave carina, Uprave za igre na sreću i Uprave za inspekcijske poslove u drugostepenom postupku po žalbama pravnih i fizičkih lica, a preko Direkcije za drugostepeni poreski i carinski postupak, koja je organizaciono u sastavu Direktorata za poreski i carinski sistem. </w:t>
      </w:r>
    </w:p>
    <w:p w:rsidR="00150BF8" w:rsidRPr="00150BF8" w:rsidRDefault="00150BF8" w:rsidP="0042669F">
      <w:pPr>
        <w:spacing w:before="0" w:after="0" w:line="240" w:lineRule="auto"/>
        <w:ind w:firstLine="709"/>
        <w:rPr>
          <w:rFonts w:ascii="Calibri" w:eastAsia="Times New Roman" w:hAnsi="Calibri" w:cs="Times New Roman"/>
          <w:szCs w:val="24"/>
        </w:rPr>
      </w:pPr>
      <w:r w:rsidRPr="00150BF8">
        <w:rPr>
          <w:rFonts w:ascii="Calibri" w:eastAsia="Times New Roman" w:hAnsi="Calibri" w:cs="Times New Roman"/>
          <w:szCs w:val="24"/>
        </w:rPr>
        <w:t>U Direkciji za drugostepeni poreski i carinski postupak, u 2020. godini,  zaprimljeno je ukupno 894 predmeta, računajući i 155 predmeta prenesenih iz prethodne godine, a zaprimljeno je 118 predmeta po tužbama poreskih i carinskih obveznika.</w:t>
      </w:r>
    </w:p>
    <w:p w:rsidR="00150BF8" w:rsidRDefault="00150BF8" w:rsidP="0042669F">
      <w:pPr>
        <w:spacing w:before="0" w:after="0" w:line="240" w:lineRule="auto"/>
        <w:ind w:firstLine="709"/>
        <w:rPr>
          <w:rFonts w:ascii="Calibri" w:eastAsia="Times New Roman" w:hAnsi="Calibri" w:cs="Times New Roman"/>
          <w:szCs w:val="24"/>
        </w:rPr>
      </w:pPr>
      <w:r w:rsidRPr="00150BF8">
        <w:rPr>
          <w:rFonts w:ascii="Calibri" w:eastAsia="Times New Roman" w:hAnsi="Calibri" w:cs="Times New Roman"/>
          <w:szCs w:val="24"/>
        </w:rPr>
        <w:t>Ukupno u radu bilo je 894 predmeta, od toga riješeno je 782 predmeta, tako što je odbijeno 317 žalbi, poništeno i vraćeno na ponovni postupak i odluku prvostepenim organima 452 predmeta, obustavljeno je po žalbi 13 predmeta, dok je ostalo neriješeno 112 predmeta.</w:t>
      </w:r>
    </w:p>
    <w:p w:rsidR="00101664" w:rsidRDefault="00101664" w:rsidP="0042669F">
      <w:pPr>
        <w:spacing w:before="0" w:after="0" w:line="240" w:lineRule="auto"/>
        <w:ind w:firstLine="709"/>
        <w:rPr>
          <w:rFonts w:ascii="Calibri" w:eastAsia="Times New Roman" w:hAnsi="Calibri" w:cs="Times New Roman"/>
          <w:szCs w:val="24"/>
        </w:rPr>
      </w:pPr>
    </w:p>
    <w:p w:rsidR="00537B42" w:rsidRPr="00150BF8" w:rsidRDefault="00537B42" w:rsidP="0042669F">
      <w:pPr>
        <w:spacing w:before="0" w:after="0" w:line="240" w:lineRule="auto"/>
        <w:ind w:firstLine="709"/>
        <w:rPr>
          <w:rFonts w:ascii="Calibri" w:eastAsia="Times New Roman" w:hAnsi="Calibri" w:cs="Times New Roman"/>
          <w:szCs w:val="24"/>
        </w:rPr>
      </w:pPr>
    </w:p>
    <w:p w:rsidR="00150BF8" w:rsidRPr="00150BF8" w:rsidRDefault="00150BF8" w:rsidP="00150BF8">
      <w:pPr>
        <w:keepNext/>
        <w:spacing w:before="0" w:after="0" w:line="240" w:lineRule="auto"/>
        <w:jc w:val="center"/>
        <w:rPr>
          <w:rFonts w:ascii="Calibri Light" w:eastAsia="Calibri" w:hAnsi="Calibri Light" w:cs="Times New Roman"/>
          <w:i/>
          <w:iCs/>
          <w:color w:val="002060"/>
          <w:sz w:val="18"/>
          <w:szCs w:val="18"/>
        </w:rPr>
      </w:pPr>
      <w:r w:rsidRPr="00150BF8">
        <w:rPr>
          <w:rFonts w:ascii="Calibri Light" w:eastAsia="Calibri" w:hAnsi="Calibri Light" w:cs="Times New Roman"/>
          <w:i/>
          <w:iCs/>
          <w:color w:val="002060"/>
          <w:sz w:val="18"/>
          <w:szCs w:val="18"/>
        </w:rPr>
        <w:lastRenderedPageBreak/>
        <w:t>Izvještaj o radu Direkcije za drugostepeni poreski i carinski postupak</w:t>
      </w:r>
    </w:p>
    <w:tbl>
      <w:tblPr>
        <w:tblStyle w:val="LightList-Accent51"/>
        <w:tblW w:w="9635" w:type="dxa"/>
        <w:tblInd w:w="108" w:type="dxa"/>
        <w:tblLook w:val="04A0" w:firstRow="1" w:lastRow="0" w:firstColumn="1" w:lastColumn="0" w:noHBand="0" w:noVBand="1"/>
      </w:tblPr>
      <w:tblGrid>
        <w:gridCol w:w="1444"/>
        <w:gridCol w:w="5099"/>
        <w:gridCol w:w="298"/>
        <w:gridCol w:w="1400"/>
        <w:gridCol w:w="1394"/>
      </w:tblGrid>
      <w:tr w:rsidR="00150BF8" w:rsidRPr="00150BF8" w:rsidTr="00225C4F">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6543" w:type="dxa"/>
            <w:gridSpan w:val="2"/>
            <w:tcBorders>
              <w:top w:val="threeDEmboss" w:sz="18" w:space="0" w:color="00B0F0"/>
              <w:left w:val="threeDEmboss" w:sz="18" w:space="0" w:color="00B0F0"/>
              <w:bottom w:val="nil"/>
            </w:tcBorders>
            <w:shd w:val="clear" w:color="auto" w:fill="00B0F0"/>
          </w:tcPr>
          <w:p w:rsidR="00150BF8" w:rsidRPr="00150BF8" w:rsidRDefault="00150BF8" w:rsidP="00150BF8">
            <w:pPr>
              <w:spacing w:before="0" w:after="0" w:line="240" w:lineRule="auto"/>
              <w:jc w:val="center"/>
              <w:rPr>
                <w:rFonts w:ascii="Calibri Light" w:eastAsia="Times New Roman" w:hAnsi="Calibri Light" w:cs="Times New Roman"/>
                <w:sz w:val="20"/>
                <w:szCs w:val="20"/>
              </w:rPr>
            </w:pPr>
            <w:r w:rsidRPr="00150BF8">
              <w:rPr>
                <w:rFonts w:ascii="Calibri Light" w:eastAsia="Times New Roman" w:hAnsi="Calibri Light" w:cs="Times New Roman"/>
                <w:sz w:val="20"/>
                <w:szCs w:val="20"/>
              </w:rPr>
              <w:t>Status predmeta</w:t>
            </w:r>
          </w:p>
        </w:tc>
        <w:tc>
          <w:tcPr>
            <w:tcW w:w="298" w:type="dxa"/>
            <w:tcBorders>
              <w:top w:val="threeDEmboss" w:sz="18" w:space="0" w:color="00B0F0"/>
              <w:bottom w:val="nil"/>
              <w:right w:val="single" w:sz="8" w:space="0" w:color="4472C4"/>
            </w:tcBorders>
            <w:shd w:val="clear" w:color="auto" w:fill="00B0F0"/>
          </w:tcPr>
          <w:p w:rsidR="00150BF8" w:rsidRPr="00150BF8" w:rsidRDefault="00150BF8" w:rsidP="00150BF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Times New Roman"/>
                <w:sz w:val="20"/>
                <w:szCs w:val="20"/>
              </w:rPr>
            </w:pPr>
          </w:p>
        </w:tc>
        <w:tc>
          <w:tcPr>
            <w:tcW w:w="1400" w:type="dxa"/>
            <w:tcBorders>
              <w:top w:val="threeDEmboss" w:sz="18" w:space="0" w:color="00B0F0"/>
              <w:left w:val="single" w:sz="8" w:space="0" w:color="4472C4"/>
              <w:bottom w:val="nil"/>
            </w:tcBorders>
            <w:shd w:val="clear" w:color="auto" w:fill="00B0F0"/>
          </w:tcPr>
          <w:p w:rsidR="00150BF8" w:rsidRPr="00150BF8" w:rsidRDefault="00150BF8" w:rsidP="00150BF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Times New Roman"/>
                <w:sz w:val="20"/>
                <w:szCs w:val="20"/>
              </w:rPr>
            </w:pPr>
            <w:r w:rsidRPr="00150BF8">
              <w:rPr>
                <w:rFonts w:ascii="Calibri Light" w:eastAsia="Times New Roman" w:hAnsi="Calibri Light" w:cs="Times New Roman"/>
                <w:sz w:val="20"/>
                <w:szCs w:val="20"/>
              </w:rPr>
              <w:t>Broj</w:t>
            </w:r>
          </w:p>
        </w:tc>
        <w:tc>
          <w:tcPr>
            <w:tcW w:w="1394" w:type="dxa"/>
            <w:tcBorders>
              <w:top w:val="threeDEmboss" w:sz="18" w:space="0" w:color="00B0F0"/>
              <w:left w:val="single" w:sz="8" w:space="0" w:color="4472C4"/>
              <w:bottom w:val="nil"/>
              <w:right w:val="threeDEmboss" w:sz="18" w:space="0" w:color="00B0F0"/>
            </w:tcBorders>
            <w:shd w:val="clear" w:color="auto" w:fill="00B0F0"/>
          </w:tcPr>
          <w:p w:rsidR="00150BF8" w:rsidRPr="00150BF8" w:rsidRDefault="00150BF8" w:rsidP="00150BF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Times New Roman"/>
                <w:sz w:val="20"/>
                <w:szCs w:val="20"/>
              </w:rPr>
            </w:pPr>
            <w:r w:rsidRPr="00150BF8">
              <w:rPr>
                <w:rFonts w:ascii="Calibri Light" w:eastAsia="Times New Roman" w:hAnsi="Calibri Light" w:cs="Times New Roman"/>
                <w:sz w:val="20"/>
                <w:szCs w:val="20"/>
              </w:rPr>
              <w:t>Ukupno</w:t>
            </w:r>
          </w:p>
        </w:tc>
      </w:tr>
      <w:tr w:rsidR="00150BF8" w:rsidRPr="00150BF8" w:rsidTr="00225C4F">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1444" w:type="dxa"/>
            <w:vMerge w:val="restart"/>
            <w:tcBorders>
              <w:top w:val="nil"/>
              <w:left w:val="threeDEmboss" w:sz="18" w:space="0" w:color="00B0F0"/>
            </w:tcBorders>
            <w:vAlign w:val="center"/>
          </w:tcPr>
          <w:p w:rsidR="00150BF8" w:rsidRPr="00150BF8" w:rsidRDefault="00150BF8" w:rsidP="00150BF8">
            <w:pPr>
              <w:spacing w:before="0" w:after="0" w:line="240" w:lineRule="auto"/>
              <w:jc w:val="center"/>
              <w:rPr>
                <w:rFonts w:ascii="Calibri Light" w:eastAsia="Times New Roman" w:hAnsi="Calibri Light" w:cs="Times New Roman"/>
                <w:sz w:val="20"/>
                <w:szCs w:val="20"/>
              </w:rPr>
            </w:pPr>
            <w:r w:rsidRPr="00150BF8">
              <w:rPr>
                <w:rFonts w:ascii="Calibri Light" w:eastAsia="Times New Roman" w:hAnsi="Calibri Light" w:cs="Times New Roman"/>
                <w:sz w:val="20"/>
                <w:szCs w:val="20"/>
              </w:rPr>
              <w:t>Riješeno</w:t>
            </w:r>
          </w:p>
        </w:tc>
        <w:tc>
          <w:tcPr>
            <w:tcW w:w="5099" w:type="dxa"/>
            <w:tcBorders>
              <w:top w:val="nil"/>
            </w:tcBorders>
            <w:vAlign w:val="center"/>
          </w:tcPr>
          <w:p w:rsidR="00150BF8" w:rsidRPr="00150BF8" w:rsidRDefault="00150BF8" w:rsidP="00150BF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sz w:val="20"/>
                <w:szCs w:val="20"/>
              </w:rPr>
            </w:pPr>
            <w:r w:rsidRPr="00150BF8">
              <w:rPr>
                <w:rFonts w:ascii="Calibri Light" w:eastAsia="Times New Roman" w:hAnsi="Calibri Light" w:cs="Times New Roman"/>
                <w:sz w:val="20"/>
                <w:szCs w:val="20"/>
              </w:rPr>
              <w:t>Odbijeno</w:t>
            </w:r>
          </w:p>
        </w:tc>
        <w:tc>
          <w:tcPr>
            <w:tcW w:w="298" w:type="dxa"/>
            <w:tcBorders>
              <w:top w:val="nil"/>
              <w:right w:val="single" w:sz="8" w:space="0" w:color="4472C4"/>
            </w:tcBorders>
            <w:vAlign w:val="center"/>
          </w:tcPr>
          <w:p w:rsidR="00150BF8" w:rsidRPr="00150BF8" w:rsidRDefault="00150BF8" w:rsidP="00150BF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sz w:val="20"/>
                <w:szCs w:val="20"/>
              </w:rPr>
            </w:pPr>
          </w:p>
        </w:tc>
        <w:tc>
          <w:tcPr>
            <w:tcW w:w="1400" w:type="dxa"/>
            <w:tcBorders>
              <w:top w:val="nil"/>
              <w:left w:val="single" w:sz="8" w:space="0" w:color="4472C4"/>
            </w:tcBorders>
            <w:vAlign w:val="center"/>
          </w:tcPr>
          <w:p w:rsidR="00150BF8" w:rsidRPr="00150BF8" w:rsidRDefault="00150BF8" w:rsidP="00150BF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sz w:val="20"/>
                <w:szCs w:val="20"/>
              </w:rPr>
            </w:pPr>
            <w:r w:rsidRPr="00150BF8">
              <w:rPr>
                <w:rFonts w:ascii="Calibri Light" w:eastAsia="Times New Roman" w:hAnsi="Calibri Light" w:cs="Times New Roman"/>
                <w:sz w:val="20"/>
                <w:szCs w:val="20"/>
              </w:rPr>
              <w:t>317</w:t>
            </w:r>
          </w:p>
        </w:tc>
        <w:tc>
          <w:tcPr>
            <w:tcW w:w="1394" w:type="dxa"/>
            <w:vMerge w:val="restart"/>
            <w:tcBorders>
              <w:top w:val="nil"/>
              <w:right w:val="threeDEmboss" w:sz="18" w:space="0" w:color="00B0F0"/>
            </w:tcBorders>
            <w:vAlign w:val="center"/>
          </w:tcPr>
          <w:p w:rsidR="00150BF8" w:rsidRPr="00150BF8" w:rsidRDefault="00150BF8" w:rsidP="00150BF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sz w:val="20"/>
                <w:szCs w:val="20"/>
              </w:rPr>
            </w:pPr>
            <w:r w:rsidRPr="00150BF8">
              <w:rPr>
                <w:rFonts w:ascii="Calibri Light" w:eastAsia="Times New Roman" w:hAnsi="Calibri Light" w:cs="Times New Roman"/>
                <w:sz w:val="20"/>
                <w:szCs w:val="20"/>
              </w:rPr>
              <w:t>782</w:t>
            </w:r>
          </w:p>
        </w:tc>
      </w:tr>
      <w:tr w:rsidR="00150BF8" w:rsidRPr="00150BF8" w:rsidTr="00225C4F">
        <w:trPr>
          <w:trHeight w:val="460"/>
        </w:trPr>
        <w:tc>
          <w:tcPr>
            <w:cnfStyle w:val="001000000000" w:firstRow="0" w:lastRow="0" w:firstColumn="1" w:lastColumn="0" w:oddVBand="0" w:evenVBand="0" w:oddHBand="0" w:evenHBand="0" w:firstRowFirstColumn="0" w:firstRowLastColumn="0" w:lastRowFirstColumn="0" w:lastRowLastColumn="0"/>
            <w:tcW w:w="1444" w:type="dxa"/>
            <w:vMerge/>
            <w:tcBorders>
              <w:left w:val="threeDEmboss" w:sz="18" w:space="0" w:color="00B0F0"/>
            </w:tcBorders>
            <w:vAlign w:val="center"/>
          </w:tcPr>
          <w:p w:rsidR="00150BF8" w:rsidRPr="00150BF8" w:rsidRDefault="00150BF8" w:rsidP="00150BF8">
            <w:pPr>
              <w:spacing w:before="0" w:after="0" w:line="240" w:lineRule="auto"/>
              <w:jc w:val="center"/>
              <w:rPr>
                <w:rFonts w:ascii="Calibri Light" w:eastAsia="Times New Roman" w:hAnsi="Calibri Light" w:cs="Times New Roman"/>
                <w:sz w:val="20"/>
                <w:szCs w:val="20"/>
              </w:rPr>
            </w:pPr>
          </w:p>
        </w:tc>
        <w:tc>
          <w:tcPr>
            <w:tcW w:w="5099" w:type="dxa"/>
            <w:vAlign w:val="center"/>
          </w:tcPr>
          <w:p w:rsidR="00150BF8" w:rsidRPr="00150BF8" w:rsidRDefault="00150BF8" w:rsidP="00150BF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sz w:val="20"/>
                <w:szCs w:val="20"/>
              </w:rPr>
            </w:pPr>
            <w:r w:rsidRPr="00150BF8">
              <w:rPr>
                <w:rFonts w:ascii="Calibri Light" w:eastAsia="Times New Roman" w:hAnsi="Calibri Light" w:cs="Times New Roman"/>
                <w:sz w:val="20"/>
                <w:szCs w:val="20"/>
              </w:rPr>
              <w:t>Poništeno i vraćeno na ponovni postupak i odluku prvostepenim organima</w:t>
            </w:r>
          </w:p>
        </w:tc>
        <w:tc>
          <w:tcPr>
            <w:tcW w:w="298" w:type="dxa"/>
            <w:tcBorders>
              <w:right w:val="single" w:sz="8" w:space="0" w:color="4472C4"/>
            </w:tcBorders>
            <w:vAlign w:val="center"/>
          </w:tcPr>
          <w:p w:rsidR="00150BF8" w:rsidRPr="00150BF8" w:rsidRDefault="00150BF8" w:rsidP="00150BF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sz w:val="20"/>
                <w:szCs w:val="20"/>
              </w:rPr>
            </w:pPr>
          </w:p>
        </w:tc>
        <w:tc>
          <w:tcPr>
            <w:tcW w:w="1400" w:type="dxa"/>
            <w:tcBorders>
              <w:left w:val="single" w:sz="8" w:space="0" w:color="4472C4"/>
            </w:tcBorders>
            <w:vAlign w:val="center"/>
          </w:tcPr>
          <w:p w:rsidR="00150BF8" w:rsidRPr="00150BF8" w:rsidRDefault="00150BF8" w:rsidP="00150BF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sz w:val="20"/>
                <w:szCs w:val="20"/>
              </w:rPr>
            </w:pPr>
            <w:r w:rsidRPr="00150BF8">
              <w:rPr>
                <w:rFonts w:ascii="Calibri Light" w:eastAsia="Times New Roman" w:hAnsi="Calibri Light" w:cs="Times New Roman"/>
                <w:sz w:val="20"/>
                <w:szCs w:val="20"/>
              </w:rPr>
              <w:t>452</w:t>
            </w:r>
          </w:p>
        </w:tc>
        <w:tc>
          <w:tcPr>
            <w:tcW w:w="1394" w:type="dxa"/>
            <w:vMerge/>
            <w:tcBorders>
              <w:right w:val="threeDEmboss" w:sz="18" w:space="0" w:color="00B0F0"/>
            </w:tcBorders>
            <w:vAlign w:val="center"/>
          </w:tcPr>
          <w:p w:rsidR="00150BF8" w:rsidRPr="00150BF8" w:rsidRDefault="00150BF8" w:rsidP="00150BF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sz w:val="20"/>
                <w:szCs w:val="20"/>
              </w:rPr>
            </w:pPr>
          </w:p>
        </w:tc>
      </w:tr>
      <w:tr w:rsidR="00150BF8" w:rsidRPr="00150BF8" w:rsidTr="00225C4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44" w:type="dxa"/>
            <w:vMerge/>
            <w:tcBorders>
              <w:left w:val="threeDEmboss" w:sz="18" w:space="0" w:color="00B0F0"/>
            </w:tcBorders>
            <w:vAlign w:val="center"/>
          </w:tcPr>
          <w:p w:rsidR="00150BF8" w:rsidRPr="00150BF8" w:rsidRDefault="00150BF8" w:rsidP="00150BF8">
            <w:pPr>
              <w:spacing w:before="0" w:after="0" w:line="240" w:lineRule="auto"/>
              <w:jc w:val="center"/>
              <w:rPr>
                <w:rFonts w:ascii="Calibri Light" w:eastAsia="Times New Roman" w:hAnsi="Calibri Light" w:cs="Times New Roman"/>
                <w:sz w:val="20"/>
                <w:szCs w:val="20"/>
              </w:rPr>
            </w:pPr>
          </w:p>
        </w:tc>
        <w:tc>
          <w:tcPr>
            <w:tcW w:w="5099" w:type="dxa"/>
            <w:vAlign w:val="center"/>
          </w:tcPr>
          <w:p w:rsidR="00150BF8" w:rsidRPr="00150BF8" w:rsidRDefault="00150BF8" w:rsidP="00150BF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sz w:val="20"/>
                <w:szCs w:val="20"/>
              </w:rPr>
            </w:pPr>
            <w:r w:rsidRPr="00150BF8">
              <w:rPr>
                <w:rFonts w:ascii="Calibri Light" w:eastAsia="Times New Roman" w:hAnsi="Calibri Light" w:cs="Times New Roman"/>
                <w:sz w:val="20"/>
                <w:szCs w:val="20"/>
              </w:rPr>
              <w:t>Obustavljeno po žalbi</w:t>
            </w:r>
          </w:p>
        </w:tc>
        <w:tc>
          <w:tcPr>
            <w:tcW w:w="298" w:type="dxa"/>
            <w:tcBorders>
              <w:right w:val="single" w:sz="8" w:space="0" w:color="4472C4"/>
            </w:tcBorders>
            <w:vAlign w:val="center"/>
          </w:tcPr>
          <w:p w:rsidR="00150BF8" w:rsidRPr="00150BF8" w:rsidRDefault="00150BF8" w:rsidP="00150BF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sz w:val="20"/>
                <w:szCs w:val="20"/>
              </w:rPr>
            </w:pPr>
          </w:p>
        </w:tc>
        <w:tc>
          <w:tcPr>
            <w:tcW w:w="1400" w:type="dxa"/>
            <w:tcBorders>
              <w:left w:val="single" w:sz="8" w:space="0" w:color="4472C4"/>
            </w:tcBorders>
            <w:vAlign w:val="center"/>
          </w:tcPr>
          <w:p w:rsidR="00150BF8" w:rsidRPr="00150BF8" w:rsidRDefault="00150BF8" w:rsidP="00150BF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sz w:val="20"/>
                <w:szCs w:val="20"/>
              </w:rPr>
            </w:pPr>
            <w:r w:rsidRPr="00150BF8">
              <w:rPr>
                <w:rFonts w:ascii="Calibri Light" w:eastAsia="Times New Roman" w:hAnsi="Calibri Light" w:cs="Times New Roman"/>
                <w:sz w:val="20"/>
                <w:szCs w:val="20"/>
              </w:rPr>
              <w:t>13</w:t>
            </w:r>
          </w:p>
        </w:tc>
        <w:tc>
          <w:tcPr>
            <w:tcW w:w="1394" w:type="dxa"/>
            <w:vMerge/>
            <w:tcBorders>
              <w:right w:val="threeDEmboss" w:sz="18" w:space="0" w:color="00B0F0"/>
            </w:tcBorders>
            <w:vAlign w:val="center"/>
          </w:tcPr>
          <w:p w:rsidR="00150BF8" w:rsidRPr="00150BF8" w:rsidRDefault="00150BF8" w:rsidP="00150BF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sz w:val="20"/>
                <w:szCs w:val="20"/>
              </w:rPr>
            </w:pPr>
          </w:p>
        </w:tc>
      </w:tr>
      <w:tr w:rsidR="00150BF8" w:rsidRPr="00150BF8" w:rsidTr="00225C4F">
        <w:trPr>
          <w:trHeight w:val="60"/>
        </w:trPr>
        <w:tc>
          <w:tcPr>
            <w:cnfStyle w:val="001000000000" w:firstRow="0" w:lastRow="0" w:firstColumn="1" w:lastColumn="0" w:oddVBand="0" w:evenVBand="0" w:oddHBand="0" w:evenHBand="0" w:firstRowFirstColumn="0" w:firstRowLastColumn="0" w:lastRowFirstColumn="0" w:lastRowLastColumn="0"/>
            <w:tcW w:w="1444" w:type="dxa"/>
            <w:tcBorders>
              <w:left w:val="threeDEmboss" w:sz="18" w:space="0" w:color="00B0F0"/>
            </w:tcBorders>
            <w:vAlign w:val="center"/>
          </w:tcPr>
          <w:p w:rsidR="00150BF8" w:rsidRPr="00150BF8" w:rsidRDefault="00150BF8" w:rsidP="00150BF8">
            <w:pPr>
              <w:spacing w:before="0" w:after="0" w:line="240" w:lineRule="auto"/>
              <w:jc w:val="center"/>
              <w:rPr>
                <w:rFonts w:ascii="Calibri Light" w:eastAsia="Times New Roman" w:hAnsi="Calibri Light" w:cs="Times New Roman"/>
                <w:sz w:val="20"/>
                <w:szCs w:val="20"/>
              </w:rPr>
            </w:pPr>
            <w:r w:rsidRPr="00150BF8">
              <w:rPr>
                <w:rFonts w:ascii="Calibri Light" w:eastAsia="Times New Roman" w:hAnsi="Calibri Light" w:cs="Times New Roman"/>
                <w:sz w:val="20"/>
                <w:szCs w:val="20"/>
              </w:rPr>
              <w:t>Neriješeno</w:t>
            </w:r>
          </w:p>
        </w:tc>
        <w:tc>
          <w:tcPr>
            <w:tcW w:w="5099" w:type="dxa"/>
            <w:vAlign w:val="center"/>
          </w:tcPr>
          <w:p w:rsidR="00150BF8" w:rsidRPr="00150BF8" w:rsidRDefault="00150BF8" w:rsidP="00150BF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sz w:val="20"/>
                <w:szCs w:val="20"/>
              </w:rPr>
            </w:pPr>
          </w:p>
        </w:tc>
        <w:tc>
          <w:tcPr>
            <w:tcW w:w="298" w:type="dxa"/>
            <w:tcBorders>
              <w:right w:val="single" w:sz="8" w:space="0" w:color="4472C4"/>
            </w:tcBorders>
            <w:vAlign w:val="center"/>
          </w:tcPr>
          <w:p w:rsidR="00150BF8" w:rsidRPr="00150BF8" w:rsidRDefault="00150BF8" w:rsidP="00150BF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sz w:val="20"/>
                <w:szCs w:val="20"/>
              </w:rPr>
            </w:pPr>
          </w:p>
        </w:tc>
        <w:tc>
          <w:tcPr>
            <w:tcW w:w="1400" w:type="dxa"/>
            <w:tcBorders>
              <w:left w:val="single" w:sz="8" w:space="0" w:color="4472C4"/>
            </w:tcBorders>
            <w:vAlign w:val="center"/>
          </w:tcPr>
          <w:p w:rsidR="00150BF8" w:rsidRPr="00150BF8" w:rsidRDefault="00150BF8" w:rsidP="00150BF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sz w:val="20"/>
                <w:szCs w:val="20"/>
              </w:rPr>
            </w:pPr>
          </w:p>
        </w:tc>
        <w:tc>
          <w:tcPr>
            <w:tcW w:w="1394" w:type="dxa"/>
            <w:tcBorders>
              <w:right w:val="threeDEmboss" w:sz="18" w:space="0" w:color="00B0F0"/>
            </w:tcBorders>
            <w:vAlign w:val="center"/>
          </w:tcPr>
          <w:p w:rsidR="00150BF8" w:rsidRPr="00150BF8" w:rsidRDefault="00150BF8" w:rsidP="00150BF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sz w:val="20"/>
                <w:szCs w:val="20"/>
              </w:rPr>
            </w:pPr>
            <w:r w:rsidRPr="00150BF8">
              <w:rPr>
                <w:rFonts w:ascii="Calibri Light" w:eastAsia="Times New Roman" w:hAnsi="Calibri Light" w:cs="Times New Roman"/>
                <w:sz w:val="20"/>
                <w:szCs w:val="20"/>
              </w:rPr>
              <w:t>112</w:t>
            </w:r>
          </w:p>
        </w:tc>
      </w:tr>
      <w:tr w:rsidR="00150BF8" w:rsidRPr="00150BF8" w:rsidTr="00225C4F">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444" w:type="dxa"/>
            <w:tcBorders>
              <w:left w:val="threeDEmboss" w:sz="18" w:space="0" w:color="00B0F0"/>
              <w:bottom w:val="threeDEmboss" w:sz="18" w:space="0" w:color="00B0F0"/>
            </w:tcBorders>
            <w:vAlign w:val="center"/>
          </w:tcPr>
          <w:p w:rsidR="00150BF8" w:rsidRPr="00150BF8" w:rsidRDefault="00150BF8" w:rsidP="00150BF8">
            <w:pPr>
              <w:spacing w:before="0" w:after="0" w:line="240" w:lineRule="auto"/>
              <w:jc w:val="center"/>
              <w:rPr>
                <w:rFonts w:ascii="Calibri Light" w:eastAsia="Times New Roman" w:hAnsi="Calibri Light" w:cs="Times New Roman"/>
                <w:sz w:val="20"/>
                <w:szCs w:val="20"/>
              </w:rPr>
            </w:pPr>
            <w:r w:rsidRPr="00150BF8">
              <w:rPr>
                <w:rFonts w:ascii="Calibri Light" w:eastAsia="Times New Roman" w:hAnsi="Calibri Light" w:cs="Times New Roman"/>
                <w:sz w:val="20"/>
                <w:szCs w:val="20"/>
              </w:rPr>
              <w:t>UKUPNO</w:t>
            </w:r>
          </w:p>
        </w:tc>
        <w:tc>
          <w:tcPr>
            <w:tcW w:w="5099" w:type="dxa"/>
            <w:tcBorders>
              <w:bottom w:val="threeDEmboss" w:sz="18" w:space="0" w:color="00B0F0"/>
            </w:tcBorders>
            <w:vAlign w:val="center"/>
          </w:tcPr>
          <w:p w:rsidR="00150BF8" w:rsidRPr="00150BF8" w:rsidRDefault="00150BF8" w:rsidP="00150BF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sz w:val="20"/>
                <w:szCs w:val="20"/>
              </w:rPr>
            </w:pPr>
          </w:p>
        </w:tc>
        <w:tc>
          <w:tcPr>
            <w:tcW w:w="298" w:type="dxa"/>
            <w:tcBorders>
              <w:bottom w:val="threeDEmboss" w:sz="18" w:space="0" w:color="00B0F0"/>
              <w:right w:val="single" w:sz="8" w:space="0" w:color="4472C4"/>
            </w:tcBorders>
            <w:vAlign w:val="center"/>
          </w:tcPr>
          <w:p w:rsidR="00150BF8" w:rsidRPr="00150BF8" w:rsidRDefault="00150BF8" w:rsidP="00150BF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sz w:val="20"/>
                <w:szCs w:val="20"/>
              </w:rPr>
            </w:pPr>
          </w:p>
        </w:tc>
        <w:tc>
          <w:tcPr>
            <w:tcW w:w="1400" w:type="dxa"/>
            <w:tcBorders>
              <w:left w:val="single" w:sz="8" w:space="0" w:color="4472C4"/>
              <w:bottom w:val="threeDEmboss" w:sz="18" w:space="0" w:color="00B0F0"/>
            </w:tcBorders>
            <w:vAlign w:val="center"/>
          </w:tcPr>
          <w:p w:rsidR="00150BF8" w:rsidRPr="00150BF8" w:rsidRDefault="00150BF8" w:rsidP="00150BF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sz w:val="20"/>
                <w:szCs w:val="20"/>
              </w:rPr>
            </w:pPr>
          </w:p>
        </w:tc>
        <w:tc>
          <w:tcPr>
            <w:tcW w:w="1394" w:type="dxa"/>
            <w:tcBorders>
              <w:bottom w:val="threeDEmboss" w:sz="18" w:space="0" w:color="00B0F0"/>
              <w:right w:val="threeDEmboss" w:sz="18" w:space="0" w:color="00B0F0"/>
            </w:tcBorders>
            <w:vAlign w:val="center"/>
          </w:tcPr>
          <w:p w:rsidR="00150BF8" w:rsidRPr="00150BF8" w:rsidRDefault="00150BF8" w:rsidP="00150BF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b/>
                <w:sz w:val="20"/>
                <w:szCs w:val="20"/>
              </w:rPr>
            </w:pPr>
            <w:r w:rsidRPr="00150BF8">
              <w:rPr>
                <w:rFonts w:ascii="Calibri Light" w:eastAsia="Times New Roman" w:hAnsi="Calibri Light" w:cs="Times New Roman"/>
                <w:b/>
                <w:sz w:val="20"/>
                <w:szCs w:val="20"/>
              </w:rPr>
              <w:t>894</w:t>
            </w:r>
          </w:p>
        </w:tc>
      </w:tr>
    </w:tbl>
    <w:p w:rsidR="00537B42" w:rsidRDefault="00537B42" w:rsidP="00537B42">
      <w:pPr>
        <w:spacing w:before="0" w:line="240" w:lineRule="auto"/>
        <w:ind w:firstLine="709"/>
        <w:rPr>
          <w:rFonts w:ascii="Calibri" w:eastAsia="Times New Roman" w:hAnsi="Calibri" w:cs="Times New Roman"/>
          <w:szCs w:val="24"/>
        </w:rPr>
      </w:pPr>
    </w:p>
    <w:p w:rsidR="00150BF8" w:rsidRPr="00150BF8" w:rsidRDefault="00150BF8" w:rsidP="00537B42">
      <w:pPr>
        <w:spacing w:before="0" w:line="240" w:lineRule="auto"/>
        <w:ind w:firstLine="709"/>
        <w:rPr>
          <w:rFonts w:ascii="Calibri" w:eastAsia="Times New Roman" w:hAnsi="Calibri" w:cs="Times New Roman"/>
          <w:szCs w:val="24"/>
        </w:rPr>
      </w:pPr>
      <w:r w:rsidRPr="00150BF8">
        <w:rPr>
          <w:rFonts w:ascii="Calibri" w:eastAsia="Times New Roman" w:hAnsi="Calibri" w:cs="Times New Roman"/>
          <w:szCs w:val="24"/>
        </w:rPr>
        <w:t xml:space="preserve">Kod Upravnog suda, u toku izvještajnog perioda bilo je u radu ukupno 294 predmeta, računajući i predmete iz prethodnih godina, tako da je Upravni sud od navedenog broja predmeta, odbio tužbe u 128 slučaja, dok je u 43 slučaja usvojio tužbe i poništio drugostepena rješenja. Obustavljen je postupak u 22 predmeta, dok je postupak u toku kod 101 predmeta. </w:t>
      </w:r>
    </w:p>
    <w:tbl>
      <w:tblPr>
        <w:tblStyle w:val="LightList-Accent51"/>
        <w:tblW w:w="0" w:type="auto"/>
        <w:tblLook w:val="04A0" w:firstRow="1" w:lastRow="0" w:firstColumn="1" w:lastColumn="0" w:noHBand="0" w:noVBand="1"/>
      </w:tblPr>
      <w:tblGrid>
        <w:gridCol w:w="4949"/>
        <w:gridCol w:w="1950"/>
        <w:gridCol w:w="359"/>
        <w:gridCol w:w="2304"/>
      </w:tblGrid>
      <w:tr w:rsidR="00150BF8" w:rsidRPr="00150BF8" w:rsidTr="00225C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0" w:type="dxa"/>
            <w:tcBorders>
              <w:top w:val="threeDEmboss" w:sz="18" w:space="0" w:color="00B0F0"/>
              <w:left w:val="threeDEmboss" w:sz="18" w:space="0" w:color="00B0F0"/>
              <w:bottom w:val="nil"/>
            </w:tcBorders>
            <w:shd w:val="clear" w:color="auto" w:fill="00B0F0"/>
          </w:tcPr>
          <w:p w:rsidR="00150BF8" w:rsidRPr="00150BF8" w:rsidRDefault="00150BF8" w:rsidP="00150BF8">
            <w:pPr>
              <w:spacing w:before="0" w:after="0" w:line="240" w:lineRule="auto"/>
              <w:jc w:val="center"/>
              <w:rPr>
                <w:rFonts w:ascii="Calibri Light" w:eastAsia="Times New Roman" w:hAnsi="Calibri Light" w:cs="Times New Roman"/>
                <w:sz w:val="20"/>
                <w:szCs w:val="20"/>
              </w:rPr>
            </w:pPr>
            <w:r w:rsidRPr="00150BF8">
              <w:rPr>
                <w:rFonts w:ascii="Calibri Light" w:eastAsia="Times New Roman" w:hAnsi="Calibri Light" w:cs="Times New Roman"/>
                <w:sz w:val="20"/>
                <w:szCs w:val="20"/>
              </w:rPr>
              <w:t>Status predmeta kod Upravnog suda</w:t>
            </w:r>
          </w:p>
        </w:tc>
        <w:tc>
          <w:tcPr>
            <w:tcW w:w="2354" w:type="dxa"/>
            <w:gridSpan w:val="2"/>
            <w:tcBorders>
              <w:top w:val="threeDEmboss" w:sz="18" w:space="0" w:color="00B0F0"/>
              <w:bottom w:val="nil"/>
            </w:tcBorders>
            <w:shd w:val="clear" w:color="auto" w:fill="00B0F0"/>
          </w:tcPr>
          <w:p w:rsidR="00150BF8" w:rsidRPr="00150BF8" w:rsidRDefault="00150BF8" w:rsidP="00150BF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Times New Roman"/>
                <w:sz w:val="20"/>
                <w:szCs w:val="20"/>
              </w:rPr>
            </w:pPr>
            <w:r w:rsidRPr="00150BF8">
              <w:rPr>
                <w:rFonts w:ascii="Calibri Light" w:eastAsia="Times New Roman" w:hAnsi="Calibri Light" w:cs="Times New Roman"/>
                <w:sz w:val="20"/>
                <w:szCs w:val="20"/>
              </w:rPr>
              <w:t>Broj predmeta</w:t>
            </w:r>
          </w:p>
        </w:tc>
        <w:tc>
          <w:tcPr>
            <w:tcW w:w="2354" w:type="dxa"/>
            <w:tcBorders>
              <w:top w:val="threeDEmboss" w:sz="18" w:space="0" w:color="00B0F0"/>
              <w:bottom w:val="nil"/>
              <w:right w:val="threeDEmboss" w:sz="18" w:space="0" w:color="00B0F0"/>
            </w:tcBorders>
            <w:shd w:val="clear" w:color="auto" w:fill="00B0F0"/>
          </w:tcPr>
          <w:p w:rsidR="00150BF8" w:rsidRPr="00150BF8" w:rsidRDefault="00150BF8" w:rsidP="00150BF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Times New Roman"/>
                <w:sz w:val="20"/>
                <w:szCs w:val="20"/>
              </w:rPr>
            </w:pPr>
            <w:r w:rsidRPr="00150BF8">
              <w:rPr>
                <w:rFonts w:ascii="Calibri Light" w:eastAsia="Times New Roman" w:hAnsi="Calibri Light" w:cs="Times New Roman"/>
                <w:sz w:val="20"/>
                <w:szCs w:val="20"/>
              </w:rPr>
              <w:t>Ukupno</w:t>
            </w:r>
          </w:p>
        </w:tc>
      </w:tr>
      <w:tr w:rsidR="00150BF8" w:rsidRPr="00150BF8" w:rsidTr="00225C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0" w:type="dxa"/>
            <w:tcBorders>
              <w:top w:val="nil"/>
              <w:left w:val="threeDEmboss" w:sz="18" w:space="0" w:color="00B0F0"/>
            </w:tcBorders>
          </w:tcPr>
          <w:p w:rsidR="00150BF8" w:rsidRPr="00150BF8" w:rsidRDefault="00150BF8" w:rsidP="00150BF8">
            <w:pPr>
              <w:spacing w:before="0" w:after="0" w:line="240" w:lineRule="auto"/>
              <w:jc w:val="center"/>
              <w:rPr>
                <w:rFonts w:ascii="Calibri Light" w:eastAsia="Times New Roman" w:hAnsi="Calibri Light" w:cs="Times New Roman"/>
                <w:sz w:val="20"/>
                <w:szCs w:val="20"/>
              </w:rPr>
            </w:pPr>
            <w:r w:rsidRPr="00150BF8">
              <w:rPr>
                <w:rFonts w:ascii="Calibri Light" w:eastAsia="Times New Roman" w:hAnsi="Calibri Light" w:cs="Times New Roman"/>
                <w:sz w:val="20"/>
                <w:szCs w:val="20"/>
              </w:rPr>
              <w:t>Odbijene tužbe</w:t>
            </w:r>
          </w:p>
        </w:tc>
        <w:tc>
          <w:tcPr>
            <w:tcW w:w="1984" w:type="dxa"/>
            <w:tcBorders>
              <w:top w:val="nil"/>
            </w:tcBorders>
          </w:tcPr>
          <w:p w:rsidR="00150BF8" w:rsidRPr="00150BF8" w:rsidRDefault="00150BF8" w:rsidP="00150BF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sz w:val="20"/>
                <w:szCs w:val="20"/>
              </w:rPr>
            </w:pPr>
            <w:r w:rsidRPr="00150BF8">
              <w:rPr>
                <w:rFonts w:ascii="Calibri Light" w:eastAsia="Times New Roman" w:hAnsi="Calibri Light" w:cs="Times New Roman"/>
                <w:sz w:val="20"/>
                <w:szCs w:val="20"/>
              </w:rPr>
              <w:t>128</w:t>
            </w:r>
          </w:p>
        </w:tc>
        <w:tc>
          <w:tcPr>
            <w:tcW w:w="2724" w:type="dxa"/>
            <w:gridSpan w:val="2"/>
            <w:vMerge w:val="restart"/>
            <w:tcBorders>
              <w:top w:val="nil"/>
              <w:right w:val="threeDEmboss" w:sz="18" w:space="0" w:color="00B0F0"/>
            </w:tcBorders>
            <w:vAlign w:val="center"/>
          </w:tcPr>
          <w:p w:rsidR="00150BF8" w:rsidRPr="00150BF8" w:rsidRDefault="00150BF8" w:rsidP="00150BF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sz w:val="20"/>
                <w:szCs w:val="20"/>
              </w:rPr>
            </w:pPr>
            <w:r w:rsidRPr="00150BF8">
              <w:rPr>
                <w:rFonts w:ascii="Calibri Light" w:eastAsia="Times New Roman" w:hAnsi="Calibri Light" w:cs="Times New Roman"/>
                <w:sz w:val="20"/>
                <w:szCs w:val="20"/>
              </w:rPr>
              <w:t>294</w:t>
            </w:r>
          </w:p>
        </w:tc>
      </w:tr>
      <w:tr w:rsidR="00150BF8" w:rsidRPr="00150BF8" w:rsidTr="00225C4F">
        <w:tc>
          <w:tcPr>
            <w:cnfStyle w:val="001000000000" w:firstRow="0" w:lastRow="0" w:firstColumn="1" w:lastColumn="0" w:oddVBand="0" w:evenVBand="0" w:oddHBand="0" w:evenHBand="0" w:firstRowFirstColumn="0" w:firstRowLastColumn="0" w:lastRowFirstColumn="0" w:lastRowLastColumn="0"/>
            <w:tcW w:w="5070" w:type="dxa"/>
            <w:tcBorders>
              <w:left w:val="threeDEmboss" w:sz="18" w:space="0" w:color="00B0F0"/>
            </w:tcBorders>
          </w:tcPr>
          <w:p w:rsidR="00150BF8" w:rsidRPr="00150BF8" w:rsidRDefault="00150BF8" w:rsidP="00150BF8">
            <w:pPr>
              <w:spacing w:before="0" w:after="0" w:line="240" w:lineRule="auto"/>
              <w:jc w:val="center"/>
              <w:rPr>
                <w:rFonts w:ascii="Calibri Light" w:eastAsia="Times New Roman" w:hAnsi="Calibri Light" w:cs="Times New Roman"/>
                <w:sz w:val="20"/>
                <w:szCs w:val="20"/>
              </w:rPr>
            </w:pPr>
            <w:r w:rsidRPr="00150BF8">
              <w:rPr>
                <w:rFonts w:ascii="Calibri Light" w:eastAsia="Times New Roman" w:hAnsi="Calibri Light" w:cs="Times New Roman"/>
                <w:sz w:val="20"/>
                <w:szCs w:val="20"/>
              </w:rPr>
              <w:t>Usvojene tužbe i poništenje drugostepenog rješenja</w:t>
            </w:r>
          </w:p>
        </w:tc>
        <w:tc>
          <w:tcPr>
            <w:tcW w:w="1984" w:type="dxa"/>
          </w:tcPr>
          <w:p w:rsidR="00150BF8" w:rsidRPr="00150BF8" w:rsidRDefault="00150BF8" w:rsidP="00150BF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sz w:val="20"/>
                <w:szCs w:val="20"/>
              </w:rPr>
            </w:pPr>
            <w:r w:rsidRPr="00150BF8">
              <w:rPr>
                <w:rFonts w:ascii="Calibri Light" w:eastAsia="Times New Roman" w:hAnsi="Calibri Light" w:cs="Times New Roman"/>
                <w:sz w:val="20"/>
                <w:szCs w:val="20"/>
              </w:rPr>
              <w:t>43</w:t>
            </w:r>
          </w:p>
        </w:tc>
        <w:tc>
          <w:tcPr>
            <w:tcW w:w="2724" w:type="dxa"/>
            <w:gridSpan w:val="2"/>
            <w:vMerge/>
            <w:tcBorders>
              <w:right w:val="threeDEmboss" w:sz="18" w:space="0" w:color="00B0F0"/>
            </w:tcBorders>
          </w:tcPr>
          <w:p w:rsidR="00150BF8" w:rsidRPr="00150BF8" w:rsidRDefault="00150BF8" w:rsidP="00150BF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sz w:val="20"/>
                <w:szCs w:val="20"/>
              </w:rPr>
            </w:pPr>
          </w:p>
        </w:tc>
      </w:tr>
      <w:tr w:rsidR="00150BF8" w:rsidRPr="00150BF8" w:rsidTr="00225C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0" w:type="dxa"/>
            <w:tcBorders>
              <w:left w:val="threeDEmboss" w:sz="18" w:space="0" w:color="00B0F0"/>
            </w:tcBorders>
          </w:tcPr>
          <w:p w:rsidR="00150BF8" w:rsidRPr="00150BF8" w:rsidRDefault="00150BF8" w:rsidP="00150BF8">
            <w:pPr>
              <w:spacing w:before="0" w:after="0" w:line="240" w:lineRule="auto"/>
              <w:jc w:val="center"/>
              <w:rPr>
                <w:rFonts w:ascii="Calibri Light" w:eastAsia="Times New Roman" w:hAnsi="Calibri Light" w:cs="Times New Roman"/>
                <w:sz w:val="20"/>
                <w:szCs w:val="20"/>
              </w:rPr>
            </w:pPr>
            <w:r w:rsidRPr="00150BF8">
              <w:rPr>
                <w:rFonts w:ascii="Calibri Light" w:eastAsia="Times New Roman" w:hAnsi="Calibri Light" w:cs="Times New Roman"/>
                <w:sz w:val="20"/>
                <w:szCs w:val="20"/>
              </w:rPr>
              <w:t>Obustavljen postupak</w:t>
            </w:r>
          </w:p>
        </w:tc>
        <w:tc>
          <w:tcPr>
            <w:tcW w:w="1984" w:type="dxa"/>
          </w:tcPr>
          <w:p w:rsidR="00150BF8" w:rsidRPr="00150BF8" w:rsidRDefault="00150BF8" w:rsidP="00150BF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sz w:val="20"/>
                <w:szCs w:val="20"/>
              </w:rPr>
            </w:pPr>
            <w:r w:rsidRPr="00150BF8">
              <w:rPr>
                <w:rFonts w:ascii="Calibri Light" w:eastAsia="Times New Roman" w:hAnsi="Calibri Light" w:cs="Times New Roman"/>
                <w:sz w:val="20"/>
                <w:szCs w:val="20"/>
              </w:rPr>
              <w:t>22</w:t>
            </w:r>
          </w:p>
        </w:tc>
        <w:tc>
          <w:tcPr>
            <w:tcW w:w="2724" w:type="dxa"/>
            <w:gridSpan w:val="2"/>
            <w:vMerge/>
            <w:tcBorders>
              <w:right w:val="threeDEmboss" w:sz="18" w:space="0" w:color="00B0F0"/>
            </w:tcBorders>
          </w:tcPr>
          <w:p w:rsidR="00150BF8" w:rsidRPr="00150BF8" w:rsidRDefault="00150BF8" w:rsidP="00150BF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sz w:val="20"/>
                <w:szCs w:val="20"/>
              </w:rPr>
            </w:pPr>
          </w:p>
        </w:tc>
      </w:tr>
      <w:tr w:rsidR="00150BF8" w:rsidRPr="00150BF8" w:rsidTr="00225C4F">
        <w:tc>
          <w:tcPr>
            <w:cnfStyle w:val="001000000000" w:firstRow="0" w:lastRow="0" w:firstColumn="1" w:lastColumn="0" w:oddVBand="0" w:evenVBand="0" w:oddHBand="0" w:evenHBand="0" w:firstRowFirstColumn="0" w:firstRowLastColumn="0" w:lastRowFirstColumn="0" w:lastRowLastColumn="0"/>
            <w:tcW w:w="5070" w:type="dxa"/>
            <w:tcBorders>
              <w:left w:val="threeDEmboss" w:sz="18" w:space="0" w:color="00B0F0"/>
              <w:bottom w:val="threeDEmboss" w:sz="18" w:space="0" w:color="00B0F0"/>
            </w:tcBorders>
          </w:tcPr>
          <w:p w:rsidR="00150BF8" w:rsidRPr="00150BF8" w:rsidRDefault="00150BF8" w:rsidP="00150BF8">
            <w:pPr>
              <w:spacing w:before="0" w:after="0" w:line="240" w:lineRule="auto"/>
              <w:jc w:val="center"/>
              <w:rPr>
                <w:rFonts w:ascii="Calibri Light" w:eastAsia="Times New Roman" w:hAnsi="Calibri Light" w:cs="Times New Roman"/>
                <w:sz w:val="20"/>
                <w:szCs w:val="20"/>
              </w:rPr>
            </w:pPr>
            <w:r w:rsidRPr="00150BF8">
              <w:rPr>
                <w:rFonts w:ascii="Calibri Light" w:eastAsia="Times New Roman" w:hAnsi="Calibri Light" w:cs="Times New Roman"/>
                <w:sz w:val="20"/>
                <w:szCs w:val="20"/>
              </w:rPr>
              <w:t>Postupak u toku</w:t>
            </w:r>
          </w:p>
        </w:tc>
        <w:tc>
          <w:tcPr>
            <w:tcW w:w="1984" w:type="dxa"/>
            <w:tcBorders>
              <w:bottom w:val="threeDEmboss" w:sz="18" w:space="0" w:color="00B0F0"/>
            </w:tcBorders>
          </w:tcPr>
          <w:p w:rsidR="00150BF8" w:rsidRPr="00150BF8" w:rsidRDefault="00150BF8" w:rsidP="00150BF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sz w:val="20"/>
                <w:szCs w:val="20"/>
              </w:rPr>
            </w:pPr>
            <w:r w:rsidRPr="00150BF8">
              <w:rPr>
                <w:rFonts w:ascii="Calibri Light" w:eastAsia="Times New Roman" w:hAnsi="Calibri Light" w:cs="Times New Roman"/>
                <w:sz w:val="20"/>
                <w:szCs w:val="20"/>
              </w:rPr>
              <w:t>101</w:t>
            </w:r>
          </w:p>
        </w:tc>
        <w:tc>
          <w:tcPr>
            <w:tcW w:w="2724" w:type="dxa"/>
            <w:gridSpan w:val="2"/>
            <w:vMerge/>
            <w:tcBorders>
              <w:bottom w:val="threeDEmboss" w:sz="18" w:space="0" w:color="00B0F0"/>
              <w:right w:val="threeDEmboss" w:sz="18" w:space="0" w:color="00B0F0"/>
            </w:tcBorders>
          </w:tcPr>
          <w:p w:rsidR="00150BF8" w:rsidRPr="00150BF8" w:rsidRDefault="00150BF8" w:rsidP="00150BF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sz w:val="20"/>
                <w:szCs w:val="20"/>
              </w:rPr>
            </w:pPr>
          </w:p>
        </w:tc>
      </w:tr>
    </w:tbl>
    <w:p w:rsidR="00150BF8" w:rsidRPr="00150BF8" w:rsidRDefault="00150BF8" w:rsidP="00150BF8">
      <w:pPr>
        <w:spacing w:before="0" w:after="0" w:line="240" w:lineRule="auto"/>
        <w:rPr>
          <w:rFonts w:ascii="Calibri Light" w:eastAsia="Calibri" w:hAnsi="Calibri Light" w:cs="Times New Roman"/>
          <w:b/>
          <w:sz w:val="22"/>
          <w:shd w:val="clear" w:color="auto" w:fill="FFFF00"/>
        </w:rPr>
      </w:pPr>
    </w:p>
    <w:p w:rsidR="00150BF8" w:rsidRPr="00150BF8" w:rsidRDefault="00150BF8" w:rsidP="00150BF8">
      <w:pPr>
        <w:spacing w:before="0" w:after="0" w:line="240" w:lineRule="auto"/>
        <w:rPr>
          <w:rFonts w:ascii="Calibri" w:eastAsia="Times New Roman" w:hAnsi="Calibri" w:cs="Times New Roman"/>
          <w:szCs w:val="24"/>
        </w:rPr>
      </w:pPr>
      <w:r w:rsidRPr="00150BF8">
        <w:rPr>
          <w:rFonts w:ascii="Calibri" w:eastAsia="Times New Roman" w:hAnsi="Calibri" w:cs="Times New Roman"/>
          <w:szCs w:val="24"/>
        </w:rPr>
        <w:t>Žalbe su u 2020. godini izjavljivane dominantno iz sljedećih žalbenih razloga:</w:t>
      </w:r>
    </w:p>
    <w:p w:rsidR="00150BF8" w:rsidRPr="00150BF8" w:rsidRDefault="00150BF8" w:rsidP="00146EBE">
      <w:pPr>
        <w:numPr>
          <w:ilvl w:val="0"/>
          <w:numId w:val="14"/>
        </w:numPr>
        <w:spacing w:before="0" w:after="0" w:line="240" w:lineRule="auto"/>
        <w:contextualSpacing/>
        <w:jc w:val="left"/>
        <w:rPr>
          <w:rFonts w:ascii="Calibri" w:eastAsia="Times New Roman" w:hAnsi="Calibri" w:cs="Times New Roman"/>
          <w:szCs w:val="24"/>
        </w:rPr>
      </w:pPr>
      <w:r w:rsidRPr="00150BF8">
        <w:rPr>
          <w:rFonts w:ascii="Calibri" w:eastAsia="Times New Roman" w:hAnsi="Calibri" w:cs="Times New Roman"/>
          <w:szCs w:val="24"/>
        </w:rPr>
        <w:t>povreda pravila postupka,</w:t>
      </w:r>
    </w:p>
    <w:p w:rsidR="00150BF8" w:rsidRPr="00150BF8" w:rsidRDefault="00150BF8" w:rsidP="00146EBE">
      <w:pPr>
        <w:numPr>
          <w:ilvl w:val="0"/>
          <w:numId w:val="14"/>
        </w:numPr>
        <w:spacing w:before="0" w:after="0" w:line="240" w:lineRule="auto"/>
        <w:contextualSpacing/>
        <w:jc w:val="left"/>
        <w:rPr>
          <w:rFonts w:ascii="Calibri" w:eastAsia="Times New Roman" w:hAnsi="Calibri" w:cs="Times New Roman"/>
          <w:szCs w:val="24"/>
        </w:rPr>
      </w:pPr>
      <w:r w:rsidRPr="00150BF8">
        <w:rPr>
          <w:rFonts w:ascii="Calibri" w:eastAsia="Times New Roman" w:hAnsi="Calibri" w:cs="Times New Roman"/>
          <w:szCs w:val="24"/>
        </w:rPr>
        <w:t>nepravilno utvrđeno činjenično stanje,</w:t>
      </w:r>
    </w:p>
    <w:p w:rsidR="00150BF8" w:rsidRPr="00150BF8" w:rsidRDefault="00150BF8" w:rsidP="00146EBE">
      <w:pPr>
        <w:numPr>
          <w:ilvl w:val="0"/>
          <w:numId w:val="14"/>
        </w:numPr>
        <w:spacing w:before="0" w:after="0" w:line="240" w:lineRule="auto"/>
        <w:contextualSpacing/>
        <w:jc w:val="left"/>
        <w:rPr>
          <w:rFonts w:ascii="Calibri" w:eastAsia="Times New Roman" w:hAnsi="Calibri" w:cs="Times New Roman"/>
          <w:szCs w:val="24"/>
        </w:rPr>
      </w:pPr>
      <w:r w:rsidRPr="00150BF8">
        <w:rPr>
          <w:rFonts w:ascii="Calibri" w:eastAsia="Times New Roman" w:hAnsi="Calibri" w:cs="Times New Roman"/>
          <w:szCs w:val="24"/>
        </w:rPr>
        <w:t>pogrešna primjena materijalnog prava.</w:t>
      </w:r>
    </w:p>
    <w:p w:rsidR="00150BF8" w:rsidRPr="00150BF8" w:rsidRDefault="00150BF8" w:rsidP="00101664">
      <w:pPr>
        <w:tabs>
          <w:tab w:val="left" w:pos="6340"/>
        </w:tabs>
        <w:spacing w:after="0" w:line="276" w:lineRule="auto"/>
        <w:jc w:val="center"/>
        <w:rPr>
          <w:rFonts w:ascii="Calibri Light" w:eastAsia="Calibri" w:hAnsi="Calibri Light" w:cs="Times New Roman"/>
          <w:b/>
          <w:color w:val="0070C0"/>
          <w:sz w:val="28"/>
          <w:szCs w:val="28"/>
        </w:rPr>
      </w:pPr>
    </w:p>
    <w:p w:rsidR="00150BF8" w:rsidRDefault="00B64C8A" w:rsidP="00B64C8A">
      <w:pPr>
        <w:shd w:val="clear" w:color="auto" w:fill="F9D8CD" w:themeFill="accent1" w:themeFillTint="33"/>
        <w:spacing w:before="0" w:line="240" w:lineRule="auto"/>
        <w:ind w:firstLine="360"/>
        <w:jc w:val="left"/>
        <w:rPr>
          <w:rFonts w:eastAsia="Calibri" w:cs="Times New Roman"/>
          <w:b/>
          <w:szCs w:val="24"/>
        </w:rPr>
      </w:pPr>
      <w:r>
        <w:rPr>
          <w:rFonts w:eastAsia="Calibri" w:cs="Times New Roman"/>
          <w:b/>
          <w:szCs w:val="24"/>
        </w:rPr>
        <w:t xml:space="preserve">5. </w:t>
      </w:r>
      <w:r w:rsidR="00B55665" w:rsidRPr="00B55665">
        <w:rPr>
          <w:rFonts w:eastAsia="Calibri" w:cs="Times New Roman"/>
          <w:b/>
          <w:szCs w:val="24"/>
        </w:rPr>
        <w:t>DIREKTORAT ZA FINANSIJSKI SISTEM I UNAPREĐENJE POSLOVNOG AMBIJENTA</w:t>
      </w:r>
    </w:p>
    <w:p w:rsidR="007A04CE" w:rsidRPr="007A04CE" w:rsidRDefault="007A04CE" w:rsidP="00101664">
      <w:pPr>
        <w:spacing w:before="0" w:after="0" w:line="240" w:lineRule="auto"/>
        <w:ind w:firstLine="360"/>
        <w:rPr>
          <w:rFonts w:ascii="Calibri" w:eastAsia="Times New Roman" w:hAnsi="Calibri" w:cs="Times New Roman"/>
          <w:noProof/>
          <w:szCs w:val="24"/>
          <w:lang w:eastAsia="sr-Latn-CS"/>
        </w:rPr>
      </w:pPr>
      <w:r w:rsidRPr="007A04CE">
        <w:rPr>
          <w:rFonts w:ascii="Calibri" w:eastAsia="Times New Roman" w:hAnsi="Calibri" w:cs="Times New Roman"/>
          <w:noProof/>
          <w:szCs w:val="24"/>
          <w:lang w:eastAsia="sr-Latn-CS"/>
        </w:rPr>
        <w:t xml:space="preserve">Tokom 2020. godine u okviru </w:t>
      </w:r>
      <w:r w:rsidRPr="007A04CE">
        <w:rPr>
          <w:rFonts w:ascii="Calibri" w:eastAsia="Times New Roman" w:hAnsi="Calibri" w:cs="Times New Roman"/>
          <w:noProof/>
          <w:szCs w:val="24"/>
          <w:u w:val="single"/>
          <w:lang w:eastAsia="sr-Latn-CS"/>
        </w:rPr>
        <w:t>Direkcije za finansijski sistem</w:t>
      </w:r>
      <w:r w:rsidRPr="007A04CE">
        <w:rPr>
          <w:rFonts w:ascii="Calibri" w:eastAsia="Times New Roman" w:hAnsi="Calibri" w:cs="Times New Roman"/>
          <w:noProof/>
          <w:szCs w:val="24"/>
          <w:lang w:eastAsia="sr-Latn-CS"/>
        </w:rPr>
        <w:t xml:space="preserve"> urađeno je sl</w:t>
      </w:r>
      <w:r>
        <w:rPr>
          <w:rFonts w:ascii="Calibri" w:eastAsia="Times New Roman" w:hAnsi="Calibri" w:cs="Times New Roman"/>
          <w:noProof/>
          <w:szCs w:val="24"/>
          <w:lang w:eastAsia="sr-Latn-CS"/>
        </w:rPr>
        <w:t>j</w:t>
      </w:r>
      <w:r w:rsidRPr="007A04CE">
        <w:rPr>
          <w:rFonts w:ascii="Calibri" w:eastAsia="Times New Roman" w:hAnsi="Calibri" w:cs="Times New Roman"/>
          <w:noProof/>
          <w:szCs w:val="24"/>
          <w:lang w:eastAsia="sr-Latn-CS"/>
        </w:rPr>
        <w:t xml:space="preserve">edeće:  </w:t>
      </w:r>
    </w:p>
    <w:p w:rsidR="007A04CE" w:rsidRPr="007A04CE" w:rsidRDefault="007A04CE" w:rsidP="00101664">
      <w:pPr>
        <w:numPr>
          <w:ilvl w:val="0"/>
          <w:numId w:val="17"/>
        </w:numPr>
        <w:spacing w:after="0" w:line="240" w:lineRule="auto"/>
        <w:jc w:val="left"/>
        <w:rPr>
          <w:rFonts w:ascii="Calibri" w:eastAsia="Times New Roman" w:hAnsi="Calibri" w:cs="Times New Roman"/>
          <w:b/>
          <w:szCs w:val="24"/>
          <w:u w:val="single"/>
          <w:lang w:val="en-US"/>
        </w:rPr>
      </w:pPr>
      <w:r w:rsidRPr="007A04CE">
        <w:rPr>
          <w:rFonts w:ascii="Calibri" w:eastAsia="Times New Roman" w:hAnsi="Calibri" w:cs="Times New Roman"/>
          <w:b/>
          <w:szCs w:val="24"/>
          <w:u w:val="single"/>
          <w:lang w:val="en-US"/>
        </w:rPr>
        <w:t>BANKARSKO TRŽIŠTE</w:t>
      </w:r>
    </w:p>
    <w:p w:rsidR="007A04CE" w:rsidRPr="007A04CE" w:rsidRDefault="007A04CE" w:rsidP="007A04CE">
      <w:pPr>
        <w:spacing w:before="0" w:after="0" w:line="240" w:lineRule="auto"/>
        <w:rPr>
          <w:rFonts w:ascii="Calibri" w:eastAsia="Times New Roman" w:hAnsi="Calibri" w:cs="Times New Roman"/>
          <w:b/>
          <w:i/>
          <w:szCs w:val="24"/>
          <w:lang w:val="en-US"/>
        </w:rPr>
      </w:pPr>
      <w:r w:rsidRPr="007A04CE">
        <w:rPr>
          <w:rFonts w:ascii="Calibri" w:eastAsia="Times New Roman" w:hAnsi="Calibri" w:cs="Times New Roman"/>
          <w:b/>
          <w:i/>
          <w:szCs w:val="24"/>
          <w:lang w:val="en-US"/>
        </w:rPr>
        <w:t>- Predlog zakona o i</w:t>
      </w:r>
      <w:r w:rsidRPr="007A04CE">
        <w:rPr>
          <w:rFonts w:ascii="Calibri" w:eastAsia="Times New Roman" w:hAnsi="Calibri" w:cs="Times New Roman"/>
          <w:b/>
          <w:i/>
          <w:szCs w:val="24"/>
          <w:lang w:val="sr-Latn-ME"/>
        </w:rPr>
        <w:t xml:space="preserve">zmjenama i dopunama Zakona o </w:t>
      </w:r>
      <w:r w:rsidRPr="007A04CE">
        <w:rPr>
          <w:rFonts w:ascii="Calibri" w:eastAsia="Times New Roman" w:hAnsi="Calibri" w:cs="Times New Roman"/>
          <w:b/>
          <w:i/>
          <w:szCs w:val="24"/>
          <w:lang w:val="en-US"/>
        </w:rPr>
        <w:t>kreditnim institucijama i Predlog zakona o</w:t>
      </w:r>
      <w:r w:rsidRPr="007A04CE">
        <w:rPr>
          <w:rFonts w:ascii="Calibri" w:eastAsia="Times New Roman" w:hAnsi="Calibri" w:cs="Times New Roman"/>
          <w:szCs w:val="24"/>
          <w:lang w:val="en-US"/>
        </w:rPr>
        <w:t xml:space="preserve"> </w:t>
      </w:r>
      <w:r w:rsidRPr="007A04CE">
        <w:rPr>
          <w:rFonts w:ascii="Calibri" w:eastAsia="Times New Roman" w:hAnsi="Calibri" w:cs="Times New Roman"/>
          <w:b/>
          <w:i/>
          <w:szCs w:val="24"/>
          <w:lang w:val="en-US"/>
        </w:rPr>
        <w:t>izmjenama i dopunama Zakona o sanaciji kreditnih institucija;</w:t>
      </w:r>
    </w:p>
    <w:p w:rsidR="007A04CE" w:rsidRPr="007A04CE" w:rsidRDefault="007A04CE" w:rsidP="007A04CE">
      <w:pPr>
        <w:spacing w:before="0" w:after="0" w:line="240" w:lineRule="auto"/>
        <w:ind w:firstLine="360"/>
        <w:rPr>
          <w:rFonts w:ascii="Calibri" w:eastAsia="Times New Roman" w:hAnsi="Calibri" w:cs="Times New Roman"/>
          <w:szCs w:val="24"/>
          <w:lang w:val="en-US"/>
        </w:rPr>
      </w:pPr>
      <w:r w:rsidRPr="007A04CE">
        <w:rPr>
          <w:rFonts w:ascii="Calibri" w:eastAsia="Times New Roman" w:hAnsi="Calibri" w:cs="Times New Roman"/>
          <w:szCs w:val="24"/>
          <w:lang w:val="en-US"/>
        </w:rPr>
        <w:t>U okviru pregovaračkog Poglavlja 9 - Finansijske usluge, Crna Gora je preuzela obavezu da svoje zakonodavstvo usaglasi sa evropskom regulativom, te je Skupština Crne Gore, u decembru 2019. godine, donijela Zakon o kreditnim institucijama i Zakon o sanaciji kreditnih institucija.</w:t>
      </w:r>
    </w:p>
    <w:p w:rsidR="007A04CE" w:rsidRPr="007A04CE" w:rsidRDefault="007A04CE" w:rsidP="007A04CE">
      <w:pPr>
        <w:spacing w:before="0" w:after="0" w:line="240" w:lineRule="auto"/>
        <w:ind w:firstLine="360"/>
        <w:rPr>
          <w:rFonts w:ascii="Calibri" w:eastAsia="Times New Roman" w:hAnsi="Calibri" w:cs="Times New Roman"/>
          <w:szCs w:val="24"/>
          <w:lang w:val="en-US"/>
        </w:rPr>
      </w:pPr>
      <w:r w:rsidRPr="007A04CE">
        <w:rPr>
          <w:rFonts w:ascii="Calibri" w:eastAsia="Times New Roman" w:hAnsi="Calibri" w:cs="Times New Roman"/>
          <w:szCs w:val="24"/>
          <w:lang w:val="en-US"/>
        </w:rPr>
        <w:t>Donošenjem Zakona o kreditnim institucijama je, u crnogorski pravni sistem, prenesena Direktiva 2013/36 Evropskog parlamenta i Savjeta o pristupanju djelatnosti kreditnih institucija i bonitetnom nadzoru nad kreditnim institucijama i investicijskim društvima (tzv. CRD), čime je stvoren pravni osnov za donošenje seta podzakonskih akata, kojima će se u bankarsku regulativu implementirati Regulativa (EU) br. 575/2013 o prudencijalnim zahtjevima za kreditne institucije i investiciona društva. Na ovaj način je omogućena primjena novih Bazelskih standarda kapitala i likvidnosti (Bazel III), koji su usmjereni na jačanje kapitalnih zahtjeva za banke, kao i na formiranje okvira za nove regulatorne zahtjeve u vezi sa likvidnošću i dodatne kapitalne zahtjeve za finansijske institucije od sistemskog značaja.</w:t>
      </w:r>
    </w:p>
    <w:p w:rsidR="007A04CE" w:rsidRPr="007A04CE" w:rsidRDefault="007A04CE" w:rsidP="007A04CE">
      <w:pPr>
        <w:spacing w:before="0" w:after="0" w:line="240" w:lineRule="auto"/>
        <w:ind w:firstLine="360"/>
        <w:rPr>
          <w:rFonts w:ascii="Calibri" w:eastAsia="Times New Roman" w:hAnsi="Calibri" w:cs="Times New Roman"/>
          <w:szCs w:val="24"/>
          <w:lang w:val="en-US"/>
        </w:rPr>
      </w:pPr>
      <w:r w:rsidRPr="007A04CE">
        <w:rPr>
          <w:rFonts w:ascii="Calibri" w:eastAsia="Times New Roman" w:hAnsi="Calibri" w:cs="Times New Roman"/>
          <w:szCs w:val="24"/>
          <w:lang w:val="en-US"/>
        </w:rPr>
        <w:t xml:space="preserve">Donošenjem Zakona o sanaciji kreditnih institucija je, u crnogorski pravni sistem, prenesena Direktiva 2014/59 Evropskog parlamenta i Savjeta o uspostavljanju okvira za oporavak i sanaciju kreditnih institucija i investicionih društava (tzv. BRRD), čime je postavljena osnova za uspostavljanje okvira za sanaciju kao jednog od neophodnih instrumenata zaštite finansijskog sistema. U cilju potpunog usklađivanja sa relevantnim pravnim okvirom EU, Zakon sadrži značajan broj normi kojima </w:t>
      </w:r>
      <w:r w:rsidRPr="007A04CE">
        <w:rPr>
          <w:rFonts w:ascii="Calibri" w:eastAsia="Times New Roman" w:hAnsi="Calibri" w:cs="Times New Roman"/>
          <w:szCs w:val="24"/>
          <w:lang w:val="en-US"/>
        </w:rPr>
        <w:lastRenderedPageBreak/>
        <w:t xml:space="preserve">se dodatno jača sistem prevencije i sanacije kreditnih institucija, a koje će se primjenjivati nakon pristupanja Crne Gore Evropskoj uniji. </w:t>
      </w:r>
    </w:p>
    <w:p w:rsidR="007A04CE" w:rsidRPr="007A04CE" w:rsidRDefault="007A04CE" w:rsidP="007A04CE">
      <w:pPr>
        <w:spacing w:before="0" w:after="0" w:line="240" w:lineRule="auto"/>
        <w:ind w:firstLine="360"/>
        <w:rPr>
          <w:rFonts w:ascii="Calibri" w:eastAsia="Times New Roman" w:hAnsi="Calibri" w:cs="Times New Roman"/>
          <w:szCs w:val="24"/>
          <w:lang w:val="en-US"/>
        </w:rPr>
      </w:pPr>
      <w:r w:rsidRPr="007A04CE">
        <w:rPr>
          <w:rFonts w:ascii="Calibri" w:eastAsia="Times New Roman" w:hAnsi="Calibri" w:cs="Times New Roman"/>
          <w:szCs w:val="24"/>
          <w:lang w:val="en-US"/>
        </w:rPr>
        <w:t>Imajući u vidu novitete koje donose novi Zakoni, obaveze Centralne banke za donošenje 42 podzakonska akta, ali i potrebe da se kreditnim institucijama omogući određeni period za usaglašavanje sa brojnim zahtjevima, primjena Zakona je odložena za 1. januar 2021. godine.  Međutim, usljed neočekivanih okolnosti koje je izazvala pandemija novog korona virusa (COVID 19), javio se i visok stepen neizvjesnosti u pogledu njenog uticaja na poslovanje finansijskog sektora, kako globalnog, tako i domaćeg.</w:t>
      </w:r>
    </w:p>
    <w:p w:rsidR="007A04CE" w:rsidRPr="007A04CE" w:rsidRDefault="007A04CE" w:rsidP="007A04CE">
      <w:pPr>
        <w:spacing w:before="0" w:after="0" w:line="240" w:lineRule="auto"/>
        <w:ind w:firstLine="360"/>
        <w:rPr>
          <w:rFonts w:ascii="Calibri" w:eastAsia="Times New Roman" w:hAnsi="Calibri" w:cs="Times New Roman"/>
          <w:szCs w:val="24"/>
          <w:lang w:val="en-US"/>
        </w:rPr>
      </w:pPr>
      <w:r w:rsidRPr="007A04CE">
        <w:rPr>
          <w:rFonts w:ascii="Calibri" w:eastAsia="Times New Roman" w:hAnsi="Calibri" w:cs="Times New Roman"/>
          <w:szCs w:val="24"/>
          <w:lang w:val="en-US"/>
        </w:rPr>
        <w:t xml:space="preserve">Udruženje banaka Crne Gore uputilo je inicijativu Ministarstvu finansija i Centralnoj banci CG za odlaganje početka primjene Zakona o kreditnim institucijama i Zakona o sanaciji kreditnih institucija, sa ciljem omogućavanja dovoljnog vremenskog perioda za ispunjavanja obaveza usklađivanja sa Zakonom. </w:t>
      </w:r>
    </w:p>
    <w:p w:rsidR="007A04CE" w:rsidRPr="007A04CE" w:rsidRDefault="007A04CE" w:rsidP="007A04CE">
      <w:pPr>
        <w:spacing w:before="0" w:after="0" w:line="240" w:lineRule="auto"/>
        <w:ind w:firstLine="360"/>
        <w:rPr>
          <w:rFonts w:ascii="Calibri" w:eastAsia="Times New Roman" w:hAnsi="Calibri" w:cs="Times New Roman"/>
          <w:szCs w:val="24"/>
          <w:lang w:val="en-US"/>
        </w:rPr>
      </w:pPr>
      <w:r w:rsidRPr="007A04CE">
        <w:rPr>
          <w:rFonts w:ascii="Calibri" w:eastAsia="Times New Roman" w:hAnsi="Calibri" w:cs="Times New Roman"/>
          <w:szCs w:val="24"/>
          <w:lang w:val="en-US"/>
        </w:rPr>
        <w:t>U navedenoj inicijativi ukazano je na sljedeće:</w:t>
      </w:r>
    </w:p>
    <w:p w:rsidR="007A04CE" w:rsidRPr="007A04CE" w:rsidRDefault="007A04CE" w:rsidP="00146EBE">
      <w:pPr>
        <w:numPr>
          <w:ilvl w:val="0"/>
          <w:numId w:val="22"/>
        </w:numPr>
        <w:spacing w:before="0" w:after="0" w:line="240" w:lineRule="auto"/>
        <w:jc w:val="left"/>
        <w:rPr>
          <w:rFonts w:ascii="Calibri" w:eastAsia="Times New Roman" w:hAnsi="Calibri" w:cs="Times New Roman"/>
          <w:szCs w:val="24"/>
          <w:lang w:val="en-US"/>
        </w:rPr>
      </w:pPr>
      <w:r w:rsidRPr="007A04CE">
        <w:rPr>
          <w:rFonts w:ascii="Calibri" w:eastAsia="Times New Roman" w:hAnsi="Calibri" w:cs="Times New Roman"/>
          <w:szCs w:val="24"/>
          <w:lang w:val="en-US"/>
        </w:rPr>
        <w:t xml:space="preserve">da je Zakon o kreditnim institucijama sistemski i krucijalan propis za poslovanje banaka, koji zahtjeva preduzimanje velikog broja aktivnosti u pravcu usklađivanja poslovanja banaka sa tim zakonom, od uspostavljanja novog okvira korporativnog upravljanja, nove normative do značajnih unaprijeđenja tehničke infrastrukture u bankama;  </w:t>
      </w:r>
    </w:p>
    <w:p w:rsidR="007A04CE" w:rsidRPr="007A04CE" w:rsidRDefault="007A04CE" w:rsidP="00146EBE">
      <w:pPr>
        <w:numPr>
          <w:ilvl w:val="0"/>
          <w:numId w:val="22"/>
        </w:numPr>
        <w:spacing w:before="0" w:after="0" w:line="240" w:lineRule="auto"/>
        <w:jc w:val="left"/>
        <w:rPr>
          <w:rFonts w:ascii="Calibri" w:eastAsia="Times New Roman" w:hAnsi="Calibri" w:cs="Times New Roman"/>
          <w:szCs w:val="24"/>
          <w:lang w:val="en-US"/>
        </w:rPr>
      </w:pPr>
      <w:r w:rsidRPr="007A04CE">
        <w:rPr>
          <w:rFonts w:ascii="Calibri" w:eastAsia="Times New Roman" w:hAnsi="Calibri" w:cs="Times New Roman"/>
          <w:szCs w:val="24"/>
          <w:lang w:val="en-US"/>
        </w:rPr>
        <w:t>da je Zakon o kreditnim institucijama donijet nekoliko mjeseci prije krize izazvane pandemijom novog koronavirusa;</w:t>
      </w:r>
    </w:p>
    <w:p w:rsidR="007A04CE" w:rsidRPr="007A04CE" w:rsidRDefault="007A04CE" w:rsidP="00146EBE">
      <w:pPr>
        <w:numPr>
          <w:ilvl w:val="0"/>
          <w:numId w:val="22"/>
        </w:numPr>
        <w:spacing w:before="0" w:after="0" w:line="240" w:lineRule="auto"/>
        <w:jc w:val="left"/>
        <w:rPr>
          <w:rFonts w:ascii="Calibri" w:eastAsia="Times New Roman" w:hAnsi="Calibri" w:cs="Times New Roman"/>
          <w:szCs w:val="24"/>
          <w:lang w:val="en-US"/>
        </w:rPr>
      </w:pPr>
      <w:r w:rsidRPr="007A04CE">
        <w:rPr>
          <w:rFonts w:ascii="Calibri" w:eastAsia="Times New Roman" w:hAnsi="Calibri" w:cs="Times New Roman"/>
          <w:szCs w:val="24"/>
          <w:lang w:val="en-US"/>
        </w:rPr>
        <w:t>da bi, prema rokovima iz Zakona o kreditnim institucijama, usklađivanje poslovanja banaka sa Zakonom o kreditnim institucijama bilo neophodno sprovesti u izuzetno izazovnim okolnostima, koje karakteriše visok stepen neizvjesnosti u pogledu uticaja pandemije novog koronavirusa na globalnom nivou i na privrednu aktivnost u Crnoj Gori, uključujući i poslovanje banaka;</w:t>
      </w:r>
    </w:p>
    <w:p w:rsidR="007A04CE" w:rsidRPr="007A04CE" w:rsidRDefault="007A04CE" w:rsidP="00146EBE">
      <w:pPr>
        <w:numPr>
          <w:ilvl w:val="0"/>
          <w:numId w:val="22"/>
        </w:numPr>
        <w:spacing w:before="0" w:after="0" w:line="240" w:lineRule="auto"/>
        <w:jc w:val="left"/>
        <w:rPr>
          <w:rFonts w:ascii="Calibri" w:eastAsia="Times New Roman" w:hAnsi="Calibri" w:cs="Times New Roman"/>
          <w:szCs w:val="24"/>
          <w:lang w:val="en-US"/>
        </w:rPr>
      </w:pPr>
      <w:r w:rsidRPr="007A04CE">
        <w:rPr>
          <w:rFonts w:ascii="Calibri" w:eastAsia="Times New Roman" w:hAnsi="Calibri" w:cs="Times New Roman"/>
          <w:szCs w:val="24"/>
          <w:lang w:val="en-US"/>
        </w:rPr>
        <w:t xml:space="preserve">da je, u uslovima pandemije novog koronavirusa, neophodno da banke prvenstveno nastave da pružaju doprinos ublažavanju društvenih i ekonomskih posljedica prouzrokovanih ovom pandemijom, te su pred bankama izazovi iznalaženja poslovnih modela za pružanje podrške građanima i privredi na prevazilaženju navedenih posljedica; </w:t>
      </w:r>
    </w:p>
    <w:p w:rsidR="007A04CE" w:rsidRPr="007A04CE" w:rsidRDefault="007A04CE" w:rsidP="00146EBE">
      <w:pPr>
        <w:numPr>
          <w:ilvl w:val="0"/>
          <w:numId w:val="22"/>
        </w:numPr>
        <w:spacing w:before="0" w:after="0" w:line="240" w:lineRule="auto"/>
        <w:jc w:val="left"/>
        <w:rPr>
          <w:rFonts w:ascii="Calibri" w:eastAsia="Times New Roman" w:hAnsi="Calibri" w:cs="Times New Roman"/>
          <w:szCs w:val="24"/>
          <w:lang w:val="en-US"/>
        </w:rPr>
      </w:pPr>
      <w:r w:rsidRPr="007A04CE">
        <w:rPr>
          <w:rFonts w:ascii="Calibri" w:eastAsia="Times New Roman" w:hAnsi="Calibri" w:cs="Times New Roman"/>
          <w:szCs w:val="24"/>
          <w:lang w:val="en-US"/>
        </w:rPr>
        <w:t>da je 11. jula 2020. godine stupio na snagu novi Zakon o privrednim društvima i da su banke, kao akcionarska društva, dužne da svoje poslovanje usklade i sa ovim zakonom do 11. aprila 2021. godine. S obzirom da je Zakon o kreditnim institucijama “lex specialis” u odnosu na Zakon o privrednim društvima, banke bi trebalo da svoje poslovanje usklade najprije sa Zakon o privrednim društvima koji je “lex generalis”, pa tek onda sa Zakonom o kreditnim institucijama;</w:t>
      </w:r>
    </w:p>
    <w:p w:rsidR="007A04CE" w:rsidRPr="007A04CE" w:rsidRDefault="007A04CE" w:rsidP="00146EBE">
      <w:pPr>
        <w:numPr>
          <w:ilvl w:val="0"/>
          <w:numId w:val="22"/>
        </w:numPr>
        <w:spacing w:before="0" w:after="0" w:line="240" w:lineRule="auto"/>
        <w:jc w:val="left"/>
        <w:rPr>
          <w:rFonts w:ascii="Calibri" w:eastAsia="Times New Roman" w:hAnsi="Calibri" w:cs="Times New Roman"/>
          <w:szCs w:val="24"/>
          <w:lang w:val="en-US"/>
        </w:rPr>
      </w:pPr>
      <w:r w:rsidRPr="007A04CE">
        <w:rPr>
          <w:rFonts w:ascii="Calibri" w:eastAsia="Times New Roman" w:hAnsi="Calibri" w:cs="Times New Roman"/>
          <w:szCs w:val="24"/>
          <w:lang w:val="en-US"/>
        </w:rPr>
        <w:t>da u 2020. godini banke imaju zahtjevne aktivnosti i na procjeni kvaliteta aktive (AQR).</w:t>
      </w:r>
    </w:p>
    <w:p w:rsidR="007A04CE" w:rsidRPr="007A04CE" w:rsidRDefault="007A04CE" w:rsidP="007A04CE">
      <w:pPr>
        <w:spacing w:before="0" w:after="0" w:line="240" w:lineRule="auto"/>
        <w:ind w:firstLine="317"/>
        <w:rPr>
          <w:rFonts w:ascii="Calibri" w:eastAsia="Times New Roman" w:hAnsi="Calibri" w:cs="Times New Roman"/>
          <w:szCs w:val="24"/>
          <w:lang w:val="en-US"/>
        </w:rPr>
      </w:pPr>
      <w:r w:rsidRPr="007A04CE">
        <w:rPr>
          <w:rFonts w:ascii="Calibri" w:eastAsia="Times New Roman" w:hAnsi="Calibri" w:cs="Times New Roman"/>
          <w:szCs w:val="24"/>
          <w:lang w:val="en-US"/>
        </w:rPr>
        <w:t>Uvažavajući navedene razloge, pripremljeni su Predlog zakona o izmjenama i dopunama Zakona o kreditnim institucijama</w:t>
      </w:r>
      <w:r w:rsidRPr="007A04CE">
        <w:rPr>
          <w:rFonts w:ascii="Calibri" w:eastAsia="Times New Roman" w:hAnsi="Calibri" w:cs="Arial"/>
          <w:szCs w:val="24"/>
          <w:lang w:val="sr-Latn-ME"/>
        </w:rPr>
        <w:t xml:space="preserve"> i Predlog zakona o izmjenama i dopunama o sanaciji kreditnih institucija</w:t>
      </w:r>
      <w:r w:rsidRPr="007A04CE">
        <w:rPr>
          <w:rFonts w:ascii="Calibri" w:eastAsia="Times New Roman" w:hAnsi="Calibri" w:cs="Times New Roman"/>
          <w:szCs w:val="24"/>
          <w:lang w:val="en-US"/>
        </w:rPr>
        <w:t xml:space="preserve">, kojima se predlaže produženje rokova za početak primjene Zakona, za godinu dana, odnosno od 1. januara 2022. godine, kao i </w:t>
      </w:r>
      <w:r w:rsidRPr="007A04CE">
        <w:rPr>
          <w:rFonts w:ascii="Calibri" w:eastAsia="Times New Roman" w:hAnsi="Calibri" w:cs="Arial"/>
          <w:szCs w:val="24"/>
          <w:lang w:val="sr-Latn-ME"/>
        </w:rPr>
        <w:t xml:space="preserve">i “pomjeranje” svih drugih prelaznih rokova za godinu dana (produženje roka za prvu uplatu redovnog godišnjeg doprinosa kreditne institucije za Sanacioni fond, donošenje podzakonskih propisa; </w:t>
      </w:r>
      <w:r w:rsidRPr="007A04CE">
        <w:rPr>
          <w:rFonts w:ascii="Calibri" w:eastAsia="Times New Roman" w:hAnsi="Calibri" w:cs="Times New Roman"/>
          <w:szCs w:val="24"/>
          <w:lang w:val="en-US"/>
        </w:rPr>
        <w:t xml:space="preserve">rokova za usklađivanje poslovanja kreditnih institucija sa Zakonom o kreditnim institucijama, koje obuhvata prilagođavanje rokova za postepenu primjenu brojnih novih zahtjeva definisanih prelaznim odredbama Zakona, itd). </w:t>
      </w:r>
    </w:p>
    <w:p w:rsidR="007A04CE" w:rsidRPr="007A04CE" w:rsidRDefault="007A04CE" w:rsidP="007A04CE">
      <w:pPr>
        <w:spacing w:before="0" w:after="0" w:line="240" w:lineRule="auto"/>
        <w:rPr>
          <w:rFonts w:ascii="Calibri" w:eastAsia="Times New Roman" w:hAnsi="Calibri" w:cs="Times New Roman"/>
          <w:b/>
          <w:i/>
          <w:szCs w:val="24"/>
          <w:lang w:val="en-US"/>
        </w:rPr>
      </w:pPr>
    </w:p>
    <w:p w:rsidR="007A04CE" w:rsidRPr="007A04CE" w:rsidRDefault="007A04CE" w:rsidP="007A04CE">
      <w:pPr>
        <w:spacing w:before="0" w:after="0" w:line="240" w:lineRule="auto"/>
        <w:rPr>
          <w:rFonts w:ascii="Calibri" w:eastAsia="Times New Roman" w:hAnsi="Calibri" w:cs="Arial"/>
          <w:b/>
          <w:i/>
          <w:szCs w:val="24"/>
          <w:lang w:val="en-US"/>
        </w:rPr>
      </w:pPr>
      <w:r w:rsidRPr="007A04CE">
        <w:rPr>
          <w:rFonts w:ascii="Calibri" w:eastAsia="Times New Roman" w:hAnsi="Calibri" w:cs="Arial"/>
          <w:b/>
          <w:i/>
          <w:szCs w:val="24"/>
          <w:lang w:val="en-US"/>
        </w:rPr>
        <w:t>- Predlog zakona o uporedivosti naknada, povezanih sa računom za plaćanje potrošača, prebacivanju računa za plaćanje potrošača i računu za plaćanje sa osnovnim uslugama i Predlog zakona o međubankarskim naknadama i posebnim pravilima poslovanja u vezi sa platnim karticama</w:t>
      </w:r>
    </w:p>
    <w:p w:rsidR="007A04CE" w:rsidRPr="007A04CE" w:rsidRDefault="007A04CE" w:rsidP="00C331DD">
      <w:pPr>
        <w:spacing w:before="0" w:after="0" w:line="240" w:lineRule="auto"/>
        <w:ind w:firstLine="709"/>
        <w:rPr>
          <w:rFonts w:ascii="Calibri" w:eastAsia="Times New Roman" w:hAnsi="Calibri" w:cs="Arial"/>
          <w:szCs w:val="24"/>
          <w:lang w:val="en-US" w:eastAsia="en-GB"/>
        </w:rPr>
      </w:pPr>
      <w:r w:rsidRPr="007A04CE">
        <w:rPr>
          <w:rFonts w:ascii="Calibri" w:eastAsia="Times New Roman" w:hAnsi="Calibri" w:cs="Arial"/>
          <w:szCs w:val="24"/>
          <w:lang w:val="en-US" w:eastAsia="en-GB"/>
        </w:rPr>
        <w:lastRenderedPageBreak/>
        <w:t xml:space="preserve">Platni promet u Crnoj Gori predstavlja jednu od najvažnijih komponenti nesmetanog funkcionisanja finansijske infrastrukture i finansijskog sistema Crne Gore u cjelini, pa je, stoga, stalno bio predmet zakonske i podzakonske regulative. </w:t>
      </w:r>
    </w:p>
    <w:p w:rsidR="007A04CE" w:rsidRPr="007A04CE" w:rsidRDefault="007A04CE" w:rsidP="007A04CE">
      <w:pPr>
        <w:spacing w:before="0" w:after="0" w:line="240" w:lineRule="auto"/>
        <w:ind w:firstLine="720"/>
        <w:rPr>
          <w:rFonts w:ascii="Calibri" w:eastAsia="Times New Roman" w:hAnsi="Calibri" w:cs="Arial"/>
          <w:szCs w:val="24"/>
          <w:lang w:val="en-US" w:eastAsia="en-GB"/>
        </w:rPr>
      </w:pPr>
      <w:r w:rsidRPr="007A04CE">
        <w:rPr>
          <w:rFonts w:ascii="Calibri" w:eastAsia="Times New Roman" w:hAnsi="Calibri" w:cs="Arial"/>
          <w:szCs w:val="24"/>
          <w:lang w:val="en-US" w:eastAsia="en-GB"/>
        </w:rPr>
        <w:t>U cilju unaprijeđenja regulative koja se odnosi na platni promet, prije svega sa ciljem zaštite potrošača, Centralna banka je pripremila: Nacrt zakona o uporedivosti naknada povezanih sa računom za plaćanje potrošača, prebacivanju računa za plaćanje potrošača i računu za plaćanje sa osnovnim uslugama i Nacrt zakona o međubankarskim naknadama i posebnim pravilima poslovanja u vezi sa platnim karticama.</w:t>
      </w:r>
    </w:p>
    <w:p w:rsidR="007A04CE" w:rsidRPr="007A04CE" w:rsidRDefault="007A04CE" w:rsidP="007A04CE">
      <w:pPr>
        <w:spacing w:before="0" w:after="0" w:line="240" w:lineRule="auto"/>
        <w:ind w:firstLine="720"/>
        <w:rPr>
          <w:rFonts w:ascii="Calibri" w:eastAsia="Times New Roman" w:hAnsi="Calibri" w:cs="Arial"/>
          <w:szCs w:val="24"/>
          <w:lang w:val="en-US" w:eastAsia="en-GB"/>
        </w:rPr>
      </w:pPr>
      <w:r w:rsidRPr="007A04CE">
        <w:rPr>
          <w:rFonts w:ascii="Calibri" w:eastAsia="Times New Roman" w:hAnsi="Calibri" w:cs="Arial"/>
          <w:szCs w:val="24"/>
          <w:lang w:val="en-US" w:eastAsia="en-GB"/>
        </w:rPr>
        <w:t xml:space="preserve">Nacrtom zakona o uporedivosti naknada se u pravni sistem Crne Gore u potpunosti implementira Direktiva 2014/92/EZ o uporedivosti naknada povezanih sa računima za plaćanje, prebacivanju računa za plaćanje i pristupu računima za plaćanje sa osnovnim uslugama (Payment Accounts Directive - PAD). </w:t>
      </w:r>
    </w:p>
    <w:p w:rsidR="007A04CE" w:rsidRPr="007A04CE" w:rsidRDefault="007A04CE" w:rsidP="007A04CE">
      <w:pPr>
        <w:spacing w:before="0" w:after="0" w:line="240" w:lineRule="auto"/>
        <w:ind w:firstLine="720"/>
        <w:rPr>
          <w:rFonts w:ascii="Calibri" w:eastAsia="Times New Roman" w:hAnsi="Calibri" w:cs="Arial"/>
          <w:szCs w:val="24"/>
          <w:lang w:val="en-US" w:eastAsia="en-GB"/>
        </w:rPr>
      </w:pPr>
      <w:r w:rsidRPr="007A04CE">
        <w:rPr>
          <w:rFonts w:ascii="Calibri" w:eastAsia="Times New Roman" w:hAnsi="Calibri" w:cs="Arial"/>
          <w:szCs w:val="24"/>
          <w:lang w:val="en-US" w:eastAsia="en-GB"/>
        </w:rPr>
        <w:t>Transparentno uporedivim naknadama povezanim sa računima za plaćanje podstaknuti će se konkurencija među pružaocima platnih usluga, što bi trebalo da dovede do snižavanja cijena platnih usluga, a potrošačima će omogućiti da, zbog bolje informisanosti, donose adekvatnije odluke prilikom izbora pružaoca platnih usluga. Ovaj zakon se odnosi isključivo na potrošače, odnosno na svako fizičko lice koje zaključuje ugovor o platnim uslugama u svrhe koje nijesu namijenjene njegovoj djelatnosti, poslovanju ili zanimanju.</w:t>
      </w:r>
    </w:p>
    <w:p w:rsidR="007A04CE" w:rsidRPr="007A04CE" w:rsidRDefault="007A04CE" w:rsidP="007A04CE">
      <w:pPr>
        <w:spacing w:before="0" w:after="0" w:line="240" w:lineRule="auto"/>
        <w:ind w:firstLine="720"/>
        <w:rPr>
          <w:rFonts w:ascii="Calibri" w:eastAsia="Times New Roman" w:hAnsi="Calibri" w:cs="Arial"/>
          <w:szCs w:val="24"/>
          <w:lang w:val="en-US" w:eastAsia="en-GB"/>
        </w:rPr>
      </w:pPr>
      <w:r w:rsidRPr="007A04CE">
        <w:rPr>
          <w:rFonts w:ascii="Calibri" w:eastAsia="Times New Roman" w:hAnsi="Calibri" w:cs="Arial"/>
          <w:szCs w:val="24"/>
          <w:lang w:val="en-US" w:eastAsia="en-GB"/>
        </w:rPr>
        <w:t>Nacrtom zakona o međubankarskim naknadama predlaže se usklađivanje nacionalnog zakonodavstva sa Uredbom (EU) 2015/751 o međubankarskim naknadama za platne transakcije po osnovu kartica, čiji je cilj da se korisnicima platnih usluga obezbijede sigurna, nesmetana i inovativna elektronska plaćanja uklanjanjem prepreka za djelotvorno funkcionisanje tržišta platnih kartica, kao i da se, kada su potrošači u pitanju, riješi problem visokih i različitih međubankarskih naknada na osnovu platnih kartica. Ovom uredbom uređuju se gornja granica za međubankarske naknade na osnovu platnih kartica izdatih potrošačima i pravila poslovanja u vezi sa izdavanjem platnih kartica ili izvršavanjem platnih transakcija na osnovu platnih kartica.</w:t>
      </w:r>
    </w:p>
    <w:p w:rsidR="007A04CE" w:rsidRPr="007A04CE" w:rsidRDefault="007A04CE" w:rsidP="007A04CE">
      <w:pPr>
        <w:spacing w:before="0" w:after="0" w:line="240" w:lineRule="auto"/>
        <w:ind w:firstLine="720"/>
        <w:rPr>
          <w:rFonts w:ascii="Calibri" w:eastAsia="Times New Roman" w:hAnsi="Calibri" w:cs="Arial"/>
          <w:szCs w:val="24"/>
          <w:lang w:val="en-US" w:eastAsia="en-GB"/>
        </w:rPr>
      </w:pPr>
      <w:r w:rsidRPr="007A04CE">
        <w:rPr>
          <w:rFonts w:ascii="Calibri" w:eastAsia="Times New Roman" w:hAnsi="Calibri" w:cs="Arial"/>
          <w:szCs w:val="24"/>
          <w:lang w:val="en-US" w:eastAsia="en-GB"/>
        </w:rPr>
        <w:t>Uređivanjem međubankarskih naknada i navedenih pravila poslovanja poboljšaće se funkcionisanje unutrašnjeg tržišta za platne usluge, u korist potrošača, smanjiti troškovi za platne transakcije na osnovu platnih kartica i uspostaviti jednaka prava, obaveze i mogućnosti za sve učesnike na tržištu.</w:t>
      </w:r>
    </w:p>
    <w:p w:rsidR="007A04CE" w:rsidRPr="007A04CE" w:rsidRDefault="007A04CE" w:rsidP="007A04CE">
      <w:pPr>
        <w:spacing w:before="0" w:after="0" w:line="240" w:lineRule="auto"/>
        <w:ind w:firstLine="720"/>
        <w:rPr>
          <w:rFonts w:ascii="Calibri" w:eastAsia="Times New Roman" w:hAnsi="Calibri" w:cs="Arial"/>
          <w:szCs w:val="24"/>
          <w:lang w:val="en-US" w:eastAsia="en-GB"/>
        </w:rPr>
      </w:pPr>
      <w:r w:rsidRPr="007A04CE">
        <w:rPr>
          <w:rFonts w:ascii="Calibri" w:eastAsia="Times New Roman" w:hAnsi="Calibri" w:cs="Arial"/>
          <w:szCs w:val="24"/>
          <w:lang w:val="en-US" w:eastAsia="en-GB"/>
        </w:rPr>
        <w:t xml:space="preserve">Imajući u vidu da će primjena ova dva Nacrta zakona uticati na smanjenje prihoda banaka, njihova primjena je odložena za godinu odnosno dvije godine, od dana stupanja na snagu Zakona, kako bi banke imale dovoljno vremena da usklade svoje poslovanje. </w:t>
      </w:r>
    </w:p>
    <w:p w:rsidR="007A04CE" w:rsidRPr="007A04CE" w:rsidRDefault="007A04CE" w:rsidP="007A04CE">
      <w:pPr>
        <w:spacing w:before="0" w:after="0" w:line="240" w:lineRule="auto"/>
        <w:ind w:firstLine="720"/>
        <w:rPr>
          <w:rFonts w:ascii="Calibri" w:eastAsia="Times New Roman" w:hAnsi="Calibri" w:cs="Arial"/>
          <w:noProof/>
          <w:szCs w:val="24"/>
          <w:lang w:eastAsia="sr-Latn-CS"/>
        </w:rPr>
      </w:pPr>
      <w:r w:rsidRPr="007A04CE">
        <w:rPr>
          <w:rFonts w:ascii="Calibri" w:eastAsia="Times New Roman" w:hAnsi="Calibri" w:cs="Arial"/>
          <w:noProof/>
          <w:szCs w:val="24"/>
          <w:lang w:eastAsia="sr-Latn-CS"/>
        </w:rPr>
        <w:t xml:space="preserve">Ministarstvo finansija je objavilo javnu raspravu o Nacrtima zakona, u periodu od 10. decembra 2018. godine do 20. januara 2019. godine. Takođe, Ministarstvo finansija je, u saradnji sa Centralnom bankom, 27.03.2019. godine, organizovalo, sastanak sa predstavnicima banaka i Udruženja banaka Crne Gore, na operativnom nivou, a 29.03.2019 godine, i Okrugli sto, sa menadžmentom banaka i predstavnicima Udruženja banaka Crne Gore, kako bi u neposrednoj komunikaciji, osim bankarske regulative, razmotrili i razjasnili, sve komentare koji su dostavljeni tokom javne rasprave i na platne sisteme. Tokom sastanka, i za ova dva Nacrta zakona, postignut je visok stepen saglasnosti između predstavnika banaka, Centralne banke i Ministarstva finansija.  </w:t>
      </w:r>
    </w:p>
    <w:p w:rsidR="007A04CE" w:rsidRPr="007A04CE" w:rsidRDefault="007A04CE" w:rsidP="007A04CE">
      <w:pPr>
        <w:spacing w:before="0" w:after="0" w:line="240" w:lineRule="auto"/>
        <w:ind w:firstLine="360"/>
        <w:rPr>
          <w:rFonts w:ascii="Calibri" w:eastAsia="Times New Roman" w:hAnsi="Calibri" w:cs="Arial"/>
          <w:szCs w:val="24"/>
          <w:lang w:val="en-US"/>
        </w:rPr>
      </w:pPr>
      <w:r w:rsidRPr="007A04CE">
        <w:rPr>
          <w:rFonts w:ascii="Calibri" w:eastAsia="Times New Roman" w:hAnsi="Calibri" w:cs="Arial"/>
          <w:szCs w:val="24"/>
          <w:lang w:val="en-US"/>
        </w:rPr>
        <w:t>Predlozi zakona su, 25.04.2019. godine, dostavljeni Evropskoj komisiji, na mišljenje. Nakon dobijene saglasnosti Evropske komisije (u prvoj polovini 2020. godine</w:t>
      </w:r>
      <w:r w:rsidRPr="007A04CE">
        <w:rPr>
          <w:rFonts w:ascii="Calibri" w:eastAsia="Times New Roman" w:hAnsi="Calibri" w:cs="Arial"/>
          <w:szCs w:val="24"/>
          <w:lang w:val="sr-Latn-ME"/>
        </w:rPr>
        <w:t xml:space="preserve">) </w:t>
      </w:r>
      <w:r w:rsidRPr="007A04CE">
        <w:rPr>
          <w:rFonts w:ascii="Calibri" w:eastAsia="Times New Roman" w:hAnsi="Calibri" w:cs="Arial"/>
          <w:szCs w:val="24"/>
          <w:lang w:val="en-US"/>
        </w:rPr>
        <w:t xml:space="preserve">i relevatnih domaćih institucija, Predlozi zakona su usvojeni na sjednici Vlade Crne Gore, od 11.09.2020. godine i 22.09.2020. godine dostavljeni Skupštini Crne Gore, na razmatranje i usvajanje. </w:t>
      </w:r>
    </w:p>
    <w:p w:rsidR="007A04CE" w:rsidRPr="007A04CE" w:rsidRDefault="007A04CE" w:rsidP="007A04CE">
      <w:pPr>
        <w:spacing w:before="0" w:after="0" w:line="240" w:lineRule="auto"/>
        <w:rPr>
          <w:rFonts w:ascii="Calibri" w:eastAsia="Times New Roman" w:hAnsi="Calibri" w:cs="Arial"/>
          <w:szCs w:val="24"/>
          <w:lang w:val="en-US"/>
        </w:rPr>
      </w:pPr>
    </w:p>
    <w:p w:rsidR="007A04CE" w:rsidRPr="007A04CE" w:rsidRDefault="007A04CE" w:rsidP="007A04CE">
      <w:pPr>
        <w:spacing w:before="0" w:after="0" w:line="240" w:lineRule="auto"/>
        <w:rPr>
          <w:rFonts w:ascii="Calibri" w:eastAsia="Times New Roman" w:hAnsi="Calibri" w:cs="Arial"/>
          <w:b/>
          <w:i/>
          <w:szCs w:val="24"/>
          <w:lang w:val="en-US"/>
        </w:rPr>
      </w:pPr>
      <w:r w:rsidRPr="007A04CE">
        <w:rPr>
          <w:rFonts w:ascii="Calibri" w:eastAsia="Times New Roman" w:hAnsi="Calibri" w:cs="Arial"/>
          <w:b/>
          <w:i/>
          <w:szCs w:val="24"/>
          <w:lang w:val="en-US"/>
        </w:rPr>
        <w:t>- Predloga zakona o izmjenama i dopunama Zakona o platnom prometu</w:t>
      </w:r>
    </w:p>
    <w:p w:rsidR="007A04CE" w:rsidRPr="007A04CE" w:rsidRDefault="007A04CE" w:rsidP="007A04CE">
      <w:pPr>
        <w:spacing w:before="0" w:after="0" w:line="240" w:lineRule="auto"/>
        <w:ind w:firstLine="720"/>
        <w:rPr>
          <w:rFonts w:ascii="Calibri" w:eastAsia="Times New Roman" w:hAnsi="Calibri" w:cs="Arial"/>
          <w:szCs w:val="24"/>
          <w:lang w:val="en-US"/>
        </w:rPr>
      </w:pPr>
      <w:r w:rsidRPr="007A04CE">
        <w:rPr>
          <w:rFonts w:ascii="Calibri" w:eastAsia="Times New Roman" w:hAnsi="Calibri" w:cs="Arial"/>
          <w:szCs w:val="24"/>
          <w:lang w:val="en-US"/>
        </w:rPr>
        <w:t xml:space="preserve">U Crnoj Gori se od 9. januara 2015. godine primjenjuje Zakon o platnom prometu („Službeni list Crne Gore“, br. 62/13 i 06/14), kojim su uređene: platne usluge, pružaoci platnih usluga, obaveze </w:t>
      </w:r>
      <w:r w:rsidRPr="007A04CE">
        <w:rPr>
          <w:rFonts w:ascii="Calibri" w:eastAsia="Times New Roman" w:hAnsi="Calibri" w:cs="Arial"/>
          <w:szCs w:val="24"/>
          <w:lang w:val="en-US"/>
        </w:rPr>
        <w:lastRenderedPageBreak/>
        <w:t xml:space="preserve">informisanja korisnika platnih usluga, prava i obaveze u vezi sa pružanjem platnih usluga, transakcioni računi i izvršenje platnih transakcija, izdavanje odobrenja za rad i kontrola platnih institucija i institucija za elektronski novac,  izdavanje dozvole za rad i kontrola  platnih sistema. Takođe, važećim Zakonom stvorene su pravne pretpostavke da se, od pristupanja Crne Gore Evropskoj uniji, ukinu razlike između nacionalnih i prekograničnih plaćanja. </w:t>
      </w:r>
    </w:p>
    <w:p w:rsidR="007A04CE" w:rsidRPr="007A04CE" w:rsidRDefault="007A04CE" w:rsidP="007A04CE">
      <w:pPr>
        <w:spacing w:before="0" w:after="0" w:line="240" w:lineRule="auto"/>
        <w:ind w:firstLine="720"/>
        <w:rPr>
          <w:rFonts w:ascii="Calibri" w:eastAsia="Times New Roman" w:hAnsi="Calibri" w:cs="Arial"/>
          <w:bCs/>
          <w:szCs w:val="24"/>
          <w:lang w:val="en-GB"/>
        </w:rPr>
      </w:pPr>
      <w:r w:rsidRPr="007A04CE">
        <w:rPr>
          <w:rFonts w:ascii="Calibri" w:eastAsia="Times New Roman" w:hAnsi="Calibri" w:cs="Arial"/>
          <w:bCs/>
          <w:szCs w:val="24"/>
          <w:lang w:val="en-GB"/>
        </w:rPr>
        <w:t xml:space="preserve">Važećim Zakonom je u crnogorsko zakonodavstvo implementirana Direktiva 2007/64/EZ o platnim uslugama na unutrašnjem tržištu (PSD1). Donošenjem ovog zakona i njegovih podzakonskih akata crnogorski regulatorni okvir o platnom prometu je u potpunosti usklađen sa pravnom tekovinom Evropske unije iz ove oblasti koja je bila na snazi do kraja 2014. godine. </w:t>
      </w:r>
    </w:p>
    <w:p w:rsidR="007A04CE" w:rsidRPr="007A04CE" w:rsidRDefault="007A04CE" w:rsidP="007A04CE">
      <w:pPr>
        <w:spacing w:before="0" w:after="0" w:line="240" w:lineRule="auto"/>
        <w:ind w:firstLine="720"/>
        <w:rPr>
          <w:rFonts w:ascii="Calibri" w:eastAsia="Times New Roman" w:hAnsi="Calibri" w:cs="Arial"/>
          <w:bCs/>
          <w:szCs w:val="24"/>
          <w:lang w:val="en-GB"/>
        </w:rPr>
      </w:pPr>
      <w:r w:rsidRPr="007A04CE">
        <w:rPr>
          <w:rFonts w:ascii="Calibri" w:eastAsia="Times New Roman" w:hAnsi="Calibri" w:cs="Arial"/>
          <w:bCs/>
          <w:szCs w:val="24"/>
          <w:lang w:val="en-GB"/>
        </w:rPr>
        <w:t>Nakon donošenja PSD1 i prvih godina njene primjene, u Evropskoj uniji je uočeno da ovom direktivom nisu riješeni neki problemi vezani za određena pitanja nesmetanog i sigurnog pružanja platnih usluga, posebno u dijelu koji se odnosi na brzo rastuće tehnološke inovacije i njihove primjene u oblasti platnog prometa, kao i pojave novih vrsta platnih usluga na tržištu. Stoga je, prvenstveno kao posljedica tehnološkog razvoja, donijeta</w:t>
      </w:r>
      <w:r w:rsidRPr="007A04CE">
        <w:rPr>
          <w:rFonts w:ascii="Calibri" w:eastAsia="Times New Roman" w:hAnsi="Calibri" w:cs="Arial"/>
          <w:bCs/>
          <w:szCs w:val="24"/>
          <w:lang w:val="sr-Latn-ME"/>
        </w:rPr>
        <w:t xml:space="preserve"> nova Direktiva (EU) 2015/2366 o platnim uslugama na unutrašnjem tržištu (PSD2), </w:t>
      </w:r>
      <w:r w:rsidRPr="007A04CE">
        <w:rPr>
          <w:rFonts w:ascii="Calibri" w:eastAsia="Times New Roman" w:hAnsi="Calibri" w:cs="Arial"/>
          <w:bCs/>
          <w:szCs w:val="24"/>
          <w:lang w:val="en-GB"/>
        </w:rPr>
        <w:t>koja je, pored utvrđivanja većih zahtjeva sigurnosti i unaprijeđenja zaštite korisnika platnih usluga, uvela i uredila dvije nove platne usluge, i to: usluge iniciranja plaćanja i usluge pružanja informacija o računu za plaćanje.</w:t>
      </w:r>
    </w:p>
    <w:p w:rsidR="007A04CE" w:rsidRPr="007A04CE" w:rsidRDefault="007A04CE" w:rsidP="007A04CE">
      <w:pPr>
        <w:spacing w:before="0" w:after="0" w:line="240" w:lineRule="auto"/>
        <w:ind w:firstLine="720"/>
        <w:rPr>
          <w:rFonts w:ascii="Calibri" w:eastAsia="Times New Roman" w:hAnsi="Calibri" w:cs="Arial"/>
          <w:bCs/>
          <w:szCs w:val="24"/>
          <w:lang w:val="hr-HR"/>
        </w:rPr>
      </w:pPr>
      <w:r w:rsidRPr="007A04CE">
        <w:rPr>
          <w:rFonts w:ascii="Calibri" w:eastAsia="Times New Roman" w:hAnsi="Calibri" w:cs="Arial"/>
          <w:bCs/>
          <w:szCs w:val="24"/>
          <w:lang w:val="sr-Latn-ME"/>
        </w:rPr>
        <w:t xml:space="preserve">Crna Gora je, kao zemlja kandidat, u obavezi da kontinuirano usklađuje nacionalno sa evropskim zakonodavstvom, te je pripremljen Nacrt zakona o izmjenama i dopunama Zakona o platnom prometu, koji je u potpunosti usklađen sa PSD2, čime će se </w:t>
      </w:r>
      <w:r w:rsidRPr="007A04CE">
        <w:rPr>
          <w:rFonts w:ascii="Calibri" w:eastAsia="Times New Roman" w:hAnsi="Calibri" w:cs="Arial"/>
          <w:bCs/>
          <w:szCs w:val="24"/>
        </w:rPr>
        <w:t xml:space="preserve">obezbijediti da pružanje platnih usluga u Crnoj Gori bude uređeno na isti način kao u državama članicama Evropske unije, što će omogućiti korisnicima platnih usluga u Crnoj Gori da imaju pravo na korišćenje platnih usluga u skladu sa najvišim evropskim standardima i uslovima sigurnosti. </w:t>
      </w:r>
    </w:p>
    <w:p w:rsidR="007A04CE" w:rsidRPr="007A04CE" w:rsidRDefault="007A04CE" w:rsidP="007A04CE">
      <w:pPr>
        <w:spacing w:before="0" w:after="0" w:line="240" w:lineRule="auto"/>
        <w:ind w:firstLine="720"/>
        <w:rPr>
          <w:rFonts w:ascii="Calibri" w:eastAsia="Times New Roman" w:hAnsi="Calibri" w:cs="Arial"/>
          <w:bCs/>
          <w:szCs w:val="24"/>
          <w:lang w:val="hr-HR"/>
        </w:rPr>
      </w:pPr>
      <w:r w:rsidRPr="007A04CE">
        <w:rPr>
          <w:rFonts w:ascii="Calibri" w:eastAsia="Times New Roman" w:hAnsi="Calibri" w:cs="Arial"/>
          <w:bCs/>
          <w:szCs w:val="24"/>
          <w:lang w:val="pl-PL"/>
        </w:rPr>
        <w:t xml:space="preserve">Predloženi zakon omogućiće da se: </w:t>
      </w:r>
      <w:r w:rsidRPr="007A04CE">
        <w:rPr>
          <w:rFonts w:ascii="Calibri" w:eastAsia="Times New Roman" w:hAnsi="Calibri" w:cs="Arial"/>
          <w:bCs/>
          <w:szCs w:val="24"/>
          <w:lang w:val="hr-HR"/>
        </w:rPr>
        <w:t xml:space="preserve">stvore uslovi za inovacije i konkurenciju, obezbijede sigurnija plaćanja, poveća zaštita potrošača, kao i da se uvedu „novi igrači“ na tržište platnih usluga. </w:t>
      </w:r>
    </w:p>
    <w:p w:rsidR="007A04CE" w:rsidRPr="007A04CE" w:rsidRDefault="007A04CE" w:rsidP="007A04CE">
      <w:pPr>
        <w:spacing w:before="0" w:after="0" w:line="240" w:lineRule="auto"/>
        <w:ind w:firstLine="720"/>
        <w:rPr>
          <w:rFonts w:ascii="Calibri" w:eastAsia="Times New Roman" w:hAnsi="Calibri" w:cs="Arial"/>
          <w:bCs/>
          <w:szCs w:val="24"/>
          <w:lang w:val="hr-HR"/>
        </w:rPr>
      </w:pPr>
      <w:r w:rsidRPr="007A04CE">
        <w:rPr>
          <w:rFonts w:ascii="Calibri" w:eastAsia="Times New Roman" w:hAnsi="Calibri" w:cs="Arial"/>
          <w:bCs/>
          <w:szCs w:val="24"/>
          <w:lang w:val="hr-HR"/>
        </w:rPr>
        <w:t xml:space="preserve">Nacrt zakona o izmjenama i dopunama Zakona o platnom prometu je objavljen na javnu raspravu, u periodu od 16. marta do 17. aprila 2020. godine. </w:t>
      </w:r>
    </w:p>
    <w:p w:rsidR="007A04CE" w:rsidRPr="007A04CE" w:rsidRDefault="007A04CE" w:rsidP="007A04CE">
      <w:pPr>
        <w:spacing w:before="0" w:after="0" w:line="240" w:lineRule="auto"/>
        <w:ind w:firstLine="360"/>
        <w:rPr>
          <w:rFonts w:ascii="Calibri" w:eastAsia="Times New Roman" w:hAnsi="Calibri" w:cs="Arial"/>
          <w:bCs/>
          <w:szCs w:val="24"/>
        </w:rPr>
      </w:pPr>
      <w:r w:rsidRPr="007A04CE">
        <w:rPr>
          <w:rFonts w:ascii="Calibri" w:eastAsia="Times New Roman" w:hAnsi="Calibri" w:cs="Arial"/>
          <w:bCs/>
          <w:szCs w:val="24"/>
        </w:rPr>
        <w:t xml:space="preserve">Nacrt zakona je nakon usaglašavanja sa relevatnim domaćim institucijama, 20.07.2020.godine dostavljen Evropskoj komisiji, na mišljenje. </w:t>
      </w:r>
    </w:p>
    <w:p w:rsidR="007A04CE" w:rsidRPr="007A04CE" w:rsidRDefault="007A04CE" w:rsidP="007A04CE">
      <w:pPr>
        <w:spacing w:before="0" w:after="0" w:line="240" w:lineRule="auto"/>
        <w:rPr>
          <w:rFonts w:ascii="Calibri" w:eastAsia="Times New Roman" w:hAnsi="Calibri" w:cs="Arial"/>
          <w:szCs w:val="24"/>
          <w:lang w:val="en-US"/>
        </w:rPr>
      </w:pPr>
    </w:p>
    <w:p w:rsidR="007A04CE" w:rsidRPr="007A04CE" w:rsidRDefault="007A04CE" w:rsidP="007A04CE">
      <w:pPr>
        <w:spacing w:before="0" w:after="0" w:line="240" w:lineRule="auto"/>
        <w:rPr>
          <w:rFonts w:ascii="Calibri" w:eastAsia="Times New Roman" w:hAnsi="Calibri" w:cs="Times New Roman"/>
          <w:b/>
          <w:i/>
          <w:szCs w:val="24"/>
          <w:lang w:val="en-US"/>
        </w:rPr>
      </w:pPr>
      <w:r w:rsidRPr="007A04CE">
        <w:rPr>
          <w:rFonts w:ascii="Calibri" w:eastAsia="Times New Roman" w:hAnsi="Calibri" w:cs="Times New Roman"/>
          <w:b/>
          <w:i/>
          <w:szCs w:val="24"/>
          <w:lang w:val="en-US"/>
        </w:rPr>
        <w:t>- Predlog zakona o odlaganju plaćanja kreditnih obaveza korisnika kredita, koji su Skupštini Crne Gore podnijeli poslanici mr Raško Konjević, dr Draginja Vuksanović- Stanković, Ranko Krivokapić i Džavid Šabović</w:t>
      </w:r>
    </w:p>
    <w:p w:rsidR="007A04CE" w:rsidRPr="007A04CE" w:rsidRDefault="007A04CE" w:rsidP="007A04CE">
      <w:pPr>
        <w:spacing w:before="0" w:after="0" w:line="240" w:lineRule="auto"/>
        <w:ind w:firstLine="720"/>
        <w:rPr>
          <w:rFonts w:ascii="Calibri" w:eastAsia="Times New Roman" w:hAnsi="Calibri" w:cs="Times New Roman"/>
          <w:szCs w:val="24"/>
          <w:lang w:val="en-US"/>
        </w:rPr>
      </w:pPr>
      <w:r w:rsidRPr="007A04CE">
        <w:rPr>
          <w:rFonts w:ascii="Calibri" w:eastAsia="Times New Roman" w:hAnsi="Calibri" w:cs="Times New Roman"/>
          <w:szCs w:val="24"/>
          <w:lang w:val="en-US"/>
        </w:rPr>
        <w:t>Predlogom zakona o odlaganju plaćanja kreditnih obaveza korisnika kredita predložene su hitne mjere za odlaganje plaćanja kreditnih obaveza građana i pravnih lica prema bankama i drugim finansijskim institucijama, po osnovu ugovoru o kreditu, u cilju sprečavanja posledica krize za građane i privredu, nastale usljed pandemije korona virusa. Takođe, Predlogom zakona je predložena primjena i na ugovore o kreditu koje banka zaključi i nakon stupanja na snagu Zakona, kao i retroaktivna primjena Zakona.</w:t>
      </w:r>
    </w:p>
    <w:p w:rsidR="007A04CE" w:rsidRPr="007A04CE" w:rsidRDefault="007A04CE" w:rsidP="007A04CE">
      <w:pPr>
        <w:spacing w:before="0" w:after="0" w:line="240" w:lineRule="auto"/>
        <w:ind w:firstLine="360"/>
        <w:rPr>
          <w:rFonts w:ascii="Calibri" w:eastAsia="Times New Roman" w:hAnsi="Calibri" w:cs="Times New Roman"/>
          <w:szCs w:val="24"/>
          <w:lang w:val="en-US"/>
        </w:rPr>
      </w:pPr>
      <w:r w:rsidRPr="007A04CE">
        <w:rPr>
          <w:rFonts w:ascii="Calibri" w:eastAsia="Times New Roman" w:hAnsi="Calibri" w:cs="Times New Roman"/>
          <w:szCs w:val="24"/>
          <w:lang w:val="en-US"/>
        </w:rPr>
        <w:t>Ministarstvo finansija je, u saradnji sa Centralnom bankom Crne Gore, pripremilo i dostavilo Vladi mišljenje na Predlog zakona, u kojem je detaljno obrazložilo razloge zbog kojih ne treba prihvatiti Predlog zakona o odlaganju plaćanja kreditnih obaveza korisnika kredita, koji je predložili poslanici mr Raško Konjević, dr Draginja Vuksanović- Stanković, Ranko Krivokapić i Džavid Šabović.</w:t>
      </w:r>
    </w:p>
    <w:p w:rsidR="007A04CE" w:rsidRPr="007A04CE" w:rsidRDefault="007A04CE" w:rsidP="007A04CE">
      <w:pPr>
        <w:spacing w:before="0" w:after="0" w:line="240" w:lineRule="auto"/>
        <w:rPr>
          <w:rFonts w:ascii="Calibri" w:eastAsia="Times New Roman" w:hAnsi="Calibri" w:cs="Times New Roman"/>
          <w:b/>
          <w:i/>
          <w:szCs w:val="24"/>
          <w:lang w:val="en-US"/>
        </w:rPr>
      </w:pPr>
    </w:p>
    <w:p w:rsidR="007A04CE" w:rsidRPr="007A04CE" w:rsidRDefault="007A04CE" w:rsidP="007A04CE">
      <w:pPr>
        <w:spacing w:before="0" w:after="0" w:line="240" w:lineRule="auto"/>
        <w:rPr>
          <w:rFonts w:ascii="Calibri" w:eastAsia="Times New Roman" w:hAnsi="Calibri" w:cs="Times New Roman"/>
          <w:b/>
          <w:i/>
          <w:szCs w:val="24"/>
          <w:lang w:val="en-US"/>
        </w:rPr>
      </w:pPr>
      <w:r w:rsidRPr="007A04CE">
        <w:rPr>
          <w:rFonts w:ascii="Calibri" w:eastAsia="Times New Roman" w:hAnsi="Calibri" w:cs="Times New Roman"/>
          <w:b/>
          <w:i/>
          <w:szCs w:val="24"/>
          <w:lang w:val="en-US"/>
        </w:rPr>
        <w:t>- Aktivnosti u vezi sa arbitražnim postupkom koji je protiv Crne Gore pokrenula Addiko banka AG, u skladu sa Konvencijom za rješavanje investicionih sporova između država i državljana drugih država (ICSID) zbog navodnog kršenja Sporazuma između Savezne Vlade Savezne Republike Jugoslavije i Vlade Republike Austrije o uzajamnom podsticanju i zaštiti ulaganja ("BIT") ("Službeni list SRJ - Međunarodni ugovori", br. 1/2002 od 18.1.2002. godine);</w:t>
      </w:r>
    </w:p>
    <w:p w:rsidR="007A04CE" w:rsidRPr="007A04CE" w:rsidRDefault="007A04CE" w:rsidP="007A04CE">
      <w:pPr>
        <w:spacing w:before="0" w:after="0" w:line="240" w:lineRule="auto"/>
        <w:ind w:firstLine="360"/>
        <w:rPr>
          <w:rFonts w:ascii="Calibri" w:eastAsia="Times New Roman" w:hAnsi="Calibri" w:cs="Times New Roman"/>
          <w:szCs w:val="24"/>
          <w:lang w:val="en-US"/>
        </w:rPr>
      </w:pPr>
      <w:r w:rsidRPr="007A04CE">
        <w:rPr>
          <w:rFonts w:ascii="Calibri" w:eastAsia="Times New Roman" w:hAnsi="Calibri" w:cs="Times New Roman"/>
          <w:szCs w:val="24"/>
          <w:lang w:val="en-US"/>
        </w:rPr>
        <w:lastRenderedPageBreak/>
        <w:t>Vlada Crne Gore i Ministarstvo finansija su, na svojim internet stranicama, 06.03.2018.godine objavili Saopštenje</w:t>
      </w:r>
      <w:r w:rsidRPr="007A04CE">
        <w:rPr>
          <w:rFonts w:ascii="Calibri" w:eastAsia="Times New Roman" w:hAnsi="Calibri" w:cs="Times New Roman"/>
          <w:szCs w:val="24"/>
          <w:vertAlign w:val="superscript"/>
          <w:lang w:val="en-US"/>
        </w:rPr>
        <w:footnoteReference w:id="1"/>
      </w:r>
      <w:r w:rsidRPr="007A04CE">
        <w:rPr>
          <w:rFonts w:ascii="Calibri" w:eastAsia="Times New Roman" w:hAnsi="Calibri" w:cs="Times New Roman"/>
          <w:szCs w:val="24"/>
          <w:lang w:val="en-US"/>
        </w:rPr>
        <w:t>, na našem i engleskom jeziku, da: "Vlada Crne Gore je uključena u međunarodnu investicionu arbitražu sa Addiko Bankom AG pred Međunarodnim centrom za rješavanje investicionih sporova (ICSID). Tokom trajanja postupka arbitraže, Vlada neće davati javne izjave o sporu. Crna Gora nastavlja da podstiče i promoviše održavanje povoljnih uslova za strane direktne investicije u zemlji."</w:t>
      </w:r>
    </w:p>
    <w:p w:rsidR="007A04CE" w:rsidRPr="007A04CE" w:rsidRDefault="007A04CE" w:rsidP="007A04CE">
      <w:pPr>
        <w:spacing w:before="0" w:after="0" w:line="240" w:lineRule="auto"/>
        <w:rPr>
          <w:rFonts w:ascii="Calibri" w:eastAsia="Times New Roman" w:hAnsi="Calibri" w:cs="Times New Roman"/>
          <w:szCs w:val="24"/>
          <w:lang w:val="en-US"/>
        </w:rPr>
      </w:pPr>
      <w:r w:rsidRPr="007A04CE">
        <w:rPr>
          <w:rFonts w:ascii="Calibri" w:eastAsia="Times New Roman" w:hAnsi="Calibri" w:cs="Times New Roman"/>
          <w:szCs w:val="24"/>
          <w:highlight w:val="yellow"/>
          <w:lang w:val="en-US"/>
        </w:rPr>
        <w:t xml:space="preserve"> </w:t>
      </w:r>
    </w:p>
    <w:p w:rsidR="007A04CE" w:rsidRPr="007A04CE" w:rsidRDefault="007A04CE" w:rsidP="007A04CE">
      <w:pPr>
        <w:spacing w:before="0" w:after="0" w:line="240" w:lineRule="auto"/>
        <w:rPr>
          <w:rFonts w:ascii="Calibri" w:eastAsia="Times New Roman" w:hAnsi="Calibri" w:cs="Times New Roman"/>
          <w:szCs w:val="24"/>
          <w:highlight w:val="yellow"/>
          <w:lang w:val="en-US"/>
        </w:rPr>
      </w:pPr>
      <w:r w:rsidRPr="007A04CE">
        <w:rPr>
          <w:rFonts w:ascii="Calibri" w:eastAsia="Times New Roman" w:hAnsi="Calibri" w:cs="Times New Roman"/>
          <w:b/>
          <w:i/>
          <w:szCs w:val="24"/>
          <w:lang w:val="en-US"/>
        </w:rPr>
        <w:t>- Koordinacija i učešće u izradi OECD dokumenta "Konkurentnost Jugoistočne Evrope 2021", dimenzija "Access to finance"</w:t>
      </w:r>
      <w:r w:rsidRPr="007A04CE">
        <w:rPr>
          <w:rFonts w:ascii="Calibri" w:eastAsia="Times New Roman" w:hAnsi="Calibri" w:cs="Times New Roman"/>
          <w:szCs w:val="24"/>
          <w:lang w:val="en-US"/>
        </w:rPr>
        <w:t xml:space="preserve"> </w:t>
      </w:r>
    </w:p>
    <w:p w:rsidR="007A04CE" w:rsidRPr="007A04CE" w:rsidRDefault="007A04CE" w:rsidP="007A04CE">
      <w:pPr>
        <w:spacing w:before="0" w:after="0" w:line="240" w:lineRule="auto"/>
        <w:ind w:firstLine="720"/>
        <w:rPr>
          <w:rFonts w:ascii="Calibri" w:eastAsia="Times New Roman" w:hAnsi="Calibri" w:cs="Times New Roman"/>
          <w:szCs w:val="24"/>
          <w:lang w:val="en-US"/>
        </w:rPr>
      </w:pPr>
      <w:r w:rsidRPr="007A04CE">
        <w:rPr>
          <w:rFonts w:ascii="Calibri" w:eastAsia="Times New Roman" w:hAnsi="Calibri" w:cs="Times New Roman"/>
          <w:szCs w:val="24"/>
          <w:lang w:val="en-US"/>
        </w:rPr>
        <w:t xml:space="preserve">OECD je pokrenuo proces prikupljanja podataka za izradu publikacije "Konkurentnost Jugoistočne Evrope 2021",  kojom  će se mjeriti stepen ostvarenog društvenog progresa u 16 ključnih dimenzija  za razvoj konkurentnosti u Jugoistočnoj Evropi koje se odnose na:  1) investicionu politiku, 2) trgovinu, 3) energetiku 4) turizam, 5) zaštitu životne sredine, 6) poljoprivredu, 7) saobraćaj, 8) obrazovanje, 9) pristup finansijama, 10) zapošljavanje, 11) konkurentnost, 12) nauku, tehnologiju i inovacije, 13) digitalno društvo, 14) anti-korupciju, 15) poresku politiku i 16) preduzeća u državnom vlasništvu. Ministarstvo ekonomije je nacionalni koordinator projekta.  </w:t>
      </w:r>
    </w:p>
    <w:p w:rsidR="007A04CE" w:rsidRPr="007A04CE" w:rsidRDefault="007A04CE" w:rsidP="007A04CE">
      <w:pPr>
        <w:spacing w:before="0" w:after="0" w:line="240" w:lineRule="auto"/>
        <w:ind w:firstLine="720"/>
        <w:rPr>
          <w:rFonts w:ascii="Calibri" w:eastAsia="Times New Roman" w:hAnsi="Calibri" w:cs="Times New Roman"/>
          <w:szCs w:val="24"/>
          <w:lang w:val="en-US"/>
        </w:rPr>
      </w:pPr>
      <w:r w:rsidRPr="007A04CE">
        <w:rPr>
          <w:rFonts w:ascii="Calibri" w:eastAsia="Times New Roman" w:hAnsi="Calibri" w:cs="Times New Roman"/>
          <w:szCs w:val="24"/>
          <w:lang w:val="en-US"/>
        </w:rPr>
        <w:t xml:space="preserve">Ministarstvo finansija je, između ostalog, zaduženo da koordinira za oblast "Pristup finansija", odnosno da formira radni tim koji će biti aktivno uključeno tokom izrade publikacije.  Radni tim je sastavljen od predstavnika Ministarstva finansija, Centralne banke Crne Gore, Komisije za tržište kapitala i Investiciono razvojnog fonda Crne Gore. </w:t>
      </w:r>
    </w:p>
    <w:p w:rsidR="007A04CE" w:rsidRPr="007A04CE" w:rsidRDefault="007A04CE" w:rsidP="007A04CE">
      <w:pPr>
        <w:spacing w:before="0" w:after="0" w:line="240" w:lineRule="auto"/>
        <w:ind w:firstLine="360"/>
        <w:rPr>
          <w:rFonts w:ascii="Calibri" w:eastAsia="Times New Roman" w:hAnsi="Calibri" w:cs="Times New Roman"/>
          <w:szCs w:val="24"/>
          <w:lang w:val="en-US"/>
        </w:rPr>
      </w:pPr>
      <w:r w:rsidRPr="007A04CE">
        <w:rPr>
          <w:rFonts w:ascii="Calibri" w:eastAsia="Times New Roman" w:hAnsi="Calibri" w:cs="Times New Roman"/>
          <w:szCs w:val="24"/>
          <w:lang w:val="en-US"/>
        </w:rPr>
        <w:t xml:space="preserve">Radni tim je dostavio sve tražene informacije, a </w:t>
      </w:r>
      <w:r w:rsidRPr="007A04CE">
        <w:rPr>
          <w:rFonts w:ascii="Calibri" w:eastAsia="Times New Roman" w:hAnsi="Calibri" w:cs="Times New Roman"/>
          <w:szCs w:val="24"/>
        </w:rPr>
        <w:t>nacrt ekonomskog izvještaja za Crnu Goru se očekuje u januaru 2021.godine.</w:t>
      </w:r>
    </w:p>
    <w:p w:rsidR="007A04CE" w:rsidRPr="007A04CE" w:rsidRDefault="007A04CE" w:rsidP="00146EBE">
      <w:pPr>
        <w:numPr>
          <w:ilvl w:val="0"/>
          <w:numId w:val="19"/>
        </w:numPr>
        <w:spacing w:before="0" w:after="0" w:line="240" w:lineRule="auto"/>
        <w:jc w:val="left"/>
        <w:rPr>
          <w:rFonts w:ascii="Calibri" w:eastAsia="Times New Roman" w:hAnsi="Calibri" w:cs="Times New Roman"/>
          <w:b/>
          <w:i/>
          <w:szCs w:val="24"/>
        </w:rPr>
      </w:pPr>
      <w:r w:rsidRPr="007A04CE">
        <w:rPr>
          <w:rFonts w:ascii="Calibri" w:eastAsia="Times New Roman" w:hAnsi="Calibri" w:cs="Times New Roman"/>
          <w:b/>
          <w:i/>
          <w:szCs w:val="24"/>
        </w:rPr>
        <w:t>dostavljanje podataka Savjetu za finansijsku stabilnost;</w:t>
      </w:r>
    </w:p>
    <w:p w:rsidR="007A04CE" w:rsidRPr="007A04CE" w:rsidRDefault="007A04CE" w:rsidP="00146EBE">
      <w:pPr>
        <w:numPr>
          <w:ilvl w:val="0"/>
          <w:numId w:val="19"/>
        </w:numPr>
        <w:spacing w:before="0" w:after="0" w:line="240" w:lineRule="auto"/>
        <w:jc w:val="left"/>
        <w:rPr>
          <w:rFonts w:ascii="Calibri" w:eastAsia="Times New Roman" w:hAnsi="Calibri" w:cs="Times New Roman"/>
          <w:b/>
          <w:i/>
          <w:szCs w:val="24"/>
        </w:rPr>
      </w:pPr>
      <w:r w:rsidRPr="007A04CE">
        <w:rPr>
          <w:rFonts w:ascii="Calibri" w:eastAsia="Times New Roman" w:hAnsi="Calibri" w:cs="Times New Roman"/>
          <w:b/>
          <w:i/>
          <w:szCs w:val="24"/>
        </w:rPr>
        <w:t xml:space="preserve">polugodišnje izvještavanje o realizaciji Programu ekonomskih reformi </w:t>
      </w:r>
      <w:r w:rsidRPr="007A04CE">
        <w:rPr>
          <w:rFonts w:ascii="Calibri" w:eastAsia="Times New Roman" w:hAnsi="Calibri" w:cs="Arial"/>
          <w:b/>
          <w:i/>
          <w:szCs w:val="24"/>
          <w:lang w:val="en-US"/>
        </w:rPr>
        <w:t>2020 - 2022;</w:t>
      </w:r>
    </w:p>
    <w:p w:rsidR="007A04CE" w:rsidRPr="007A04CE" w:rsidRDefault="007A04CE" w:rsidP="00146EBE">
      <w:pPr>
        <w:numPr>
          <w:ilvl w:val="0"/>
          <w:numId w:val="19"/>
        </w:numPr>
        <w:spacing w:before="0" w:after="0" w:line="240" w:lineRule="auto"/>
        <w:jc w:val="left"/>
        <w:rPr>
          <w:rFonts w:ascii="Calibri" w:eastAsia="Times New Roman" w:hAnsi="Calibri" w:cs="Times New Roman"/>
          <w:b/>
          <w:i/>
          <w:szCs w:val="24"/>
          <w:lang w:val="en-US"/>
        </w:rPr>
      </w:pPr>
      <w:r w:rsidRPr="007A04CE">
        <w:rPr>
          <w:rFonts w:ascii="Calibri" w:eastAsia="Times New Roman" w:hAnsi="Calibri" w:cs="Times New Roman"/>
          <w:b/>
          <w:i/>
          <w:szCs w:val="24"/>
        </w:rPr>
        <w:t xml:space="preserve">odgovori na poslanička pitanja i pitanja novinara, </w:t>
      </w:r>
    </w:p>
    <w:p w:rsidR="007A04CE" w:rsidRPr="007A04CE" w:rsidRDefault="007A04CE" w:rsidP="00146EBE">
      <w:pPr>
        <w:numPr>
          <w:ilvl w:val="0"/>
          <w:numId w:val="19"/>
        </w:numPr>
        <w:spacing w:before="0" w:after="0" w:line="240" w:lineRule="auto"/>
        <w:jc w:val="left"/>
        <w:rPr>
          <w:rFonts w:ascii="Calibri" w:eastAsia="Times New Roman" w:hAnsi="Calibri" w:cs="Times New Roman"/>
          <w:b/>
          <w:i/>
          <w:szCs w:val="24"/>
          <w:lang w:val="en-US"/>
        </w:rPr>
      </w:pPr>
      <w:r w:rsidRPr="007A04CE">
        <w:rPr>
          <w:rFonts w:ascii="Calibri" w:eastAsia="Times New Roman" w:hAnsi="Calibri" w:cs="Times New Roman"/>
          <w:b/>
          <w:i/>
          <w:szCs w:val="24"/>
        </w:rPr>
        <w:t>teku</w:t>
      </w:r>
      <w:r w:rsidRPr="007A04CE">
        <w:rPr>
          <w:rFonts w:ascii="Calibri" w:eastAsia="Times New Roman" w:hAnsi="Calibri" w:cs="Times New Roman"/>
          <w:b/>
          <w:i/>
          <w:szCs w:val="24"/>
          <w:lang w:val="en-US"/>
        </w:rPr>
        <w:t>ć</w:t>
      </w:r>
      <w:r w:rsidRPr="007A04CE">
        <w:rPr>
          <w:rFonts w:ascii="Calibri" w:eastAsia="Times New Roman" w:hAnsi="Calibri" w:cs="Times New Roman"/>
          <w:b/>
          <w:i/>
          <w:szCs w:val="24"/>
        </w:rPr>
        <w:t>i dopisi.</w:t>
      </w:r>
    </w:p>
    <w:p w:rsidR="007A04CE" w:rsidRPr="007A04CE" w:rsidRDefault="007A04CE" w:rsidP="007A04CE">
      <w:pPr>
        <w:spacing w:before="0" w:after="0" w:line="240" w:lineRule="auto"/>
        <w:rPr>
          <w:rFonts w:ascii="Calibri" w:eastAsia="Times New Roman" w:hAnsi="Calibri" w:cs="Times New Roman"/>
          <w:b/>
          <w:i/>
          <w:szCs w:val="24"/>
          <w:lang w:val="en-US"/>
        </w:rPr>
      </w:pPr>
    </w:p>
    <w:p w:rsidR="007A04CE" w:rsidRPr="007A04CE" w:rsidRDefault="007A04CE" w:rsidP="00146EBE">
      <w:pPr>
        <w:numPr>
          <w:ilvl w:val="0"/>
          <w:numId w:val="17"/>
        </w:numPr>
        <w:spacing w:before="0" w:after="0" w:line="240" w:lineRule="auto"/>
        <w:jc w:val="left"/>
        <w:rPr>
          <w:rFonts w:ascii="Calibri" w:eastAsia="Times New Roman" w:hAnsi="Calibri" w:cs="Times New Roman"/>
          <w:b/>
          <w:szCs w:val="24"/>
          <w:u w:val="single"/>
          <w:lang w:val="en-US"/>
        </w:rPr>
      </w:pPr>
      <w:r w:rsidRPr="007A04CE">
        <w:rPr>
          <w:rFonts w:ascii="Calibri" w:eastAsia="Times New Roman" w:hAnsi="Calibri" w:cs="Times New Roman"/>
          <w:b/>
          <w:szCs w:val="24"/>
          <w:u w:val="single"/>
          <w:lang w:val="en-US"/>
        </w:rPr>
        <w:t>TRŽIŠTE KAPITALA</w:t>
      </w:r>
    </w:p>
    <w:p w:rsidR="007A04CE" w:rsidRPr="007A04CE" w:rsidRDefault="007A04CE" w:rsidP="007A04CE">
      <w:pPr>
        <w:spacing w:before="0" w:after="0" w:line="240" w:lineRule="auto"/>
        <w:rPr>
          <w:rFonts w:ascii="Calibri" w:eastAsia="Times New Roman" w:hAnsi="Calibri" w:cs="Times New Roman"/>
          <w:b/>
          <w:i/>
          <w:szCs w:val="24"/>
          <w:lang w:val="en-US"/>
        </w:rPr>
      </w:pPr>
      <w:r w:rsidRPr="007A04CE">
        <w:rPr>
          <w:rFonts w:ascii="Calibri" w:eastAsia="Times New Roman" w:hAnsi="Calibri" w:cs="Times New Roman"/>
          <w:b/>
          <w:i/>
          <w:szCs w:val="24"/>
          <w:lang w:val="en-US"/>
        </w:rPr>
        <w:t>- Učešće na sastancima RCC-a, Radna grupa za tržište kapitala;</w:t>
      </w:r>
    </w:p>
    <w:p w:rsidR="007A04CE" w:rsidRPr="007A04CE" w:rsidRDefault="007A04CE" w:rsidP="007A04CE">
      <w:pPr>
        <w:spacing w:before="0" w:after="0" w:line="240" w:lineRule="auto"/>
        <w:ind w:firstLine="360"/>
        <w:rPr>
          <w:rFonts w:ascii="Calibri" w:eastAsia="Times New Roman" w:hAnsi="Calibri" w:cs="Times New Roman"/>
          <w:szCs w:val="24"/>
          <w:lang w:val="en-US"/>
        </w:rPr>
      </w:pPr>
      <w:r w:rsidRPr="007A04CE">
        <w:rPr>
          <w:rFonts w:ascii="Calibri" w:eastAsia="Times New Roman" w:hAnsi="Calibri" w:cs="Times New Roman"/>
          <w:szCs w:val="24"/>
          <w:lang w:val="en-US"/>
        </w:rPr>
        <w:t>Na Samitu premijera održanim u Trstu u julu 2017. godine, postignut je dogovor o formiranju Regionalnog ekonomskog područja (Regional Economic Area- REA) zemalja Zapadnog Balkana i odobrenju Višegodišnjeg Akcionog plana (Multi annual Action Plan - MAP) REA. Tom prilikom, postavljeni su sledeći ciljevi:</w:t>
      </w:r>
    </w:p>
    <w:p w:rsidR="007A04CE" w:rsidRPr="007A04CE" w:rsidRDefault="007A04CE" w:rsidP="00146EBE">
      <w:pPr>
        <w:numPr>
          <w:ilvl w:val="0"/>
          <w:numId w:val="23"/>
        </w:numPr>
        <w:spacing w:before="0" w:after="0" w:line="240" w:lineRule="auto"/>
        <w:jc w:val="left"/>
        <w:rPr>
          <w:rFonts w:ascii="Calibri" w:eastAsia="Times New Roman" w:hAnsi="Calibri" w:cs="Times New Roman"/>
          <w:szCs w:val="24"/>
          <w:lang w:val="en-US"/>
        </w:rPr>
      </w:pPr>
      <w:r w:rsidRPr="007A04CE">
        <w:rPr>
          <w:rFonts w:ascii="Calibri" w:eastAsia="Times New Roman" w:hAnsi="Calibri" w:cs="Times New Roman"/>
          <w:szCs w:val="24"/>
          <w:lang w:val="en-US"/>
        </w:rPr>
        <w:t>trgovačka integracija zemalja, zasnovane na Sporazumu CEFTA i instrumentima koji proizlaze iz dodatnih protokola o olakšavanju trgovine i trgovini uslugama;</w:t>
      </w:r>
    </w:p>
    <w:p w:rsidR="007A04CE" w:rsidRPr="007A04CE" w:rsidRDefault="007A04CE" w:rsidP="00146EBE">
      <w:pPr>
        <w:numPr>
          <w:ilvl w:val="0"/>
          <w:numId w:val="23"/>
        </w:numPr>
        <w:spacing w:before="0" w:after="0" w:line="240" w:lineRule="auto"/>
        <w:jc w:val="left"/>
        <w:rPr>
          <w:rFonts w:ascii="Calibri" w:eastAsia="Times New Roman" w:hAnsi="Calibri" w:cs="Times New Roman"/>
          <w:szCs w:val="24"/>
          <w:lang w:val="en-US"/>
        </w:rPr>
      </w:pPr>
      <w:r w:rsidRPr="007A04CE">
        <w:rPr>
          <w:rFonts w:ascii="Calibri" w:eastAsia="Times New Roman" w:hAnsi="Calibri" w:cs="Times New Roman"/>
          <w:szCs w:val="24"/>
          <w:lang w:val="en-US"/>
        </w:rPr>
        <w:t>Dizajn i sprovođenje regionalnog programa reformi investicija, što dovodi do veće harmonizacije regionalnih investicionih politika sa standardima EU i najboljim međunarodnim praksama</w:t>
      </w:r>
    </w:p>
    <w:p w:rsidR="007A04CE" w:rsidRPr="007A04CE" w:rsidRDefault="007A04CE" w:rsidP="00146EBE">
      <w:pPr>
        <w:numPr>
          <w:ilvl w:val="0"/>
          <w:numId w:val="23"/>
        </w:numPr>
        <w:spacing w:before="0" w:after="0" w:line="240" w:lineRule="auto"/>
        <w:jc w:val="left"/>
        <w:rPr>
          <w:rFonts w:ascii="Calibri" w:eastAsia="Times New Roman" w:hAnsi="Calibri" w:cs="Times New Roman"/>
          <w:szCs w:val="24"/>
          <w:lang w:val="en-US"/>
        </w:rPr>
      </w:pPr>
      <w:r w:rsidRPr="007A04CE">
        <w:rPr>
          <w:rFonts w:ascii="Calibri" w:eastAsia="Times New Roman" w:hAnsi="Calibri" w:cs="Times New Roman"/>
          <w:szCs w:val="24"/>
          <w:lang w:val="en-US"/>
        </w:rPr>
        <w:lastRenderedPageBreak/>
        <w:t>prekogranična mobilnost profesionalaca, studenata, istraživača i akademika, integrisanih u profesionalne i akademske mreže EU.</w:t>
      </w:r>
    </w:p>
    <w:p w:rsidR="007A04CE" w:rsidRPr="007A04CE" w:rsidRDefault="007A04CE" w:rsidP="00146EBE">
      <w:pPr>
        <w:numPr>
          <w:ilvl w:val="0"/>
          <w:numId w:val="23"/>
        </w:numPr>
        <w:spacing w:before="0" w:after="0" w:line="240" w:lineRule="auto"/>
        <w:jc w:val="left"/>
        <w:rPr>
          <w:rFonts w:ascii="Calibri" w:eastAsia="Times New Roman" w:hAnsi="Calibri" w:cs="Times New Roman"/>
          <w:szCs w:val="24"/>
          <w:lang w:val="en-US"/>
        </w:rPr>
      </w:pPr>
      <w:r w:rsidRPr="007A04CE">
        <w:rPr>
          <w:rFonts w:ascii="Calibri" w:eastAsia="Times New Roman" w:hAnsi="Calibri" w:cs="Times New Roman"/>
          <w:szCs w:val="24"/>
          <w:lang w:val="en-US"/>
        </w:rPr>
        <w:t>Digitalna integracija i otključavanje pristupa digitalnoj ekonomiji integriranjem regiona na panevropsko digitalno tržište.</w:t>
      </w:r>
    </w:p>
    <w:p w:rsidR="007A04CE" w:rsidRPr="007A04CE" w:rsidRDefault="007A04CE" w:rsidP="007A04CE">
      <w:pPr>
        <w:spacing w:before="0" w:after="0" w:line="240" w:lineRule="auto"/>
        <w:ind w:firstLine="360"/>
        <w:rPr>
          <w:rFonts w:ascii="Calibri" w:eastAsia="Times New Roman" w:hAnsi="Calibri" w:cs="Times New Roman"/>
          <w:szCs w:val="24"/>
          <w:lang w:val="en-US"/>
        </w:rPr>
      </w:pPr>
      <w:r w:rsidRPr="007A04CE">
        <w:rPr>
          <w:rFonts w:ascii="Calibri" w:eastAsia="Times New Roman" w:hAnsi="Calibri" w:cs="Times New Roman"/>
          <w:szCs w:val="24"/>
          <w:lang w:val="en-US"/>
        </w:rPr>
        <w:t>Savjet za regionalnu saradnju (Regional Cooperation Council- RCC) osnovan je na inicijativu ministara vanjskih poslova zemalja Jugoistočne Evrope, u Sofiji 27.02.2008. godine, sa ciljem:</w:t>
      </w:r>
    </w:p>
    <w:p w:rsidR="007A04CE" w:rsidRPr="007A04CE" w:rsidRDefault="007A04CE" w:rsidP="00146EBE">
      <w:pPr>
        <w:numPr>
          <w:ilvl w:val="0"/>
          <w:numId w:val="24"/>
        </w:numPr>
        <w:spacing w:before="0" w:after="0" w:line="240" w:lineRule="auto"/>
        <w:jc w:val="left"/>
        <w:rPr>
          <w:rFonts w:ascii="Calibri" w:eastAsia="Times New Roman" w:hAnsi="Calibri" w:cs="Times New Roman"/>
          <w:szCs w:val="24"/>
          <w:lang w:val="en-US"/>
        </w:rPr>
      </w:pPr>
      <w:r w:rsidRPr="007A04CE">
        <w:rPr>
          <w:rFonts w:ascii="Calibri" w:eastAsia="Times New Roman" w:hAnsi="Calibri" w:cs="Times New Roman"/>
          <w:szCs w:val="24"/>
          <w:lang w:val="en-US"/>
        </w:rPr>
        <w:t xml:space="preserve">omogućavanja veće ekonomske integracije kroz lakši tok kapitala, ljudi, roba i usluga unutar zemalja Jugoistočne Evrope i Evropske unije i </w:t>
      </w:r>
    </w:p>
    <w:p w:rsidR="007A04CE" w:rsidRPr="007A04CE" w:rsidRDefault="007A04CE" w:rsidP="00146EBE">
      <w:pPr>
        <w:numPr>
          <w:ilvl w:val="0"/>
          <w:numId w:val="24"/>
        </w:numPr>
        <w:spacing w:before="0" w:after="0" w:line="240" w:lineRule="auto"/>
        <w:jc w:val="left"/>
        <w:rPr>
          <w:rFonts w:ascii="Calibri" w:eastAsia="Times New Roman" w:hAnsi="Calibri" w:cs="Times New Roman"/>
          <w:szCs w:val="24"/>
          <w:lang w:val="en-US"/>
        </w:rPr>
      </w:pPr>
      <w:r w:rsidRPr="007A04CE">
        <w:rPr>
          <w:rFonts w:ascii="Calibri" w:eastAsia="Times New Roman" w:hAnsi="Calibri" w:cs="Times New Roman"/>
          <w:szCs w:val="24"/>
          <w:lang w:val="en-US"/>
        </w:rPr>
        <w:t>boljim upravljanjem, poboljšanim funkcionisanjem vladavine prava i povećanom sigurnošću u Jugoistočnoj Evropi.</w:t>
      </w:r>
    </w:p>
    <w:p w:rsidR="007A04CE" w:rsidRPr="007A04CE" w:rsidRDefault="007A04CE" w:rsidP="007A04CE">
      <w:pPr>
        <w:spacing w:before="0" w:after="0" w:line="240" w:lineRule="auto"/>
        <w:ind w:firstLine="360"/>
        <w:rPr>
          <w:rFonts w:ascii="Calibri" w:eastAsia="Times New Roman" w:hAnsi="Calibri" w:cs="Times New Roman"/>
          <w:szCs w:val="24"/>
          <w:lang w:val="en-US"/>
        </w:rPr>
      </w:pPr>
      <w:r w:rsidRPr="007A04CE">
        <w:rPr>
          <w:rFonts w:ascii="Calibri" w:eastAsia="Times New Roman" w:hAnsi="Calibri" w:cs="Times New Roman"/>
          <w:szCs w:val="24"/>
          <w:lang w:val="en-US"/>
        </w:rPr>
        <w:t xml:space="preserve">U okviru "Regionalnog programa reformi investicija" je formirana Radna grupa za tržište kapitala, koja je krajem 2018.godine, preimenovana u Radnu grupu za finansijska tržišta, a koju čine predstavnici Ministarstva finansija, Centralne banke, Komisije za tržište kapitala i berzi zemalja Zapadnog Balkana. </w:t>
      </w:r>
    </w:p>
    <w:p w:rsidR="007A04CE" w:rsidRPr="007A04CE" w:rsidRDefault="007A04CE" w:rsidP="007A04CE">
      <w:pPr>
        <w:spacing w:before="0" w:after="0" w:line="240" w:lineRule="auto"/>
        <w:ind w:firstLine="360"/>
        <w:rPr>
          <w:rFonts w:ascii="Calibri" w:eastAsia="Times New Roman" w:hAnsi="Calibri" w:cs="Arial"/>
          <w:szCs w:val="24"/>
          <w:lang w:val="en-US"/>
        </w:rPr>
      </w:pPr>
      <w:r w:rsidRPr="007A04CE">
        <w:rPr>
          <w:rFonts w:ascii="Calibri" w:eastAsia="Times New Roman" w:hAnsi="Calibri" w:cs="Times New Roman"/>
          <w:szCs w:val="24"/>
          <w:lang w:val="en-US"/>
        </w:rPr>
        <w:t>Takodje, Radna grupa za finansijska tržišta je učestvovala u izradi brojnih dokumenata u okviru RIRA-e, MAP REA 2, kao i</w:t>
      </w:r>
      <w:r w:rsidRPr="007A04CE">
        <w:rPr>
          <w:rFonts w:ascii="Calibri" w:eastAsia="Times New Roman" w:hAnsi="Calibri" w:cs="Arial"/>
          <w:b/>
          <w:i/>
          <w:szCs w:val="24"/>
          <w:lang w:val="en-US"/>
        </w:rPr>
        <w:t xml:space="preserve"> </w:t>
      </w:r>
      <w:r w:rsidRPr="007A04CE">
        <w:rPr>
          <w:rFonts w:ascii="Calibri" w:eastAsia="Times New Roman" w:hAnsi="Calibri" w:cs="Arial"/>
          <w:szCs w:val="24"/>
          <w:lang w:val="en-US"/>
        </w:rPr>
        <w:t xml:space="preserve">Western Balkans - "Deepening and Diversification of Financial Sector to Support Growth"; Trade dokumente, Akcioni plan za zajedničko tržište, </w:t>
      </w:r>
      <w:r w:rsidRPr="007A04CE">
        <w:rPr>
          <w:rFonts w:ascii="Calibri" w:eastAsia="Times New Roman" w:hAnsi="Calibri" w:cs="Times New Roman"/>
          <w:szCs w:val="24"/>
          <w:lang w:val="en-US"/>
        </w:rPr>
        <w:t>itd;</w:t>
      </w:r>
    </w:p>
    <w:p w:rsidR="007A04CE" w:rsidRPr="007A04CE" w:rsidRDefault="007A04CE" w:rsidP="007A04CE">
      <w:pPr>
        <w:spacing w:before="0" w:after="0" w:line="240" w:lineRule="auto"/>
        <w:ind w:firstLine="360"/>
        <w:rPr>
          <w:rFonts w:ascii="Calibri" w:eastAsia="Times New Roman" w:hAnsi="Calibri" w:cs="Times New Roman"/>
          <w:szCs w:val="24"/>
          <w:lang w:val="en-US"/>
        </w:rPr>
      </w:pPr>
      <w:r w:rsidRPr="007A04CE">
        <w:rPr>
          <w:rFonts w:ascii="Calibri" w:eastAsia="Times New Roman" w:hAnsi="Calibri" w:cs="Times New Roman"/>
          <w:szCs w:val="24"/>
          <w:lang w:val="en-US"/>
        </w:rPr>
        <w:t>RCC je tokom 2020. godine, zbog pandemije COVID 19 virusa, organizovao on line sastanke Radne grupe za finansijska tržišta.</w:t>
      </w:r>
    </w:p>
    <w:p w:rsidR="007A04CE" w:rsidRPr="007A04CE" w:rsidRDefault="007A04CE" w:rsidP="007A04CE">
      <w:pPr>
        <w:spacing w:before="0" w:after="0" w:line="240" w:lineRule="auto"/>
        <w:rPr>
          <w:rFonts w:ascii="Calibri" w:eastAsia="Times New Roman" w:hAnsi="Calibri" w:cs="Times New Roman"/>
          <w:noProof/>
          <w:szCs w:val="24"/>
          <w:lang w:eastAsia="sr-Latn-CS"/>
        </w:rPr>
      </w:pPr>
    </w:p>
    <w:p w:rsidR="007A04CE" w:rsidRPr="007A04CE" w:rsidRDefault="007A04CE" w:rsidP="007A04CE">
      <w:pPr>
        <w:spacing w:before="0" w:after="0" w:line="240" w:lineRule="auto"/>
        <w:rPr>
          <w:rFonts w:ascii="Calibri" w:eastAsia="Times New Roman" w:hAnsi="Calibri" w:cs="Arial"/>
          <w:i/>
          <w:szCs w:val="24"/>
          <w:lang w:val="en-US"/>
        </w:rPr>
      </w:pPr>
      <w:r w:rsidRPr="007A04CE">
        <w:rPr>
          <w:rFonts w:ascii="Calibri" w:eastAsia="Times New Roman" w:hAnsi="Calibri" w:cs="Times New Roman"/>
          <w:b/>
          <w:i/>
          <w:szCs w:val="24"/>
          <w:lang w:val="en-US"/>
        </w:rPr>
        <w:t>- Učešće na sjednicama Upravnog odbora za Twining projekat "Support to Regulation of Financial Services" ("</w:t>
      </w:r>
      <w:r w:rsidRPr="007A04CE">
        <w:rPr>
          <w:rFonts w:ascii="Calibri" w:eastAsia="Times New Roman" w:hAnsi="Calibri" w:cs="Arial"/>
          <w:b/>
          <w:i/>
          <w:szCs w:val="24"/>
          <w:lang w:val="en-US"/>
        </w:rPr>
        <w:t xml:space="preserve">Podrška regulaciji finansijskih usluga“). </w:t>
      </w:r>
      <w:r w:rsidRPr="007A04CE">
        <w:rPr>
          <w:rFonts w:ascii="Calibri" w:eastAsia="Times New Roman" w:hAnsi="Calibri" w:cs="Arial"/>
          <w:i/>
          <w:szCs w:val="24"/>
          <w:lang w:val="en-US"/>
        </w:rPr>
        <w:t>Projekat je završen u julu 2020.godine.</w:t>
      </w:r>
    </w:p>
    <w:p w:rsidR="007A04CE" w:rsidRPr="007A04CE" w:rsidRDefault="007A04CE" w:rsidP="007A04CE">
      <w:pPr>
        <w:spacing w:before="0" w:after="0" w:line="240" w:lineRule="auto"/>
        <w:rPr>
          <w:rFonts w:ascii="Calibri" w:eastAsia="Times New Roman" w:hAnsi="Calibri" w:cs="Times New Roman"/>
          <w:noProof/>
          <w:color w:val="000000"/>
          <w:szCs w:val="24"/>
          <w:bdr w:val="none" w:sz="0" w:space="0" w:color="auto" w:frame="1"/>
          <w:lang w:val="pl-PL" w:eastAsia="sr-Latn-CS"/>
        </w:rPr>
      </w:pPr>
    </w:p>
    <w:p w:rsidR="007A04CE" w:rsidRPr="007A04CE" w:rsidRDefault="007A04CE" w:rsidP="007A04CE">
      <w:pPr>
        <w:spacing w:before="0" w:after="0" w:line="240" w:lineRule="auto"/>
        <w:jc w:val="left"/>
        <w:rPr>
          <w:rFonts w:ascii="Calibri" w:eastAsia="Times New Roman" w:hAnsi="Calibri" w:cs="Times New Roman"/>
          <w:b/>
          <w:i/>
          <w:szCs w:val="24"/>
          <w:lang w:val="en-US"/>
        </w:rPr>
      </w:pPr>
      <w:r w:rsidRPr="007A04CE">
        <w:rPr>
          <w:rFonts w:ascii="Calibri" w:eastAsia="Times New Roman" w:hAnsi="Calibri" w:cs="Times New Roman"/>
          <w:b/>
          <w:i/>
          <w:szCs w:val="24"/>
        </w:rPr>
        <w:t>- Teku</w:t>
      </w:r>
      <w:r w:rsidRPr="007A04CE">
        <w:rPr>
          <w:rFonts w:ascii="Calibri" w:eastAsia="Times New Roman" w:hAnsi="Calibri" w:cs="Times New Roman"/>
          <w:b/>
          <w:i/>
          <w:szCs w:val="24"/>
          <w:lang w:val="en-US"/>
        </w:rPr>
        <w:t>ć</w:t>
      </w:r>
      <w:r w:rsidRPr="007A04CE">
        <w:rPr>
          <w:rFonts w:ascii="Calibri" w:eastAsia="Times New Roman" w:hAnsi="Calibri" w:cs="Times New Roman"/>
          <w:b/>
          <w:i/>
          <w:szCs w:val="24"/>
        </w:rPr>
        <w:t>i dopisi</w:t>
      </w:r>
    </w:p>
    <w:p w:rsidR="007A04CE" w:rsidRPr="007A04CE" w:rsidRDefault="007A04CE" w:rsidP="007A04CE">
      <w:pPr>
        <w:spacing w:before="0" w:after="0" w:line="240" w:lineRule="auto"/>
        <w:ind w:left="317"/>
        <w:rPr>
          <w:rFonts w:ascii="Calibri" w:eastAsia="Times New Roman" w:hAnsi="Calibri" w:cs="Arial"/>
          <w:b/>
          <w:i/>
          <w:szCs w:val="24"/>
          <w:lang w:val="en-US"/>
        </w:rPr>
      </w:pPr>
    </w:p>
    <w:p w:rsidR="007A04CE" w:rsidRPr="007A04CE" w:rsidRDefault="007A04CE" w:rsidP="00146EBE">
      <w:pPr>
        <w:numPr>
          <w:ilvl w:val="0"/>
          <w:numId w:val="17"/>
        </w:numPr>
        <w:spacing w:before="0" w:after="0" w:line="240" w:lineRule="auto"/>
        <w:contextualSpacing/>
        <w:jc w:val="left"/>
        <w:rPr>
          <w:rFonts w:ascii="Calibri" w:eastAsia="Times New Roman" w:hAnsi="Calibri" w:cs="Times New Roman"/>
          <w:b/>
          <w:noProof/>
          <w:szCs w:val="24"/>
          <w:u w:val="single"/>
          <w:lang w:eastAsia="sr-Latn-CS"/>
        </w:rPr>
      </w:pPr>
      <w:r w:rsidRPr="007A04CE">
        <w:rPr>
          <w:rFonts w:ascii="Calibri" w:eastAsia="Times New Roman" w:hAnsi="Calibri" w:cs="Times New Roman"/>
          <w:b/>
          <w:noProof/>
          <w:szCs w:val="24"/>
          <w:u w:val="single"/>
          <w:lang w:eastAsia="sr-Latn-CS"/>
        </w:rPr>
        <w:t>TRŽIŠTE OSIGURANJA</w:t>
      </w:r>
    </w:p>
    <w:p w:rsidR="007A04CE" w:rsidRPr="007A04CE" w:rsidRDefault="007A04CE" w:rsidP="007A04CE">
      <w:pPr>
        <w:autoSpaceDE w:val="0"/>
        <w:autoSpaceDN w:val="0"/>
        <w:adjustRightInd w:val="0"/>
        <w:spacing w:before="60" w:after="60" w:line="240" w:lineRule="auto"/>
        <w:rPr>
          <w:rFonts w:ascii="Calibri" w:eastAsia="Times New Roman" w:hAnsi="Calibri" w:cs="Arial"/>
          <w:bCs/>
          <w:color w:val="000000"/>
          <w:szCs w:val="24"/>
          <w:lang w:val="en-US"/>
        </w:rPr>
      </w:pPr>
      <w:r w:rsidRPr="007A04CE">
        <w:rPr>
          <w:rFonts w:ascii="Calibri" w:eastAsia="Times New Roman" w:hAnsi="Calibri" w:cs="Arial"/>
          <w:bCs/>
          <w:color w:val="000000"/>
          <w:szCs w:val="24"/>
          <w:lang w:val="en-US"/>
        </w:rPr>
        <w:t xml:space="preserve">- </w:t>
      </w:r>
      <w:r w:rsidRPr="007A04CE">
        <w:rPr>
          <w:rFonts w:ascii="Calibri" w:eastAsia="Times New Roman" w:hAnsi="Calibri" w:cs="Arial"/>
          <w:b/>
          <w:bCs/>
          <w:i/>
          <w:color w:val="000000"/>
          <w:szCs w:val="24"/>
          <w:lang w:val="en-US"/>
        </w:rPr>
        <w:t>Predlog pravilnika o o izmjenama i dopunama Pravilnika o deponovanju i ulaganju sredstava tehničkih rezervi i sredstava kapitala društva za osiguranje</w:t>
      </w:r>
    </w:p>
    <w:p w:rsidR="007A04CE" w:rsidRPr="007A04CE" w:rsidRDefault="007A04CE" w:rsidP="007A04CE">
      <w:pPr>
        <w:spacing w:before="0" w:after="0" w:line="240" w:lineRule="auto"/>
        <w:ind w:firstLine="720"/>
        <w:rPr>
          <w:rFonts w:ascii="Calibri" w:eastAsia="Calibri" w:hAnsi="Calibri" w:cs="Times New Roman"/>
          <w:szCs w:val="24"/>
          <w:lang w:val="en-US"/>
        </w:rPr>
      </w:pPr>
      <w:r w:rsidRPr="007A04CE">
        <w:rPr>
          <w:rFonts w:ascii="Calibri" w:eastAsia="Calibri" w:hAnsi="Calibri" w:cs="Times New Roman"/>
          <w:szCs w:val="24"/>
          <w:lang w:val="en-US"/>
        </w:rPr>
        <w:t xml:space="preserve">Na osnovu člana 90 stav 2, člana 91 i člana 95 stav 3 Zakona o osiguranju ("Službeni list RCG", broj 78/06 i "Službeni list CG", br. 45/12, 6/13 i 55/16), Ministarstvo finansija donijelo je Pravilnik o deponovanju i ulaganju sredstava tehničkih rezervi društva za osiguranje ("Službeni list Crne Gore", br. 62/18). Pravilnikom su propisane vrste imovine u koje se mogu deponovati i ulagati sredstva tehničkih rezervi društva za osiguranje, ograničenja deponovanja i ulaganja sredstava tehničkih rezervi kao i visina sredstava koja društva za osiguranje mogu deponovati i ulagati u inostranstvu. </w:t>
      </w:r>
    </w:p>
    <w:p w:rsidR="007A04CE" w:rsidRPr="007A04CE" w:rsidRDefault="007A04CE" w:rsidP="007A04CE">
      <w:pPr>
        <w:spacing w:before="0" w:after="0" w:line="240" w:lineRule="auto"/>
        <w:ind w:firstLine="720"/>
        <w:rPr>
          <w:rFonts w:ascii="Calibri" w:eastAsia="Calibri" w:hAnsi="Calibri" w:cs="Times New Roman"/>
          <w:szCs w:val="24"/>
          <w:lang w:val="en-US"/>
        </w:rPr>
      </w:pPr>
      <w:r w:rsidRPr="007A04CE">
        <w:rPr>
          <w:rFonts w:ascii="Calibri" w:eastAsia="Calibri" w:hAnsi="Calibri" w:cs="Times New Roman"/>
          <w:szCs w:val="24"/>
          <w:lang w:val="en-US"/>
        </w:rPr>
        <w:t xml:space="preserve">Nacionalni biro osiguravača Crne Gore (NBOCG) dostavio je Agenciji za nadzor osiguranja inicijativu za izmjenu Pravilnika, na način što će se svim društvima za osiguranje omogućiti ulaganje sredstva tehničkih rezervi u investicione jedinice investicionih fondova registrovanih u Crnoj Gori, državi članici EU ili državi članici OECD-a. Nakon toga, Agenciji je dostavljena i inicijativa jednog društva za osiguranje, koje je predložilo da se iz Pravilnika briše ograničenje za ulaganja u investicione jedinice investicionih fondova kojima upravlja isto društvo za upravljanje (do 70%). </w:t>
      </w:r>
    </w:p>
    <w:p w:rsidR="007A04CE" w:rsidRPr="007A04CE" w:rsidRDefault="007A04CE" w:rsidP="007A04CE">
      <w:pPr>
        <w:spacing w:before="0" w:after="0" w:line="240" w:lineRule="auto"/>
        <w:ind w:firstLine="720"/>
        <w:rPr>
          <w:rFonts w:ascii="Calibri" w:eastAsia="Calibri" w:hAnsi="Calibri" w:cs="Times New Roman"/>
          <w:szCs w:val="24"/>
          <w:lang w:val="en-US"/>
        </w:rPr>
      </w:pPr>
      <w:r w:rsidRPr="007A04CE">
        <w:rPr>
          <w:rFonts w:ascii="Calibri" w:eastAsia="Calibri" w:hAnsi="Calibri" w:cs="Times New Roman"/>
          <w:szCs w:val="24"/>
          <w:lang w:val="en-US"/>
        </w:rPr>
        <w:t>Analizom inicijativa, Agencija je ustanovila da treba omogućiti dalju diverzifikaciju investicionog portfelja društava za osiguranje i time omogućiti smanjenje njegove rizičnosti i koncentrisanosti, a naročito u okolnostima kada Crna Gora svoju regulativu, uključujući i regulativu osiguranja, razvija u pravcu prihvatanja EU standarda. Stoga je Agencija cijenila da je novi vid ulaganja u tehničke rezerve prihvatljiv, pri čemu se pri opredjeljenju ograničenja vodila opreznim pristupom pa su ograničenja restriktivnija nego u predlogu društava za osiguranje.</w:t>
      </w:r>
    </w:p>
    <w:p w:rsidR="007A04CE" w:rsidRPr="007A04CE" w:rsidRDefault="007A04CE" w:rsidP="008541C2">
      <w:pPr>
        <w:spacing w:before="0" w:after="0" w:line="240" w:lineRule="auto"/>
        <w:ind w:firstLine="720"/>
        <w:rPr>
          <w:rFonts w:ascii="Calibri" w:eastAsia="Calibri" w:hAnsi="Calibri" w:cs="Times New Roman"/>
          <w:szCs w:val="24"/>
          <w:lang w:val="en-US"/>
        </w:rPr>
      </w:pPr>
      <w:r w:rsidRPr="007A04CE">
        <w:rPr>
          <w:rFonts w:ascii="Calibri" w:eastAsia="Calibri" w:hAnsi="Calibri" w:cs="Times New Roman"/>
          <w:szCs w:val="24"/>
          <w:lang w:val="en-US"/>
        </w:rPr>
        <w:lastRenderedPageBreak/>
        <w:t>Ministarstvo finansija je, na svojoj internet stranici</w:t>
      </w:r>
      <w:r w:rsidRPr="007A04CE">
        <w:rPr>
          <w:rFonts w:ascii="Calibri" w:eastAsia="Calibri" w:hAnsi="Calibri" w:cs="Times New Roman"/>
          <w:szCs w:val="24"/>
          <w:vertAlign w:val="superscript"/>
          <w:lang w:val="en-US"/>
        </w:rPr>
        <w:footnoteReference w:id="2"/>
      </w:r>
      <w:r w:rsidRPr="007A04CE">
        <w:rPr>
          <w:rFonts w:ascii="Calibri" w:eastAsia="Calibri" w:hAnsi="Calibri" w:cs="Times New Roman"/>
          <w:szCs w:val="24"/>
          <w:lang w:val="en-US"/>
        </w:rPr>
        <w:t>, objavilo Nacrt pravilnika na javnu raspravu, u periodu od 23. oktobra do 13. novembra 2020. godine.</w:t>
      </w:r>
    </w:p>
    <w:p w:rsidR="00C331DD" w:rsidRPr="007A04CE" w:rsidRDefault="007A04CE" w:rsidP="007A04CE">
      <w:pPr>
        <w:spacing w:before="0" w:after="0" w:line="240" w:lineRule="auto"/>
        <w:rPr>
          <w:rFonts w:ascii="Calibri" w:eastAsia="Times New Roman" w:hAnsi="Calibri" w:cs="Times New Roman"/>
          <w:b/>
          <w:i/>
          <w:szCs w:val="24"/>
          <w:lang w:val="en-US"/>
        </w:rPr>
      </w:pPr>
      <w:r w:rsidRPr="007A04CE">
        <w:rPr>
          <w:rFonts w:ascii="Calibri" w:eastAsia="Times New Roman" w:hAnsi="Calibri" w:cs="Times New Roman"/>
          <w:b/>
          <w:i/>
          <w:szCs w:val="24"/>
          <w:lang w:val="en-US"/>
        </w:rPr>
        <w:t>- Tekući dopisi.</w:t>
      </w:r>
    </w:p>
    <w:p w:rsidR="007A04CE" w:rsidRPr="007A04CE" w:rsidRDefault="007A04CE" w:rsidP="007A04CE">
      <w:pPr>
        <w:spacing w:before="0" w:after="0" w:line="240" w:lineRule="auto"/>
        <w:ind w:left="317"/>
        <w:rPr>
          <w:rFonts w:ascii="Calibri" w:eastAsia="Times New Roman" w:hAnsi="Calibri" w:cs="Times New Roman"/>
          <w:b/>
          <w:i/>
          <w:szCs w:val="24"/>
          <w:lang w:val="en-US"/>
        </w:rPr>
      </w:pPr>
    </w:p>
    <w:p w:rsidR="007A04CE" w:rsidRPr="007A04CE" w:rsidRDefault="007A04CE" w:rsidP="00146EBE">
      <w:pPr>
        <w:numPr>
          <w:ilvl w:val="0"/>
          <w:numId w:val="17"/>
        </w:numPr>
        <w:spacing w:before="0" w:after="0" w:line="240" w:lineRule="auto"/>
        <w:jc w:val="left"/>
        <w:rPr>
          <w:rFonts w:ascii="Calibri" w:eastAsia="Times New Roman" w:hAnsi="Calibri" w:cs="Times New Roman"/>
          <w:b/>
          <w:szCs w:val="24"/>
          <w:u w:val="single"/>
          <w:lang w:val="en-US"/>
        </w:rPr>
      </w:pPr>
      <w:r w:rsidRPr="007A04CE">
        <w:rPr>
          <w:rFonts w:ascii="Calibri" w:eastAsia="Times New Roman" w:hAnsi="Calibri" w:cs="Times New Roman"/>
          <w:b/>
          <w:szCs w:val="24"/>
          <w:u w:val="single"/>
          <w:lang w:val="en-US"/>
        </w:rPr>
        <w:t>IGRE NA SREĆU</w:t>
      </w:r>
    </w:p>
    <w:p w:rsidR="007A04CE" w:rsidRPr="007A04CE" w:rsidRDefault="007A04CE" w:rsidP="007A04CE">
      <w:pPr>
        <w:spacing w:before="0" w:after="0" w:line="240" w:lineRule="auto"/>
        <w:jc w:val="left"/>
        <w:rPr>
          <w:rFonts w:ascii="Calibri" w:eastAsia="Times New Roman" w:hAnsi="Calibri" w:cs="Times New Roman"/>
          <w:b/>
          <w:i/>
          <w:szCs w:val="24"/>
          <w:lang w:val="en-US"/>
        </w:rPr>
      </w:pPr>
      <w:r w:rsidRPr="007A04CE">
        <w:rPr>
          <w:rFonts w:ascii="Calibri" w:eastAsia="Times New Roman" w:hAnsi="Calibri" w:cs="Times New Roman"/>
          <w:b/>
          <w:i/>
          <w:szCs w:val="24"/>
          <w:lang w:val="en-US"/>
        </w:rPr>
        <w:t>- Nacrt zakona o igrama na sreću;</w:t>
      </w:r>
    </w:p>
    <w:p w:rsidR="007A04CE" w:rsidRPr="007A04CE" w:rsidRDefault="007A04CE" w:rsidP="007A04CE">
      <w:pPr>
        <w:spacing w:before="0" w:after="0" w:line="240" w:lineRule="auto"/>
        <w:ind w:firstLine="720"/>
        <w:rPr>
          <w:rFonts w:ascii="Calibri" w:eastAsia="Times New Roman" w:hAnsi="Calibri" w:cs="Times New Roman"/>
          <w:szCs w:val="24"/>
          <w:lang w:val="en-US"/>
        </w:rPr>
      </w:pPr>
      <w:r w:rsidRPr="007A04CE">
        <w:rPr>
          <w:rFonts w:ascii="Calibri" w:eastAsia="Times New Roman" w:hAnsi="Calibri" w:cs="Times New Roman"/>
          <w:szCs w:val="24"/>
          <w:lang w:val="en-US"/>
        </w:rPr>
        <w:t xml:space="preserve">Crna Gora je, Zakon o igrama na sreću, donijela 2004 godine, a 2007. godine, su donešene izmjene i dopune, kojim su stvoreni uslovi za osnivanje posebnog organa Uprave za igre na sreću, koji vrši nadzor nad sprovođenjem ovog Zakona. </w:t>
      </w:r>
    </w:p>
    <w:p w:rsidR="007A04CE" w:rsidRPr="007A04CE" w:rsidRDefault="007A04CE" w:rsidP="007A04CE">
      <w:pPr>
        <w:spacing w:before="0" w:after="0" w:line="240" w:lineRule="auto"/>
        <w:ind w:firstLine="720"/>
        <w:rPr>
          <w:rFonts w:ascii="Calibri" w:eastAsia="Times New Roman" w:hAnsi="Calibri" w:cs="Times New Roman"/>
          <w:szCs w:val="24"/>
          <w:lang w:val="en-US"/>
        </w:rPr>
      </w:pPr>
      <w:r w:rsidRPr="007A04CE">
        <w:rPr>
          <w:rFonts w:ascii="Calibri" w:eastAsia="Times New Roman" w:hAnsi="Calibri" w:cs="Times New Roman"/>
          <w:szCs w:val="24"/>
          <w:lang w:val="en-US"/>
        </w:rPr>
        <w:t>Međutim, praksa je pokazala da su određena rješenja nejasna i nedorečena, pojedina rešenja zastarela i prevaziđena, a njihovo rješavanje je od velikog značaja za regulisanje tržišta igara na sreću, posebno u dijelu koji se odnosi na: interaktivne igre na sreću, udaljenost objekata u kojima se priređuju igre na sreću od osnovnih i srednjih škola, priređivanje igara na sreću putem interneta i kaznene odredbe. Takođe, potrebno je bilo, između ostalog, na sveobuhvatan način urediti i lutrijske igre (uslove za dodjelu koncesije, osnovni kapital, te slična pitanja), preciznije urediti ON-LINE sistem nadzora, te jasnije definisati obaveze koncesionara, kako u pogledu ispunjavanja obaveza povezivanja na on-line sistem nadzora Uprave za igre na sreću, tako i u pogledu obezbjeđenja prikupljanja, integriteta, tačnosti, sveobuhvatnosti i pravovremenosti prenijetih podataka iz softverskog sistema priređivača u nadzorni sistem Uprave za igre na sreću.</w:t>
      </w:r>
    </w:p>
    <w:p w:rsidR="007A04CE" w:rsidRPr="007A04CE" w:rsidRDefault="007A04CE" w:rsidP="007A04CE">
      <w:pPr>
        <w:spacing w:before="0" w:after="0" w:line="240" w:lineRule="auto"/>
        <w:ind w:firstLine="720"/>
        <w:rPr>
          <w:rFonts w:ascii="Calibri" w:eastAsia="Times New Roman" w:hAnsi="Calibri" w:cs="Times New Roman"/>
          <w:szCs w:val="24"/>
          <w:lang w:val="en-US"/>
        </w:rPr>
      </w:pPr>
      <w:r w:rsidRPr="007A04CE">
        <w:rPr>
          <w:rFonts w:ascii="Calibri" w:eastAsia="Times New Roman" w:hAnsi="Calibri" w:cs="Times New Roman"/>
          <w:szCs w:val="24"/>
          <w:lang w:val="en-US"/>
        </w:rPr>
        <w:t>Imajući u vidu navedeno, kao i kontinuirani razvoj tržišta igara na sreću u svijetu, nedorečenosti i nejasnoće važećeg Zakona o igrama na sreću, odnosno potrebu za unaprijeđenjem ove oblasti u Crnoj Gori, uz uvažavanje svih aspekata i uticaja na ekonomiju, socijalnu politiku, zdravstvo, turizam i društvo u cjelini, pripremljen je novi Nacrt zakona o igrama na sreću i nagradnim igrama.</w:t>
      </w:r>
    </w:p>
    <w:p w:rsidR="007A04CE" w:rsidRPr="007A04CE" w:rsidRDefault="007A04CE" w:rsidP="007A04CE">
      <w:pPr>
        <w:spacing w:before="0" w:after="0" w:line="240" w:lineRule="auto"/>
        <w:ind w:firstLine="360"/>
        <w:rPr>
          <w:rFonts w:ascii="Calibri" w:eastAsia="Times New Roman" w:hAnsi="Calibri" w:cs="Times New Roman"/>
          <w:szCs w:val="24"/>
          <w:lang w:val="en-US"/>
        </w:rPr>
      </w:pPr>
      <w:r w:rsidRPr="007A04CE">
        <w:rPr>
          <w:rFonts w:ascii="Calibri" w:eastAsia="Times New Roman" w:hAnsi="Calibri" w:cs="Times New Roman"/>
          <w:szCs w:val="24"/>
          <w:lang w:val="en-US"/>
        </w:rPr>
        <w:t xml:space="preserve">Ciljevi koji se žele postići donošenjem novog Zakona su: </w:t>
      </w:r>
    </w:p>
    <w:p w:rsidR="007A04CE" w:rsidRPr="007A04CE" w:rsidRDefault="007A04CE" w:rsidP="00146EBE">
      <w:pPr>
        <w:numPr>
          <w:ilvl w:val="0"/>
          <w:numId w:val="20"/>
        </w:numPr>
        <w:spacing w:before="0" w:after="0" w:line="240" w:lineRule="auto"/>
        <w:jc w:val="left"/>
        <w:rPr>
          <w:rFonts w:ascii="Calibri" w:eastAsia="Times New Roman" w:hAnsi="Calibri" w:cs="Times New Roman"/>
          <w:szCs w:val="24"/>
          <w:lang w:val="en-US"/>
        </w:rPr>
      </w:pPr>
      <w:r w:rsidRPr="007A04CE">
        <w:rPr>
          <w:rFonts w:ascii="Calibri" w:eastAsia="Times New Roman" w:hAnsi="Calibri" w:cs="Times New Roman"/>
          <w:szCs w:val="24"/>
          <w:lang w:val="en-US"/>
        </w:rPr>
        <w:t xml:space="preserve">stvaranje kvalitetnijeg ambijenta za razvoj tržišta i privlačenje priređivača iz inostranstva; </w:t>
      </w:r>
    </w:p>
    <w:p w:rsidR="007A04CE" w:rsidRPr="007A04CE" w:rsidRDefault="007A04CE" w:rsidP="00146EBE">
      <w:pPr>
        <w:numPr>
          <w:ilvl w:val="0"/>
          <w:numId w:val="20"/>
        </w:numPr>
        <w:spacing w:before="0" w:after="0" w:line="240" w:lineRule="auto"/>
        <w:jc w:val="left"/>
        <w:rPr>
          <w:rFonts w:ascii="Calibri" w:eastAsia="Times New Roman" w:hAnsi="Calibri" w:cs="Times New Roman"/>
          <w:szCs w:val="24"/>
          <w:lang w:val="en-US"/>
        </w:rPr>
      </w:pPr>
      <w:r w:rsidRPr="007A04CE">
        <w:rPr>
          <w:rFonts w:ascii="Calibri" w:eastAsia="Times New Roman" w:hAnsi="Calibri" w:cs="Times New Roman"/>
          <w:szCs w:val="24"/>
          <w:lang w:val="en-US"/>
        </w:rPr>
        <w:t xml:space="preserve">veća fiskalna disciplina i bolja zaštita interesa legalnih priređivača; </w:t>
      </w:r>
    </w:p>
    <w:p w:rsidR="007A04CE" w:rsidRPr="007A04CE" w:rsidRDefault="007A04CE" w:rsidP="00146EBE">
      <w:pPr>
        <w:numPr>
          <w:ilvl w:val="0"/>
          <w:numId w:val="20"/>
        </w:numPr>
        <w:spacing w:before="0" w:after="0" w:line="240" w:lineRule="auto"/>
        <w:jc w:val="left"/>
        <w:rPr>
          <w:rFonts w:ascii="Calibri" w:eastAsia="Times New Roman" w:hAnsi="Calibri" w:cs="Times New Roman"/>
          <w:szCs w:val="24"/>
          <w:lang w:val="en-US"/>
        </w:rPr>
      </w:pPr>
      <w:r w:rsidRPr="007A04CE">
        <w:rPr>
          <w:rFonts w:ascii="Calibri" w:eastAsia="Times New Roman" w:hAnsi="Calibri" w:cs="Times New Roman"/>
          <w:szCs w:val="24"/>
          <w:lang w:val="en-US"/>
        </w:rPr>
        <w:t xml:space="preserve">obezbijediti bolja naplata prihoda od igara na sreću; </w:t>
      </w:r>
    </w:p>
    <w:p w:rsidR="007A04CE" w:rsidRPr="007A04CE" w:rsidRDefault="007A04CE" w:rsidP="00146EBE">
      <w:pPr>
        <w:numPr>
          <w:ilvl w:val="0"/>
          <w:numId w:val="20"/>
        </w:numPr>
        <w:spacing w:before="0" w:after="0" w:line="240" w:lineRule="auto"/>
        <w:jc w:val="left"/>
        <w:rPr>
          <w:rFonts w:ascii="Calibri" w:eastAsia="Times New Roman" w:hAnsi="Calibri" w:cs="Times New Roman"/>
          <w:szCs w:val="24"/>
          <w:lang w:val="en-US"/>
        </w:rPr>
      </w:pPr>
      <w:r w:rsidRPr="007A04CE">
        <w:rPr>
          <w:rFonts w:ascii="Calibri" w:eastAsia="Times New Roman" w:hAnsi="Calibri" w:cs="Times New Roman"/>
          <w:szCs w:val="24"/>
          <w:lang w:val="en-US"/>
        </w:rPr>
        <w:t xml:space="preserve">kontrolisani razvoj ove oblasti i smanjivanje "sive zone"; </w:t>
      </w:r>
    </w:p>
    <w:p w:rsidR="007A04CE" w:rsidRPr="007A04CE" w:rsidRDefault="007A04CE" w:rsidP="00146EBE">
      <w:pPr>
        <w:numPr>
          <w:ilvl w:val="0"/>
          <w:numId w:val="20"/>
        </w:numPr>
        <w:spacing w:before="0" w:after="0" w:line="240" w:lineRule="auto"/>
        <w:jc w:val="left"/>
        <w:rPr>
          <w:rFonts w:ascii="Calibri" w:eastAsia="Times New Roman" w:hAnsi="Calibri" w:cs="Times New Roman"/>
          <w:szCs w:val="24"/>
          <w:lang w:val="en-US"/>
        </w:rPr>
      </w:pPr>
      <w:r w:rsidRPr="007A04CE">
        <w:rPr>
          <w:rFonts w:ascii="Calibri" w:eastAsia="Times New Roman" w:hAnsi="Calibri" w:cs="Times New Roman"/>
          <w:szCs w:val="24"/>
          <w:lang w:val="en-US"/>
        </w:rPr>
        <w:t xml:space="preserve">ravnopravan i ujednačen tretman svih priređivača igara na sreću na tržištu; </w:t>
      </w:r>
    </w:p>
    <w:p w:rsidR="007A04CE" w:rsidRPr="007A04CE" w:rsidRDefault="007A04CE" w:rsidP="00146EBE">
      <w:pPr>
        <w:numPr>
          <w:ilvl w:val="0"/>
          <w:numId w:val="20"/>
        </w:numPr>
        <w:spacing w:before="0" w:after="0" w:line="240" w:lineRule="auto"/>
        <w:jc w:val="left"/>
        <w:rPr>
          <w:rFonts w:ascii="Calibri" w:eastAsia="Times New Roman" w:hAnsi="Calibri" w:cs="Times New Roman"/>
          <w:szCs w:val="24"/>
          <w:lang w:val="en-US"/>
        </w:rPr>
      </w:pPr>
      <w:r w:rsidRPr="007A04CE">
        <w:rPr>
          <w:rFonts w:ascii="Calibri" w:eastAsia="Times New Roman" w:hAnsi="Calibri" w:cs="Times New Roman"/>
          <w:szCs w:val="24"/>
          <w:lang w:val="en-US"/>
        </w:rPr>
        <w:t xml:space="preserve">jednostavnija i efikasnija kontrola priređivača, kroz uvođenje efikasnog monitoring mehanizma, odnosno uspostavljanjem boljeg kontrolnog sistema (umrežavanjem priređivača); </w:t>
      </w:r>
    </w:p>
    <w:p w:rsidR="007A04CE" w:rsidRPr="007A04CE" w:rsidRDefault="007A04CE" w:rsidP="00146EBE">
      <w:pPr>
        <w:numPr>
          <w:ilvl w:val="0"/>
          <w:numId w:val="20"/>
        </w:numPr>
        <w:spacing w:before="0" w:after="0" w:line="240" w:lineRule="auto"/>
        <w:jc w:val="left"/>
        <w:rPr>
          <w:rFonts w:ascii="Calibri" w:eastAsia="Times New Roman" w:hAnsi="Calibri" w:cs="Times New Roman"/>
          <w:szCs w:val="24"/>
          <w:lang w:val="en-US"/>
        </w:rPr>
      </w:pPr>
      <w:r w:rsidRPr="007A04CE">
        <w:rPr>
          <w:rFonts w:ascii="Calibri" w:eastAsia="Times New Roman" w:hAnsi="Calibri" w:cs="Times New Roman"/>
          <w:szCs w:val="24"/>
          <w:lang w:val="en-US"/>
        </w:rPr>
        <w:t xml:space="preserve">veća zaštita maloljetnika od učestvovanja u igrama na sreću, te kvalitetnija društvena zaštita igrača i njihovih porodica. </w:t>
      </w:r>
    </w:p>
    <w:p w:rsidR="007A04CE" w:rsidRPr="007A04CE" w:rsidRDefault="007A04CE" w:rsidP="00146EBE">
      <w:pPr>
        <w:numPr>
          <w:ilvl w:val="0"/>
          <w:numId w:val="20"/>
        </w:numPr>
        <w:spacing w:before="0" w:after="0" w:line="240" w:lineRule="auto"/>
        <w:jc w:val="left"/>
        <w:rPr>
          <w:rFonts w:ascii="Calibri" w:eastAsia="Times New Roman" w:hAnsi="Calibri" w:cs="Times New Roman"/>
          <w:szCs w:val="24"/>
          <w:lang w:val="en-US"/>
        </w:rPr>
      </w:pPr>
      <w:r w:rsidRPr="007A04CE">
        <w:rPr>
          <w:rFonts w:ascii="Calibri" w:eastAsia="Times New Roman" w:hAnsi="Calibri" w:cs="Times New Roman"/>
          <w:szCs w:val="24"/>
          <w:lang w:val="en-US"/>
        </w:rPr>
        <w:t>preciznije regulisanje postupka licenciranja ovlašćenih priređivača i stvaranje efikasnijeg sistema nadozora priređivača.</w:t>
      </w:r>
    </w:p>
    <w:p w:rsidR="007A04CE" w:rsidRPr="007A04CE" w:rsidRDefault="007A04CE" w:rsidP="007A04CE">
      <w:pPr>
        <w:spacing w:before="0" w:after="0" w:line="240" w:lineRule="auto"/>
        <w:ind w:firstLine="360"/>
        <w:rPr>
          <w:rFonts w:ascii="Calibri" w:eastAsia="Times New Roman" w:hAnsi="Calibri" w:cs="Times New Roman"/>
          <w:szCs w:val="24"/>
          <w:lang w:val="en-US"/>
        </w:rPr>
      </w:pPr>
      <w:r w:rsidRPr="007A04CE">
        <w:rPr>
          <w:rFonts w:ascii="Calibri" w:eastAsia="Times New Roman" w:hAnsi="Calibri" w:cs="Times New Roman"/>
          <w:szCs w:val="24"/>
          <w:lang w:val="en-US"/>
        </w:rPr>
        <w:t>Nacrt zakona o igrama na sreću i nagradnim igrama je usvojen na sjednici Vlade Crne Gore, od 29. decembra 2020.</w:t>
      </w:r>
      <w:r w:rsidR="00607AFD">
        <w:rPr>
          <w:rFonts w:ascii="Calibri" w:eastAsia="Times New Roman" w:hAnsi="Calibri" w:cs="Times New Roman"/>
          <w:szCs w:val="24"/>
          <w:lang w:val="en-US"/>
        </w:rPr>
        <w:t xml:space="preserve"> </w:t>
      </w:r>
      <w:r w:rsidRPr="007A04CE">
        <w:rPr>
          <w:rFonts w:ascii="Calibri" w:eastAsia="Times New Roman" w:hAnsi="Calibri" w:cs="Times New Roman"/>
          <w:szCs w:val="24"/>
          <w:lang w:val="en-US"/>
        </w:rPr>
        <w:t>godine.</w:t>
      </w:r>
    </w:p>
    <w:p w:rsidR="007A04CE" w:rsidRPr="007A04CE" w:rsidRDefault="007A04CE" w:rsidP="007A04CE">
      <w:pPr>
        <w:spacing w:before="0" w:after="0" w:line="240" w:lineRule="auto"/>
        <w:ind w:firstLine="317"/>
        <w:rPr>
          <w:rFonts w:ascii="Calibri" w:eastAsia="Times New Roman" w:hAnsi="Calibri" w:cs="Times New Roman"/>
          <w:szCs w:val="24"/>
          <w:lang w:val="en-US"/>
        </w:rPr>
      </w:pPr>
      <w:r w:rsidRPr="007A04CE">
        <w:rPr>
          <w:rFonts w:ascii="Calibri" w:eastAsia="Times New Roman" w:hAnsi="Calibri" w:cs="Times New Roman"/>
          <w:szCs w:val="24"/>
          <w:lang w:val="sr-Latn-ME"/>
        </w:rPr>
        <w:t>Ministarstvo finansija i socijalnog staranja je 30.12.2020.</w:t>
      </w:r>
      <w:r w:rsidR="005B4DEF">
        <w:rPr>
          <w:rFonts w:ascii="Calibri" w:eastAsia="Times New Roman" w:hAnsi="Calibri" w:cs="Times New Roman"/>
          <w:szCs w:val="24"/>
          <w:lang w:val="sr-Latn-ME"/>
        </w:rPr>
        <w:t xml:space="preserve"> </w:t>
      </w:r>
      <w:r w:rsidR="005B5196">
        <w:rPr>
          <w:rFonts w:ascii="Calibri" w:eastAsia="Times New Roman" w:hAnsi="Calibri" w:cs="Times New Roman"/>
          <w:szCs w:val="24"/>
          <w:lang w:val="sr-Latn-ME"/>
        </w:rPr>
        <w:t xml:space="preserve"> </w:t>
      </w:r>
      <w:r w:rsidRPr="007A04CE">
        <w:rPr>
          <w:rFonts w:ascii="Calibri" w:eastAsia="Times New Roman" w:hAnsi="Calibri" w:cs="Times New Roman"/>
          <w:szCs w:val="24"/>
          <w:lang w:val="sr-Latn-ME"/>
        </w:rPr>
        <w:t>godine, na svojoj internet stranici</w:t>
      </w:r>
      <w:r w:rsidRPr="007A04CE">
        <w:rPr>
          <w:rFonts w:ascii="Calibri" w:eastAsia="Times New Roman" w:hAnsi="Calibri" w:cs="Times New Roman"/>
          <w:szCs w:val="24"/>
          <w:vertAlign w:val="superscript"/>
          <w:lang w:val="sr-Latn-ME"/>
        </w:rPr>
        <w:footnoteReference w:id="3"/>
      </w:r>
      <w:r w:rsidRPr="007A04CE">
        <w:rPr>
          <w:rFonts w:ascii="Calibri" w:eastAsia="Times New Roman" w:hAnsi="Calibri" w:cs="Times New Roman"/>
          <w:szCs w:val="24"/>
          <w:lang w:val="sr-Latn-ME"/>
        </w:rPr>
        <w:t xml:space="preserve"> i na portalu e-uprave</w:t>
      </w:r>
      <w:r w:rsidRPr="007A04CE">
        <w:rPr>
          <w:rFonts w:ascii="Calibri" w:eastAsia="Times New Roman" w:hAnsi="Calibri" w:cs="Times New Roman"/>
          <w:szCs w:val="24"/>
          <w:vertAlign w:val="superscript"/>
          <w:lang w:val="sr-Latn-ME"/>
        </w:rPr>
        <w:footnoteReference w:id="4"/>
      </w:r>
      <w:r w:rsidRPr="007A04CE">
        <w:rPr>
          <w:rFonts w:ascii="Calibri" w:eastAsia="Times New Roman" w:hAnsi="Calibri" w:cs="Times New Roman"/>
          <w:szCs w:val="24"/>
          <w:lang w:val="sr-Latn-ME"/>
        </w:rPr>
        <w:t xml:space="preserve">, objavilo Javni </w:t>
      </w:r>
      <w:r w:rsidRPr="007A04CE">
        <w:rPr>
          <w:rFonts w:ascii="Calibri" w:eastAsia="Times New Roman" w:hAnsi="Calibri" w:cs="Times New Roman"/>
          <w:szCs w:val="24"/>
          <w:lang w:val="en-US"/>
        </w:rPr>
        <w:t>poziv za javnu raspravu povodom Nacrta zakona o igrama na sreću i nagradnim igrama</w:t>
      </w:r>
      <w:r w:rsidRPr="007A04CE">
        <w:rPr>
          <w:rFonts w:ascii="Calibri" w:eastAsia="Times New Roman" w:hAnsi="Calibri" w:cs="Times New Roman"/>
          <w:szCs w:val="24"/>
          <w:vertAlign w:val="superscript"/>
          <w:lang w:val="en-US"/>
        </w:rPr>
        <w:footnoteReference w:id="5"/>
      </w:r>
      <w:r w:rsidRPr="007A04CE">
        <w:rPr>
          <w:rFonts w:ascii="Calibri" w:eastAsia="Times New Roman" w:hAnsi="Calibri" w:cs="Times New Roman"/>
          <w:szCs w:val="24"/>
          <w:lang w:val="en-US"/>
        </w:rPr>
        <w:t xml:space="preserve"> i pozvalo građane, stručnu javnost i sva druga zainteresovana lica da se uključe </w:t>
      </w:r>
      <w:r w:rsidRPr="007A04CE">
        <w:rPr>
          <w:rFonts w:ascii="Calibri" w:eastAsia="Times New Roman" w:hAnsi="Calibri" w:cs="Times New Roman"/>
          <w:szCs w:val="24"/>
          <w:lang w:val="en-US"/>
        </w:rPr>
        <w:lastRenderedPageBreak/>
        <w:t>u javnu raspravu i daju svoj doprinos u razmatranju Nacrta zakona. Javna rasprava će trajati 60 dana od dana objavljivanja javnog poziva.</w:t>
      </w:r>
    </w:p>
    <w:p w:rsidR="007A04CE" w:rsidRPr="007A04CE" w:rsidRDefault="007A04CE" w:rsidP="007A04CE">
      <w:pPr>
        <w:spacing w:before="0" w:after="0" w:line="240" w:lineRule="auto"/>
        <w:rPr>
          <w:rFonts w:ascii="Calibri" w:eastAsia="Times New Roman" w:hAnsi="Calibri" w:cs="Times New Roman"/>
          <w:szCs w:val="24"/>
          <w:lang w:val="en-US"/>
        </w:rPr>
      </w:pPr>
    </w:p>
    <w:p w:rsidR="007A04CE" w:rsidRPr="007A04CE" w:rsidRDefault="007A04CE" w:rsidP="007A04CE">
      <w:pPr>
        <w:spacing w:before="0" w:after="0" w:line="240" w:lineRule="auto"/>
        <w:rPr>
          <w:rFonts w:ascii="Calibri" w:eastAsia="Times New Roman" w:hAnsi="Calibri" w:cs="Times New Roman"/>
          <w:b/>
          <w:i/>
          <w:szCs w:val="24"/>
          <w:lang w:val="en-US"/>
        </w:rPr>
      </w:pPr>
      <w:r w:rsidRPr="007A04CE">
        <w:rPr>
          <w:rFonts w:ascii="Calibri" w:eastAsia="Times New Roman" w:hAnsi="Calibri" w:cs="Times New Roman"/>
          <w:b/>
          <w:i/>
          <w:szCs w:val="24"/>
          <w:lang w:val="en-US"/>
        </w:rPr>
        <w:t>- Aneks br. 2 Sporazuma o finansijskoj kontribuciji između Ministarstva finansija Crne Gore i Ministarstva finansija Republike Slovačke;</w:t>
      </w:r>
    </w:p>
    <w:p w:rsidR="007A04CE" w:rsidRPr="007A04CE" w:rsidRDefault="007A04CE" w:rsidP="007A04CE">
      <w:pPr>
        <w:spacing w:before="0" w:after="0" w:line="240" w:lineRule="auto"/>
        <w:ind w:firstLine="720"/>
        <w:rPr>
          <w:rFonts w:ascii="Calibri" w:eastAsia="Times New Roman" w:hAnsi="Calibri" w:cs="Times New Roman"/>
          <w:szCs w:val="24"/>
          <w:lang w:val="en-US"/>
        </w:rPr>
      </w:pPr>
      <w:r w:rsidRPr="007A04CE">
        <w:rPr>
          <w:rFonts w:ascii="Calibri" w:eastAsia="Times New Roman" w:hAnsi="Calibri" w:cs="Times New Roman"/>
          <w:szCs w:val="24"/>
          <w:lang w:val="en-US"/>
        </w:rPr>
        <w:t>U procesu pronalaženja optimalnog rješenja za korišćenje sredstava slovačke finansijske pomoći, Ministarstvo finansija je prepoznalo oblast igara na sreću kao sektor za korišćenje sredstava budžetske podrške. Odlučeno je da se, u okviru pomenute oblasti, dodijeli slovačka tehnička podrška za budžetsku pomoć u visini od 1.000.000 eura, a sve u cilju unaprjeđenja informacionog sistema za nadzor priređivača igara na sreću, kroz podršku softverskog i hardverskog rješenja i jačanja kapaciteta Uprave za igre na sreću.</w:t>
      </w:r>
    </w:p>
    <w:p w:rsidR="007A04CE" w:rsidRPr="007A04CE" w:rsidRDefault="007A04CE" w:rsidP="007A04CE">
      <w:pPr>
        <w:spacing w:before="0" w:after="0" w:line="240" w:lineRule="auto"/>
        <w:ind w:firstLine="720"/>
        <w:rPr>
          <w:rFonts w:ascii="Calibri" w:eastAsia="Times New Roman" w:hAnsi="Calibri" w:cs="Times New Roman"/>
          <w:szCs w:val="24"/>
          <w:lang w:val="en-US"/>
        </w:rPr>
      </w:pPr>
      <w:r w:rsidRPr="007A04CE">
        <w:rPr>
          <w:rFonts w:ascii="Calibri" w:eastAsia="Times New Roman" w:hAnsi="Calibri" w:cs="Times New Roman"/>
          <w:szCs w:val="24"/>
          <w:lang w:val="en-US"/>
        </w:rPr>
        <w:t>Uzimajući u obzir međunarodne obaveze Slovačke Republike u oblasti razvojne saradnje, kao i uspješne saradnje između Crne Gore i Republike Slovačke u oblasti reforme upravljanja javnim finansijama, a uz nadu da će se trend podrške za finansiranje razvojnih projekata nastaviti i u budućnosti, dana 17.12.2018. godine, potpisan je Sporazum o finansijskoj kontribuciji između Ministarstva finansija Crne Gore i Ministarstva finansija Republike Slovačke.</w:t>
      </w:r>
    </w:p>
    <w:p w:rsidR="007A04CE" w:rsidRPr="007A04CE" w:rsidRDefault="007A04CE" w:rsidP="007A04CE">
      <w:pPr>
        <w:spacing w:before="0" w:after="0" w:line="240" w:lineRule="auto"/>
        <w:ind w:firstLine="720"/>
        <w:rPr>
          <w:rFonts w:ascii="Calibri" w:eastAsia="Times New Roman" w:hAnsi="Calibri" w:cs="Times New Roman"/>
          <w:szCs w:val="24"/>
          <w:lang w:val="en-US"/>
        </w:rPr>
      </w:pPr>
      <w:r w:rsidRPr="007A04CE">
        <w:rPr>
          <w:rFonts w:ascii="Calibri" w:eastAsia="Times New Roman" w:hAnsi="Calibri" w:cs="Times New Roman"/>
          <w:szCs w:val="24"/>
          <w:lang w:val="en-US"/>
        </w:rPr>
        <w:t xml:space="preserve">Po osnovu Sporazuma, Ministarstvo finansija Republike Slovačke (“donator”) se obavezalo da Ministarstvu finansija Crne Gore (“korisnik”) obezbijedi finansijsku kontribuciju, čija sredstva će biti korišćena u regulaciji oblasti igara na sreću u Crnoj Gori. Ukupan iznos finansijske kontribucije u iznosu od 1.000.000 eura predstavlja nepovratnu finansijsku pomoć iz javnih sredstava Slovačke Republike, i biće uplaćena u dvije tranše od po 500.00€. Ministarstvo finansija Slovačke Republike je uplatilo prvu tranšu nakon potpisivanja Sporazuma. </w:t>
      </w:r>
    </w:p>
    <w:p w:rsidR="007A04CE" w:rsidRPr="007A04CE" w:rsidRDefault="007A04CE" w:rsidP="007A04CE">
      <w:pPr>
        <w:spacing w:before="0" w:after="0" w:line="240" w:lineRule="auto"/>
        <w:ind w:firstLine="720"/>
        <w:rPr>
          <w:rFonts w:ascii="Calibri" w:eastAsia="Times New Roman" w:hAnsi="Calibri" w:cs="Times New Roman"/>
          <w:szCs w:val="24"/>
          <w:lang w:val="en-US"/>
        </w:rPr>
      </w:pPr>
      <w:r w:rsidRPr="007A04CE">
        <w:rPr>
          <w:rFonts w:ascii="Calibri" w:eastAsia="Times New Roman" w:hAnsi="Calibri" w:cs="Times New Roman"/>
          <w:szCs w:val="24"/>
          <w:lang w:val="en-US"/>
        </w:rPr>
        <w:t xml:space="preserve">Sporazumom su regulisani međusobnih prava i obaveza obje strane, u okviru procesa prenosa finansijske donacije, te je Korisnik bio obavezan da, do 31. oktobra 2019. godine, sprovede dvije strateške mjere (donošenje Zakona o igrama na sreću, od strane Vlade i priprema tehničke IT specifikacije za monitoring prihoda od priređivanja igara na sreću) na nacionalnom nivou, a nakon ispunjavanja strateških mjera, Donator će uplatiti drugu tranšu. </w:t>
      </w:r>
    </w:p>
    <w:p w:rsidR="007A04CE" w:rsidRPr="007A04CE" w:rsidRDefault="007A04CE" w:rsidP="007A04CE">
      <w:pPr>
        <w:spacing w:before="0" w:after="0" w:line="240" w:lineRule="auto"/>
        <w:ind w:firstLine="720"/>
        <w:rPr>
          <w:rFonts w:ascii="Calibri" w:eastAsia="Times New Roman" w:hAnsi="Calibri" w:cs="Times New Roman"/>
          <w:szCs w:val="24"/>
          <w:lang w:val="en-US"/>
        </w:rPr>
      </w:pPr>
      <w:r w:rsidRPr="007A04CE">
        <w:rPr>
          <w:rFonts w:ascii="Calibri" w:eastAsia="Times New Roman" w:hAnsi="Calibri" w:cs="Times New Roman"/>
          <w:szCs w:val="24"/>
          <w:lang w:val="en-US"/>
        </w:rPr>
        <w:t>Imajući u vidu da će se donošenjem novog Zakona unaprijediti sistem igara na sreću, kroz kreiranje trajnih i održivih rješenja u skladu sa najboljom evropskom praksom, obezbijediti ravnopravan i ujednačen tretman svih priređivača igara na sreću na tržištu, ali i stvoriti bolji uslovi za jednosnostavniju i efikasniju kontrolu razvoja ove oblasti i kontrolu priređivača- koncesionara; veća fiskalna disciplina i bolja naplata prihoda od igara na sreću, na način što će se smanjiti prostor za malverzacije, utaju poreza, neplaćanje naknada, s jedne strane, a sa druge strane kratak rok za implementaciju strateških mjera, definisanih Sporazumom, uz saglasnost Ugovornih strana, predloženo je je dodatno produženje roka za implementaciju ove mjere, odnosno do 31 decembra 2020. godine. Druga tranša od 500.000 EUR će biti prenešena do 31. januara 2021. godine, nakon ispunjenja strateških mjera</w:t>
      </w:r>
      <w:r w:rsidRPr="007A04CE">
        <w:rPr>
          <w:rFonts w:ascii="Calibri" w:eastAsia="Times New Roman" w:hAnsi="Calibri" w:cs="Times New Roman"/>
          <w:szCs w:val="24"/>
          <w:vertAlign w:val="superscript"/>
          <w:lang w:val="en-US"/>
        </w:rPr>
        <w:footnoteReference w:id="6"/>
      </w:r>
      <w:r w:rsidRPr="007A04CE">
        <w:rPr>
          <w:rFonts w:ascii="Calibri" w:eastAsia="Times New Roman" w:hAnsi="Calibri" w:cs="Times New Roman"/>
          <w:szCs w:val="24"/>
          <w:lang w:val="en-US"/>
        </w:rPr>
        <w:t>.</w:t>
      </w:r>
    </w:p>
    <w:p w:rsidR="007A04CE" w:rsidRPr="007A04CE" w:rsidRDefault="007A04CE" w:rsidP="007A04CE">
      <w:pPr>
        <w:spacing w:before="0" w:after="0" w:line="240" w:lineRule="auto"/>
        <w:ind w:firstLine="360"/>
        <w:rPr>
          <w:rFonts w:ascii="Calibri" w:eastAsia="Times New Roman" w:hAnsi="Calibri" w:cs="Times New Roman"/>
          <w:szCs w:val="24"/>
          <w:lang w:val="en-US"/>
        </w:rPr>
      </w:pPr>
      <w:r w:rsidRPr="007A04CE">
        <w:rPr>
          <w:rFonts w:ascii="Calibri" w:eastAsia="Times New Roman" w:hAnsi="Calibri" w:cs="Times New Roman"/>
          <w:szCs w:val="24"/>
          <w:lang w:val="en-US"/>
        </w:rPr>
        <w:t>Vlada Crne Gore je, na sjednici od 02. jula 2020. godine, usvojila Informaciju o zaključivanju Aneksa br 2 Sporazuma o finansijskoj kontribuciji između Ministarstva finansija Crne Gore i Ministarstva finansija Republike Slovačke i prihvatila Aneks br 2 Sporazuma o finansijskoj kontribuciji između Ministarstva finansija Crne Gore i Ministarstva finansija Republike Slovačke.</w:t>
      </w:r>
    </w:p>
    <w:p w:rsidR="007A04CE" w:rsidRPr="007A04CE" w:rsidRDefault="007A04CE" w:rsidP="007A04CE">
      <w:pPr>
        <w:spacing w:before="0" w:after="0" w:line="240" w:lineRule="auto"/>
        <w:rPr>
          <w:rFonts w:ascii="Calibri" w:eastAsia="Times New Roman" w:hAnsi="Calibri" w:cs="Times New Roman"/>
          <w:szCs w:val="24"/>
          <w:lang w:val="en-US"/>
        </w:rPr>
      </w:pPr>
    </w:p>
    <w:p w:rsidR="007A04CE" w:rsidRPr="007A04CE" w:rsidRDefault="007A04CE" w:rsidP="007A04CE">
      <w:pPr>
        <w:spacing w:before="0" w:after="0" w:line="240" w:lineRule="auto"/>
        <w:rPr>
          <w:rFonts w:ascii="Calibri" w:eastAsia="Times New Roman" w:hAnsi="Calibri" w:cs="Times New Roman"/>
          <w:b/>
          <w:i/>
          <w:szCs w:val="24"/>
          <w:lang w:val="en-US"/>
        </w:rPr>
      </w:pPr>
      <w:r w:rsidRPr="007A04CE">
        <w:rPr>
          <w:rFonts w:ascii="Calibri" w:eastAsia="Times New Roman" w:hAnsi="Calibri" w:cs="Times New Roman"/>
          <w:szCs w:val="24"/>
          <w:lang w:val="en-US"/>
        </w:rPr>
        <w:t xml:space="preserve">- </w:t>
      </w:r>
      <w:r w:rsidRPr="007A04CE">
        <w:rPr>
          <w:rFonts w:ascii="Calibri" w:eastAsia="Times New Roman" w:hAnsi="Calibri" w:cs="Times New Roman"/>
          <w:b/>
          <w:i/>
          <w:szCs w:val="24"/>
          <w:lang w:val="en-US"/>
        </w:rPr>
        <w:t>Saradnja sa UNDP-om, kroz Projekat "Tehnička pomoć Ministarstva finansija Slovačke za budžetsku podršku"</w:t>
      </w:r>
    </w:p>
    <w:p w:rsidR="007A04CE" w:rsidRPr="007A04CE" w:rsidRDefault="007A04CE" w:rsidP="007A04CE">
      <w:pPr>
        <w:spacing w:before="0" w:after="0" w:line="240" w:lineRule="auto"/>
        <w:ind w:firstLine="360"/>
        <w:rPr>
          <w:rFonts w:ascii="Calibri" w:eastAsia="Times New Roman" w:hAnsi="Calibri" w:cs="Times New Roman"/>
          <w:szCs w:val="24"/>
          <w:lang w:val="en-US"/>
        </w:rPr>
      </w:pPr>
      <w:r w:rsidRPr="007A04CE">
        <w:rPr>
          <w:rFonts w:ascii="Calibri" w:eastAsia="Times New Roman" w:hAnsi="Calibri" w:cs="Times New Roman"/>
          <w:szCs w:val="24"/>
          <w:lang w:val="en-US"/>
        </w:rPr>
        <w:lastRenderedPageBreak/>
        <w:t>Kancelarija UNDP-a u Podgorici pruža "Tehničku pomoć Ministarstva finansija Slovačke za budžetsku podršku Slovačke", u vezi sa:</w:t>
      </w:r>
    </w:p>
    <w:p w:rsidR="007A04CE" w:rsidRPr="007A04CE" w:rsidRDefault="007A04CE" w:rsidP="00146EBE">
      <w:pPr>
        <w:numPr>
          <w:ilvl w:val="0"/>
          <w:numId w:val="21"/>
        </w:numPr>
        <w:spacing w:before="0" w:after="0" w:line="240" w:lineRule="auto"/>
        <w:jc w:val="left"/>
        <w:rPr>
          <w:rFonts w:ascii="Calibri" w:eastAsia="Times New Roman" w:hAnsi="Calibri" w:cs="Times New Roman"/>
          <w:szCs w:val="24"/>
          <w:lang w:val="en-US"/>
        </w:rPr>
      </w:pPr>
      <w:r w:rsidRPr="007A04CE">
        <w:rPr>
          <w:rFonts w:ascii="Calibri" w:eastAsia="Times New Roman" w:hAnsi="Calibri" w:cs="Times New Roman"/>
          <w:szCs w:val="24"/>
          <w:lang w:val="en-US"/>
        </w:rPr>
        <w:t xml:space="preserve">izradom tehničke specifikacije, koja se odnosi na analizu postojećeg informatičkog rješenja, specifikaciju nedostataka i definisanje preporuka za pripremu novih softverskih i hardverskih postavki (proširenje "data centra", proširenje komunikacionih linija, višestruki serveri) kao i uređivanje softvera. </w:t>
      </w:r>
    </w:p>
    <w:p w:rsidR="007A04CE" w:rsidRPr="007A04CE" w:rsidRDefault="007A04CE" w:rsidP="00146EBE">
      <w:pPr>
        <w:numPr>
          <w:ilvl w:val="0"/>
          <w:numId w:val="21"/>
        </w:numPr>
        <w:spacing w:before="0" w:after="0" w:line="240" w:lineRule="auto"/>
        <w:jc w:val="left"/>
        <w:rPr>
          <w:rFonts w:ascii="Calibri" w:eastAsia="Times New Roman" w:hAnsi="Calibri" w:cs="Times New Roman"/>
          <w:szCs w:val="24"/>
          <w:lang w:val="en-US"/>
        </w:rPr>
      </w:pPr>
      <w:r w:rsidRPr="007A04CE">
        <w:rPr>
          <w:rFonts w:ascii="Calibri" w:eastAsia="Times New Roman" w:hAnsi="Calibri" w:cs="Times New Roman"/>
          <w:szCs w:val="24"/>
          <w:lang w:val="en-US"/>
        </w:rPr>
        <w:t>prevod novog Zakona o igrama na sreću;</w:t>
      </w:r>
    </w:p>
    <w:p w:rsidR="007A04CE" w:rsidRPr="007A04CE" w:rsidRDefault="007A04CE" w:rsidP="00146EBE">
      <w:pPr>
        <w:numPr>
          <w:ilvl w:val="0"/>
          <w:numId w:val="21"/>
        </w:numPr>
        <w:spacing w:before="0" w:after="0" w:line="240" w:lineRule="auto"/>
        <w:jc w:val="left"/>
        <w:rPr>
          <w:rFonts w:ascii="Calibri" w:eastAsia="Times New Roman" w:hAnsi="Calibri" w:cs="Times New Roman"/>
          <w:szCs w:val="24"/>
          <w:lang w:val="en-US"/>
        </w:rPr>
      </w:pPr>
      <w:r w:rsidRPr="007A04CE">
        <w:rPr>
          <w:rFonts w:ascii="Calibri" w:eastAsia="Times New Roman" w:hAnsi="Calibri" w:cs="Times New Roman"/>
          <w:szCs w:val="24"/>
          <w:lang w:val="en-US"/>
        </w:rPr>
        <w:t xml:space="preserve">reviziju novog Zakona o igrama na sreću. </w:t>
      </w:r>
    </w:p>
    <w:p w:rsidR="007A04CE" w:rsidRPr="007A04CE" w:rsidRDefault="007A04CE" w:rsidP="007A04CE">
      <w:pPr>
        <w:spacing w:before="0" w:after="0" w:line="240" w:lineRule="auto"/>
        <w:ind w:firstLine="360"/>
        <w:rPr>
          <w:rFonts w:ascii="Calibri" w:eastAsia="Times New Roman" w:hAnsi="Calibri" w:cs="Times New Roman"/>
          <w:szCs w:val="24"/>
          <w:lang w:val="en-US"/>
        </w:rPr>
      </w:pPr>
      <w:r w:rsidRPr="007A04CE">
        <w:rPr>
          <w:rFonts w:ascii="Calibri" w:eastAsia="Times New Roman" w:hAnsi="Calibri" w:cs="Times New Roman"/>
          <w:szCs w:val="24"/>
          <w:lang w:val="en-US"/>
        </w:rPr>
        <w:t xml:space="preserve">Projektom je, između ostalog, predloženo angažovanje međunarodnih (slovačkih) eksperta, odnosno IT eksperta i pravnog eksperta, a izbor eksperata će sprovesti UNDP, u saradnji sa Ministarstvom finansija Slovačke. </w:t>
      </w:r>
    </w:p>
    <w:p w:rsidR="007A04CE" w:rsidRPr="007A04CE" w:rsidRDefault="007A04CE" w:rsidP="007A04CE">
      <w:pPr>
        <w:spacing w:before="0" w:after="0" w:line="240" w:lineRule="auto"/>
        <w:ind w:firstLine="360"/>
        <w:rPr>
          <w:rFonts w:ascii="Calibri" w:eastAsia="Times New Roman" w:hAnsi="Calibri" w:cs="Times New Roman"/>
          <w:szCs w:val="24"/>
          <w:lang w:val="en-US"/>
        </w:rPr>
      </w:pPr>
      <w:r w:rsidRPr="007A04CE">
        <w:rPr>
          <w:rFonts w:ascii="Calibri" w:eastAsia="Times New Roman" w:hAnsi="Calibri" w:cs="Times New Roman"/>
          <w:szCs w:val="24"/>
          <w:lang w:val="en-US"/>
        </w:rPr>
        <w:t>UNDP je, u saradnji sa Ministarstvom finansija Slovačke, u oktobru 2019.godine, angažovao dva IT eksperta, sa zadatkom da izvrše analizu postojećeg sistema “ISONIS” i da daju preporuke o potrebi izrade novog sistema ili nadogradnji postojećeg. Početkom 2020. godine IT eksperti su dostavili 2 izvještaja: “Izvještaj o procjeni trenutnog statusa sistema ISONIS i preporuke za budući razvoj i proširenje sistema “ISONIS“ i „ISONIS sistem - procjena infrastrukture“. Postojeći ISONIS sistem je ocinjen kao dobar, uz obavezu nadogradnje sistema, te su date i konkretne preporuke za dalji razvoj informacionog sistema.</w:t>
      </w:r>
    </w:p>
    <w:p w:rsidR="007A04CE" w:rsidRPr="007A04CE" w:rsidRDefault="007A04CE" w:rsidP="007A04CE">
      <w:pPr>
        <w:spacing w:before="0" w:after="0" w:line="240" w:lineRule="auto"/>
        <w:ind w:firstLine="317"/>
        <w:rPr>
          <w:rFonts w:ascii="Calibri" w:eastAsia="Times New Roman" w:hAnsi="Calibri" w:cs="Times New Roman"/>
          <w:szCs w:val="24"/>
          <w:lang w:val="en-US"/>
        </w:rPr>
      </w:pPr>
      <w:r w:rsidRPr="007A04CE">
        <w:rPr>
          <w:rFonts w:ascii="Calibri" w:eastAsia="Times New Roman" w:hAnsi="Calibri" w:cs="Times New Roman"/>
          <w:szCs w:val="24"/>
          <w:lang w:val="en-US"/>
        </w:rPr>
        <w:t xml:space="preserve">Takođe, početkom 2020. godine je UNDP-a je, u saradnji sa Ministarstvom finansija Slovačke, angažovao i pravnog eksperta, sa zadatkom da izvrši analizu nacrta novog Zakona o igrama na sreću, sa posebnim osvrtom na norme kojima se reguliše: on-line nadzor, u smislu postizanja potpunije i kontinuirane kontrole priređivanja igara na sreću i usklađenost definicija sa savremenim tokovima u oblasti igara na sreću i međunarodnim standardima. Pravni ekspert je dao određene preporuke za dopunu teksta, uz ocjenu da je Nacrt zakona dobar, odnosno da su „realizovane glavne namjere koje su dovele do njegove izrade. Zakon ima jasnu i transparentnu strukturu, terminološki korespondira sa ustaljenim pojmovima i sadrži jasne definicije osnovnih vrsta igara na sreću. Nacrt odražava nove tehnološke trendove, u skladu sa rastom učešća onlajn igara na sreću u indikatorima vrijednosti na nivou ukupne ove djelatnosti. Zaseban dio zakona ima za cilj utvrđivanje uslova za priređivanje ove kategorije igara koja se dinamično razvija. Uvođenjem instituta neposrednog nadzora stvara se značajan preduslov za unaprijeđenje sistema za monitoring i kontrolu djelatnosti igara na sreću.“ </w:t>
      </w:r>
    </w:p>
    <w:p w:rsidR="007A04CE" w:rsidRPr="007A04CE" w:rsidRDefault="007A04CE" w:rsidP="007A04CE">
      <w:pPr>
        <w:spacing w:before="0" w:after="0" w:line="240" w:lineRule="auto"/>
        <w:rPr>
          <w:rFonts w:ascii="Calibri" w:eastAsia="Times New Roman" w:hAnsi="Calibri" w:cs="Times New Roman"/>
          <w:b/>
          <w:i/>
          <w:szCs w:val="24"/>
          <w:lang w:val="en-US"/>
        </w:rPr>
      </w:pPr>
    </w:p>
    <w:p w:rsidR="007A04CE" w:rsidRPr="007A04CE" w:rsidRDefault="007A04CE" w:rsidP="007A04CE">
      <w:pPr>
        <w:spacing w:before="0" w:after="0" w:line="240" w:lineRule="auto"/>
        <w:rPr>
          <w:rFonts w:ascii="Calibri" w:eastAsia="Times New Roman" w:hAnsi="Calibri" w:cs="Times New Roman"/>
          <w:b/>
          <w:i/>
          <w:szCs w:val="24"/>
          <w:lang w:val="en-US"/>
        </w:rPr>
      </w:pPr>
      <w:r w:rsidRPr="007A04CE">
        <w:rPr>
          <w:rFonts w:ascii="Calibri" w:eastAsia="Times New Roman" w:hAnsi="Calibri" w:cs="Times New Roman"/>
          <w:b/>
          <w:i/>
          <w:color w:val="000000"/>
          <w:szCs w:val="24"/>
          <w:lang w:val="en-US"/>
        </w:rPr>
        <w:t>- Dostavljanje informacija po osnovu Zakona o slobodnom pristupu informacijama</w:t>
      </w:r>
    </w:p>
    <w:p w:rsidR="007A04CE" w:rsidRPr="007A04CE" w:rsidRDefault="007A04CE" w:rsidP="00146EBE">
      <w:pPr>
        <w:numPr>
          <w:ilvl w:val="0"/>
          <w:numId w:val="18"/>
        </w:numPr>
        <w:spacing w:before="0" w:after="0" w:line="240" w:lineRule="auto"/>
        <w:ind w:left="317" w:firstLine="0"/>
        <w:jc w:val="left"/>
        <w:rPr>
          <w:rFonts w:ascii="Calibri" w:eastAsia="Times New Roman" w:hAnsi="Calibri" w:cs="Times New Roman"/>
          <w:b/>
          <w:i/>
          <w:szCs w:val="24"/>
          <w:lang w:val="en-US"/>
        </w:rPr>
      </w:pPr>
      <w:r w:rsidRPr="007A04CE">
        <w:rPr>
          <w:rFonts w:ascii="Calibri" w:eastAsia="Times New Roman" w:hAnsi="Calibri" w:cs="Times New Roman"/>
          <w:b/>
          <w:i/>
          <w:color w:val="000000"/>
          <w:szCs w:val="24"/>
          <w:lang w:val="en-US"/>
        </w:rPr>
        <w:t>odgovori na poslanička pitanja;</w:t>
      </w:r>
    </w:p>
    <w:p w:rsidR="007A04CE" w:rsidRPr="007A04CE" w:rsidRDefault="007A04CE" w:rsidP="007A04CE">
      <w:pPr>
        <w:spacing w:before="0" w:after="0" w:line="240" w:lineRule="auto"/>
        <w:ind w:left="317"/>
        <w:jc w:val="left"/>
        <w:rPr>
          <w:rFonts w:ascii="Calibri" w:eastAsia="Times New Roman" w:hAnsi="Calibri" w:cs="Times New Roman"/>
          <w:b/>
          <w:i/>
          <w:szCs w:val="24"/>
          <w:lang w:val="en-US"/>
        </w:rPr>
      </w:pPr>
    </w:p>
    <w:p w:rsidR="007A04CE" w:rsidRPr="007A04CE" w:rsidRDefault="007A04CE" w:rsidP="00146EBE">
      <w:pPr>
        <w:numPr>
          <w:ilvl w:val="0"/>
          <w:numId w:val="18"/>
        </w:numPr>
        <w:spacing w:before="0" w:after="0" w:line="240" w:lineRule="auto"/>
        <w:ind w:left="317" w:firstLine="0"/>
        <w:jc w:val="left"/>
        <w:rPr>
          <w:rFonts w:ascii="Calibri" w:eastAsia="Times New Roman" w:hAnsi="Calibri" w:cs="Times New Roman"/>
          <w:b/>
          <w:i/>
          <w:szCs w:val="24"/>
          <w:lang w:val="en-US"/>
        </w:rPr>
      </w:pPr>
      <w:r w:rsidRPr="007A04CE">
        <w:rPr>
          <w:rFonts w:ascii="Calibri" w:eastAsia="Times New Roman" w:hAnsi="Calibri" w:cs="Times New Roman"/>
          <w:b/>
          <w:i/>
          <w:color w:val="000000"/>
          <w:szCs w:val="24"/>
          <w:lang w:val="en-US"/>
        </w:rPr>
        <w:t>odgovori na pitanja novinara;</w:t>
      </w:r>
    </w:p>
    <w:p w:rsidR="007A04CE" w:rsidRPr="007A04CE" w:rsidRDefault="007A04CE" w:rsidP="00146EBE">
      <w:pPr>
        <w:numPr>
          <w:ilvl w:val="0"/>
          <w:numId w:val="18"/>
        </w:numPr>
        <w:spacing w:before="0" w:after="0" w:line="240" w:lineRule="auto"/>
        <w:ind w:left="317" w:firstLine="0"/>
        <w:jc w:val="left"/>
        <w:rPr>
          <w:rFonts w:ascii="Calibri" w:eastAsia="Times New Roman" w:hAnsi="Calibri" w:cs="Times New Roman"/>
          <w:b/>
          <w:i/>
          <w:szCs w:val="24"/>
          <w:lang w:val="en-US"/>
        </w:rPr>
      </w:pPr>
      <w:r w:rsidRPr="007A04CE">
        <w:rPr>
          <w:rFonts w:ascii="Calibri" w:eastAsia="Times New Roman" w:hAnsi="Calibri" w:cs="Times New Roman"/>
          <w:b/>
          <w:i/>
          <w:szCs w:val="24"/>
        </w:rPr>
        <w:t>teku</w:t>
      </w:r>
      <w:r w:rsidRPr="007A04CE">
        <w:rPr>
          <w:rFonts w:ascii="Calibri" w:eastAsia="Times New Roman" w:hAnsi="Calibri" w:cs="Times New Roman"/>
          <w:b/>
          <w:i/>
          <w:szCs w:val="24"/>
          <w:lang w:val="en-US"/>
        </w:rPr>
        <w:t>ć</w:t>
      </w:r>
      <w:r w:rsidRPr="007A04CE">
        <w:rPr>
          <w:rFonts w:ascii="Calibri" w:eastAsia="Times New Roman" w:hAnsi="Calibri" w:cs="Times New Roman"/>
          <w:b/>
          <w:i/>
          <w:szCs w:val="24"/>
        </w:rPr>
        <w:t>i dopisi</w:t>
      </w:r>
    </w:p>
    <w:p w:rsidR="007A04CE" w:rsidRPr="007A04CE" w:rsidRDefault="007A04CE" w:rsidP="007A04CE">
      <w:pPr>
        <w:spacing w:before="0" w:after="0" w:line="240" w:lineRule="auto"/>
        <w:jc w:val="left"/>
        <w:rPr>
          <w:rFonts w:ascii="Calibri" w:eastAsia="Times New Roman" w:hAnsi="Calibri" w:cs="Times New Roman"/>
          <w:noProof/>
          <w:szCs w:val="24"/>
          <w:lang w:eastAsia="sr-Latn-CS"/>
        </w:rPr>
      </w:pPr>
    </w:p>
    <w:p w:rsidR="007A04CE" w:rsidRPr="007A04CE" w:rsidRDefault="007A04CE" w:rsidP="00146EBE">
      <w:pPr>
        <w:numPr>
          <w:ilvl w:val="0"/>
          <w:numId w:val="17"/>
        </w:numPr>
        <w:spacing w:before="0" w:after="0" w:line="240" w:lineRule="auto"/>
        <w:jc w:val="left"/>
        <w:rPr>
          <w:rFonts w:ascii="Calibri" w:eastAsia="Times New Roman" w:hAnsi="Calibri" w:cs="Times New Roman"/>
          <w:b/>
          <w:szCs w:val="24"/>
          <w:u w:val="single"/>
          <w:lang w:val="en-US"/>
        </w:rPr>
      </w:pPr>
      <w:r w:rsidRPr="007A04CE">
        <w:rPr>
          <w:rFonts w:ascii="Calibri" w:eastAsia="Times New Roman" w:hAnsi="Calibri" w:cs="Times New Roman"/>
          <w:b/>
          <w:szCs w:val="24"/>
          <w:u w:val="single"/>
          <w:lang w:val="en-US"/>
        </w:rPr>
        <w:t>INVESTICIONO RAZVOJNI FOND (IRF)</w:t>
      </w:r>
    </w:p>
    <w:p w:rsidR="007A04CE" w:rsidRPr="007A04CE" w:rsidRDefault="007A04CE" w:rsidP="007A04CE">
      <w:pPr>
        <w:spacing w:before="0" w:after="0" w:line="240" w:lineRule="auto"/>
        <w:outlineLvl w:val="0"/>
        <w:rPr>
          <w:rFonts w:ascii="Calibri" w:eastAsia="Times New Roman" w:hAnsi="Calibri" w:cs="Times New Roman"/>
          <w:b/>
          <w:i/>
          <w:szCs w:val="24"/>
          <w:lang w:val="en-US"/>
        </w:rPr>
      </w:pPr>
      <w:r w:rsidRPr="007A04CE">
        <w:rPr>
          <w:rFonts w:ascii="Calibri" w:eastAsia="Times New Roman" w:hAnsi="Calibri" w:cs="Times New Roman"/>
          <w:b/>
          <w:szCs w:val="24"/>
          <w:lang w:val="en-US"/>
        </w:rPr>
        <w:t xml:space="preserve">- </w:t>
      </w:r>
      <w:r w:rsidRPr="007A04CE">
        <w:rPr>
          <w:rFonts w:ascii="Calibri" w:eastAsia="Times New Roman" w:hAnsi="Calibri" w:cs="Times New Roman"/>
          <w:b/>
          <w:i/>
          <w:szCs w:val="24"/>
          <w:lang w:val="en-US"/>
        </w:rPr>
        <w:t>Nacrt Uredbe o osiguranju izvoza;</w:t>
      </w:r>
    </w:p>
    <w:p w:rsidR="007A04CE" w:rsidRPr="007A04CE" w:rsidRDefault="007A04CE" w:rsidP="007A04CE">
      <w:pPr>
        <w:spacing w:before="0" w:after="0" w:line="240" w:lineRule="auto"/>
        <w:ind w:firstLine="720"/>
        <w:outlineLvl w:val="0"/>
        <w:rPr>
          <w:rFonts w:ascii="Calibri" w:eastAsia="Times New Roman" w:hAnsi="Calibri" w:cs="Times New Roman"/>
          <w:szCs w:val="24"/>
          <w:lang w:val="en-US"/>
        </w:rPr>
      </w:pPr>
      <w:r w:rsidRPr="007A04CE">
        <w:rPr>
          <w:rFonts w:ascii="Calibri" w:eastAsia="Times New Roman" w:hAnsi="Calibri" w:cs="Times New Roman"/>
          <w:szCs w:val="24"/>
          <w:lang w:val="en-US"/>
        </w:rPr>
        <w:t>Zakonom o Investiciono - razvojnom fondu Crne Gore ("Sl. list CG", br. 88/09, 40/10, 80/17) uređeno je osnivanje, djelatnost, ovlašćenja, organizacija Investiciono - razvojnog fonda Crne Gore i druga pitanja od značaja za rad Investiciono - razvojnog fonda Crne Gore A.D. (IRF).</w:t>
      </w:r>
    </w:p>
    <w:p w:rsidR="007A04CE" w:rsidRPr="007A04CE" w:rsidRDefault="007A04CE" w:rsidP="007A04CE">
      <w:pPr>
        <w:spacing w:before="0" w:after="0" w:line="240" w:lineRule="auto"/>
        <w:ind w:firstLine="720"/>
        <w:outlineLvl w:val="0"/>
        <w:rPr>
          <w:rFonts w:ascii="Calibri" w:eastAsia="Times New Roman" w:hAnsi="Calibri" w:cs="Times New Roman"/>
          <w:szCs w:val="24"/>
          <w:lang w:val="en-US"/>
        </w:rPr>
      </w:pPr>
      <w:r w:rsidRPr="007A04CE">
        <w:rPr>
          <w:rFonts w:ascii="Calibri" w:eastAsia="Times New Roman" w:hAnsi="Calibri" w:cs="Times New Roman"/>
          <w:szCs w:val="24"/>
          <w:lang w:val="en-US"/>
        </w:rPr>
        <w:t>Članom 12 Zakona o Investiciono – razvojnom fondu Crne Gore je, između ostalog, kao djelatnost Investiciono - razvojnog fonda Crne Gore A.D. definisano i osiguranje izvoza roba i usluga iz Crne Gore od netržišnih rizika. Takođe, istim članom je utvrđeno da će se bliži uslovi i način obavljanja poslova osiguranja izvoza i odobravanja kredita za podsticanje izvoza, urediti podzakonskim aktom, u skladu sa EU propisima.</w:t>
      </w:r>
    </w:p>
    <w:p w:rsidR="007A04CE" w:rsidRPr="007A04CE" w:rsidRDefault="007A04CE" w:rsidP="007A04CE">
      <w:pPr>
        <w:spacing w:before="0" w:after="0" w:line="240" w:lineRule="auto"/>
        <w:ind w:firstLine="720"/>
        <w:outlineLvl w:val="0"/>
        <w:rPr>
          <w:rFonts w:ascii="Calibri" w:eastAsia="Times New Roman" w:hAnsi="Calibri" w:cs="Times New Roman"/>
          <w:szCs w:val="24"/>
          <w:lang w:val="en-US"/>
        </w:rPr>
      </w:pPr>
      <w:r w:rsidRPr="007A04CE">
        <w:rPr>
          <w:rFonts w:ascii="Calibri" w:eastAsia="Times New Roman" w:hAnsi="Calibri" w:cs="Times New Roman"/>
          <w:szCs w:val="24"/>
          <w:lang w:val="en-US"/>
        </w:rPr>
        <w:t xml:space="preserve">U cilju podrške ekonomske politike Vlade Crne Gore i podsticanju konkurentnosti izvozno orijentisanih privrednih subjekata Crne Gore, Uredbom će se urediti obavljanje poslova osiguranja </w:t>
      </w:r>
      <w:r w:rsidRPr="007A04CE">
        <w:rPr>
          <w:rFonts w:ascii="Calibri" w:eastAsia="Times New Roman" w:hAnsi="Calibri" w:cs="Times New Roman"/>
          <w:szCs w:val="24"/>
          <w:lang w:val="en-US"/>
        </w:rPr>
        <w:lastRenderedPageBreak/>
        <w:t>potraživanja i izvoznih kredita nastalih izvozom roba i/ili usluga crnogorskog porijekla od netržišnih rizika u ime i za račun Crne Gore, kao i postupak i način obavljanja poslova osiguranja izvoza, u skladu sa međunarodno prihvaćenim pravilima i uslovima.</w:t>
      </w:r>
    </w:p>
    <w:p w:rsidR="007A04CE" w:rsidRPr="007A04CE" w:rsidRDefault="007A04CE" w:rsidP="007A04CE">
      <w:pPr>
        <w:spacing w:before="0" w:after="0" w:line="240" w:lineRule="auto"/>
        <w:ind w:firstLine="720"/>
        <w:outlineLvl w:val="0"/>
        <w:rPr>
          <w:rFonts w:ascii="Calibri" w:eastAsia="Times New Roman" w:hAnsi="Calibri" w:cs="Times New Roman"/>
          <w:szCs w:val="24"/>
          <w:lang w:val="en-US"/>
        </w:rPr>
      </w:pPr>
      <w:r w:rsidRPr="007A04CE">
        <w:rPr>
          <w:rFonts w:ascii="Calibri" w:eastAsia="Times New Roman" w:hAnsi="Calibri" w:cs="Times New Roman"/>
          <w:szCs w:val="24"/>
          <w:lang w:val="en-US"/>
        </w:rPr>
        <w:t>Usvajanjem Uredbe stvoriće se preduslovi za podsticanje crnogorskog izvoza i povećanje konkurentnosti crnogorskih izvoznika na inostranim tržištima.</w:t>
      </w:r>
    </w:p>
    <w:p w:rsidR="007A04CE" w:rsidRPr="007A04CE" w:rsidRDefault="007A04CE" w:rsidP="007A04CE">
      <w:pPr>
        <w:spacing w:before="0" w:after="0" w:line="240" w:lineRule="auto"/>
        <w:ind w:firstLine="720"/>
        <w:outlineLvl w:val="0"/>
        <w:rPr>
          <w:rFonts w:ascii="Calibri" w:eastAsia="Times New Roman" w:hAnsi="Calibri" w:cs="Times New Roman"/>
          <w:szCs w:val="24"/>
          <w:lang w:val="en-US"/>
        </w:rPr>
      </w:pPr>
      <w:r w:rsidRPr="007A04CE">
        <w:rPr>
          <w:rFonts w:ascii="Calibri" w:eastAsia="Times New Roman" w:hAnsi="Calibri" w:cs="Times New Roman"/>
          <w:szCs w:val="24"/>
          <w:lang w:val="en-US"/>
        </w:rPr>
        <w:t xml:space="preserve">IRF je 21.03.2019. godine formirao Radnu grupu, sa zadatkom izrade Nacrta Uredbe o osiguranju izvoznih kredita od netržnih rizika. Radna grupa je sačinjena od predstavnika Ministarstva finansija, Ministarstva ekonomije i IRF-a. S obzirom da je “osiguranje izvoznih kredita” potpuno nova oblast, javila se potreba za dodatnim analizama međunarodne prakse i iskustava u vezi sa osiguranjem izvoznih kredita, kao i analize finansijskog uticaja na budžet Crne Gore, u cilju izrade kvalitetnog teksta Uredbe, u skladu sa EU propisima, angažovani i eksperti agencije MARCO WIN s.r.o. Bratislava. </w:t>
      </w:r>
    </w:p>
    <w:p w:rsidR="007A04CE" w:rsidRPr="007A04CE" w:rsidRDefault="007A04CE" w:rsidP="007A04CE">
      <w:pPr>
        <w:spacing w:before="0" w:after="0" w:line="240" w:lineRule="auto"/>
        <w:ind w:firstLine="720"/>
        <w:outlineLvl w:val="0"/>
        <w:rPr>
          <w:rFonts w:ascii="Calibri" w:eastAsia="Times New Roman" w:hAnsi="Calibri" w:cs="Times New Roman"/>
          <w:szCs w:val="24"/>
          <w:lang w:val="en-US"/>
        </w:rPr>
      </w:pPr>
      <w:r w:rsidRPr="007A04CE">
        <w:rPr>
          <w:rFonts w:ascii="Calibri" w:eastAsia="Times New Roman" w:hAnsi="Calibri" w:cs="Times New Roman"/>
          <w:szCs w:val="24"/>
          <w:lang w:val="en-US"/>
        </w:rPr>
        <w:t xml:space="preserve">Ministarstvo finansija je dalo pozitivno mišljenje na tekst Nacrta uredbe o osiguranju izvoza od netržišnih rizika, koji je dostavio IRF, s tim da se dobije saglasnost Agencije za zaštitu konkurencije, sa aspekta aspekta primjene regulative o državnoj pomoći. </w:t>
      </w:r>
    </w:p>
    <w:p w:rsidR="007A04CE" w:rsidRPr="007A04CE" w:rsidRDefault="007A04CE" w:rsidP="007A04CE">
      <w:pPr>
        <w:spacing w:before="0" w:after="0" w:line="240" w:lineRule="auto"/>
        <w:rPr>
          <w:rFonts w:ascii="Calibri" w:eastAsia="Times New Roman" w:hAnsi="Calibri" w:cs="Times New Roman"/>
          <w:b/>
          <w:i/>
          <w:szCs w:val="24"/>
          <w:lang w:val="en-US"/>
        </w:rPr>
      </w:pPr>
    </w:p>
    <w:p w:rsidR="007A04CE" w:rsidRPr="007A04CE" w:rsidRDefault="007A04CE" w:rsidP="007A04CE">
      <w:pPr>
        <w:spacing w:before="0" w:after="0" w:line="240" w:lineRule="auto"/>
        <w:rPr>
          <w:rFonts w:ascii="Calibri" w:eastAsia="Times New Roman" w:hAnsi="Calibri" w:cs="Times New Roman"/>
          <w:szCs w:val="24"/>
          <w:lang w:val="en-US"/>
        </w:rPr>
      </w:pPr>
      <w:r w:rsidRPr="007A04CE">
        <w:rPr>
          <w:rFonts w:ascii="Calibri" w:eastAsia="Times New Roman" w:hAnsi="Calibri" w:cs="Times New Roman"/>
          <w:b/>
          <w:i/>
          <w:szCs w:val="24"/>
          <w:lang w:val="en-US"/>
        </w:rPr>
        <w:t>- U okviru nadležnosti Direktorata, pripremljena su mišljenja na brojne materijale IRF-a,</w:t>
      </w:r>
      <w:r w:rsidRPr="007A04CE">
        <w:rPr>
          <w:rFonts w:ascii="Calibri" w:eastAsia="Times New Roman" w:hAnsi="Calibri" w:cs="Times New Roman"/>
          <w:szCs w:val="24"/>
          <w:lang w:val="en-US"/>
        </w:rPr>
        <w:t xml:space="preserve"> koji su</w:t>
      </w:r>
      <w:r w:rsidRPr="007A04CE">
        <w:rPr>
          <w:rFonts w:ascii="Calibri" w:eastAsia="Times New Roman" w:hAnsi="Calibri" w:cs="Times New Roman"/>
          <w:b/>
          <w:i/>
          <w:szCs w:val="24"/>
          <w:lang w:val="en-US"/>
        </w:rPr>
        <w:t xml:space="preserve"> </w:t>
      </w:r>
      <w:r w:rsidRPr="007A04CE">
        <w:rPr>
          <w:rFonts w:ascii="Calibri" w:eastAsia="Times New Roman" w:hAnsi="Calibri" w:cs="Times New Roman"/>
          <w:szCs w:val="24"/>
          <w:lang w:val="en-US"/>
        </w:rPr>
        <w:t xml:space="preserve">dostavljani Vladi Crne Gore, na razmatranje i usvajanje, kao npr: Godišnji izvještaj o radu za 2019.godinu; Predlog godišnjeg plana rada za poslovnu 2019. godinu i Predlog finansijskog plana za 2019. godinu Investiciono - razvojnog fonda Crne Gore A.D; Izvještaj o radu Investiciono-razvojnog fonda Crne Gore A.D. za 2019. godinu sa finansijskim iskazima i Izvještajem nezavisnog revizora za 2019. godinu i predlozima Odluka; Prijedlog izmjena i dopuna Srednjoročnog plana IRF CG A.D. za period 2019-2022.godine usljed novonastale situacije izazvane pandemijom korona virusa, </w:t>
      </w:r>
      <w:r w:rsidRPr="007A04CE">
        <w:rPr>
          <w:rFonts w:ascii="Calibri" w:eastAsia="Times New Roman" w:hAnsi="Calibri" w:cs="Times New Roman"/>
          <w:szCs w:val="24"/>
        </w:rPr>
        <w:t>Predlog odluke o imenovanju nezavisnog revizora Investiciono-razvojnog fonda Crne Gore A.D. za poslovnu 2020. godinu, itd.</w:t>
      </w:r>
    </w:p>
    <w:p w:rsidR="007A04CE" w:rsidRPr="007A04CE" w:rsidRDefault="007A04CE" w:rsidP="007A04CE">
      <w:pPr>
        <w:spacing w:before="0" w:after="0" w:line="240" w:lineRule="auto"/>
        <w:rPr>
          <w:rFonts w:ascii="Calibri" w:eastAsia="Times New Roman" w:hAnsi="Calibri" w:cs="Times New Roman"/>
          <w:b/>
          <w:szCs w:val="24"/>
          <w:lang w:val="en-US"/>
        </w:rPr>
      </w:pPr>
    </w:p>
    <w:p w:rsidR="007A04CE" w:rsidRPr="007A04CE" w:rsidRDefault="007A04CE" w:rsidP="00146EBE">
      <w:pPr>
        <w:numPr>
          <w:ilvl w:val="0"/>
          <w:numId w:val="17"/>
        </w:numPr>
        <w:spacing w:before="0" w:after="0" w:line="240" w:lineRule="auto"/>
        <w:jc w:val="left"/>
        <w:rPr>
          <w:rFonts w:ascii="Calibri" w:eastAsia="Times New Roman" w:hAnsi="Calibri" w:cs="Times New Roman"/>
          <w:b/>
          <w:szCs w:val="24"/>
          <w:u w:val="single"/>
          <w:lang w:val="en-US"/>
        </w:rPr>
      </w:pPr>
      <w:r w:rsidRPr="007A04CE">
        <w:rPr>
          <w:rFonts w:ascii="Calibri" w:eastAsia="Times New Roman" w:hAnsi="Calibri" w:cs="Times New Roman"/>
          <w:b/>
          <w:szCs w:val="24"/>
          <w:u w:val="single"/>
          <w:lang w:val="en-US"/>
        </w:rPr>
        <w:t xml:space="preserve">EU </w:t>
      </w:r>
    </w:p>
    <w:p w:rsidR="007A04CE" w:rsidRPr="007A04CE" w:rsidRDefault="007A04CE" w:rsidP="007A04CE">
      <w:pPr>
        <w:spacing w:before="0" w:after="0" w:line="240" w:lineRule="auto"/>
        <w:rPr>
          <w:rFonts w:ascii="Calibri" w:eastAsia="Times New Roman" w:hAnsi="Calibri" w:cs="Times New Roman"/>
          <w:b/>
          <w:szCs w:val="24"/>
          <w:u w:val="single"/>
          <w:lang w:val="en-US"/>
        </w:rPr>
      </w:pPr>
      <w:r w:rsidRPr="007A04CE">
        <w:rPr>
          <w:rFonts w:ascii="Calibri" w:eastAsia="Times New Roman" w:hAnsi="Calibri" w:cs="Times New Roman"/>
          <w:i/>
          <w:szCs w:val="24"/>
          <w:lang w:val="en-US"/>
        </w:rPr>
        <w:t>- priprema Informacija, zaključaka, priloga za Izvjestaj EK u okviru: Poglavlja 4- Slobodno kretanje kapitala, Poglavlja 9- Finansijske usluge, Poglavlja 17- Ekonomska i monetarna unija i Poglavlja 30- Vanjski odnosi;</w:t>
      </w:r>
    </w:p>
    <w:p w:rsidR="007A04CE" w:rsidRPr="007A04CE" w:rsidRDefault="007A04CE" w:rsidP="007A04CE">
      <w:pPr>
        <w:spacing w:before="0" w:after="0" w:line="240" w:lineRule="auto"/>
        <w:rPr>
          <w:rFonts w:ascii="Calibri" w:eastAsia="Times New Roman" w:hAnsi="Calibri" w:cs="Times New Roman"/>
          <w:i/>
          <w:szCs w:val="24"/>
          <w:lang w:val="en-US"/>
        </w:rPr>
      </w:pPr>
      <w:r w:rsidRPr="007A04CE">
        <w:rPr>
          <w:rFonts w:ascii="Calibri" w:eastAsia="Times New Roman" w:hAnsi="Calibri" w:cs="Times New Roman"/>
          <w:i/>
          <w:szCs w:val="24"/>
          <w:lang w:val="en-US"/>
        </w:rPr>
        <w:t>- priprema priloga za Pododbor za trgovinu, industriju, carine, poreze i saradnju sa drugim zemljama kandidatima - Poglavlje 30, u dijelu koji se odnosi na Trgovinu;</w:t>
      </w:r>
    </w:p>
    <w:p w:rsidR="007A04CE" w:rsidRPr="007A04CE" w:rsidRDefault="007A04CE" w:rsidP="007A04CE">
      <w:pPr>
        <w:spacing w:before="0" w:after="0" w:line="240" w:lineRule="auto"/>
        <w:rPr>
          <w:rFonts w:ascii="Calibri" w:eastAsia="Times New Roman" w:hAnsi="Calibri" w:cs="Arial"/>
          <w:i/>
          <w:szCs w:val="24"/>
          <w:lang w:val="en-US"/>
        </w:rPr>
      </w:pPr>
      <w:r w:rsidRPr="007A04CE">
        <w:rPr>
          <w:rFonts w:ascii="Calibri" w:eastAsia="Times New Roman" w:hAnsi="Calibri" w:cs="Times New Roman"/>
          <w:i/>
          <w:szCs w:val="24"/>
          <w:lang w:val="en-US"/>
        </w:rPr>
        <w:t xml:space="preserve">- </w:t>
      </w:r>
      <w:r w:rsidRPr="007A04CE">
        <w:rPr>
          <w:rFonts w:ascii="Calibri" w:eastAsia="Times New Roman" w:hAnsi="Calibri" w:cs="Arial"/>
          <w:i/>
          <w:szCs w:val="24"/>
          <w:lang w:val="en-US"/>
        </w:rPr>
        <w:t>raspodjela celexa prema nadležnim institucijama i ocjenjivanje stepena relevantnosti celexa kroz Poglavlje 4, 9 i 30</w:t>
      </w:r>
    </w:p>
    <w:p w:rsidR="007A04CE" w:rsidRPr="007A04CE" w:rsidRDefault="007A04CE" w:rsidP="007A04CE">
      <w:pPr>
        <w:spacing w:before="0" w:after="0" w:line="240" w:lineRule="auto"/>
        <w:rPr>
          <w:rFonts w:ascii="Calibri" w:eastAsia="Times New Roman" w:hAnsi="Calibri" w:cs="Times New Roman"/>
          <w:i/>
          <w:szCs w:val="24"/>
          <w:lang w:val="en-US"/>
        </w:rPr>
      </w:pPr>
      <w:r w:rsidRPr="007A04CE">
        <w:rPr>
          <w:rFonts w:ascii="Calibri" w:eastAsia="Times New Roman" w:hAnsi="Calibri" w:cs="Arial"/>
          <w:i/>
          <w:szCs w:val="24"/>
          <w:lang w:val="en-US"/>
        </w:rPr>
        <w:t xml:space="preserve">- </w:t>
      </w:r>
      <w:r w:rsidRPr="007A04CE">
        <w:rPr>
          <w:rFonts w:ascii="Calibri" w:eastAsia="Times New Roman" w:hAnsi="Calibri" w:cs="Times New Roman"/>
          <w:i/>
          <w:szCs w:val="24"/>
          <w:lang w:val="en-US"/>
        </w:rPr>
        <w:t xml:space="preserve">Ažuriranje Programa pristupanja Crne Gore Evropskoj uniji (PPCG), </w:t>
      </w:r>
      <w:r w:rsidRPr="007A04CE">
        <w:rPr>
          <w:rFonts w:ascii="Calibri" w:eastAsia="Times New Roman" w:hAnsi="Calibri" w:cs="Helvetica"/>
          <w:i/>
          <w:color w:val="000000"/>
          <w:szCs w:val="24"/>
          <w:lang w:val="en-US"/>
        </w:rPr>
        <w:t>za Poglavlje 4, 9, 17 i 30.</w:t>
      </w:r>
    </w:p>
    <w:p w:rsidR="007A04CE" w:rsidRPr="007A04CE" w:rsidRDefault="007A04CE" w:rsidP="007A04CE">
      <w:pPr>
        <w:spacing w:before="0" w:after="0" w:line="240" w:lineRule="auto"/>
        <w:rPr>
          <w:rFonts w:ascii="Calibri" w:eastAsia="Times New Roman" w:hAnsi="Calibri" w:cs="Times New Roman"/>
          <w:b/>
          <w:i/>
          <w:szCs w:val="24"/>
          <w:lang w:val="en-US"/>
        </w:rPr>
      </w:pPr>
      <w:r w:rsidRPr="007A04CE">
        <w:rPr>
          <w:rFonts w:ascii="Calibri" w:eastAsia="Times New Roman" w:hAnsi="Calibri" w:cs="Times New Roman"/>
          <w:b/>
          <w:i/>
          <w:szCs w:val="24"/>
          <w:lang w:val="en-US"/>
        </w:rPr>
        <w:t>- tekući dopisi.</w:t>
      </w:r>
    </w:p>
    <w:p w:rsidR="007A04CE" w:rsidRPr="007A04CE" w:rsidRDefault="007A04CE" w:rsidP="007A04CE">
      <w:pPr>
        <w:spacing w:before="0" w:after="0" w:line="240" w:lineRule="auto"/>
        <w:ind w:left="720"/>
        <w:rPr>
          <w:rFonts w:ascii="Calibri" w:eastAsia="Times New Roman" w:hAnsi="Calibri" w:cs="Times New Roman"/>
          <w:b/>
          <w:szCs w:val="24"/>
          <w:u w:val="single"/>
          <w:lang w:val="en-US"/>
        </w:rPr>
      </w:pPr>
    </w:p>
    <w:p w:rsidR="007A04CE" w:rsidRPr="007A04CE" w:rsidRDefault="007A04CE" w:rsidP="00146EBE">
      <w:pPr>
        <w:numPr>
          <w:ilvl w:val="0"/>
          <w:numId w:val="17"/>
        </w:numPr>
        <w:spacing w:before="0" w:after="0" w:line="240" w:lineRule="auto"/>
        <w:jc w:val="left"/>
        <w:rPr>
          <w:rFonts w:ascii="Calibri" w:eastAsia="Times New Roman" w:hAnsi="Calibri" w:cs="Times New Roman"/>
          <w:b/>
          <w:szCs w:val="24"/>
          <w:u w:val="single"/>
          <w:lang w:val="en-US"/>
        </w:rPr>
      </w:pPr>
      <w:r w:rsidRPr="007A04CE">
        <w:rPr>
          <w:rFonts w:ascii="Calibri" w:eastAsia="Times New Roman" w:hAnsi="Calibri" w:cs="Times New Roman"/>
          <w:b/>
          <w:szCs w:val="24"/>
          <w:u w:val="single"/>
          <w:lang w:val="en-US"/>
        </w:rPr>
        <w:t>RAZNO</w:t>
      </w:r>
    </w:p>
    <w:p w:rsidR="007A04CE" w:rsidRPr="007A04CE" w:rsidRDefault="007A04CE" w:rsidP="007A04CE">
      <w:pPr>
        <w:spacing w:before="0" w:after="0" w:line="240" w:lineRule="auto"/>
        <w:rPr>
          <w:rFonts w:ascii="Calibri" w:eastAsia="Times New Roman" w:hAnsi="Calibri" w:cs="Helvetica"/>
          <w:i/>
          <w:color w:val="000000"/>
          <w:szCs w:val="24"/>
          <w:lang w:val="en-US"/>
        </w:rPr>
      </w:pPr>
      <w:r w:rsidRPr="007A04CE">
        <w:rPr>
          <w:rFonts w:ascii="Calibri" w:eastAsia="Times New Roman" w:hAnsi="Calibri" w:cs="Helvetica"/>
          <w:i/>
          <w:color w:val="000000"/>
          <w:szCs w:val="24"/>
          <w:lang w:val="en-US"/>
        </w:rPr>
        <w:t>- dostavljanje informacija po osnovu Zakona o slobodnom pristupu informacijama;</w:t>
      </w:r>
    </w:p>
    <w:p w:rsidR="007A04CE" w:rsidRPr="007A04CE" w:rsidRDefault="007A04CE" w:rsidP="007A04CE">
      <w:pPr>
        <w:spacing w:before="0" w:after="0" w:line="240" w:lineRule="auto"/>
        <w:rPr>
          <w:rFonts w:ascii="Calibri" w:eastAsia="Times New Roman" w:hAnsi="Calibri" w:cs="Helvetica"/>
          <w:i/>
          <w:color w:val="000000"/>
          <w:szCs w:val="24"/>
          <w:lang w:val="en-US"/>
        </w:rPr>
      </w:pPr>
      <w:r w:rsidRPr="007A04CE">
        <w:rPr>
          <w:rFonts w:ascii="Calibri" w:eastAsia="Times New Roman" w:hAnsi="Calibri" w:cs="Helvetica"/>
          <w:i/>
          <w:color w:val="000000"/>
          <w:szCs w:val="24"/>
          <w:lang w:val="en-US"/>
        </w:rPr>
        <w:t>- izvjestavanje o saradnji sa NVO sektorom</w:t>
      </w:r>
      <w:r w:rsidRPr="007A04CE">
        <w:rPr>
          <w:rFonts w:ascii="Calibri" w:eastAsia="Times New Roman" w:hAnsi="Calibri" w:cs="Arial"/>
          <w:i/>
          <w:szCs w:val="24"/>
          <w:lang w:val="en-US"/>
        </w:rPr>
        <w:t>;</w:t>
      </w:r>
    </w:p>
    <w:p w:rsidR="007A04CE" w:rsidRPr="007A04CE" w:rsidRDefault="007A04CE" w:rsidP="007A04CE">
      <w:pPr>
        <w:spacing w:before="0" w:after="0" w:line="240" w:lineRule="auto"/>
        <w:rPr>
          <w:rFonts w:ascii="Calibri" w:eastAsia="Times New Roman" w:hAnsi="Calibri" w:cs="Times New Roman"/>
          <w:i/>
          <w:szCs w:val="24"/>
          <w:lang w:val="en-US"/>
        </w:rPr>
      </w:pPr>
      <w:r w:rsidRPr="007A04CE">
        <w:rPr>
          <w:rFonts w:ascii="Calibri" w:eastAsia="Times New Roman" w:hAnsi="Calibri" w:cs="Times New Roman"/>
          <w:i/>
          <w:color w:val="000000"/>
          <w:szCs w:val="24"/>
          <w:lang w:val="en-US"/>
        </w:rPr>
        <w:t xml:space="preserve">- </w:t>
      </w:r>
      <w:r w:rsidRPr="007A04CE">
        <w:rPr>
          <w:rFonts w:ascii="Calibri" w:eastAsia="Times New Roman" w:hAnsi="Calibri" w:cs="Times New Roman"/>
          <w:i/>
          <w:szCs w:val="24"/>
          <w:lang w:val="en-US"/>
        </w:rPr>
        <w:t>dostavljenje informacija za STO i CEFTA;</w:t>
      </w:r>
    </w:p>
    <w:p w:rsidR="007A04CE" w:rsidRPr="007A04CE" w:rsidRDefault="007A04CE" w:rsidP="007A04CE">
      <w:pPr>
        <w:spacing w:before="0" w:after="0" w:line="240" w:lineRule="auto"/>
        <w:rPr>
          <w:rFonts w:ascii="Calibri" w:eastAsia="Calibri" w:hAnsi="Calibri" w:cs="Times New Roman"/>
          <w:szCs w:val="24"/>
          <w:lang w:val="en-US"/>
        </w:rPr>
      </w:pPr>
      <w:r w:rsidRPr="007A04CE">
        <w:rPr>
          <w:rFonts w:ascii="Calibri" w:eastAsia="Times New Roman" w:hAnsi="Calibri" w:cs="Helvetica"/>
          <w:color w:val="000000"/>
          <w:szCs w:val="24"/>
          <w:lang w:val="en-US"/>
        </w:rPr>
        <w:t xml:space="preserve">- </w:t>
      </w:r>
      <w:r w:rsidRPr="007A04CE">
        <w:rPr>
          <w:rFonts w:ascii="Calibri" w:eastAsia="Times New Roman" w:hAnsi="Calibri" w:cs="Times New Roman"/>
          <w:i/>
          <w:szCs w:val="24"/>
          <w:lang w:val="en-US"/>
        </w:rPr>
        <w:t>tekuće aktivnosti Direktorata i Direkcije</w:t>
      </w:r>
      <w:r w:rsidRPr="007A04CE">
        <w:rPr>
          <w:rFonts w:ascii="Calibri" w:eastAsia="Times New Roman" w:hAnsi="Calibri" w:cs="Times New Roman"/>
          <w:szCs w:val="24"/>
          <w:lang w:val="en-US"/>
        </w:rPr>
        <w:t xml:space="preserve"> </w:t>
      </w:r>
      <w:r w:rsidRPr="007A04CE">
        <w:rPr>
          <w:rFonts w:ascii="Calibri" w:eastAsia="Times New Roman" w:hAnsi="Calibri" w:cs="Helvetica"/>
          <w:color w:val="000000"/>
          <w:szCs w:val="24"/>
          <w:lang w:val="en-US"/>
        </w:rPr>
        <w:t>(kao npr: izrada Finansijskog plana Direktorata za 2021, 2022 i 2023.godinu; popunjavanje formulara Savjeta za konkurentnost o "Ukljucenosti privrede u izradu propisa"; Izrada Registra rizika, na nivou Direkcije i Direktorata; izrada</w:t>
      </w:r>
      <w:r w:rsidRPr="007A04CE">
        <w:rPr>
          <w:rFonts w:ascii="Calibri" w:eastAsia="Calibri" w:hAnsi="Calibri" w:cs="Helvetica"/>
          <w:color w:val="000000"/>
          <w:szCs w:val="24"/>
          <w:lang w:val="en-US"/>
        </w:rPr>
        <w:t xml:space="preserve"> Plana integriteta, na nivou Direkcije i Direktorata</w:t>
      </w:r>
      <w:r w:rsidRPr="007A04CE">
        <w:rPr>
          <w:rFonts w:ascii="Calibri" w:eastAsia="Times New Roman" w:hAnsi="Calibri" w:cs="Helvetica"/>
          <w:color w:val="000000"/>
          <w:szCs w:val="24"/>
          <w:lang w:val="en-US"/>
        </w:rPr>
        <w:t xml:space="preserve">; </w:t>
      </w:r>
      <w:r w:rsidRPr="007A04CE">
        <w:rPr>
          <w:rFonts w:ascii="Calibri" w:eastAsia="Calibri" w:hAnsi="Calibri" w:cs="Helvetica"/>
          <w:color w:val="000000"/>
          <w:szCs w:val="24"/>
          <w:lang w:val="en-US"/>
        </w:rPr>
        <w:t xml:space="preserve">popunjavanje Upitnika Agencije za sprečavanje konkurencije za procjenu efikasnosti i efektivnosti plana integriteta; </w:t>
      </w:r>
      <w:r w:rsidRPr="007A04CE">
        <w:rPr>
          <w:rFonts w:ascii="Calibri" w:eastAsia="Calibri" w:hAnsi="Calibri" w:cs="Times New Roman"/>
          <w:szCs w:val="24"/>
          <w:lang w:val="en-US"/>
        </w:rPr>
        <w:t xml:space="preserve">popunjavanje SIGMA Upitnika za nadzorna Ministarstva- koliko nezavisne, koliko kooperativne, koliko odgovorne- upitnik o upravljanju agencijama </w:t>
      </w:r>
      <w:r w:rsidRPr="007A04CE">
        <w:rPr>
          <w:rFonts w:ascii="Calibri" w:eastAsia="Calibri" w:hAnsi="Calibri" w:cs="Times New Roman"/>
          <w:szCs w:val="24"/>
          <w:lang w:val="sr-Latn-ME"/>
        </w:rPr>
        <w:t>(Agencija za nadzor osiguranja), itd)</w:t>
      </w:r>
    </w:p>
    <w:p w:rsidR="00C331DD" w:rsidRDefault="00C331DD" w:rsidP="00C331DD">
      <w:pPr>
        <w:spacing w:before="0" w:after="0" w:line="240" w:lineRule="auto"/>
        <w:rPr>
          <w:rFonts w:ascii="Calibri" w:eastAsia="Times New Roman" w:hAnsi="Calibri" w:cs="Arial"/>
          <w:noProof/>
          <w:color w:val="000000"/>
          <w:szCs w:val="24"/>
          <w:lang w:eastAsia="sr-Latn-CS"/>
        </w:rPr>
      </w:pPr>
    </w:p>
    <w:p w:rsidR="00C331DD" w:rsidRPr="00C331DD" w:rsidRDefault="00C331DD" w:rsidP="00C331DD">
      <w:pPr>
        <w:spacing w:before="0" w:after="0" w:line="240" w:lineRule="auto"/>
        <w:rPr>
          <w:rFonts w:ascii="Calibri" w:eastAsia="Times New Roman" w:hAnsi="Calibri" w:cs="Arial"/>
          <w:noProof/>
          <w:color w:val="000000"/>
          <w:szCs w:val="24"/>
          <w:lang w:eastAsia="sr-Latn-CS"/>
        </w:rPr>
      </w:pPr>
      <w:r w:rsidRPr="00C331DD">
        <w:rPr>
          <w:rFonts w:ascii="Calibri" w:eastAsia="Times New Roman" w:hAnsi="Calibri" w:cs="Arial"/>
          <w:noProof/>
          <w:color w:val="000000"/>
          <w:szCs w:val="24"/>
          <w:lang w:eastAsia="sr-Latn-CS"/>
        </w:rPr>
        <w:lastRenderedPageBreak/>
        <w:t xml:space="preserve">Tokom 2020. godine u okviru </w:t>
      </w:r>
      <w:r w:rsidRPr="00C331DD">
        <w:rPr>
          <w:rFonts w:ascii="Calibri" w:eastAsia="Times New Roman" w:hAnsi="Calibri" w:cs="Arial"/>
          <w:noProof/>
          <w:color w:val="000000"/>
          <w:szCs w:val="24"/>
          <w:u w:val="single"/>
          <w:lang w:eastAsia="sr-Latn-CS"/>
        </w:rPr>
        <w:t>Direkcije za sprovođenje analize procjene uticaja propisa</w:t>
      </w:r>
      <w:r w:rsidRPr="00C331DD">
        <w:rPr>
          <w:rFonts w:ascii="Calibri" w:eastAsia="Times New Roman" w:hAnsi="Calibri" w:cs="Arial"/>
          <w:noProof/>
          <w:color w:val="000000"/>
          <w:szCs w:val="24"/>
          <w:lang w:eastAsia="sr-Latn-CS"/>
        </w:rPr>
        <w:t xml:space="preserve"> urađeno je sl</w:t>
      </w:r>
      <w:r>
        <w:rPr>
          <w:rFonts w:ascii="Calibri" w:eastAsia="Times New Roman" w:hAnsi="Calibri" w:cs="Arial"/>
          <w:noProof/>
          <w:color w:val="000000"/>
          <w:szCs w:val="24"/>
          <w:lang w:eastAsia="sr-Latn-CS"/>
        </w:rPr>
        <w:t>j</w:t>
      </w:r>
      <w:r w:rsidRPr="00C331DD">
        <w:rPr>
          <w:rFonts w:ascii="Calibri" w:eastAsia="Times New Roman" w:hAnsi="Calibri" w:cs="Arial"/>
          <w:noProof/>
          <w:color w:val="000000"/>
          <w:szCs w:val="24"/>
          <w:lang w:eastAsia="sr-Latn-CS"/>
        </w:rPr>
        <w:t xml:space="preserve">edeće:  </w:t>
      </w:r>
    </w:p>
    <w:p w:rsidR="00C331DD" w:rsidRPr="00C331DD" w:rsidRDefault="00C331DD" w:rsidP="00C331DD">
      <w:pPr>
        <w:autoSpaceDE w:val="0"/>
        <w:autoSpaceDN w:val="0"/>
        <w:adjustRightInd w:val="0"/>
        <w:spacing w:before="0" w:after="0" w:line="240" w:lineRule="auto"/>
        <w:ind w:right="-234"/>
        <w:rPr>
          <w:rFonts w:ascii="Calibri" w:eastAsia="Times New Roman" w:hAnsi="Calibri" w:cs="Arial"/>
          <w:b/>
          <w:bCs/>
          <w:noProof/>
          <w:color w:val="000000"/>
          <w:szCs w:val="24"/>
          <w:lang w:val="sv-SE" w:eastAsia="sr-Latn-CS"/>
        </w:rPr>
      </w:pPr>
    </w:p>
    <w:p w:rsidR="00C331DD" w:rsidRPr="00C331DD" w:rsidRDefault="00C331DD" w:rsidP="00146EBE">
      <w:pPr>
        <w:numPr>
          <w:ilvl w:val="0"/>
          <w:numId w:val="17"/>
        </w:numPr>
        <w:autoSpaceDE w:val="0"/>
        <w:autoSpaceDN w:val="0"/>
        <w:adjustRightInd w:val="0"/>
        <w:spacing w:before="0" w:after="0" w:line="240" w:lineRule="auto"/>
        <w:ind w:right="-234"/>
        <w:contextualSpacing/>
        <w:jc w:val="left"/>
        <w:rPr>
          <w:rFonts w:ascii="Calibri" w:eastAsia="Times New Roman" w:hAnsi="Calibri" w:cs="Arial"/>
          <w:b/>
          <w:bCs/>
          <w:noProof/>
          <w:color w:val="000000"/>
          <w:szCs w:val="24"/>
          <w:lang w:val="sv-SE" w:eastAsia="sr-Latn-CS"/>
        </w:rPr>
      </w:pPr>
      <w:r w:rsidRPr="00C331DD">
        <w:rPr>
          <w:rFonts w:ascii="Calibri" w:eastAsia="Times New Roman" w:hAnsi="Calibri" w:cs="Arial"/>
          <w:b/>
          <w:bCs/>
          <w:noProof/>
          <w:color w:val="000000"/>
          <w:szCs w:val="24"/>
          <w:lang w:val="sv-SE" w:eastAsia="sr-Latn-CS"/>
        </w:rPr>
        <w:t>IMPLEMENTACIJA RIA-E U CRNOGORSKI REGULATORNI SISTEM</w:t>
      </w:r>
    </w:p>
    <w:p w:rsidR="00C331DD" w:rsidRPr="00C331DD" w:rsidRDefault="00C331DD" w:rsidP="00C331DD">
      <w:pPr>
        <w:spacing w:before="0" w:after="0" w:line="240" w:lineRule="auto"/>
        <w:ind w:firstLine="360"/>
        <w:rPr>
          <w:rFonts w:ascii="Calibri" w:eastAsia="Times New Roman" w:hAnsi="Calibri" w:cs="Times New Roman"/>
          <w:szCs w:val="24"/>
          <w:lang w:val="es-MX" w:eastAsia="en-GB"/>
        </w:rPr>
      </w:pPr>
      <w:r w:rsidRPr="00C331DD">
        <w:rPr>
          <w:rFonts w:ascii="Calibri" w:eastAsia="Calibri" w:hAnsi="Calibri" w:cs="Arial"/>
          <w:color w:val="000000"/>
          <w:szCs w:val="24"/>
        </w:rPr>
        <w:t xml:space="preserve"> </w:t>
      </w:r>
      <w:r w:rsidRPr="00C331DD">
        <w:rPr>
          <w:rFonts w:ascii="Calibri" w:eastAsia="Times New Roman" w:hAnsi="Calibri" w:cs="Times New Roman"/>
          <w:szCs w:val="24"/>
          <w:lang w:val="es-MX" w:eastAsia="en-GB"/>
        </w:rPr>
        <w:t>Analiza efekata propisa je formalno uvedena u crnogorski regulatorni sistem 01. januara 2012. godine. Obaveza je propisana čl. 33 i 40 Poslovnika Vlade Crne Gore. Prije formalnog stupanja na snagu, stvoreni su svi nephodni administrativni i institucionalni preduslovi za njeno uvođenje.</w:t>
      </w:r>
    </w:p>
    <w:p w:rsidR="00C331DD" w:rsidRPr="00C331DD" w:rsidRDefault="00C331DD" w:rsidP="00C331DD">
      <w:pPr>
        <w:spacing w:before="0" w:after="0" w:line="240" w:lineRule="auto"/>
        <w:ind w:firstLine="360"/>
        <w:rPr>
          <w:rFonts w:ascii="Calibri" w:eastAsia="Times New Roman" w:hAnsi="Calibri" w:cs="Times New Roman"/>
          <w:szCs w:val="24"/>
          <w:lang w:val="es-MX" w:eastAsia="en-GB"/>
        </w:rPr>
      </w:pPr>
      <w:r w:rsidRPr="00C331DD">
        <w:rPr>
          <w:rFonts w:ascii="Calibri" w:eastAsia="Times New Roman" w:hAnsi="Calibri" w:cs="Times New Roman"/>
          <w:szCs w:val="24"/>
          <w:lang w:val="es-MX" w:eastAsia="en-GB"/>
        </w:rPr>
        <w:t>Od formalnog uvođenja RIA-e do danas, Ministarstvo finansija je dalo preko 3000 mišljenja na predloge akata i prateće obrasce Izvještaja o sprovedenoj analizi procjene uticaja propisa (299 tokom 2012. godine, 429 tokom 2013. godine, 329 tokom 2014. godine, 380 tokom 2015. godine, 312 tokom 2016. godine, 350 za 2017. godinu, 470 za 2018. godinu, 385 za 2019. godinu i oko 240 za 2020. godinu), sa aspekta implikacija na poslovni ambijent.</w:t>
      </w:r>
    </w:p>
    <w:p w:rsidR="00C331DD" w:rsidRPr="00C331DD" w:rsidRDefault="00C331DD" w:rsidP="00C331DD">
      <w:pPr>
        <w:spacing w:before="0" w:after="0" w:line="240" w:lineRule="auto"/>
        <w:ind w:firstLine="360"/>
        <w:rPr>
          <w:rFonts w:ascii="Calibri" w:eastAsia="Times New Roman" w:hAnsi="Calibri" w:cs="Times New Roman"/>
          <w:szCs w:val="24"/>
          <w:lang w:eastAsia="en-GB"/>
        </w:rPr>
      </w:pPr>
      <w:r w:rsidRPr="00C331DD">
        <w:rPr>
          <w:rFonts w:ascii="Calibri" w:eastAsia="Times New Roman" w:hAnsi="Calibri" w:cs="Arial"/>
          <w:noProof/>
          <w:color w:val="000000"/>
          <w:szCs w:val="24"/>
          <w:lang w:eastAsia="sr-Latn-CS"/>
        </w:rPr>
        <w:t xml:space="preserve">Direkcija redovno, početkom godine, vrši evaluaciju RIA iz prethodne godine. </w:t>
      </w:r>
      <w:r w:rsidRPr="00C331DD">
        <w:rPr>
          <w:rFonts w:ascii="Calibri" w:eastAsia="Times New Roman" w:hAnsi="Calibri" w:cs="Times New Roman"/>
          <w:szCs w:val="24"/>
          <w:lang w:eastAsia="en-GB"/>
        </w:rPr>
        <w:t>Tokom prvog kvartala 2020. godine Direkcija je organizovala eksternu evaluaciju RIA iz 2019. godine, formirajući Komisiju, kroz angažovanje tri eksperta (</w:t>
      </w:r>
      <w:r w:rsidRPr="00C331DD">
        <w:rPr>
          <w:rFonts w:ascii="Calibri" w:eastAsia="Times New Roman" w:hAnsi="Calibri" w:cs="Times New Roman"/>
          <w:szCs w:val="24"/>
          <w:lang w:val="en-US" w:eastAsia="en-GB"/>
        </w:rPr>
        <w:t>po jednog predstavnika privatnog sektora</w:t>
      </w:r>
      <w:r w:rsidRPr="00C331DD">
        <w:rPr>
          <w:rFonts w:ascii="Calibri" w:eastAsia="Times New Roman" w:hAnsi="Calibri" w:cs="Times New Roman"/>
          <w:szCs w:val="24"/>
          <w:lang w:eastAsia="en-GB"/>
        </w:rPr>
        <w:t xml:space="preserve">, </w:t>
      </w:r>
      <w:r w:rsidRPr="00C331DD">
        <w:rPr>
          <w:rFonts w:ascii="Calibri" w:eastAsia="Times New Roman" w:hAnsi="Calibri" w:cs="Times New Roman"/>
          <w:szCs w:val="24"/>
          <w:lang w:val="en-US" w:eastAsia="en-GB"/>
        </w:rPr>
        <w:t>akademske zajednice i Vlade</w:t>
      </w:r>
      <w:r w:rsidRPr="00C331DD">
        <w:rPr>
          <w:rFonts w:ascii="Calibri" w:eastAsia="Times New Roman" w:hAnsi="Calibri" w:cs="Times New Roman"/>
          <w:szCs w:val="24"/>
          <w:lang w:eastAsia="en-GB"/>
        </w:rPr>
        <w:t xml:space="preserve">). </w:t>
      </w:r>
      <w:r w:rsidRPr="00C331DD">
        <w:rPr>
          <w:rFonts w:ascii="Calibri" w:eastAsia="Times New Roman" w:hAnsi="Calibri" w:cs="Times New Roman"/>
          <w:szCs w:val="24"/>
          <w:lang w:val="en-US" w:eastAsia="en-GB"/>
        </w:rPr>
        <w:t>Evaluatori su</w:t>
      </w:r>
      <w:r w:rsidRPr="00C331DD">
        <w:rPr>
          <w:rFonts w:ascii="Calibri" w:eastAsia="Times New Roman" w:hAnsi="Calibri" w:cs="Times New Roman"/>
          <w:szCs w:val="24"/>
          <w:lang w:eastAsia="en-GB"/>
        </w:rPr>
        <w:t xml:space="preserve">, koristeći kontrolnu listu za kontrolu kvaliteta RIA izvještaja (aneks), koja je sastavni dio </w:t>
      </w:r>
      <w:r w:rsidRPr="00C331DD">
        <w:rPr>
          <w:rFonts w:ascii="Calibri" w:eastAsia="Times New Roman" w:hAnsi="Calibri" w:cs="Times New Roman"/>
          <w:i/>
          <w:szCs w:val="24"/>
          <w:lang w:eastAsia="en-GB"/>
        </w:rPr>
        <w:t>Vodiča za analizu procjene uticaja propisa</w:t>
      </w:r>
      <w:r w:rsidRPr="00C331DD">
        <w:rPr>
          <w:rFonts w:ascii="Calibri" w:eastAsia="Times New Roman" w:hAnsi="Calibri" w:cs="Times New Roman"/>
          <w:szCs w:val="24"/>
          <w:lang w:eastAsia="en-GB"/>
        </w:rPr>
        <w:t xml:space="preserve"> iz maja 2018. godine, analizirali sve RIA-e koje su tokom 2019. godine dostavljale resorne institucije. </w:t>
      </w:r>
      <w:r w:rsidRPr="00C331DD">
        <w:rPr>
          <w:rFonts w:ascii="Calibri" w:eastAsia="Times New Roman" w:hAnsi="Calibri" w:cs="Times New Roman"/>
          <w:noProof/>
          <w:szCs w:val="24"/>
          <w:lang w:val="es-MX" w:eastAsia="en-GB"/>
        </w:rPr>
        <w:t xml:space="preserve">Rezultati procesa prikazani su u </w:t>
      </w:r>
      <w:r w:rsidRPr="00C331DD">
        <w:rPr>
          <w:rFonts w:ascii="Calibri" w:eastAsia="Times New Roman" w:hAnsi="Calibri" w:cs="Arial"/>
          <w:bCs/>
          <w:i/>
          <w:noProof/>
          <w:color w:val="000000"/>
          <w:szCs w:val="24"/>
          <w:lang w:val="es-MX" w:eastAsia="sr-Latn-CS"/>
        </w:rPr>
        <w:t>Izvještaju o kvalitetu primjene analize uticaja propisa (RIA) u Crnoj Gori za period januar-decembar 2019. godine</w:t>
      </w:r>
      <w:r w:rsidRPr="00C331DD">
        <w:rPr>
          <w:rFonts w:ascii="Calibri" w:eastAsia="Times New Roman" w:hAnsi="Calibri" w:cs="Times New Roman"/>
          <w:noProof/>
          <w:szCs w:val="24"/>
          <w:lang w:val="es-MX" w:eastAsia="en-GB"/>
        </w:rPr>
        <w:t>. Izvještaj je bio predmet razmatranja na Savjetu za konkurentnost.</w:t>
      </w:r>
    </w:p>
    <w:p w:rsidR="00C331DD" w:rsidRPr="00C331DD" w:rsidRDefault="00C331DD" w:rsidP="004F04C3">
      <w:pPr>
        <w:spacing w:before="0" w:after="0" w:line="240" w:lineRule="auto"/>
        <w:ind w:firstLine="360"/>
        <w:rPr>
          <w:rFonts w:ascii="Calibri" w:eastAsia="Times New Roman" w:hAnsi="Calibri" w:cs="Times New Roman"/>
          <w:szCs w:val="24"/>
          <w:lang w:val="es-MX" w:eastAsia="en-GB"/>
        </w:rPr>
      </w:pPr>
      <w:r w:rsidRPr="00C331DD">
        <w:rPr>
          <w:rFonts w:ascii="Calibri" w:eastAsia="Times New Roman" w:hAnsi="Calibri" w:cs="Times New Roman"/>
          <w:szCs w:val="24"/>
          <w:lang w:val="es-MX" w:eastAsia="en-GB"/>
        </w:rPr>
        <w:t xml:space="preserve">U zaključnim razmatranjima prikazanim u Izvještaju konstatovano je sledeće: </w:t>
      </w:r>
    </w:p>
    <w:p w:rsidR="00C331DD" w:rsidRPr="00C331DD" w:rsidRDefault="00C331DD" w:rsidP="00146EBE">
      <w:pPr>
        <w:numPr>
          <w:ilvl w:val="0"/>
          <w:numId w:val="25"/>
        </w:numPr>
        <w:spacing w:before="0" w:after="0" w:line="240" w:lineRule="auto"/>
        <w:jc w:val="left"/>
        <w:rPr>
          <w:rFonts w:ascii="Calibri" w:eastAsia="Times New Roman" w:hAnsi="Calibri" w:cs="Times New Roman"/>
          <w:szCs w:val="24"/>
          <w:lang w:val="en-US"/>
        </w:rPr>
      </w:pPr>
      <w:r w:rsidRPr="00C331DD">
        <w:rPr>
          <w:rFonts w:ascii="Calibri" w:eastAsia="Times New Roman" w:hAnsi="Calibri" w:cs="Times New Roman"/>
          <w:szCs w:val="24"/>
          <w:lang w:val="en-US"/>
        </w:rPr>
        <w:t>Ministarstva dostavljaju popunjen RIA obrazac u skladu sa Poslovnikom Vlade Crne Gore;</w:t>
      </w:r>
    </w:p>
    <w:p w:rsidR="00C331DD" w:rsidRPr="00C331DD" w:rsidRDefault="00C331DD" w:rsidP="00146EBE">
      <w:pPr>
        <w:numPr>
          <w:ilvl w:val="0"/>
          <w:numId w:val="25"/>
        </w:numPr>
        <w:spacing w:before="0" w:after="0" w:line="240" w:lineRule="auto"/>
        <w:jc w:val="left"/>
        <w:rPr>
          <w:rFonts w:ascii="Calibri" w:eastAsia="Times New Roman" w:hAnsi="Calibri" w:cs="Times New Roman"/>
          <w:szCs w:val="24"/>
          <w:lang w:val="en-US"/>
        </w:rPr>
      </w:pPr>
      <w:r w:rsidRPr="00C331DD">
        <w:rPr>
          <w:rFonts w:ascii="Calibri" w:eastAsia="Times New Roman" w:hAnsi="Calibri" w:cs="Times New Roman"/>
          <w:szCs w:val="24"/>
          <w:lang w:val="en-US"/>
        </w:rPr>
        <w:t>Kvalitet RIA obrazaca podignut je na veći nivo u odnosu na prethodni izvještajni period (2016-2018 godina);</w:t>
      </w:r>
    </w:p>
    <w:p w:rsidR="00C331DD" w:rsidRPr="00C331DD" w:rsidRDefault="00C331DD" w:rsidP="00146EBE">
      <w:pPr>
        <w:numPr>
          <w:ilvl w:val="0"/>
          <w:numId w:val="25"/>
        </w:numPr>
        <w:spacing w:before="0" w:after="0" w:line="240" w:lineRule="auto"/>
        <w:jc w:val="left"/>
        <w:rPr>
          <w:rFonts w:ascii="Calibri" w:eastAsia="Times New Roman" w:hAnsi="Calibri" w:cs="Times New Roman"/>
          <w:szCs w:val="24"/>
          <w:lang w:val="en-US"/>
        </w:rPr>
      </w:pPr>
      <w:r w:rsidRPr="00C331DD">
        <w:rPr>
          <w:rFonts w:ascii="Calibri" w:eastAsia="Times New Roman" w:hAnsi="Calibri" w:cs="Times New Roman"/>
          <w:szCs w:val="24"/>
          <w:lang w:val="en-US"/>
        </w:rPr>
        <w:t>Poređenjem 2018. i 2019. godine bilježi se unaprijeđenje kvaliteta u sljedećim oblastima/koracima RIA-e: ciljevi; opcije; konsultacije; monitoring i evaluacija;</w:t>
      </w:r>
    </w:p>
    <w:p w:rsidR="00C331DD" w:rsidRPr="00C331DD" w:rsidRDefault="00C331DD" w:rsidP="00146EBE">
      <w:pPr>
        <w:numPr>
          <w:ilvl w:val="0"/>
          <w:numId w:val="25"/>
        </w:numPr>
        <w:spacing w:before="0" w:after="0" w:line="240" w:lineRule="auto"/>
        <w:jc w:val="left"/>
        <w:rPr>
          <w:rFonts w:ascii="Calibri" w:eastAsia="Times New Roman" w:hAnsi="Calibri" w:cs="Times New Roman"/>
          <w:szCs w:val="24"/>
          <w:lang w:val="en-US"/>
        </w:rPr>
      </w:pPr>
      <w:r w:rsidRPr="00C331DD">
        <w:rPr>
          <w:rFonts w:ascii="Calibri" w:eastAsia="Times New Roman" w:hAnsi="Calibri" w:cs="Times New Roman"/>
          <w:szCs w:val="24"/>
          <w:lang w:val="en-US"/>
        </w:rPr>
        <w:t>Oblasti RIA-e koje je potrebno i dalje unaprijeđivati su: analiza uticaja; procjena fiskalnog uticaja; monitoring i evaluacija;</w:t>
      </w:r>
    </w:p>
    <w:p w:rsidR="00C331DD" w:rsidRPr="00C331DD" w:rsidRDefault="00C331DD" w:rsidP="00146EBE">
      <w:pPr>
        <w:numPr>
          <w:ilvl w:val="0"/>
          <w:numId w:val="25"/>
        </w:numPr>
        <w:spacing w:before="0" w:after="0" w:line="240" w:lineRule="auto"/>
        <w:jc w:val="left"/>
        <w:rPr>
          <w:rFonts w:ascii="Calibri" w:eastAsia="Times New Roman" w:hAnsi="Calibri" w:cs="Times New Roman"/>
          <w:szCs w:val="24"/>
          <w:lang w:val="en-US"/>
        </w:rPr>
      </w:pPr>
      <w:r w:rsidRPr="00C331DD">
        <w:rPr>
          <w:rFonts w:ascii="Calibri" w:eastAsia="Times New Roman" w:hAnsi="Calibri" w:cs="Times New Roman"/>
          <w:szCs w:val="24"/>
          <w:lang w:val="en-US"/>
        </w:rPr>
        <w:t>U 2019. godini, donošenjem Zakona o lokalnim komunalnim taksama (“Službeni list CG“, broj 18/19) i Zakona o administrativnim taksama (“Službeni list CG“, broj 18/19), u postupku pripreme odluka o lokalnim komunalnim taksama i odluka o administrativnim taksama od strane jedinica lokalne samouprave, propisana je obaveza davanja mišljenja Ministarstva finansija na predmetne odluke. Na osnovu analize pripremljenih odluka, utvrđeno je da su sve odluke pripremljene u skladu sa standardima kvaliteta kod svih sedam koraka analize uticaja.</w:t>
      </w:r>
    </w:p>
    <w:p w:rsidR="00C331DD" w:rsidRPr="00C331DD" w:rsidRDefault="00C331DD" w:rsidP="00C331DD">
      <w:pPr>
        <w:spacing w:before="0" w:after="0" w:line="240" w:lineRule="auto"/>
        <w:ind w:firstLine="360"/>
        <w:rPr>
          <w:rFonts w:ascii="Calibri" w:eastAsia="Times New Roman" w:hAnsi="Calibri" w:cs="Times New Roman"/>
          <w:szCs w:val="24"/>
          <w:lang w:val="en-US"/>
        </w:rPr>
      </w:pPr>
      <w:r w:rsidRPr="00C331DD">
        <w:rPr>
          <w:rFonts w:ascii="Calibri" w:eastAsia="Times New Roman" w:hAnsi="Calibri" w:cs="Times New Roman"/>
          <w:szCs w:val="24"/>
          <w:lang w:val="en-US"/>
        </w:rPr>
        <w:t>Shodno izvršenim analizama kvaliteta pripremljenih RIA izvještaja, predložene su sljedeće mjere:</w:t>
      </w:r>
    </w:p>
    <w:p w:rsidR="00C331DD" w:rsidRPr="00C331DD" w:rsidRDefault="00C331DD" w:rsidP="00146EBE">
      <w:pPr>
        <w:numPr>
          <w:ilvl w:val="0"/>
          <w:numId w:val="26"/>
        </w:numPr>
        <w:spacing w:before="0" w:after="0" w:line="240" w:lineRule="auto"/>
        <w:jc w:val="left"/>
        <w:rPr>
          <w:rFonts w:ascii="Calibri" w:eastAsia="Times New Roman" w:hAnsi="Calibri" w:cs="Times New Roman"/>
          <w:szCs w:val="24"/>
          <w:lang w:val="en-US"/>
        </w:rPr>
      </w:pPr>
      <w:r w:rsidRPr="00C331DD">
        <w:rPr>
          <w:rFonts w:ascii="Calibri" w:eastAsia="Times New Roman" w:hAnsi="Calibri" w:cs="Times New Roman"/>
          <w:szCs w:val="24"/>
          <w:lang w:val="en-US"/>
        </w:rPr>
        <w:t>Tokom pripreme samog propisa, a kroz to i pripreme analize RIA obezbijediti uključenost svih članova Radne grupe u razmatranje aspekata koje definiše sam RIA obrazac;</w:t>
      </w:r>
    </w:p>
    <w:p w:rsidR="00C331DD" w:rsidRPr="00C331DD" w:rsidRDefault="00C331DD" w:rsidP="00146EBE">
      <w:pPr>
        <w:numPr>
          <w:ilvl w:val="0"/>
          <w:numId w:val="26"/>
        </w:numPr>
        <w:spacing w:before="0" w:after="0" w:line="240" w:lineRule="auto"/>
        <w:jc w:val="left"/>
        <w:rPr>
          <w:rFonts w:ascii="Calibri" w:eastAsia="Times New Roman" w:hAnsi="Calibri" w:cs="Times New Roman"/>
          <w:szCs w:val="24"/>
          <w:lang w:val="en-US"/>
        </w:rPr>
      </w:pPr>
      <w:r w:rsidRPr="00C331DD">
        <w:rPr>
          <w:rFonts w:ascii="Calibri" w:eastAsia="Times New Roman" w:hAnsi="Calibri" w:cs="Times New Roman"/>
          <w:szCs w:val="24"/>
          <w:lang w:val="en-US"/>
        </w:rPr>
        <w:t>Jačati kapacitete za primjenu Modela standardnog troška (Standard Cost Model), odnosno procjenu administrativnih troškova koje propisi mogu imati na privredu i građane, a kako bi se sveobuhvatnije sagledale implikacije propisa;</w:t>
      </w:r>
    </w:p>
    <w:p w:rsidR="00C331DD" w:rsidRPr="00C331DD" w:rsidRDefault="00C331DD" w:rsidP="00146EBE">
      <w:pPr>
        <w:numPr>
          <w:ilvl w:val="0"/>
          <w:numId w:val="26"/>
        </w:numPr>
        <w:spacing w:before="0" w:after="0" w:line="240" w:lineRule="auto"/>
        <w:jc w:val="left"/>
        <w:rPr>
          <w:rFonts w:ascii="Calibri" w:eastAsia="Times New Roman" w:hAnsi="Calibri" w:cs="Times New Roman"/>
          <w:szCs w:val="24"/>
          <w:lang w:val="en-US"/>
        </w:rPr>
      </w:pPr>
      <w:r w:rsidRPr="00C331DD">
        <w:rPr>
          <w:rFonts w:ascii="Calibri" w:eastAsia="Times New Roman" w:hAnsi="Calibri" w:cs="Times New Roman"/>
          <w:szCs w:val="24"/>
          <w:lang w:val="en-US"/>
        </w:rPr>
        <w:t>Jačati kapacitete za sagledavanje dugoročnih fiskalnih implikacija propisa (trogodišnji planiranje)</w:t>
      </w:r>
    </w:p>
    <w:p w:rsidR="00C331DD" w:rsidRPr="00C331DD" w:rsidRDefault="00C331DD" w:rsidP="00146EBE">
      <w:pPr>
        <w:numPr>
          <w:ilvl w:val="0"/>
          <w:numId w:val="26"/>
        </w:numPr>
        <w:spacing w:before="0" w:after="0" w:line="240" w:lineRule="auto"/>
        <w:jc w:val="left"/>
        <w:rPr>
          <w:rFonts w:ascii="Calibri" w:eastAsia="Times New Roman" w:hAnsi="Calibri" w:cs="Times New Roman"/>
          <w:szCs w:val="24"/>
          <w:lang w:val="en-US"/>
        </w:rPr>
      </w:pPr>
      <w:r w:rsidRPr="00C331DD">
        <w:rPr>
          <w:rFonts w:ascii="Calibri" w:eastAsia="Times New Roman" w:hAnsi="Calibri" w:cs="Times New Roman"/>
          <w:szCs w:val="24"/>
          <w:lang w:val="en-US"/>
        </w:rPr>
        <w:t>Veću pažnju posvetiti definisanju mjerljivih ciljeva, a posljedično i mjerljivih indikatora i mjera uspjeha, tj rezultata, kako bi se pratila implementacija regulatornih rješenja</w:t>
      </w:r>
    </w:p>
    <w:p w:rsidR="00C331DD" w:rsidRPr="00C331DD" w:rsidRDefault="00C331DD" w:rsidP="00146EBE">
      <w:pPr>
        <w:numPr>
          <w:ilvl w:val="0"/>
          <w:numId w:val="26"/>
        </w:numPr>
        <w:spacing w:before="0" w:after="0" w:line="240" w:lineRule="auto"/>
        <w:jc w:val="left"/>
        <w:rPr>
          <w:rFonts w:ascii="Calibri" w:eastAsia="Times New Roman" w:hAnsi="Calibri" w:cs="Times New Roman"/>
          <w:szCs w:val="24"/>
          <w:lang w:val="en-US"/>
        </w:rPr>
      </w:pPr>
      <w:r w:rsidRPr="00C331DD">
        <w:rPr>
          <w:rFonts w:ascii="Calibri" w:eastAsia="Times New Roman" w:hAnsi="Calibri" w:cs="Times New Roman"/>
          <w:szCs w:val="24"/>
          <w:lang w:val="en-US"/>
        </w:rPr>
        <w:t>Veću pažnju posvetiti analizi i primjeni neregulatornih mjera</w:t>
      </w:r>
    </w:p>
    <w:p w:rsidR="00C331DD" w:rsidRPr="00C331DD" w:rsidRDefault="00C331DD" w:rsidP="00C331DD">
      <w:pPr>
        <w:spacing w:before="0" w:after="0" w:line="240" w:lineRule="auto"/>
        <w:ind w:firstLine="360"/>
        <w:rPr>
          <w:rFonts w:ascii="Calibri" w:eastAsia="Times New Roman" w:hAnsi="Calibri" w:cs="Times New Roman"/>
          <w:szCs w:val="24"/>
          <w:lang w:val="en-US"/>
        </w:rPr>
      </w:pPr>
      <w:r w:rsidRPr="00C331DD">
        <w:rPr>
          <w:rFonts w:ascii="Calibri" w:eastAsia="Times New Roman" w:hAnsi="Calibri" w:cs="Times New Roman"/>
          <w:szCs w:val="24"/>
          <w:lang w:val="en-US"/>
        </w:rPr>
        <w:t xml:space="preserve">Uvažavajući navedena zaključna razmatranja, kao i obaveze koje proizilaze iz Strategije reforme javne uprave tokom 2020. godine aktivno je rađeno na daljem unaprijeđenju kvaliteta RIA analiza i podizanju svijesti državnih službenika o značaju RIA-e. </w:t>
      </w:r>
    </w:p>
    <w:p w:rsidR="00C331DD" w:rsidRPr="00C331DD" w:rsidRDefault="00C331DD" w:rsidP="00C331DD">
      <w:pPr>
        <w:spacing w:before="0" w:after="0" w:line="240" w:lineRule="auto"/>
        <w:ind w:firstLine="360"/>
        <w:rPr>
          <w:rFonts w:ascii="Calibri" w:eastAsia="Times New Roman" w:hAnsi="Calibri" w:cs="Times New Roman"/>
          <w:szCs w:val="24"/>
          <w:lang w:val="en-US"/>
        </w:rPr>
      </w:pPr>
      <w:r w:rsidRPr="00C331DD">
        <w:rPr>
          <w:rFonts w:ascii="Calibri" w:eastAsia="Times New Roman" w:hAnsi="Calibri" w:cs="Times New Roman"/>
          <w:szCs w:val="24"/>
          <w:lang w:val="en-US"/>
        </w:rPr>
        <w:lastRenderedPageBreak/>
        <w:t xml:space="preserve">U februaru 2020. godine u saradnji sa ekspertom organizovana je obuka za trenere, koji su tokom 2020. godine sprovodili obuke u skladu sa pripremljenim Programom. Obuke su organizovane za: Ministarstvo održivog razvoja i turizma (16 službenika), Ministarstvo saobraćaja i pomorstva (13 službenika), Ministarstvo poljoprivrede i ruralnog razvoja i Ministarstvo javne uprave (2+8 službenika), Ministarstvo ekonomije (7 službenika). Obuke su sprovođene prema Programu za sprovođenje specijalističkih obuka za obavljanje tehničkih vještina kada je u pitanju izrada RIA Izvještaja, koji je pripremljen u saradnji sa Upravom za kadrove krajem 2019. godine. </w:t>
      </w:r>
    </w:p>
    <w:p w:rsidR="00C331DD" w:rsidRPr="00C331DD" w:rsidRDefault="00C331DD" w:rsidP="00C331DD">
      <w:pPr>
        <w:spacing w:before="0" w:after="0" w:line="240" w:lineRule="auto"/>
        <w:ind w:firstLine="360"/>
        <w:rPr>
          <w:rFonts w:ascii="Calibri" w:eastAsia="Calibri" w:hAnsi="Calibri" w:cs="Times New Roman"/>
          <w:color w:val="FF0000"/>
          <w:szCs w:val="24"/>
          <w:lang w:val="en-US"/>
        </w:rPr>
      </w:pPr>
      <w:r w:rsidRPr="00C331DD">
        <w:rPr>
          <w:rFonts w:ascii="Calibri" w:eastAsia="Times New Roman" w:hAnsi="Calibri" w:cs="Times New Roman"/>
          <w:szCs w:val="24"/>
          <w:lang w:val="en-US"/>
        </w:rPr>
        <w:t xml:space="preserve">Obaveza sprovođenja analize o uticaju lokalnih propisa utvrđena je članom 71 Zakona o lokalnoj samoupravi (“Sl. list CG “, br. 002/18) gdje je propisana obaveza organima lokalne uprave da vrše pripremu i procjenu analize uticaja odluka i drugih propisa koje donose skupštna i predsjednik opštine. Imajući u vidu navedene odredbe Zakona, Ministarstvo finansija je donijelo </w:t>
      </w:r>
      <w:r w:rsidRPr="00C331DD">
        <w:rPr>
          <w:rFonts w:ascii="Calibri" w:eastAsia="Times New Roman" w:hAnsi="Calibri" w:cs="Cambria"/>
          <w:b/>
          <w:i/>
          <w:szCs w:val="24"/>
          <w:lang w:val="en-US"/>
        </w:rPr>
        <w:t xml:space="preserve">Uputstvo o pripremi i procjeni analize uticaja odluka i drugih propisa organa lokalne samouprave </w:t>
      </w:r>
      <w:r w:rsidRPr="00C331DD">
        <w:rPr>
          <w:rFonts w:ascii="Calibri" w:eastAsia="Times New Roman" w:hAnsi="Calibri" w:cs="Cambria"/>
          <w:szCs w:val="24"/>
          <w:lang w:val="en-US"/>
        </w:rPr>
        <w:t>(</w:t>
      </w:r>
      <w:r w:rsidRPr="00C331DD">
        <w:rPr>
          <w:rFonts w:ascii="Calibri" w:eastAsia="Times New Roman" w:hAnsi="Calibri" w:cs="Times New Roman"/>
          <w:szCs w:val="24"/>
          <w:lang w:val="en-US"/>
        </w:rPr>
        <w:t>“Službeni list CG”, 29. oktobar 2020. godine). Uputstvom se propisuje priprema i procjena analize uticaja odluka i drugih propisa koje donose skupština i predsjednik opštine.</w:t>
      </w:r>
    </w:p>
    <w:p w:rsidR="00C331DD" w:rsidRPr="00C331DD" w:rsidRDefault="00C331DD" w:rsidP="00C331DD">
      <w:pPr>
        <w:spacing w:before="0" w:after="0" w:line="240" w:lineRule="auto"/>
        <w:ind w:firstLine="360"/>
        <w:rPr>
          <w:rFonts w:ascii="Calibri" w:eastAsia="Times New Roman" w:hAnsi="Calibri" w:cs="Cambria"/>
          <w:color w:val="000000"/>
          <w:szCs w:val="24"/>
          <w:lang w:val="en-US"/>
        </w:rPr>
      </w:pPr>
      <w:r w:rsidRPr="00C331DD">
        <w:rPr>
          <w:rFonts w:ascii="Calibri" w:eastAsia="Times New Roman" w:hAnsi="Calibri" w:cs="Cambria"/>
          <w:color w:val="000000"/>
          <w:szCs w:val="24"/>
          <w:lang w:val="en-US"/>
        </w:rPr>
        <w:t>Tokom 2020. godine Direkcija za sprovođenje analize uticaja propisa sarađivala je i sa SIGMA-om, razmjenjujući podatke i informacije za potrebe SIGMA istraživanja o primjeni RIA-e u Crnoj Gori. Istraživanje je obuhvatilo i zemlje iz okruženja: Albanija, BiH, Kosovo, Sjeverna Makedonija i Srbija.</w:t>
      </w:r>
    </w:p>
    <w:p w:rsidR="00B55665" w:rsidRPr="00B55665" w:rsidRDefault="00B55665" w:rsidP="00F121BE">
      <w:pPr>
        <w:spacing w:before="0" w:after="0" w:line="240" w:lineRule="auto"/>
        <w:jc w:val="left"/>
        <w:rPr>
          <w:rFonts w:eastAsia="Calibri" w:cs="Times New Roman"/>
          <w:b/>
          <w:szCs w:val="24"/>
        </w:rPr>
      </w:pPr>
    </w:p>
    <w:p w:rsidR="004F04C3" w:rsidRPr="004F04C3" w:rsidRDefault="004F04C3" w:rsidP="00F121BE">
      <w:pPr>
        <w:spacing w:before="0" w:line="240" w:lineRule="auto"/>
        <w:rPr>
          <w:rFonts w:ascii="Calibri" w:eastAsia="Times New Roman" w:hAnsi="Calibri" w:cs="Arial"/>
          <w:noProof/>
          <w:color w:val="000000"/>
          <w:szCs w:val="24"/>
          <w:lang w:eastAsia="sr-Latn-CS"/>
        </w:rPr>
      </w:pPr>
      <w:r w:rsidRPr="004F04C3">
        <w:rPr>
          <w:rFonts w:ascii="Calibri" w:eastAsia="Times New Roman" w:hAnsi="Calibri" w:cs="Arial"/>
          <w:noProof/>
          <w:color w:val="000000"/>
          <w:szCs w:val="24"/>
          <w:lang w:eastAsia="sr-Latn-CS"/>
        </w:rPr>
        <w:t xml:space="preserve">Tokom 2020. godine u okviru </w:t>
      </w:r>
      <w:r w:rsidRPr="004F04C3">
        <w:rPr>
          <w:rFonts w:ascii="Calibri" w:eastAsia="Times New Roman" w:hAnsi="Calibri" w:cs="Arial"/>
          <w:noProof/>
          <w:color w:val="000000"/>
          <w:szCs w:val="24"/>
          <w:u w:val="single"/>
          <w:lang w:eastAsia="sr-Latn-CS"/>
        </w:rPr>
        <w:t>Direkcije za unaprijeđenje poslovnog ambijenta</w:t>
      </w:r>
      <w:r w:rsidR="00F121BE">
        <w:rPr>
          <w:rFonts w:ascii="Calibri" w:eastAsia="Times New Roman" w:hAnsi="Calibri" w:cs="Arial"/>
          <w:noProof/>
          <w:color w:val="000000"/>
          <w:szCs w:val="24"/>
          <w:lang w:eastAsia="sr-Latn-CS"/>
        </w:rPr>
        <w:t xml:space="preserve"> urađeno je sledeće:  </w:t>
      </w:r>
    </w:p>
    <w:p w:rsidR="004F04C3" w:rsidRPr="004F04C3" w:rsidRDefault="004F04C3" w:rsidP="00146EBE">
      <w:pPr>
        <w:numPr>
          <w:ilvl w:val="0"/>
          <w:numId w:val="17"/>
        </w:numPr>
        <w:spacing w:line="240" w:lineRule="auto"/>
        <w:contextualSpacing/>
        <w:jc w:val="left"/>
        <w:rPr>
          <w:rFonts w:ascii="Calibri" w:eastAsia="Times New Roman" w:hAnsi="Calibri" w:cs="Arial"/>
          <w:noProof/>
          <w:color w:val="000000"/>
          <w:szCs w:val="24"/>
          <w:lang w:val="en-US"/>
        </w:rPr>
      </w:pPr>
      <w:r w:rsidRPr="004F04C3">
        <w:rPr>
          <w:rFonts w:ascii="Calibri" w:eastAsia="Times New Roman" w:hAnsi="Calibri" w:cs="Arial"/>
          <w:b/>
          <w:color w:val="000000"/>
          <w:szCs w:val="24"/>
          <w:lang w:val="en-US"/>
        </w:rPr>
        <w:t>ADMINISTRATIVNA I STRUČNA PODRŠKA SAVJETU ZA KONKURENTNOST</w:t>
      </w:r>
    </w:p>
    <w:p w:rsidR="004F04C3" w:rsidRPr="004F04C3" w:rsidRDefault="004F04C3" w:rsidP="004F04C3">
      <w:pPr>
        <w:spacing w:before="0" w:after="0" w:line="240" w:lineRule="auto"/>
        <w:ind w:firstLine="360"/>
        <w:rPr>
          <w:rFonts w:ascii="Calibri" w:eastAsia="Times New Roman" w:hAnsi="Calibri" w:cs="Times New Roman"/>
          <w:szCs w:val="24"/>
          <w:lang w:val="en-US"/>
        </w:rPr>
      </w:pPr>
      <w:r w:rsidRPr="004F04C3">
        <w:rPr>
          <w:rFonts w:ascii="Calibri" w:eastAsia="Times New Roman" w:hAnsi="Calibri" w:cs="Times New Roman"/>
          <w:szCs w:val="24"/>
          <w:lang w:val="en-US"/>
        </w:rPr>
        <w:t>Na osnovu člana 12 st. 2 i 3 Uredbe o Vladi Crne Gore („Službeni list CG", br. 80/08 i 14/17), Vlada Crne Gore na sjednici od 1. juna 2017. godine, donijela je Odluka o obrazovanju Savjeta za konkurentnost.</w:t>
      </w:r>
    </w:p>
    <w:p w:rsidR="004F04C3" w:rsidRPr="004F04C3" w:rsidRDefault="004F04C3" w:rsidP="004F04C3">
      <w:pPr>
        <w:spacing w:before="0" w:after="0" w:line="240" w:lineRule="auto"/>
        <w:ind w:firstLine="360"/>
        <w:rPr>
          <w:rFonts w:ascii="Calibri" w:eastAsia="Times New Roman" w:hAnsi="Calibri" w:cs="Times New Roman"/>
          <w:szCs w:val="24"/>
          <w:lang w:val="en-US"/>
        </w:rPr>
      </w:pPr>
      <w:r w:rsidRPr="004F04C3">
        <w:rPr>
          <w:rFonts w:ascii="Calibri" w:eastAsia="Times New Roman" w:hAnsi="Calibri" w:cs="Times New Roman"/>
          <w:szCs w:val="24"/>
          <w:lang w:val="en-US"/>
        </w:rPr>
        <w:t xml:space="preserve">Zadaci Savjeta su da: </w:t>
      </w:r>
    </w:p>
    <w:p w:rsidR="004F04C3" w:rsidRPr="004F04C3" w:rsidRDefault="004F04C3" w:rsidP="00146EBE">
      <w:pPr>
        <w:numPr>
          <w:ilvl w:val="0"/>
          <w:numId w:val="32"/>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koordinira aktivnosti na planu sprovođenja prioritetnih reformskih mjera definisanih strateškim razvojnim dokumentima, koje su u funkciji otklanjanja ključnih prepreka za veću konkurentnost i brži privredni rast Crne Gore;</w:t>
      </w:r>
    </w:p>
    <w:p w:rsidR="004F04C3" w:rsidRPr="004F04C3" w:rsidRDefault="004F04C3" w:rsidP="00146EBE">
      <w:pPr>
        <w:numPr>
          <w:ilvl w:val="0"/>
          <w:numId w:val="32"/>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 xml:space="preserve">analizira važeće propise sa aspekta njihovog uticaja na poslovni ambijent i konkurentnost, inicira predlaganje izmjena propisa radi pojednostavljivanja, odnosno brisanja procedura koje predstavljaju barijeru za veću konkurentnost ili prestanak njihovog važenja; </w:t>
      </w:r>
    </w:p>
    <w:p w:rsidR="004F04C3" w:rsidRPr="004F04C3" w:rsidRDefault="004F04C3" w:rsidP="00146EBE">
      <w:pPr>
        <w:numPr>
          <w:ilvl w:val="0"/>
          <w:numId w:val="32"/>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 xml:space="preserve">predlaže Vladi Crne Gore (u daljem tekstu: Vlada) plan strukturnih reformi za unaprijeđenje konkurentnosti ekonomije koji se priprema na godišnjem nivou i sastavni je dio Programa ekonomskih reformi i drugih ključnih dokumenata ekonomske politike; </w:t>
      </w:r>
    </w:p>
    <w:p w:rsidR="004F04C3" w:rsidRPr="004F04C3" w:rsidRDefault="004F04C3" w:rsidP="00146EBE">
      <w:pPr>
        <w:numPr>
          <w:ilvl w:val="0"/>
          <w:numId w:val="32"/>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prati, koordinira i ocjenjuje ključne aktivnosti organa državne uprave i drugih nadležnih organa i institucija za sprovođenje strukturnih reformi, sačinjava polugodišnje izvještaje o sprovođenju strukturnih reformi koje sa mišljenjem, odnosno predlogom mjera, dostavlja Vladi na razmatranje;</w:t>
      </w:r>
    </w:p>
    <w:p w:rsidR="004F04C3" w:rsidRPr="004F04C3" w:rsidRDefault="004F04C3" w:rsidP="00146EBE">
      <w:pPr>
        <w:numPr>
          <w:ilvl w:val="0"/>
          <w:numId w:val="32"/>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učestvuje u izradi plana za suzbijanje sive ekonomije, plana zapošljavanja, kao i svih razvojnih planova relevantnih za povećanje konkurentnosti i jačanje makroekonomske stabilnosti i prati njihovu realizaciju;</w:t>
      </w:r>
    </w:p>
    <w:p w:rsidR="004F04C3" w:rsidRPr="004F04C3" w:rsidRDefault="004F04C3" w:rsidP="00146EBE">
      <w:pPr>
        <w:numPr>
          <w:ilvl w:val="0"/>
          <w:numId w:val="32"/>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 xml:space="preserve">ostvaruje međunarodnu saradnju sa relevantnim organizacijama i institucijama i razmjenjuje iskustva i dobru praksu na planu unaprijeđenja konkurentnosti i održivog razvoja; </w:t>
      </w:r>
    </w:p>
    <w:p w:rsidR="004F04C3" w:rsidRPr="004F04C3" w:rsidRDefault="004F04C3" w:rsidP="00146EBE">
      <w:pPr>
        <w:numPr>
          <w:ilvl w:val="0"/>
          <w:numId w:val="32"/>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javno promoviše značaj konkurentnosti privrede Crne Gore za njen ukupan ekonomski razvoj i poboljšanje kvaliteta života građana.</w:t>
      </w:r>
    </w:p>
    <w:p w:rsidR="004F04C3" w:rsidRPr="004F04C3" w:rsidRDefault="004F04C3" w:rsidP="004F04C3">
      <w:pPr>
        <w:spacing w:before="0" w:after="0" w:line="240" w:lineRule="auto"/>
        <w:ind w:firstLine="360"/>
        <w:rPr>
          <w:rFonts w:ascii="Calibri" w:eastAsia="Times New Roman" w:hAnsi="Calibri" w:cs="Calibri"/>
          <w:szCs w:val="24"/>
          <w:lang w:val="en-US"/>
        </w:rPr>
      </w:pPr>
      <w:r w:rsidRPr="004F04C3">
        <w:rPr>
          <w:rFonts w:ascii="Calibri" w:eastAsia="Times New Roman" w:hAnsi="Calibri" w:cs="Times New Roman"/>
          <w:szCs w:val="24"/>
          <w:lang w:val="en-US"/>
        </w:rPr>
        <w:t xml:space="preserve">Direktorat za finansijski sistem i unaprijeđenje poslovnog ambijenta zadužen je da u saradnji sa Kabinetom predsjednika Vlade obavlja administrativno-stručne poslove za Savjet. Od početka 2019. godine pomoć u radu Savjeta pruža i nezavisno tijelo </w:t>
      </w:r>
      <w:r w:rsidRPr="004F04C3">
        <w:rPr>
          <w:rFonts w:ascii="Calibri" w:eastAsia="Times New Roman" w:hAnsi="Calibri" w:cs="Calibri"/>
          <w:szCs w:val="24"/>
          <w:lang w:val="en-US"/>
        </w:rPr>
        <w:t>osnovano u februaru 2019. godine kao rezultat sporazuma između Evropske banke za obnovu i razvoj (EBRD) i Vlade Crne Gore.</w:t>
      </w:r>
    </w:p>
    <w:p w:rsidR="004F04C3" w:rsidRPr="004F04C3" w:rsidRDefault="004F04C3" w:rsidP="004F04C3">
      <w:pPr>
        <w:spacing w:before="0" w:after="0" w:line="240" w:lineRule="auto"/>
        <w:ind w:firstLine="360"/>
        <w:rPr>
          <w:rFonts w:ascii="Calibri" w:eastAsia="Times New Roman" w:hAnsi="Calibri" w:cs="Calibri"/>
          <w:szCs w:val="24"/>
          <w:lang w:val="en-US"/>
        </w:rPr>
      </w:pPr>
      <w:r w:rsidRPr="004F04C3">
        <w:rPr>
          <w:rFonts w:ascii="Calibri" w:eastAsia="Times New Roman" w:hAnsi="Calibri" w:cs="Calibri"/>
          <w:szCs w:val="24"/>
          <w:lang w:val="en-US"/>
        </w:rPr>
        <w:lastRenderedPageBreak/>
        <w:t>Usljed pandemije COVID-19, koja je nastupila u martu, prva planirana sjednica Savjeta za konkurentnost u 2020. godini je otkazana i</w:t>
      </w:r>
      <w:r w:rsidR="00F121BE">
        <w:rPr>
          <w:rFonts w:ascii="Calibri" w:eastAsia="Times New Roman" w:hAnsi="Calibri" w:cs="Calibri"/>
          <w:szCs w:val="24"/>
          <w:lang w:val="en-US"/>
        </w:rPr>
        <w:t xml:space="preserve"> </w:t>
      </w:r>
      <w:r w:rsidRPr="004F04C3">
        <w:rPr>
          <w:rFonts w:ascii="Calibri" w:eastAsia="Times New Roman" w:hAnsi="Calibri" w:cs="Calibri"/>
          <w:szCs w:val="24"/>
          <w:lang w:val="en-US"/>
        </w:rPr>
        <w:t xml:space="preserve">ako u potpunosti pripremljena. </w:t>
      </w:r>
      <w:r w:rsidRPr="004F04C3">
        <w:rPr>
          <w:rFonts w:ascii="Calibri" w:eastAsia="Times New Roman" w:hAnsi="Calibri" w:cs="Calibri"/>
          <w:b/>
          <w:bCs/>
          <w:szCs w:val="24"/>
          <w:lang w:val="en-US"/>
        </w:rPr>
        <w:t>Tokom 2020. godine održana je jedna redovna sjednica (8. jun 2020)</w:t>
      </w:r>
      <w:r w:rsidRPr="004F04C3">
        <w:rPr>
          <w:rFonts w:ascii="Calibri" w:eastAsia="Times New Roman" w:hAnsi="Calibri" w:cs="Times New Roman"/>
          <w:b/>
          <w:bCs/>
          <w:szCs w:val="24"/>
          <w:lang w:val="en-US"/>
        </w:rPr>
        <w:t xml:space="preserve">, koja je bila posvećena mjerama ekonomskog oporavka zemlje od posljedica uticaja pandemije COVID-19. </w:t>
      </w:r>
      <w:r w:rsidRPr="004F04C3">
        <w:rPr>
          <w:rFonts w:ascii="Calibri" w:eastAsia="Times New Roman" w:hAnsi="Calibri" w:cs="Times New Roman"/>
          <w:szCs w:val="24"/>
          <w:lang w:val="en-US"/>
        </w:rPr>
        <w:t>K</w:t>
      </w:r>
      <w:r w:rsidRPr="004F04C3">
        <w:rPr>
          <w:rFonts w:ascii="Calibri" w:eastAsia="Times New Roman" w:hAnsi="Calibri" w:cs="Calibri"/>
          <w:szCs w:val="24"/>
          <w:lang w:val="en-US"/>
        </w:rPr>
        <w:t xml:space="preserve">ako bi se u najvećoj mogućoj mjeri pratio usvojeni Plan rada Savjeta i održao kontinuitet otvorenog i konstruktivnog dijaloga među članovima Savjeta i u okolnostima izazvanim korona virusom, </w:t>
      </w:r>
      <w:r w:rsidRPr="004F04C3">
        <w:rPr>
          <w:rFonts w:ascii="Calibri" w:eastAsia="Times New Roman" w:hAnsi="Calibri" w:cs="Calibri"/>
          <w:b/>
          <w:bCs/>
          <w:szCs w:val="24"/>
          <w:lang w:val="en-US"/>
        </w:rPr>
        <w:t>Sekretarijat Savjeta je putem linka dostavljao materijale (ukupno 18 materijala) na razmatranje</w:t>
      </w:r>
      <w:r w:rsidRPr="004F04C3">
        <w:rPr>
          <w:rFonts w:ascii="Calibri" w:eastAsia="Times New Roman" w:hAnsi="Calibri" w:cs="Calibri"/>
          <w:szCs w:val="24"/>
          <w:lang w:val="en-US"/>
        </w:rPr>
        <w:t xml:space="preserve">, uz mogućnost da članovi Savjeta dostavljaju komentare, sugestije, kao i predloge dopune zaključaka za date materijale. </w:t>
      </w:r>
    </w:p>
    <w:p w:rsidR="004F04C3" w:rsidRPr="004F04C3" w:rsidRDefault="004F04C3" w:rsidP="004F04C3">
      <w:pPr>
        <w:spacing w:before="0" w:after="0" w:line="240" w:lineRule="auto"/>
        <w:ind w:firstLine="360"/>
        <w:rPr>
          <w:rFonts w:ascii="Calibri" w:eastAsia="Times New Roman" w:hAnsi="Calibri" w:cs="Times New Roman"/>
          <w:b/>
          <w:szCs w:val="24"/>
          <w:lang w:val="en-US"/>
        </w:rPr>
      </w:pPr>
      <w:r w:rsidRPr="004F04C3">
        <w:rPr>
          <w:rFonts w:ascii="Calibri" w:eastAsia="Times New Roman" w:hAnsi="Calibri" w:cs="Times New Roman"/>
          <w:b/>
          <w:szCs w:val="24"/>
          <w:lang w:val="en-US"/>
        </w:rPr>
        <w:t>Slijedi pregled dokumenata koji su razmatrani na održanoj desetoj sjednici Savjeta, posvećenoj mjerama ekonomskog oporavka zemlje od posljedica pandemije korona virusa:</w:t>
      </w:r>
    </w:p>
    <w:p w:rsidR="004F04C3" w:rsidRPr="004F04C3" w:rsidRDefault="004F04C3" w:rsidP="00146EBE">
      <w:pPr>
        <w:numPr>
          <w:ilvl w:val="0"/>
          <w:numId w:val="33"/>
        </w:numPr>
        <w:spacing w:before="0" w:after="0" w:line="240" w:lineRule="auto"/>
        <w:jc w:val="left"/>
        <w:rPr>
          <w:rFonts w:ascii="Calibri" w:eastAsia="Times New Roman" w:hAnsi="Calibri" w:cs="Times New Roman"/>
          <w:bCs/>
          <w:szCs w:val="24"/>
          <w:lang w:val="en-US"/>
        </w:rPr>
      </w:pPr>
      <w:r w:rsidRPr="004F04C3">
        <w:rPr>
          <w:rFonts w:ascii="Calibri" w:eastAsia="Times New Roman" w:hAnsi="Calibri" w:cs="Times New Roman"/>
          <w:bCs/>
          <w:szCs w:val="24"/>
          <w:lang w:val="en-US"/>
        </w:rPr>
        <w:t>Prezentacija Izvještaja o ekonomskoj procjeni uticaja COVID-19 na ekonomski sistem Crne Gore i perspektive rasta sa preporukama, UNDP Crna Gora i Izvršni rezime i Nacrt Izvještaja: Procjena uticaja COVID-19 na ekonomski sistem Crne Gore i perspektive rasta;</w:t>
      </w:r>
    </w:p>
    <w:p w:rsidR="004F04C3" w:rsidRPr="004F04C3" w:rsidRDefault="004F04C3" w:rsidP="00146EBE">
      <w:pPr>
        <w:numPr>
          <w:ilvl w:val="0"/>
          <w:numId w:val="33"/>
        </w:numPr>
        <w:spacing w:before="0" w:after="0" w:line="240" w:lineRule="auto"/>
        <w:jc w:val="left"/>
        <w:rPr>
          <w:rFonts w:ascii="Calibri" w:eastAsia="Times New Roman" w:hAnsi="Calibri" w:cs="Times New Roman"/>
          <w:bCs/>
          <w:szCs w:val="24"/>
          <w:lang w:val="en-US"/>
        </w:rPr>
      </w:pPr>
      <w:r w:rsidRPr="004F04C3">
        <w:rPr>
          <w:rFonts w:ascii="Calibri" w:eastAsia="Times New Roman" w:hAnsi="Calibri" w:cs="Times New Roman"/>
          <w:bCs/>
          <w:szCs w:val="24"/>
          <w:lang w:val="en-US"/>
        </w:rPr>
        <w:t>Inovirani (treći) predlog mjera UO UPCG za podršku privredi i Istraživanje - Uticaj COVID-19 na poslovanja crnogorskih preduzeća, Unija poslodavaca Crne Gore;</w:t>
      </w:r>
    </w:p>
    <w:p w:rsidR="004F04C3" w:rsidRPr="004F04C3" w:rsidRDefault="004F04C3" w:rsidP="00146EBE">
      <w:pPr>
        <w:numPr>
          <w:ilvl w:val="0"/>
          <w:numId w:val="33"/>
        </w:numPr>
        <w:spacing w:before="0" w:after="0" w:line="240" w:lineRule="auto"/>
        <w:jc w:val="left"/>
        <w:rPr>
          <w:rFonts w:ascii="Calibri" w:eastAsia="Times New Roman" w:hAnsi="Calibri" w:cs="Times New Roman"/>
          <w:bCs/>
          <w:szCs w:val="24"/>
          <w:lang w:val="en-US"/>
        </w:rPr>
      </w:pPr>
      <w:r w:rsidRPr="004F04C3">
        <w:rPr>
          <w:rFonts w:ascii="Calibri" w:eastAsia="Times New Roman" w:hAnsi="Calibri" w:cs="Times New Roman"/>
          <w:bCs/>
          <w:szCs w:val="24"/>
          <w:lang w:val="en-US"/>
        </w:rPr>
        <w:t>Inicijativa za prevazilaženje problema angažovanja neophodne radne snage iz drugih država, Montenegro biznis alijansa.</w:t>
      </w:r>
    </w:p>
    <w:p w:rsidR="004F04C3" w:rsidRPr="004F04C3" w:rsidRDefault="004F04C3" w:rsidP="004F04C3">
      <w:pPr>
        <w:spacing w:before="0" w:after="0" w:line="240" w:lineRule="auto"/>
        <w:ind w:firstLine="360"/>
        <w:rPr>
          <w:rFonts w:ascii="Calibri" w:eastAsia="Times New Roman" w:hAnsi="Calibri" w:cs="Calibri"/>
          <w:b/>
          <w:noProof/>
          <w:szCs w:val="24"/>
          <w:lang w:eastAsia="sr-Latn-CS"/>
        </w:rPr>
      </w:pPr>
      <w:r w:rsidRPr="004F04C3">
        <w:rPr>
          <w:rFonts w:ascii="Calibri" w:eastAsia="Times New Roman" w:hAnsi="Calibri" w:cs="Calibri"/>
          <w:b/>
          <w:noProof/>
          <w:szCs w:val="24"/>
          <w:lang w:eastAsia="sr-Latn-CS"/>
        </w:rPr>
        <w:t>Slijedi pregled dokumenata koji su tokom 2020. godine razmatrani elektronskim putem:</w:t>
      </w:r>
    </w:p>
    <w:p w:rsidR="004F04C3" w:rsidRPr="004F04C3" w:rsidRDefault="004F04C3" w:rsidP="00146EBE">
      <w:pPr>
        <w:numPr>
          <w:ilvl w:val="0"/>
          <w:numId w:val="34"/>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Izvještaj o radu Savjeta za konkurentnost za 2019. godinu, Sekretarijat Savjeta za konkurentnost;</w:t>
      </w:r>
    </w:p>
    <w:p w:rsidR="004F04C3" w:rsidRPr="004F04C3" w:rsidRDefault="004F04C3" w:rsidP="00146EBE">
      <w:pPr>
        <w:numPr>
          <w:ilvl w:val="0"/>
          <w:numId w:val="34"/>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Prezentacija rezultata istraživanja Bijela knjiga: Investiciona klima u Crnoj Gori 2019, Savjet stranih investitora (SSI);</w:t>
      </w:r>
    </w:p>
    <w:p w:rsidR="004F04C3" w:rsidRPr="004F04C3" w:rsidRDefault="004F04C3" w:rsidP="00146EBE">
      <w:pPr>
        <w:numPr>
          <w:ilvl w:val="0"/>
          <w:numId w:val="34"/>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Izjašnjenje resornih institucija na preporuke iz Bijele knjige 2019: Investiciona klima u Crnoj Gori (SSI);</w:t>
      </w:r>
    </w:p>
    <w:p w:rsidR="004F04C3" w:rsidRPr="004F04C3" w:rsidRDefault="004F04C3" w:rsidP="00146EBE">
      <w:pPr>
        <w:numPr>
          <w:ilvl w:val="0"/>
          <w:numId w:val="34"/>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Inicijativa sa predlogom mjera za eliminisanje barijera za registraciju organizacija koje ne obavljaju privrednu djelatnost, Uprava za statistiku;</w:t>
      </w:r>
    </w:p>
    <w:p w:rsidR="004F04C3" w:rsidRPr="004F04C3" w:rsidRDefault="004F04C3" w:rsidP="00146EBE">
      <w:pPr>
        <w:numPr>
          <w:ilvl w:val="0"/>
          <w:numId w:val="34"/>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Informacija o Inicijativi Savjeta stranih investitora za eliminisanje barijera za razvoj elektronskih servisa u privatnom sektoru, Ministarstvo finansija;</w:t>
      </w:r>
    </w:p>
    <w:p w:rsidR="004F04C3" w:rsidRPr="004F04C3" w:rsidRDefault="004F04C3" w:rsidP="00146EBE">
      <w:pPr>
        <w:numPr>
          <w:ilvl w:val="0"/>
          <w:numId w:val="34"/>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Izvještaj o uključenosti privatnog sektora u proces izrade zakona za prvi kvartal 2020. godine, Sekretarijat Savjeta za konkurentnost;</w:t>
      </w:r>
    </w:p>
    <w:p w:rsidR="004F04C3" w:rsidRPr="004F04C3" w:rsidRDefault="004F04C3" w:rsidP="00146EBE">
      <w:pPr>
        <w:numPr>
          <w:ilvl w:val="0"/>
          <w:numId w:val="34"/>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Izvještaj o uključenosti privatnog sektora u donošenje propisa na lokalnom nivou za 2019. godinu, Sekretarijat Savjeta za konkurentnost;</w:t>
      </w:r>
    </w:p>
    <w:p w:rsidR="004F04C3" w:rsidRPr="004F04C3" w:rsidRDefault="004F04C3" w:rsidP="00146EBE">
      <w:pPr>
        <w:numPr>
          <w:ilvl w:val="0"/>
          <w:numId w:val="34"/>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Inicijativa za uspostavljanje registra fiskalnih i parafiskalnih nameta na nacionalnom nivou, Unija poslodavaca Crne Gore;</w:t>
      </w:r>
    </w:p>
    <w:p w:rsidR="004F04C3" w:rsidRPr="004F04C3" w:rsidRDefault="004F04C3" w:rsidP="00146EBE">
      <w:pPr>
        <w:numPr>
          <w:ilvl w:val="0"/>
          <w:numId w:val="34"/>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Akcioni plan za unaprijeđenje poslovnog ambijenta (u izabranim oblastima), Ministarstvo finansija;</w:t>
      </w:r>
    </w:p>
    <w:p w:rsidR="004F04C3" w:rsidRPr="004F04C3" w:rsidRDefault="004F04C3" w:rsidP="00146EBE">
      <w:pPr>
        <w:numPr>
          <w:ilvl w:val="0"/>
          <w:numId w:val="34"/>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Informacija o pozicioniranju Crne Gore u Indeksu ekonomskih sloboda 2020, Heritidž fondacija, Ministarstvo finansija;</w:t>
      </w:r>
    </w:p>
    <w:p w:rsidR="004F04C3" w:rsidRPr="004F04C3" w:rsidRDefault="004F04C3" w:rsidP="00146EBE">
      <w:pPr>
        <w:numPr>
          <w:ilvl w:val="0"/>
          <w:numId w:val="34"/>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Informacija o pozicioniranju Crne Gore u Indeksu percepcije korupcije 2020, Transparency international, Ministarstvo finansija;</w:t>
      </w:r>
    </w:p>
    <w:p w:rsidR="004F04C3" w:rsidRPr="004F04C3" w:rsidRDefault="004F04C3" w:rsidP="00146EBE">
      <w:pPr>
        <w:numPr>
          <w:ilvl w:val="0"/>
          <w:numId w:val="34"/>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Informacija o ocjeni kreditnog rejtinga Crne Gore od strane rejting agencije Standard &amp; Poor's i Moody's, Ministarstvo finansija;</w:t>
      </w:r>
    </w:p>
    <w:p w:rsidR="004F04C3" w:rsidRPr="004F04C3" w:rsidRDefault="004F04C3" w:rsidP="00146EBE">
      <w:pPr>
        <w:numPr>
          <w:ilvl w:val="0"/>
          <w:numId w:val="34"/>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Izvještaj o uključenosti privatnog sektora u proces izrade zakona za drugi kvartal 2020. godine, Sekretarijat Savjeta za konkurentnost;</w:t>
      </w:r>
    </w:p>
    <w:p w:rsidR="004F04C3" w:rsidRPr="004F04C3" w:rsidRDefault="004F04C3" w:rsidP="00146EBE">
      <w:pPr>
        <w:numPr>
          <w:ilvl w:val="0"/>
          <w:numId w:val="34"/>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Izvještaj o kvalitetu primjene analize uticaja propisa (RIA obrasca) u Crnoj Gori za 2019. godinu, Ministarstvo finansija;</w:t>
      </w:r>
    </w:p>
    <w:p w:rsidR="004F04C3" w:rsidRPr="004F04C3" w:rsidRDefault="004F04C3" w:rsidP="00146EBE">
      <w:pPr>
        <w:numPr>
          <w:ilvl w:val="0"/>
          <w:numId w:val="34"/>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Informacija o statusu realizacije uspostavljanja registra nameta, Sekretarijat Savjeta za konkurentnost;</w:t>
      </w:r>
    </w:p>
    <w:p w:rsidR="004F04C3" w:rsidRPr="004F04C3" w:rsidRDefault="004F04C3" w:rsidP="00146EBE">
      <w:pPr>
        <w:numPr>
          <w:ilvl w:val="0"/>
          <w:numId w:val="34"/>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lastRenderedPageBreak/>
        <w:t>Izvještaj o realizaciji Programa ekonomskih reformi za Crnu Goru 2020 - 2022. godina, Ministarstvo finansija.</w:t>
      </w:r>
    </w:p>
    <w:p w:rsidR="004F04C3" w:rsidRPr="004F04C3" w:rsidRDefault="004F04C3" w:rsidP="004F04C3">
      <w:pPr>
        <w:spacing w:before="0" w:after="0" w:line="240" w:lineRule="auto"/>
        <w:contextualSpacing/>
        <w:rPr>
          <w:rFonts w:ascii="Calibri" w:eastAsia="Times New Roman" w:hAnsi="Calibri" w:cs="Calibri"/>
          <w:noProof/>
          <w:szCs w:val="24"/>
          <w:lang w:eastAsia="sr-Latn-CS"/>
        </w:rPr>
      </w:pPr>
    </w:p>
    <w:p w:rsidR="004F04C3" w:rsidRPr="004F04C3" w:rsidRDefault="004F04C3" w:rsidP="00146EBE">
      <w:pPr>
        <w:numPr>
          <w:ilvl w:val="0"/>
          <w:numId w:val="17"/>
        </w:numPr>
        <w:spacing w:before="0" w:after="200" w:line="240" w:lineRule="auto"/>
        <w:contextualSpacing/>
        <w:jc w:val="left"/>
        <w:rPr>
          <w:rFonts w:ascii="Calibri" w:eastAsia="Calibri" w:hAnsi="Calibri" w:cs="Arial"/>
          <w:b/>
          <w:color w:val="000000"/>
          <w:szCs w:val="24"/>
        </w:rPr>
      </w:pPr>
      <w:r w:rsidRPr="004F04C3">
        <w:rPr>
          <w:rFonts w:ascii="Calibri" w:eastAsia="Calibri" w:hAnsi="Calibri" w:cs="Arial"/>
          <w:b/>
          <w:color w:val="000000"/>
          <w:szCs w:val="24"/>
        </w:rPr>
        <w:t>PROGRAM CERTIFIKACIJE OPŠTINA PO MJERI PRIVREDE U JUGOISTOČNOJ EVROPI</w:t>
      </w:r>
    </w:p>
    <w:p w:rsidR="004F04C3" w:rsidRPr="004F04C3" w:rsidRDefault="004F04C3" w:rsidP="004F04C3">
      <w:pPr>
        <w:spacing w:before="0" w:after="0" w:line="240" w:lineRule="auto"/>
        <w:ind w:firstLine="360"/>
        <w:rPr>
          <w:rFonts w:ascii="Calibri" w:eastAsia="Calibri" w:hAnsi="Calibri" w:cs="Times New Roman"/>
          <w:szCs w:val="24"/>
          <w:lang w:val="es-MX"/>
        </w:rPr>
      </w:pPr>
      <w:r w:rsidRPr="004F04C3">
        <w:rPr>
          <w:rFonts w:ascii="Calibri" w:eastAsia="Calibri" w:hAnsi="Calibri" w:cs="Cambria"/>
          <w:szCs w:val="24"/>
          <w:lang w:val="es-MX"/>
        </w:rPr>
        <w:t>Crna Gora je pristupila Programu certifikacije opština po mjeri privrede u jugoistočnoj Evropi (BFC SE</w:t>
      </w:r>
      <w:r w:rsidRPr="004F04C3">
        <w:rPr>
          <w:rFonts w:ascii="Calibri" w:eastAsia="Calibri" w:hAnsi="Calibri" w:cs="Times New Roman"/>
          <w:szCs w:val="24"/>
          <w:lang w:val="es-MX"/>
        </w:rPr>
        <w:t>E), u maju 2016. godine. Vlada Crne Gore je odabrala 6 opština (Glavni grad Podgorica, Danilovgrad, Budva, Cetinje, Žabljak i Bijelo Polje), koje će učestvovati u pilot projektu i po tom osnovu izdvojila 50.000 eura, kako opštine ne bi imale dodatni trošak i kako bi bile motivisane da uspješno ispune kriterijume za dobijanje certifikata. Glavni Grad Podgorica, uz Tivat, Danilovgrad, Bijelo Polje, Žabljak i Cetinje su prve crnogorske lokalne samouprave uključene u pilot fazu Programa. Program certifikacije daje opštinama jasne smjernice o tome kako da kreiraju dobru poslovnu klimu i uvedu međunarodno priznate standarde efikasne i transparentne lokalne administracije. Od septembra 2017. godine aktivno se radilo na realizaciji projekta certifikovanja opština i u tom cilju održane su obuke za opštine, na kojima su predstavljene dalje obaveze opština u ovom procesu. Tokom 2018. godine sve opštine su potpisale ugovore/sporazume o otpočinjanju procesa certifikacije sa opštinama. Od 11. marta 2019. godine crnogorske opštine su otpočele fazu evaluacije odnosno od tog datuma imale su 60 dana da dostave dokaznu dokumentaciju kako bi evaluatori ocijenili poslovno okruženje, te dali preporuke za unaprijeđenje ambijenta po mjeri privrede (BFC SEE standard).</w:t>
      </w:r>
    </w:p>
    <w:p w:rsidR="004F04C3" w:rsidRPr="004F04C3" w:rsidRDefault="004F04C3" w:rsidP="004F04C3">
      <w:pPr>
        <w:spacing w:before="0" w:after="0" w:line="240" w:lineRule="auto"/>
        <w:ind w:firstLine="360"/>
        <w:rPr>
          <w:rFonts w:ascii="Calibri" w:eastAsia="Calibri" w:hAnsi="Calibri" w:cs="Times New Roman"/>
          <w:szCs w:val="24"/>
          <w:lang w:val="es-MX"/>
        </w:rPr>
      </w:pPr>
      <w:r w:rsidRPr="004F04C3">
        <w:rPr>
          <w:rFonts w:ascii="Calibri" w:eastAsia="Calibri" w:hAnsi="Calibri" w:cs="Times New Roman"/>
          <w:szCs w:val="24"/>
          <w:lang w:val="es-MX"/>
        </w:rPr>
        <w:t>Opština Bijelo Polje je prva JLS u Crnoj Gori, koja je oktobra 2019. godine uspješno završila proces i ispunila sve kriterijume za sticanje regionalnog BFC SEE certifikata čime je stekla status lokalne samouprave sa povoljnim poslovnim okruženjem u jugoistočnoj Evropi. U rekordnom roku od sedam mjeseci uspjela je da ispuni sve uslove standarda dobre javne uprave, čime je pokazala proaktivan pristup u savladavanju izazova sa kojima se susreće. Opština Bijelo Polje je primjer lokalne administracije u službi građana i privrede, u kojoj svi zainteresovani subjekti koji obavljaju poslovne aktivnosti mogu pronaći pouzdanog partnera. Pored opštine Bijelo Polje, opštine Žabljak i Danilovgrad su ispunile sve kriterijume za sticanje regionalnog BFC SEE certifikata i stekle status lokalne samouprave sa povoljnim poslovnim okruženjem u jugoistočnoj Evropi.</w:t>
      </w:r>
    </w:p>
    <w:p w:rsidR="004F04C3" w:rsidRPr="004F04C3" w:rsidRDefault="004F04C3" w:rsidP="004F04C3">
      <w:pPr>
        <w:spacing w:before="0" w:after="0" w:line="240" w:lineRule="auto"/>
        <w:rPr>
          <w:rFonts w:ascii="Calibri" w:eastAsia="Times New Roman" w:hAnsi="Calibri" w:cs="Arial"/>
          <w:b/>
          <w:color w:val="000000"/>
          <w:szCs w:val="24"/>
          <w:lang w:val="es-MX" w:eastAsia="en-GB"/>
        </w:rPr>
      </w:pPr>
    </w:p>
    <w:p w:rsidR="004F04C3" w:rsidRPr="004F04C3" w:rsidRDefault="004F04C3" w:rsidP="00146EBE">
      <w:pPr>
        <w:numPr>
          <w:ilvl w:val="0"/>
          <w:numId w:val="17"/>
        </w:numPr>
        <w:spacing w:before="0" w:after="0" w:line="240" w:lineRule="auto"/>
        <w:contextualSpacing/>
        <w:jc w:val="left"/>
        <w:rPr>
          <w:rFonts w:ascii="Calibri" w:eastAsia="Times New Roman" w:hAnsi="Calibri" w:cs="Arial"/>
          <w:b/>
          <w:color w:val="000000"/>
          <w:szCs w:val="24"/>
          <w:lang w:val="en-GB" w:eastAsia="en-GB"/>
        </w:rPr>
      </w:pPr>
      <w:r w:rsidRPr="004F04C3">
        <w:rPr>
          <w:rFonts w:ascii="Calibri" w:eastAsia="Times New Roman" w:hAnsi="Calibri" w:cs="Arial"/>
          <w:b/>
          <w:color w:val="000000"/>
          <w:szCs w:val="24"/>
          <w:lang w:val="en-GB" w:eastAsia="en-GB"/>
        </w:rPr>
        <w:t>eLICENCE</w:t>
      </w:r>
    </w:p>
    <w:p w:rsidR="004F04C3" w:rsidRPr="004F04C3" w:rsidRDefault="004F04C3" w:rsidP="004F04C3">
      <w:pPr>
        <w:spacing w:before="0" w:after="0" w:line="240" w:lineRule="auto"/>
        <w:rPr>
          <w:rFonts w:ascii="Calibri" w:eastAsia="Times New Roman" w:hAnsi="Calibri" w:cs="Times New Roman"/>
          <w:szCs w:val="24"/>
          <w:lang w:val="es-MX"/>
        </w:rPr>
      </w:pPr>
      <w:r w:rsidRPr="004F04C3">
        <w:rPr>
          <w:rFonts w:ascii="Calibri" w:eastAsia="Times New Roman" w:hAnsi="Calibri" w:cs="Times New Roman"/>
          <w:color w:val="FF0000"/>
          <w:szCs w:val="24"/>
          <w:lang w:val="en-US"/>
        </w:rPr>
        <w:tab/>
      </w:r>
      <w:r w:rsidRPr="004F04C3">
        <w:rPr>
          <w:rFonts w:ascii="Calibri" w:eastAsia="Times New Roman" w:hAnsi="Calibri" w:cs="Times New Roman"/>
          <w:szCs w:val="24"/>
          <w:lang w:val="en-US"/>
        </w:rPr>
        <w:t xml:space="preserve">Za pristup uslugama na državnom i lokalnom nivou uspostavljen je portal e-Uprave u formi jedinstvene tačke - “sve na jednom mjestu”. U cilju unaprijeđenja usluga dostupnih na ovom portalu, kontinuirano se radi na obezbjeđivanju što većeg broja usluga koji će biti dostupni građanima i privredi. </w:t>
      </w:r>
      <w:r w:rsidRPr="004F04C3">
        <w:rPr>
          <w:rFonts w:ascii="Calibri" w:eastAsia="Times New Roman" w:hAnsi="Calibri" w:cs="Times New Roman"/>
          <w:szCs w:val="24"/>
          <w:lang w:val="es-MX"/>
        </w:rPr>
        <w:t xml:space="preserve">Shodno tome, ukupan broj e-usluga na portalu e-uprave je </w:t>
      </w:r>
      <w:r w:rsidRPr="004F04C3">
        <w:rPr>
          <w:rFonts w:ascii="Calibri" w:eastAsia="Times New Roman" w:hAnsi="Calibri" w:cs="Times New Roman"/>
          <w:b/>
          <w:szCs w:val="24"/>
          <w:lang w:val="es-MX"/>
        </w:rPr>
        <w:t>582</w:t>
      </w:r>
      <w:r w:rsidRPr="004F04C3">
        <w:rPr>
          <w:rFonts w:ascii="Calibri" w:eastAsia="Times New Roman" w:hAnsi="Calibri" w:cs="Times New Roman"/>
          <w:szCs w:val="24"/>
          <w:lang w:val="es-MX"/>
        </w:rPr>
        <w:t xml:space="preserve"> iz nadležnosti </w:t>
      </w:r>
      <w:r w:rsidRPr="004F04C3">
        <w:rPr>
          <w:rFonts w:ascii="Calibri" w:eastAsia="Times New Roman" w:hAnsi="Calibri" w:cs="Times New Roman"/>
          <w:b/>
          <w:szCs w:val="24"/>
          <w:lang w:val="es-MX"/>
        </w:rPr>
        <w:t>50</w:t>
      </w:r>
      <w:r w:rsidRPr="004F04C3">
        <w:rPr>
          <w:rFonts w:ascii="Calibri" w:eastAsia="Times New Roman" w:hAnsi="Calibri" w:cs="Times New Roman"/>
          <w:szCs w:val="24"/>
          <w:lang w:val="es-MX"/>
        </w:rPr>
        <w:t xml:space="preserve"> institucija. Od navedenog broja ukupnih e-usluga na portalu 356 se odnosi na usluge za pravna lica, </w:t>
      </w:r>
      <w:r w:rsidRPr="004F04C3">
        <w:rPr>
          <w:rFonts w:ascii="Calibri" w:eastAsia="Times New Roman" w:hAnsi="Calibri" w:cs="Times New Roman"/>
          <w:b/>
          <w:szCs w:val="24"/>
          <w:lang w:val="es-MX"/>
        </w:rPr>
        <w:t>201</w:t>
      </w:r>
      <w:r w:rsidRPr="004F04C3">
        <w:rPr>
          <w:rFonts w:ascii="Calibri" w:eastAsia="Times New Roman" w:hAnsi="Calibri" w:cs="Times New Roman"/>
          <w:szCs w:val="24"/>
          <w:lang w:val="es-MX"/>
        </w:rPr>
        <w:t xml:space="preserve"> za fizička i </w:t>
      </w:r>
      <w:r w:rsidRPr="004F04C3">
        <w:rPr>
          <w:rFonts w:ascii="Calibri" w:eastAsia="Times New Roman" w:hAnsi="Calibri" w:cs="Times New Roman"/>
          <w:b/>
          <w:szCs w:val="24"/>
          <w:lang w:val="es-MX"/>
        </w:rPr>
        <w:t>25</w:t>
      </w:r>
      <w:r w:rsidRPr="004F04C3">
        <w:rPr>
          <w:rFonts w:ascii="Calibri" w:eastAsia="Times New Roman" w:hAnsi="Calibri" w:cs="Times New Roman"/>
          <w:szCs w:val="24"/>
          <w:lang w:val="es-MX"/>
        </w:rPr>
        <w:t xml:space="preserve"> za upravu. </w:t>
      </w:r>
    </w:p>
    <w:p w:rsidR="004F04C3" w:rsidRPr="004F04C3" w:rsidRDefault="004F04C3" w:rsidP="004F04C3">
      <w:pPr>
        <w:spacing w:before="0" w:after="0" w:line="240" w:lineRule="auto"/>
        <w:ind w:firstLine="360"/>
        <w:rPr>
          <w:rFonts w:ascii="Calibri" w:eastAsia="Times New Roman" w:hAnsi="Calibri" w:cs="Times New Roman"/>
          <w:szCs w:val="24"/>
          <w:lang w:val="es-MX"/>
        </w:rPr>
      </w:pPr>
      <w:r w:rsidRPr="004F04C3">
        <w:rPr>
          <w:rFonts w:ascii="Calibri" w:eastAsia="Times New Roman" w:hAnsi="Calibri" w:cs="Times New Roman"/>
          <w:szCs w:val="24"/>
          <w:lang w:val="es-MX"/>
        </w:rPr>
        <w:t xml:space="preserve">Takođe, na portalu e-uprave kreiran je poseban modul eLicence – koji obuhvata biznis licenciranje, u cilju transparentnog informisanja zainteresovanih lica o svim administrativnim procedurama za dobijanje i obnavljanje licenci za obavljanje privredne djelatnosti, objavi neophodnih formulara, uz mogućnost elektronskog podnošenja zahtjeva za dobijanje biznis licenci. Trenutno je na portalu e-Uprave, u dijelu e-Licence 10, evidentirano </w:t>
      </w:r>
      <w:r w:rsidRPr="004F04C3">
        <w:rPr>
          <w:rFonts w:ascii="Calibri" w:eastAsia="Times New Roman" w:hAnsi="Calibri" w:cs="Times New Roman"/>
          <w:b/>
          <w:szCs w:val="24"/>
          <w:lang w:val="es-MX"/>
        </w:rPr>
        <w:t>355</w:t>
      </w:r>
      <w:r w:rsidRPr="004F04C3">
        <w:rPr>
          <w:rFonts w:ascii="Calibri" w:eastAsia="Times New Roman" w:hAnsi="Calibri" w:cs="Times New Roman"/>
          <w:szCs w:val="24"/>
          <w:lang w:val="es-MX"/>
        </w:rPr>
        <w:t xml:space="preserve"> elektronskih licenci, koje izdaje </w:t>
      </w:r>
      <w:r w:rsidRPr="004F04C3">
        <w:rPr>
          <w:rFonts w:ascii="Calibri" w:eastAsia="Times New Roman" w:hAnsi="Calibri" w:cs="Times New Roman"/>
          <w:b/>
          <w:szCs w:val="24"/>
          <w:lang w:val="es-MX"/>
        </w:rPr>
        <w:t>26</w:t>
      </w:r>
      <w:r w:rsidRPr="004F04C3">
        <w:rPr>
          <w:rFonts w:ascii="Calibri" w:eastAsia="Times New Roman" w:hAnsi="Calibri" w:cs="Times New Roman"/>
          <w:szCs w:val="24"/>
          <w:lang w:val="es-MX"/>
        </w:rPr>
        <w:t xml:space="preserve"> institucija, od čega je </w:t>
      </w:r>
      <w:r w:rsidRPr="004F04C3">
        <w:rPr>
          <w:rFonts w:ascii="Calibri" w:eastAsia="Times New Roman" w:hAnsi="Calibri" w:cs="Times New Roman"/>
          <w:b/>
          <w:szCs w:val="24"/>
          <w:lang w:val="es-MX"/>
        </w:rPr>
        <w:t>10</w:t>
      </w:r>
      <w:r w:rsidRPr="004F04C3">
        <w:rPr>
          <w:rFonts w:ascii="Calibri" w:eastAsia="Times New Roman" w:hAnsi="Calibri" w:cs="Times New Roman"/>
          <w:szCs w:val="24"/>
          <w:lang w:val="es-MX"/>
        </w:rPr>
        <w:t xml:space="preserve"> licenci namijenjeno za organe državne uprave, </w:t>
      </w:r>
      <w:r w:rsidRPr="004F04C3">
        <w:rPr>
          <w:rFonts w:ascii="Calibri" w:eastAsia="Times New Roman" w:hAnsi="Calibri" w:cs="Times New Roman"/>
          <w:b/>
          <w:szCs w:val="24"/>
          <w:lang w:val="es-MX"/>
        </w:rPr>
        <w:t>295</w:t>
      </w:r>
      <w:r w:rsidRPr="004F04C3">
        <w:rPr>
          <w:rFonts w:ascii="Calibri" w:eastAsia="Times New Roman" w:hAnsi="Calibri" w:cs="Times New Roman"/>
          <w:szCs w:val="24"/>
          <w:lang w:val="es-MX"/>
        </w:rPr>
        <w:t xml:space="preserve"> za pravna lica, </w:t>
      </w:r>
      <w:r w:rsidRPr="004F04C3">
        <w:rPr>
          <w:rFonts w:ascii="Calibri" w:eastAsia="Times New Roman" w:hAnsi="Calibri" w:cs="Times New Roman"/>
          <w:b/>
          <w:szCs w:val="24"/>
          <w:lang w:val="es-MX"/>
        </w:rPr>
        <w:t>50</w:t>
      </w:r>
      <w:r w:rsidRPr="004F04C3">
        <w:rPr>
          <w:rFonts w:ascii="Calibri" w:eastAsia="Times New Roman" w:hAnsi="Calibri" w:cs="Times New Roman"/>
          <w:szCs w:val="24"/>
          <w:lang w:val="es-MX"/>
        </w:rPr>
        <w:t xml:space="preserve"> za fizička lica. Svi zainteresovani subjekti mogu dobiti neophodne informacije a za 253 licence se može pokrenuti elektronski zahtjev na posebnoj stranici portala e-uprave "e-Licence"</w:t>
      </w:r>
      <w:r w:rsidRPr="004F04C3">
        <w:rPr>
          <w:rFonts w:ascii="Calibri" w:eastAsia="Times New Roman" w:hAnsi="Calibri" w:cs="Times New Roman"/>
          <w:szCs w:val="24"/>
          <w:vertAlign w:val="superscript"/>
          <w:lang w:val="es-MX"/>
        </w:rPr>
        <w:footnoteReference w:id="7"/>
      </w:r>
      <w:r w:rsidRPr="004F04C3">
        <w:rPr>
          <w:rFonts w:ascii="Calibri" w:eastAsia="Times New Roman" w:hAnsi="Calibri" w:cs="Times New Roman"/>
          <w:szCs w:val="24"/>
          <w:lang w:val="es-MX"/>
        </w:rPr>
        <w:t xml:space="preserve">. </w:t>
      </w:r>
    </w:p>
    <w:p w:rsidR="004F04C3" w:rsidRPr="004F04C3" w:rsidRDefault="004F04C3" w:rsidP="004F04C3">
      <w:pPr>
        <w:spacing w:before="0" w:after="0" w:line="240" w:lineRule="auto"/>
        <w:ind w:firstLine="360"/>
        <w:rPr>
          <w:rFonts w:ascii="Calibri" w:eastAsia="Times New Roman" w:hAnsi="Calibri" w:cs="Times New Roman"/>
          <w:szCs w:val="24"/>
          <w:lang w:val="es-MX"/>
        </w:rPr>
      </w:pPr>
      <w:r w:rsidRPr="004F04C3">
        <w:rPr>
          <w:rFonts w:ascii="Calibri" w:eastAsia="Times New Roman" w:hAnsi="Calibri" w:cs="Times New Roman"/>
          <w:szCs w:val="24"/>
          <w:lang w:val="es-MX"/>
        </w:rPr>
        <w:t xml:space="preserve">Najveći broj licenci koje su dostupne na portalu e-uprave, ukoliko posmatramo sa aspekta nivoa sofisticiranosti, jesu licence koje imaju Nivo 1 (185), dok Nivo 2 imaju 145 licence. Zainteresovane strane će na ovaj način dobiti ažurirane informacije, preuzeti i formulare i i/ili cjelokupan proces </w:t>
      </w:r>
      <w:r w:rsidRPr="004F04C3">
        <w:rPr>
          <w:rFonts w:ascii="Calibri" w:eastAsia="Times New Roman" w:hAnsi="Calibri" w:cs="Times New Roman"/>
          <w:szCs w:val="24"/>
          <w:lang w:val="es-MX"/>
        </w:rPr>
        <w:lastRenderedPageBreak/>
        <w:t>završiti elektronskim putem. Elektronska usluga može biti različitog nivoa sofisticiranosti, u zavisnosti od spremnosti organa koji izdaje licencu da putem elektronskog portala cjelokupni postupak realizuje na ovaj način, tako što će obrađivač prihvatati i ujedno i obrađivati elektronski podnešene zahtjeve za dobijanje licenci, što je u skladu sa novim Zakonom o elektronskoj upravi („Službeni list Crne Gore”, br. 72/19) i Uredbom o načinu rada, sadržaju i upravljanju portalom elektronske uprave. Ono što je izuzetno bitno istaći je da je obrađivač dužan da obezbijedi tačnost i ažurnost informacija, obrazaca i procedura na portalu, kao i da se postupak dobijanja licence vrši u skladu sa procedurama u propisanim rokovima. Registar biznis licenci se nalazi na adresi: http://www.euprava.me/elicence1.</w:t>
      </w:r>
    </w:p>
    <w:p w:rsidR="004F04C3" w:rsidRPr="004F04C3" w:rsidRDefault="004F04C3" w:rsidP="004F04C3">
      <w:pPr>
        <w:spacing w:before="0" w:after="0" w:line="240" w:lineRule="auto"/>
        <w:rPr>
          <w:rFonts w:ascii="Calibri" w:eastAsia="Calibri" w:hAnsi="Calibri" w:cs="Arial"/>
          <w:color w:val="000000"/>
          <w:szCs w:val="24"/>
          <w:lang w:val="es-MX"/>
        </w:rPr>
      </w:pPr>
    </w:p>
    <w:p w:rsidR="004F04C3" w:rsidRPr="004F04C3" w:rsidRDefault="004F04C3" w:rsidP="00146EBE">
      <w:pPr>
        <w:numPr>
          <w:ilvl w:val="0"/>
          <w:numId w:val="17"/>
        </w:numPr>
        <w:spacing w:before="0" w:after="0" w:line="240" w:lineRule="auto"/>
        <w:contextualSpacing/>
        <w:jc w:val="left"/>
        <w:rPr>
          <w:rFonts w:ascii="Calibri" w:eastAsia="Times New Roman" w:hAnsi="Calibri" w:cs="Arial"/>
          <w:b/>
          <w:noProof/>
          <w:color w:val="000000"/>
          <w:szCs w:val="24"/>
          <w:lang w:val="en-US"/>
        </w:rPr>
      </w:pPr>
      <w:r w:rsidRPr="004F04C3">
        <w:rPr>
          <w:rFonts w:ascii="Calibri" w:eastAsia="Times New Roman" w:hAnsi="Calibri" w:cs="Arial"/>
          <w:b/>
          <w:noProof/>
          <w:color w:val="000000"/>
          <w:szCs w:val="24"/>
          <w:lang w:val="en-US"/>
        </w:rPr>
        <w:t>SMANJENJE NAKNADA I TAKSI</w:t>
      </w:r>
    </w:p>
    <w:p w:rsidR="004F04C3" w:rsidRPr="004F04C3" w:rsidRDefault="004F04C3" w:rsidP="004F04C3">
      <w:pPr>
        <w:spacing w:before="0" w:after="0" w:line="240" w:lineRule="auto"/>
        <w:ind w:firstLine="360"/>
        <w:rPr>
          <w:rFonts w:ascii="Calibri" w:eastAsia="Times New Roman" w:hAnsi="Calibri" w:cs="Times New Roman"/>
          <w:szCs w:val="24"/>
          <w:lang w:val="en-US"/>
        </w:rPr>
      </w:pPr>
      <w:r w:rsidRPr="004F04C3">
        <w:rPr>
          <w:rFonts w:ascii="Calibri" w:eastAsia="Times New Roman" w:hAnsi="Calibri" w:cs="Cambria"/>
          <w:szCs w:val="24"/>
          <w:lang w:val="en-US"/>
        </w:rPr>
        <w:t>Kako je Ministarstvo finansija bilo zaduženo da pripremi Predlog zakona o administrativn</w:t>
      </w:r>
      <w:r w:rsidRPr="004F04C3">
        <w:rPr>
          <w:rFonts w:ascii="Calibri" w:eastAsia="Times New Roman" w:hAnsi="Calibri" w:cs="Times New Roman"/>
          <w:szCs w:val="24"/>
          <w:lang w:val="en-US"/>
        </w:rPr>
        <w:t>im taksama i Predlog zakona o lokalnim komunalnim taksama, u martu 2019. godine isti su i uvojeni. Donošenju novog Zakona o administrativnim taksama pristupilo se u cilju ukidanja, objedinjavanja i smanjenja administrativnih taksi, a koje imaju direktnog uticaja na građane i privredu. U vezi sa tim, izvršeno je smanjenje 72 takse (11% od ukupnog broja), ukinuto 49 taksi (7%), dok nijedna taksa nije povećana. Novim Zakonom o lokalnim komunalnim taksama, ukinuto je devet osnova za utvrđivanje taksi, dok je ukupno tri zadržano uz utvrđivanje limita za njihovu visinu. Navedeni zakoni predviđaju obavezu da lokalne zajednice usaglase svoje podzakonske akte, što podrazumijeva da se odluke o lokalnim komunalnim taksama i odluke o lokalnim aministrativnim taksama usklade sa važećim zakonima do 31. jula uz pribavljanje saglasnosti Vlade.</w:t>
      </w:r>
    </w:p>
    <w:p w:rsidR="004F04C3" w:rsidRDefault="004F04C3" w:rsidP="004F04C3">
      <w:pPr>
        <w:spacing w:before="0" w:after="0" w:line="240" w:lineRule="auto"/>
        <w:ind w:firstLine="360"/>
        <w:rPr>
          <w:rFonts w:ascii="Calibri" w:eastAsia="Calibri" w:hAnsi="Calibri" w:cs="Arial"/>
          <w:szCs w:val="24"/>
          <w:lang w:val="en-US"/>
        </w:rPr>
      </w:pPr>
      <w:r w:rsidRPr="004F04C3">
        <w:rPr>
          <w:rFonts w:ascii="Calibri" w:eastAsia="Calibri" w:hAnsi="Calibri" w:cs="Arial"/>
          <w:noProof/>
          <w:szCs w:val="24"/>
          <w:lang w:eastAsia="sr-Latn-CS"/>
        </w:rPr>
        <w:t>Vlada Crne Gore je, tokom 2020. godine, dala saglasnost na Prijedlog odluke o lokalnim administrativnim taksama i Prijedlog odluke o lokalnim komunalnim taksama za sljedeće opštine:</w:t>
      </w:r>
      <w:r w:rsidRPr="004F04C3">
        <w:rPr>
          <w:rFonts w:ascii="Calibri" w:eastAsia="Calibri" w:hAnsi="Calibri" w:cs="Arial"/>
          <w:szCs w:val="24"/>
          <w:lang w:val="en-US"/>
        </w:rPr>
        <w:t xml:space="preserve"> Bar, Herceg Novi, Andrijevica, Kotor, Gusinje, Šavnik, Žabljak, Petnjica, Plav, Rožaje,  Berane, Pljevlja i Plužine.</w:t>
      </w:r>
    </w:p>
    <w:p w:rsidR="004F04C3" w:rsidRPr="004F04C3" w:rsidRDefault="004F04C3" w:rsidP="004F04C3">
      <w:pPr>
        <w:spacing w:before="0" w:after="0" w:line="240" w:lineRule="auto"/>
        <w:ind w:firstLine="360"/>
        <w:rPr>
          <w:rFonts w:ascii="Calibri" w:eastAsia="Calibri" w:hAnsi="Calibri" w:cs="Arial"/>
          <w:szCs w:val="24"/>
          <w:lang w:val="en-US"/>
        </w:rPr>
      </w:pPr>
    </w:p>
    <w:p w:rsidR="004F04C3" w:rsidRPr="004F04C3" w:rsidRDefault="004F04C3" w:rsidP="004F04C3">
      <w:pPr>
        <w:spacing w:before="0" w:after="0" w:line="240" w:lineRule="auto"/>
        <w:ind w:left="360"/>
        <w:rPr>
          <w:rFonts w:ascii="Calibri" w:eastAsia="Times New Roman" w:hAnsi="Calibri" w:cs="Calibri"/>
          <w:i/>
          <w:szCs w:val="24"/>
          <w:lang w:val="en-US"/>
        </w:rPr>
      </w:pPr>
      <w:r w:rsidRPr="004F04C3">
        <w:rPr>
          <w:rFonts w:ascii="Calibri" w:eastAsia="Times New Roman" w:hAnsi="Calibri" w:cs="Calibri"/>
          <w:i/>
          <w:szCs w:val="24"/>
          <w:lang w:val="en-US"/>
        </w:rPr>
        <w:t>Tabela 1: Saglasnost Vlade Crne Gore na Prijedloge odluka o lokalnim administrativnim taksama</w:t>
      </w:r>
    </w:p>
    <w:tbl>
      <w:tblPr>
        <w:tblW w:w="8628" w:type="dxa"/>
        <w:tblInd w:w="375" w:type="dxa"/>
        <w:tblCellMar>
          <w:left w:w="0" w:type="dxa"/>
          <w:right w:w="0" w:type="dxa"/>
        </w:tblCellMar>
        <w:tblLook w:val="04A0" w:firstRow="1" w:lastRow="0" w:firstColumn="1" w:lastColumn="0" w:noHBand="0" w:noVBand="1"/>
      </w:tblPr>
      <w:tblGrid>
        <w:gridCol w:w="475"/>
        <w:gridCol w:w="1145"/>
        <w:gridCol w:w="768"/>
        <w:gridCol w:w="1033"/>
        <w:gridCol w:w="803"/>
        <w:gridCol w:w="876"/>
        <w:gridCol w:w="929"/>
        <w:gridCol w:w="660"/>
        <w:gridCol w:w="937"/>
        <w:gridCol w:w="1617"/>
      </w:tblGrid>
      <w:tr w:rsidR="004F04C3" w:rsidRPr="004F04C3" w:rsidTr="004F04C3">
        <w:trPr>
          <w:trHeight w:val="1173"/>
        </w:trPr>
        <w:tc>
          <w:tcPr>
            <w:tcW w:w="474"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b/>
                <w:bCs/>
                <w:noProof/>
                <w:sz w:val="22"/>
                <w:lang w:eastAsia="sr-Latn-CS"/>
              </w:rPr>
              <w:t>Rb.</w:t>
            </w:r>
          </w:p>
        </w:tc>
        <w:tc>
          <w:tcPr>
            <w:tcW w:w="107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b/>
                <w:bCs/>
                <w:noProof/>
                <w:sz w:val="22"/>
                <w:lang w:eastAsia="sr-Latn-CS"/>
              </w:rPr>
            </w:pPr>
            <w:r w:rsidRPr="004F04C3">
              <w:rPr>
                <w:rFonts w:eastAsia="Times New Roman" w:cs="Arial"/>
                <w:b/>
                <w:bCs/>
                <w:noProof/>
                <w:sz w:val="22"/>
                <w:lang w:eastAsia="sr-Latn-CS"/>
              </w:rPr>
              <w:t>Opština</w:t>
            </w:r>
          </w:p>
        </w:tc>
        <w:tc>
          <w:tcPr>
            <w:tcW w:w="759"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b/>
                <w:bCs/>
                <w:noProof/>
                <w:sz w:val="22"/>
                <w:lang w:eastAsia="sr-Latn-CS"/>
              </w:rPr>
            </w:pPr>
            <w:r w:rsidRPr="004F04C3">
              <w:rPr>
                <w:rFonts w:eastAsia="Times New Roman" w:cs="Arial"/>
                <w:b/>
                <w:bCs/>
                <w:noProof/>
                <w:sz w:val="22"/>
                <w:lang w:eastAsia="sr-Latn-CS"/>
              </w:rPr>
              <w:t>Važeća odluka /Nova odluka</w:t>
            </w:r>
          </w:p>
        </w:tc>
        <w:tc>
          <w:tcPr>
            <w:tcW w:w="999"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b/>
                <w:bCs/>
                <w:noProof/>
                <w:sz w:val="22"/>
                <w:lang w:eastAsia="sr-Latn-CS"/>
              </w:rPr>
            </w:pPr>
            <w:r w:rsidRPr="004F04C3">
              <w:rPr>
                <w:rFonts w:eastAsia="Times New Roman" w:cs="Arial"/>
                <w:b/>
                <w:bCs/>
                <w:noProof/>
                <w:sz w:val="22"/>
                <w:lang w:eastAsia="sr-Latn-CS"/>
              </w:rPr>
              <w:t>Efekat smanjenja</w:t>
            </w:r>
          </w:p>
        </w:tc>
        <w:tc>
          <w:tcPr>
            <w:tcW w:w="794"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b/>
                <w:bCs/>
                <w:noProof/>
                <w:sz w:val="22"/>
                <w:lang w:eastAsia="sr-Latn-CS"/>
              </w:rPr>
            </w:pPr>
            <w:r w:rsidRPr="004F04C3">
              <w:rPr>
                <w:rFonts w:eastAsia="Times New Roman" w:cs="Arial"/>
                <w:b/>
                <w:bCs/>
                <w:noProof/>
                <w:sz w:val="22"/>
                <w:lang w:eastAsia="sr-Latn-CS"/>
              </w:rPr>
              <w:t>Broj taksi koji je ukinut u odnosu na važeću odluku</w:t>
            </w:r>
          </w:p>
        </w:tc>
        <w:tc>
          <w:tcPr>
            <w:tcW w:w="839"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b/>
                <w:bCs/>
                <w:noProof/>
                <w:sz w:val="22"/>
                <w:lang w:eastAsia="sr-Latn-CS"/>
              </w:rPr>
            </w:pPr>
            <w:r w:rsidRPr="004F04C3">
              <w:rPr>
                <w:rFonts w:eastAsia="Times New Roman" w:cs="Arial"/>
                <w:b/>
                <w:bCs/>
                <w:noProof/>
                <w:sz w:val="22"/>
                <w:lang w:eastAsia="sr-Latn-CS"/>
              </w:rPr>
              <w:t>% ukinutih taksi u odnosu na važeću odluku</w:t>
            </w:r>
          </w:p>
        </w:tc>
        <w:tc>
          <w:tcPr>
            <w:tcW w:w="91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b/>
                <w:bCs/>
                <w:noProof/>
                <w:sz w:val="22"/>
                <w:lang w:eastAsia="sr-Latn-CS"/>
              </w:rPr>
            </w:pPr>
            <w:r w:rsidRPr="004F04C3">
              <w:rPr>
                <w:rFonts w:eastAsia="Times New Roman" w:cs="Arial"/>
                <w:b/>
                <w:bCs/>
                <w:noProof/>
                <w:sz w:val="22"/>
                <w:lang w:eastAsia="sr-Latn-CS"/>
              </w:rPr>
              <w:t>Broj taksi čiji iznosi su povećani u odnosu na važeću odluku</w:t>
            </w:r>
          </w:p>
        </w:tc>
        <w:tc>
          <w:tcPr>
            <w:tcW w:w="643"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b/>
                <w:bCs/>
                <w:noProof/>
                <w:sz w:val="22"/>
                <w:lang w:eastAsia="sr-Latn-CS"/>
              </w:rPr>
            </w:pPr>
            <w:r w:rsidRPr="004F04C3">
              <w:rPr>
                <w:rFonts w:eastAsia="Times New Roman" w:cs="Arial"/>
                <w:b/>
                <w:bCs/>
                <w:noProof/>
                <w:sz w:val="22"/>
                <w:lang w:eastAsia="sr-Latn-CS"/>
              </w:rPr>
              <w:t>Broj novih taksi</w:t>
            </w:r>
          </w:p>
        </w:tc>
        <w:tc>
          <w:tcPr>
            <w:tcW w:w="91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b/>
                <w:bCs/>
                <w:noProof/>
                <w:sz w:val="22"/>
                <w:lang w:eastAsia="sr-Latn-CS"/>
              </w:rPr>
            </w:pPr>
            <w:r w:rsidRPr="004F04C3">
              <w:rPr>
                <w:rFonts w:eastAsia="Times New Roman" w:cs="Arial"/>
                <w:b/>
                <w:bCs/>
                <w:noProof/>
                <w:sz w:val="22"/>
                <w:lang w:eastAsia="sr-Latn-CS"/>
              </w:rPr>
              <w:t>Broj taksi čiji iznosi su smanjeni u odnosu na važeću odluku</w:t>
            </w:r>
          </w:p>
        </w:tc>
        <w:tc>
          <w:tcPr>
            <w:tcW w:w="123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b/>
                <w:bCs/>
                <w:noProof/>
                <w:sz w:val="22"/>
                <w:lang w:eastAsia="sr-Latn-CS"/>
              </w:rPr>
            </w:pPr>
            <w:r w:rsidRPr="004F04C3">
              <w:rPr>
                <w:rFonts w:eastAsia="Times New Roman" w:cs="Arial"/>
                <w:b/>
                <w:bCs/>
                <w:noProof/>
                <w:sz w:val="22"/>
                <w:lang w:eastAsia="sr-Latn-CS"/>
              </w:rPr>
              <w:t>Prosječno procentualno smanjenje  iznosa taksi</w:t>
            </w:r>
          </w:p>
        </w:tc>
      </w:tr>
      <w:tr w:rsidR="004F04C3" w:rsidRPr="004F04C3" w:rsidTr="004F04C3">
        <w:trPr>
          <w:trHeight w:val="262"/>
        </w:trPr>
        <w:tc>
          <w:tcPr>
            <w:tcW w:w="474"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b/>
                <w:bCs/>
                <w:noProof/>
                <w:sz w:val="22"/>
                <w:lang w:eastAsia="sr-Latn-CS"/>
              </w:rPr>
              <w:t>1.</w:t>
            </w:r>
          </w:p>
        </w:tc>
        <w:tc>
          <w:tcPr>
            <w:tcW w:w="107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Tuzi</w:t>
            </w:r>
          </w:p>
        </w:tc>
        <w:tc>
          <w:tcPr>
            <w:tcW w:w="75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75/45</w:t>
            </w:r>
          </w:p>
        </w:tc>
        <w:tc>
          <w:tcPr>
            <w:tcW w:w="99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30 taksi (40,00%)</w:t>
            </w:r>
          </w:p>
        </w:tc>
        <w:tc>
          <w:tcPr>
            <w:tcW w:w="794"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31</w:t>
            </w:r>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41,33%</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w:t>
            </w:r>
          </w:p>
        </w:tc>
        <w:tc>
          <w:tcPr>
            <w:tcW w:w="643"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1</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17</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54,00% za 17 taksi</w:t>
            </w:r>
          </w:p>
        </w:tc>
      </w:tr>
      <w:tr w:rsidR="004F04C3" w:rsidRPr="004F04C3" w:rsidTr="004F04C3">
        <w:trPr>
          <w:trHeight w:val="262"/>
        </w:trPr>
        <w:tc>
          <w:tcPr>
            <w:tcW w:w="474"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b/>
                <w:bCs/>
                <w:noProof/>
                <w:sz w:val="22"/>
                <w:lang w:eastAsia="sr-Latn-CS"/>
              </w:rPr>
              <w:t>2.</w:t>
            </w:r>
          </w:p>
        </w:tc>
        <w:tc>
          <w:tcPr>
            <w:tcW w:w="107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Danilovgrad</w:t>
            </w:r>
          </w:p>
        </w:tc>
        <w:tc>
          <w:tcPr>
            <w:tcW w:w="75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51/26</w:t>
            </w:r>
          </w:p>
        </w:tc>
        <w:tc>
          <w:tcPr>
            <w:tcW w:w="99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25 taksi (49,02%)</w:t>
            </w:r>
          </w:p>
        </w:tc>
        <w:tc>
          <w:tcPr>
            <w:tcW w:w="794"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35</w:t>
            </w:r>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68,63%</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w:t>
            </w:r>
          </w:p>
        </w:tc>
        <w:tc>
          <w:tcPr>
            <w:tcW w:w="643"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10</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12</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43,47% za 12 taksi</w:t>
            </w:r>
          </w:p>
        </w:tc>
      </w:tr>
      <w:tr w:rsidR="004F04C3" w:rsidRPr="004F04C3" w:rsidTr="004F04C3">
        <w:trPr>
          <w:trHeight w:val="525"/>
        </w:trPr>
        <w:tc>
          <w:tcPr>
            <w:tcW w:w="474"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b/>
                <w:bCs/>
                <w:noProof/>
                <w:sz w:val="22"/>
                <w:lang w:eastAsia="sr-Latn-CS"/>
              </w:rPr>
              <w:t>3.</w:t>
            </w:r>
          </w:p>
        </w:tc>
        <w:tc>
          <w:tcPr>
            <w:tcW w:w="107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Prijestonica Cetinje</w:t>
            </w:r>
          </w:p>
        </w:tc>
        <w:tc>
          <w:tcPr>
            <w:tcW w:w="75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50/42</w:t>
            </w:r>
          </w:p>
        </w:tc>
        <w:tc>
          <w:tcPr>
            <w:tcW w:w="99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8 taksi (16,00%)</w:t>
            </w:r>
          </w:p>
        </w:tc>
        <w:tc>
          <w:tcPr>
            <w:tcW w:w="794"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16</w:t>
            </w:r>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32,00%</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w:t>
            </w:r>
          </w:p>
        </w:tc>
        <w:tc>
          <w:tcPr>
            <w:tcW w:w="643"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8</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11</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40,77% za 11 taksi</w:t>
            </w:r>
          </w:p>
        </w:tc>
      </w:tr>
      <w:tr w:rsidR="004F04C3" w:rsidRPr="004F04C3" w:rsidTr="004F04C3">
        <w:trPr>
          <w:trHeight w:val="262"/>
        </w:trPr>
        <w:tc>
          <w:tcPr>
            <w:tcW w:w="474"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b/>
                <w:bCs/>
                <w:noProof/>
                <w:sz w:val="22"/>
                <w:lang w:eastAsia="sr-Latn-CS"/>
              </w:rPr>
              <w:t>4.</w:t>
            </w:r>
          </w:p>
        </w:tc>
        <w:tc>
          <w:tcPr>
            <w:tcW w:w="107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Bijelo Polje</w:t>
            </w:r>
          </w:p>
        </w:tc>
        <w:tc>
          <w:tcPr>
            <w:tcW w:w="75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81/28</w:t>
            </w:r>
          </w:p>
        </w:tc>
        <w:tc>
          <w:tcPr>
            <w:tcW w:w="99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53 takse (65,43%)</w:t>
            </w:r>
          </w:p>
        </w:tc>
        <w:tc>
          <w:tcPr>
            <w:tcW w:w="794"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59</w:t>
            </w:r>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77,77%</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1</w:t>
            </w:r>
          </w:p>
        </w:tc>
        <w:tc>
          <w:tcPr>
            <w:tcW w:w="643"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6</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13</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45,5% za 13 taksi</w:t>
            </w:r>
          </w:p>
        </w:tc>
      </w:tr>
      <w:tr w:rsidR="004F04C3" w:rsidRPr="004F04C3" w:rsidTr="004F04C3">
        <w:trPr>
          <w:trHeight w:val="262"/>
        </w:trPr>
        <w:tc>
          <w:tcPr>
            <w:tcW w:w="474"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b/>
                <w:bCs/>
                <w:noProof/>
                <w:sz w:val="22"/>
                <w:lang w:eastAsia="sr-Latn-CS"/>
              </w:rPr>
              <w:t>5.</w:t>
            </w:r>
          </w:p>
        </w:tc>
        <w:tc>
          <w:tcPr>
            <w:tcW w:w="107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Kolašin</w:t>
            </w:r>
          </w:p>
        </w:tc>
        <w:tc>
          <w:tcPr>
            <w:tcW w:w="75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52/36</w:t>
            </w:r>
          </w:p>
        </w:tc>
        <w:tc>
          <w:tcPr>
            <w:tcW w:w="99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16 taksi (30,76%)</w:t>
            </w:r>
          </w:p>
        </w:tc>
        <w:tc>
          <w:tcPr>
            <w:tcW w:w="794"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22</w:t>
            </w:r>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46,15%</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5</w:t>
            </w:r>
          </w:p>
        </w:tc>
        <w:tc>
          <w:tcPr>
            <w:tcW w:w="643"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6</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15</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41,20% za 15 taksi</w:t>
            </w:r>
          </w:p>
        </w:tc>
      </w:tr>
      <w:tr w:rsidR="004F04C3" w:rsidRPr="004F04C3" w:rsidTr="004F04C3">
        <w:trPr>
          <w:trHeight w:val="262"/>
        </w:trPr>
        <w:tc>
          <w:tcPr>
            <w:tcW w:w="474"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b/>
                <w:bCs/>
                <w:noProof/>
                <w:sz w:val="22"/>
                <w:lang w:eastAsia="sr-Latn-CS"/>
              </w:rPr>
              <w:t>6.</w:t>
            </w:r>
          </w:p>
        </w:tc>
        <w:tc>
          <w:tcPr>
            <w:tcW w:w="107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Mojkovac</w:t>
            </w:r>
          </w:p>
        </w:tc>
        <w:tc>
          <w:tcPr>
            <w:tcW w:w="75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50/24</w:t>
            </w:r>
          </w:p>
        </w:tc>
        <w:tc>
          <w:tcPr>
            <w:tcW w:w="99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26 taksi (52,00%)</w:t>
            </w:r>
          </w:p>
        </w:tc>
        <w:tc>
          <w:tcPr>
            <w:tcW w:w="794"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30</w:t>
            </w:r>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60,00%</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w:t>
            </w:r>
          </w:p>
        </w:tc>
        <w:tc>
          <w:tcPr>
            <w:tcW w:w="643"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4</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7</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34,77% za 7 taksi</w:t>
            </w:r>
          </w:p>
        </w:tc>
      </w:tr>
      <w:tr w:rsidR="004F04C3" w:rsidRPr="004F04C3" w:rsidTr="004F04C3">
        <w:trPr>
          <w:trHeight w:val="285"/>
        </w:trPr>
        <w:tc>
          <w:tcPr>
            <w:tcW w:w="474"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b/>
                <w:bCs/>
                <w:noProof/>
                <w:sz w:val="22"/>
                <w:lang w:eastAsia="sr-Latn-CS"/>
              </w:rPr>
              <w:lastRenderedPageBreak/>
              <w:t>7.</w:t>
            </w:r>
          </w:p>
        </w:tc>
        <w:tc>
          <w:tcPr>
            <w:tcW w:w="107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Glavni grad Podgorica</w:t>
            </w:r>
          </w:p>
        </w:tc>
        <w:tc>
          <w:tcPr>
            <w:tcW w:w="75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81/53</w:t>
            </w:r>
          </w:p>
        </w:tc>
        <w:tc>
          <w:tcPr>
            <w:tcW w:w="99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28 taksi (34,56%)</w:t>
            </w:r>
          </w:p>
        </w:tc>
        <w:tc>
          <w:tcPr>
            <w:tcW w:w="794"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36</w:t>
            </w:r>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44,44%</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w:t>
            </w:r>
          </w:p>
        </w:tc>
        <w:tc>
          <w:tcPr>
            <w:tcW w:w="643"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8</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18</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37,65% za 18 taksi</w:t>
            </w:r>
          </w:p>
        </w:tc>
      </w:tr>
      <w:tr w:rsidR="004F04C3" w:rsidRPr="004F04C3" w:rsidTr="004F04C3">
        <w:trPr>
          <w:trHeight w:val="285"/>
        </w:trPr>
        <w:tc>
          <w:tcPr>
            <w:tcW w:w="474"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b/>
                <w:bCs/>
                <w:noProof/>
                <w:sz w:val="22"/>
                <w:lang w:eastAsia="sr-Latn-CS"/>
              </w:rPr>
              <w:t>8.</w:t>
            </w:r>
          </w:p>
        </w:tc>
        <w:tc>
          <w:tcPr>
            <w:tcW w:w="107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Nikšić</w:t>
            </w:r>
          </w:p>
        </w:tc>
        <w:tc>
          <w:tcPr>
            <w:tcW w:w="75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50/46</w:t>
            </w:r>
          </w:p>
        </w:tc>
        <w:tc>
          <w:tcPr>
            <w:tcW w:w="99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4 takse (8,00%)</w:t>
            </w:r>
          </w:p>
        </w:tc>
        <w:tc>
          <w:tcPr>
            <w:tcW w:w="794"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19</w:t>
            </w:r>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38,00%</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1</w:t>
            </w:r>
          </w:p>
        </w:tc>
        <w:tc>
          <w:tcPr>
            <w:tcW w:w="643"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15</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5</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41,66% za 5 taksi</w:t>
            </w:r>
          </w:p>
        </w:tc>
      </w:tr>
      <w:tr w:rsidR="004F04C3" w:rsidRPr="004F04C3" w:rsidTr="004F04C3">
        <w:trPr>
          <w:trHeight w:val="285"/>
        </w:trPr>
        <w:tc>
          <w:tcPr>
            <w:tcW w:w="474"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b/>
                <w:bCs/>
                <w:noProof/>
                <w:sz w:val="22"/>
                <w:lang w:eastAsia="sr-Latn-CS"/>
              </w:rPr>
              <w:t>9.</w:t>
            </w:r>
          </w:p>
        </w:tc>
        <w:tc>
          <w:tcPr>
            <w:tcW w:w="107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Bar</w:t>
            </w:r>
          </w:p>
        </w:tc>
        <w:tc>
          <w:tcPr>
            <w:tcW w:w="75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59/37</w:t>
            </w:r>
          </w:p>
        </w:tc>
        <w:tc>
          <w:tcPr>
            <w:tcW w:w="99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22 takse (37,28%)</w:t>
            </w:r>
          </w:p>
        </w:tc>
        <w:tc>
          <w:tcPr>
            <w:tcW w:w="794"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34</w:t>
            </w:r>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57,62%</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w:t>
            </w:r>
          </w:p>
        </w:tc>
        <w:tc>
          <w:tcPr>
            <w:tcW w:w="643"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12</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3</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35,00% za 3 takse</w:t>
            </w:r>
          </w:p>
        </w:tc>
      </w:tr>
      <w:tr w:rsidR="004F04C3" w:rsidRPr="004F04C3" w:rsidTr="004F04C3">
        <w:trPr>
          <w:trHeight w:val="301"/>
        </w:trPr>
        <w:tc>
          <w:tcPr>
            <w:tcW w:w="474"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b/>
                <w:bCs/>
                <w:noProof/>
                <w:sz w:val="22"/>
                <w:lang w:eastAsia="sr-Latn-CS"/>
              </w:rPr>
              <w:t>10.</w:t>
            </w:r>
          </w:p>
        </w:tc>
        <w:tc>
          <w:tcPr>
            <w:tcW w:w="107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Herceg Novi</w:t>
            </w:r>
          </w:p>
        </w:tc>
        <w:tc>
          <w:tcPr>
            <w:tcW w:w="75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87/58</w:t>
            </w:r>
          </w:p>
        </w:tc>
        <w:tc>
          <w:tcPr>
            <w:tcW w:w="99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sz w:val="22"/>
                <w:lang w:val="en-US"/>
              </w:rPr>
            </w:pPr>
            <w:r w:rsidRPr="004F04C3">
              <w:rPr>
                <w:rFonts w:eastAsia="Times New Roman" w:cs="Arial"/>
                <w:sz w:val="22"/>
                <w:lang w:val="en-US"/>
              </w:rPr>
              <w:t>29 taksi</w:t>
            </w:r>
          </w:p>
          <w:p w:rsidR="004F04C3" w:rsidRPr="004F04C3" w:rsidRDefault="004F04C3" w:rsidP="004F04C3">
            <w:pPr>
              <w:spacing w:before="0" w:after="0" w:line="240" w:lineRule="auto"/>
              <w:jc w:val="center"/>
              <w:rPr>
                <w:rFonts w:eastAsia="Times New Roman" w:cs="Arial"/>
                <w:sz w:val="22"/>
                <w:lang w:val="en-US"/>
              </w:rPr>
            </w:pPr>
            <w:r w:rsidRPr="004F04C3">
              <w:rPr>
                <w:rFonts w:eastAsia="Times New Roman" w:cs="Arial"/>
                <w:sz w:val="22"/>
                <w:lang w:val="en-US"/>
              </w:rPr>
              <w:t>(33,33%)</w:t>
            </w:r>
          </w:p>
        </w:tc>
        <w:tc>
          <w:tcPr>
            <w:tcW w:w="794"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42</w:t>
            </w:r>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48,27%</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w:t>
            </w:r>
          </w:p>
        </w:tc>
        <w:tc>
          <w:tcPr>
            <w:tcW w:w="643"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13</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19</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58,82% za 19 taksi</w:t>
            </w:r>
          </w:p>
        </w:tc>
      </w:tr>
      <w:tr w:rsidR="004F04C3" w:rsidRPr="004F04C3" w:rsidTr="004F04C3">
        <w:trPr>
          <w:trHeight w:val="285"/>
        </w:trPr>
        <w:tc>
          <w:tcPr>
            <w:tcW w:w="474"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b/>
                <w:bCs/>
                <w:noProof/>
                <w:sz w:val="22"/>
                <w:lang w:eastAsia="sr-Latn-CS"/>
              </w:rPr>
              <w:t>11.</w:t>
            </w:r>
          </w:p>
        </w:tc>
        <w:tc>
          <w:tcPr>
            <w:tcW w:w="107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Andrijevica</w:t>
            </w:r>
          </w:p>
        </w:tc>
        <w:tc>
          <w:tcPr>
            <w:tcW w:w="75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65/40</w:t>
            </w:r>
          </w:p>
        </w:tc>
        <w:tc>
          <w:tcPr>
            <w:tcW w:w="99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sz w:val="22"/>
                <w:lang w:val="en-US"/>
              </w:rPr>
            </w:pPr>
            <w:r w:rsidRPr="004F04C3">
              <w:rPr>
                <w:rFonts w:eastAsia="Times New Roman" w:cs="Arial"/>
                <w:sz w:val="22"/>
                <w:lang w:val="en-US"/>
              </w:rPr>
              <w:t>25 taksi</w:t>
            </w:r>
          </w:p>
          <w:p w:rsidR="004F04C3" w:rsidRPr="004F04C3" w:rsidRDefault="004F04C3" w:rsidP="004F04C3">
            <w:pPr>
              <w:spacing w:before="0" w:after="0" w:line="240" w:lineRule="auto"/>
              <w:jc w:val="center"/>
              <w:rPr>
                <w:rFonts w:eastAsia="Times New Roman" w:cs="Arial"/>
                <w:sz w:val="22"/>
                <w:lang w:val="en-US"/>
              </w:rPr>
            </w:pPr>
            <w:r w:rsidRPr="004F04C3">
              <w:rPr>
                <w:rFonts w:eastAsia="Times New Roman" w:cs="Arial"/>
                <w:sz w:val="22"/>
                <w:lang w:val="en-US"/>
              </w:rPr>
              <w:t>38,46%</w:t>
            </w:r>
          </w:p>
        </w:tc>
        <w:tc>
          <w:tcPr>
            <w:tcW w:w="794"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41</w:t>
            </w:r>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63.07%</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2</w:t>
            </w:r>
          </w:p>
        </w:tc>
        <w:tc>
          <w:tcPr>
            <w:tcW w:w="643"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16</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8</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36,45% za 8 taksi</w:t>
            </w:r>
          </w:p>
        </w:tc>
      </w:tr>
      <w:tr w:rsidR="004F04C3" w:rsidRPr="004F04C3" w:rsidTr="004F04C3">
        <w:trPr>
          <w:trHeight w:val="285"/>
        </w:trPr>
        <w:tc>
          <w:tcPr>
            <w:tcW w:w="474"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b/>
                <w:bCs/>
                <w:noProof/>
                <w:sz w:val="22"/>
                <w:lang w:eastAsia="sr-Latn-CS"/>
              </w:rPr>
              <w:t>12.</w:t>
            </w:r>
          </w:p>
        </w:tc>
        <w:tc>
          <w:tcPr>
            <w:tcW w:w="107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Kotor</w:t>
            </w:r>
          </w:p>
        </w:tc>
        <w:tc>
          <w:tcPr>
            <w:tcW w:w="75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37/33</w:t>
            </w:r>
          </w:p>
        </w:tc>
        <w:tc>
          <w:tcPr>
            <w:tcW w:w="99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sz w:val="22"/>
                <w:lang w:val="en-US"/>
              </w:rPr>
            </w:pPr>
            <w:r w:rsidRPr="004F04C3">
              <w:rPr>
                <w:rFonts w:eastAsia="Times New Roman" w:cs="Arial"/>
                <w:sz w:val="22"/>
                <w:lang w:val="en-US"/>
              </w:rPr>
              <w:t>4 takse</w:t>
            </w:r>
          </w:p>
          <w:p w:rsidR="004F04C3" w:rsidRPr="004F04C3" w:rsidRDefault="004F04C3" w:rsidP="004F04C3">
            <w:pPr>
              <w:spacing w:before="0" w:after="0" w:line="240" w:lineRule="auto"/>
              <w:jc w:val="center"/>
              <w:rPr>
                <w:rFonts w:eastAsia="Times New Roman" w:cs="Arial"/>
                <w:sz w:val="22"/>
                <w:lang w:val="en-US"/>
              </w:rPr>
            </w:pPr>
            <w:r w:rsidRPr="004F04C3">
              <w:rPr>
                <w:rFonts w:eastAsia="Times New Roman" w:cs="Arial"/>
                <w:sz w:val="22"/>
                <w:lang w:val="en-US"/>
              </w:rPr>
              <w:t>(10,81%)</w:t>
            </w:r>
          </w:p>
        </w:tc>
        <w:tc>
          <w:tcPr>
            <w:tcW w:w="794"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15</w:t>
            </w:r>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40,54%</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w:t>
            </w:r>
          </w:p>
        </w:tc>
        <w:tc>
          <w:tcPr>
            <w:tcW w:w="643"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11</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14</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47,44% za 14 taksi</w:t>
            </w:r>
          </w:p>
        </w:tc>
      </w:tr>
      <w:tr w:rsidR="004F04C3" w:rsidRPr="004F04C3" w:rsidTr="004F04C3">
        <w:trPr>
          <w:trHeight w:val="285"/>
        </w:trPr>
        <w:tc>
          <w:tcPr>
            <w:tcW w:w="474"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b/>
                <w:bCs/>
                <w:noProof/>
                <w:sz w:val="22"/>
                <w:lang w:eastAsia="sr-Latn-CS"/>
              </w:rPr>
              <w:t>13.</w:t>
            </w:r>
          </w:p>
        </w:tc>
        <w:tc>
          <w:tcPr>
            <w:tcW w:w="107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Šavnik</w:t>
            </w:r>
          </w:p>
        </w:tc>
        <w:tc>
          <w:tcPr>
            <w:tcW w:w="75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70/32</w:t>
            </w:r>
          </w:p>
        </w:tc>
        <w:tc>
          <w:tcPr>
            <w:tcW w:w="99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sz w:val="22"/>
                <w:lang w:val="en-US"/>
              </w:rPr>
            </w:pPr>
            <w:r w:rsidRPr="004F04C3">
              <w:rPr>
                <w:rFonts w:eastAsia="Times New Roman" w:cs="Arial"/>
                <w:sz w:val="22"/>
                <w:lang w:val="en-US"/>
              </w:rPr>
              <w:t>38 taksi</w:t>
            </w:r>
          </w:p>
          <w:p w:rsidR="004F04C3" w:rsidRPr="004F04C3" w:rsidRDefault="004F04C3" w:rsidP="004F04C3">
            <w:pPr>
              <w:spacing w:before="0" w:after="0" w:line="240" w:lineRule="auto"/>
              <w:jc w:val="center"/>
              <w:rPr>
                <w:rFonts w:eastAsia="Times New Roman" w:cs="Arial"/>
                <w:sz w:val="22"/>
                <w:lang w:val="en-US"/>
              </w:rPr>
            </w:pPr>
            <w:r w:rsidRPr="004F04C3">
              <w:rPr>
                <w:rFonts w:eastAsia="Times New Roman" w:cs="Arial"/>
                <w:sz w:val="22"/>
                <w:lang w:val="en-US"/>
              </w:rPr>
              <w:t>(54,28%)</w:t>
            </w:r>
          </w:p>
        </w:tc>
        <w:tc>
          <w:tcPr>
            <w:tcW w:w="794"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45</w:t>
            </w:r>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64,28%</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w:t>
            </w:r>
          </w:p>
        </w:tc>
        <w:tc>
          <w:tcPr>
            <w:tcW w:w="643"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7</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12</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43,63% za 12 taksi</w:t>
            </w:r>
          </w:p>
        </w:tc>
      </w:tr>
      <w:tr w:rsidR="004F04C3" w:rsidRPr="004F04C3" w:rsidTr="004F04C3">
        <w:trPr>
          <w:trHeight w:val="285"/>
        </w:trPr>
        <w:tc>
          <w:tcPr>
            <w:tcW w:w="474"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b/>
                <w:bCs/>
                <w:noProof/>
                <w:sz w:val="22"/>
                <w:lang w:eastAsia="sr-Latn-CS"/>
              </w:rPr>
              <w:t>14.</w:t>
            </w:r>
          </w:p>
        </w:tc>
        <w:tc>
          <w:tcPr>
            <w:tcW w:w="107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Žabljak</w:t>
            </w:r>
          </w:p>
        </w:tc>
        <w:tc>
          <w:tcPr>
            <w:tcW w:w="75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82/33</w:t>
            </w:r>
          </w:p>
        </w:tc>
        <w:tc>
          <w:tcPr>
            <w:tcW w:w="99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sz w:val="22"/>
                <w:lang w:val="en-US"/>
              </w:rPr>
            </w:pPr>
            <w:r w:rsidRPr="004F04C3">
              <w:rPr>
                <w:rFonts w:eastAsia="Times New Roman" w:cs="Arial"/>
                <w:sz w:val="22"/>
                <w:lang w:val="en-US"/>
              </w:rPr>
              <w:t>49 taksi</w:t>
            </w:r>
          </w:p>
          <w:p w:rsidR="004F04C3" w:rsidRPr="004F04C3" w:rsidRDefault="004F04C3" w:rsidP="004F04C3">
            <w:pPr>
              <w:spacing w:before="0" w:after="0" w:line="240" w:lineRule="auto"/>
              <w:jc w:val="center"/>
              <w:rPr>
                <w:rFonts w:eastAsia="Times New Roman" w:cs="Arial"/>
                <w:sz w:val="22"/>
                <w:lang w:val="en-US"/>
              </w:rPr>
            </w:pPr>
            <w:r w:rsidRPr="004F04C3">
              <w:rPr>
                <w:rFonts w:eastAsia="Times New Roman" w:cs="Arial"/>
                <w:sz w:val="22"/>
                <w:lang w:val="en-US"/>
              </w:rPr>
              <w:t>(59,76)</w:t>
            </w:r>
          </w:p>
        </w:tc>
        <w:tc>
          <w:tcPr>
            <w:tcW w:w="794"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54</w:t>
            </w:r>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   65,85</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w:t>
            </w:r>
          </w:p>
        </w:tc>
        <w:tc>
          <w:tcPr>
            <w:tcW w:w="643"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5</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12</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48,33 % za 12 taksi</w:t>
            </w:r>
          </w:p>
        </w:tc>
      </w:tr>
      <w:tr w:rsidR="004F04C3" w:rsidRPr="004F04C3" w:rsidTr="004F04C3">
        <w:trPr>
          <w:trHeight w:val="285"/>
        </w:trPr>
        <w:tc>
          <w:tcPr>
            <w:tcW w:w="474"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b/>
                <w:bCs/>
                <w:noProof/>
                <w:sz w:val="22"/>
                <w:lang w:eastAsia="sr-Latn-CS"/>
              </w:rPr>
              <w:t>15.</w:t>
            </w:r>
          </w:p>
        </w:tc>
        <w:tc>
          <w:tcPr>
            <w:tcW w:w="107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Petnjica</w:t>
            </w:r>
          </w:p>
        </w:tc>
        <w:tc>
          <w:tcPr>
            <w:tcW w:w="75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69/57</w:t>
            </w:r>
          </w:p>
        </w:tc>
        <w:tc>
          <w:tcPr>
            <w:tcW w:w="99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sz w:val="22"/>
                <w:lang w:val="en-US"/>
              </w:rPr>
            </w:pPr>
            <w:r w:rsidRPr="004F04C3">
              <w:rPr>
                <w:rFonts w:eastAsia="Times New Roman" w:cs="Arial"/>
                <w:sz w:val="22"/>
                <w:lang w:val="en-US"/>
              </w:rPr>
              <w:t>12 taksi</w:t>
            </w:r>
          </w:p>
          <w:p w:rsidR="004F04C3" w:rsidRPr="004F04C3" w:rsidRDefault="004F04C3" w:rsidP="004F04C3">
            <w:pPr>
              <w:spacing w:before="0" w:after="0" w:line="240" w:lineRule="auto"/>
              <w:jc w:val="center"/>
              <w:rPr>
                <w:rFonts w:eastAsia="Times New Roman" w:cs="Arial"/>
                <w:sz w:val="22"/>
                <w:lang w:val="en-US"/>
              </w:rPr>
            </w:pPr>
            <w:r w:rsidRPr="004F04C3">
              <w:rPr>
                <w:rFonts w:eastAsia="Times New Roman" w:cs="Arial"/>
                <w:sz w:val="22"/>
                <w:lang w:val="en-US"/>
              </w:rPr>
              <w:t>(17,39%)</w:t>
            </w:r>
          </w:p>
        </w:tc>
        <w:tc>
          <w:tcPr>
            <w:tcW w:w="794"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29</w:t>
            </w:r>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42,02%</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w:t>
            </w:r>
          </w:p>
        </w:tc>
        <w:tc>
          <w:tcPr>
            <w:tcW w:w="643"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17</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18</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46,88% za 18 taksi</w:t>
            </w:r>
          </w:p>
        </w:tc>
      </w:tr>
      <w:tr w:rsidR="004F04C3" w:rsidRPr="004F04C3" w:rsidTr="004F04C3">
        <w:trPr>
          <w:trHeight w:val="285"/>
        </w:trPr>
        <w:tc>
          <w:tcPr>
            <w:tcW w:w="474"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b/>
                <w:bCs/>
                <w:noProof/>
                <w:sz w:val="22"/>
                <w:lang w:eastAsia="sr-Latn-CS"/>
              </w:rPr>
              <w:t>16.</w:t>
            </w:r>
          </w:p>
        </w:tc>
        <w:tc>
          <w:tcPr>
            <w:tcW w:w="107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Gusinje</w:t>
            </w:r>
          </w:p>
        </w:tc>
        <w:tc>
          <w:tcPr>
            <w:tcW w:w="75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81/49</w:t>
            </w:r>
          </w:p>
        </w:tc>
        <w:tc>
          <w:tcPr>
            <w:tcW w:w="99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sz w:val="22"/>
                <w:lang w:val="en-US"/>
              </w:rPr>
            </w:pPr>
            <w:r w:rsidRPr="004F04C3">
              <w:rPr>
                <w:rFonts w:eastAsia="Times New Roman" w:cs="Arial"/>
                <w:sz w:val="22"/>
                <w:lang w:val="en-US"/>
              </w:rPr>
              <w:t>32 takse</w:t>
            </w:r>
          </w:p>
          <w:p w:rsidR="004F04C3" w:rsidRPr="004F04C3" w:rsidRDefault="004F04C3" w:rsidP="004F04C3">
            <w:pPr>
              <w:spacing w:before="0" w:after="0" w:line="240" w:lineRule="auto"/>
              <w:jc w:val="center"/>
              <w:rPr>
                <w:rFonts w:eastAsia="Times New Roman" w:cs="Arial"/>
                <w:sz w:val="22"/>
                <w:lang w:val="en-US"/>
              </w:rPr>
            </w:pPr>
            <w:r w:rsidRPr="004F04C3">
              <w:rPr>
                <w:rFonts w:eastAsia="Times New Roman" w:cs="Arial"/>
                <w:sz w:val="22"/>
                <w:lang w:val="en-US"/>
              </w:rPr>
              <w:t>(39,50%)</w:t>
            </w:r>
          </w:p>
        </w:tc>
        <w:tc>
          <w:tcPr>
            <w:tcW w:w="794"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55</w:t>
            </w:r>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67,90%</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1</w:t>
            </w:r>
          </w:p>
        </w:tc>
        <w:tc>
          <w:tcPr>
            <w:tcW w:w="643"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23</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11</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45,45% za 11 taksi</w:t>
            </w:r>
          </w:p>
        </w:tc>
      </w:tr>
      <w:tr w:rsidR="004F04C3" w:rsidRPr="004F04C3" w:rsidTr="004F04C3">
        <w:trPr>
          <w:trHeight w:val="285"/>
        </w:trPr>
        <w:tc>
          <w:tcPr>
            <w:tcW w:w="474"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b/>
                <w:bCs/>
                <w:noProof/>
                <w:sz w:val="22"/>
                <w:lang w:eastAsia="sr-Latn-CS"/>
              </w:rPr>
            </w:pPr>
            <w:r w:rsidRPr="004F04C3">
              <w:rPr>
                <w:rFonts w:eastAsia="Times New Roman" w:cs="Arial"/>
                <w:b/>
                <w:bCs/>
                <w:noProof/>
                <w:sz w:val="22"/>
                <w:lang w:eastAsia="sr-Latn-CS"/>
              </w:rPr>
              <w:t>17.</w:t>
            </w:r>
          </w:p>
        </w:tc>
        <w:tc>
          <w:tcPr>
            <w:tcW w:w="107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Berane</w:t>
            </w:r>
          </w:p>
        </w:tc>
        <w:tc>
          <w:tcPr>
            <w:tcW w:w="75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76/36</w:t>
            </w:r>
          </w:p>
        </w:tc>
        <w:tc>
          <w:tcPr>
            <w:tcW w:w="99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sz w:val="22"/>
                <w:lang w:val="en-US"/>
              </w:rPr>
            </w:pPr>
            <w:r w:rsidRPr="004F04C3">
              <w:rPr>
                <w:rFonts w:eastAsia="Times New Roman" w:cs="Arial"/>
                <w:sz w:val="22"/>
                <w:lang w:val="en-US"/>
              </w:rPr>
              <w:t>40 taksi</w:t>
            </w:r>
          </w:p>
          <w:p w:rsidR="004F04C3" w:rsidRPr="004F04C3" w:rsidRDefault="004F04C3" w:rsidP="004F04C3">
            <w:pPr>
              <w:spacing w:before="0" w:after="0" w:line="240" w:lineRule="auto"/>
              <w:jc w:val="center"/>
              <w:rPr>
                <w:rFonts w:eastAsia="Times New Roman" w:cs="Arial"/>
                <w:sz w:val="22"/>
                <w:lang w:val="en-US"/>
              </w:rPr>
            </w:pPr>
            <w:r w:rsidRPr="004F04C3">
              <w:rPr>
                <w:rFonts w:eastAsia="Times New Roman" w:cs="Arial"/>
                <w:sz w:val="22"/>
                <w:lang w:val="en-US"/>
              </w:rPr>
              <w:t>(52,63%)</w:t>
            </w:r>
          </w:p>
        </w:tc>
        <w:tc>
          <w:tcPr>
            <w:tcW w:w="794"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49</w:t>
            </w:r>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64,47%</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w:t>
            </w:r>
          </w:p>
        </w:tc>
        <w:tc>
          <w:tcPr>
            <w:tcW w:w="643"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9</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12</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60,41% za 12 taksi</w:t>
            </w:r>
          </w:p>
        </w:tc>
      </w:tr>
      <w:tr w:rsidR="004F04C3" w:rsidRPr="004F04C3" w:rsidTr="004F04C3">
        <w:trPr>
          <w:trHeight w:val="285"/>
        </w:trPr>
        <w:tc>
          <w:tcPr>
            <w:tcW w:w="474"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b/>
                <w:bCs/>
                <w:noProof/>
                <w:sz w:val="22"/>
                <w:lang w:eastAsia="sr-Latn-CS"/>
              </w:rPr>
            </w:pPr>
            <w:r w:rsidRPr="004F04C3">
              <w:rPr>
                <w:rFonts w:eastAsia="Times New Roman" w:cs="Arial"/>
                <w:b/>
                <w:bCs/>
                <w:noProof/>
                <w:sz w:val="22"/>
                <w:lang w:eastAsia="sr-Latn-CS"/>
              </w:rPr>
              <w:t>18.</w:t>
            </w:r>
          </w:p>
        </w:tc>
        <w:tc>
          <w:tcPr>
            <w:tcW w:w="107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Plav</w:t>
            </w:r>
          </w:p>
        </w:tc>
        <w:tc>
          <w:tcPr>
            <w:tcW w:w="75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90/51</w:t>
            </w:r>
          </w:p>
        </w:tc>
        <w:tc>
          <w:tcPr>
            <w:tcW w:w="99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sz w:val="22"/>
                <w:lang w:val="en-US"/>
              </w:rPr>
            </w:pPr>
            <w:r w:rsidRPr="004F04C3">
              <w:rPr>
                <w:rFonts w:eastAsia="Times New Roman" w:cs="Arial"/>
                <w:sz w:val="22"/>
                <w:lang w:val="en-US"/>
              </w:rPr>
              <w:t>39 taksi</w:t>
            </w:r>
          </w:p>
          <w:p w:rsidR="004F04C3" w:rsidRPr="004F04C3" w:rsidRDefault="004F04C3" w:rsidP="004F04C3">
            <w:pPr>
              <w:spacing w:before="0" w:after="0" w:line="240" w:lineRule="auto"/>
              <w:jc w:val="center"/>
              <w:rPr>
                <w:rFonts w:eastAsia="Times New Roman" w:cs="Arial"/>
                <w:sz w:val="22"/>
                <w:lang w:val="en-US"/>
              </w:rPr>
            </w:pPr>
            <w:r w:rsidRPr="004F04C3">
              <w:rPr>
                <w:rFonts w:eastAsia="Times New Roman" w:cs="Arial"/>
                <w:sz w:val="22"/>
                <w:lang w:val="en-US"/>
              </w:rPr>
              <w:t>(43,33%)</w:t>
            </w:r>
          </w:p>
        </w:tc>
        <w:tc>
          <w:tcPr>
            <w:tcW w:w="794"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61</w:t>
            </w:r>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67,77%</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1</w:t>
            </w:r>
          </w:p>
        </w:tc>
        <w:tc>
          <w:tcPr>
            <w:tcW w:w="643"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22</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17</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37,84% za 17 taksi</w:t>
            </w:r>
          </w:p>
        </w:tc>
      </w:tr>
      <w:tr w:rsidR="004F04C3" w:rsidRPr="004F04C3" w:rsidTr="004F04C3">
        <w:trPr>
          <w:trHeight w:val="285"/>
        </w:trPr>
        <w:tc>
          <w:tcPr>
            <w:tcW w:w="474"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b/>
                <w:bCs/>
                <w:noProof/>
                <w:sz w:val="22"/>
                <w:lang w:eastAsia="sr-Latn-CS"/>
              </w:rPr>
            </w:pPr>
            <w:r w:rsidRPr="004F04C3">
              <w:rPr>
                <w:rFonts w:eastAsia="Times New Roman" w:cs="Arial"/>
                <w:b/>
                <w:bCs/>
                <w:noProof/>
                <w:sz w:val="22"/>
                <w:lang w:eastAsia="sr-Latn-CS"/>
              </w:rPr>
              <w:t>19.</w:t>
            </w:r>
          </w:p>
        </w:tc>
        <w:tc>
          <w:tcPr>
            <w:tcW w:w="107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Rožaje</w:t>
            </w:r>
          </w:p>
        </w:tc>
        <w:tc>
          <w:tcPr>
            <w:tcW w:w="75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59/41</w:t>
            </w:r>
          </w:p>
        </w:tc>
        <w:tc>
          <w:tcPr>
            <w:tcW w:w="99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sz w:val="22"/>
                <w:lang w:val="en-US"/>
              </w:rPr>
            </w:pPr>
            <w:r w:rsidRPr="004F04C3">
              <w:rPr>
                <w:rFonts w:eastAsia="Times New Roman" w:cs="Arial"/>
                <w:sz w:val="22"/>
                <w:lang w:val="en-US"/>
              </w:rPr>
              <w:t>18 taksi</w:t>
            </w:r>
          </w:p>
          <w:p w:rsidR="004F04C3" w:rsidRPr="004F04C3" w:rsidRDefault="004F04C3" w:rsidP="004F04C3">
            <w:pPr>
              <w:spacing w:before="0" w:after="0" w:line="240" w:lineRule="auto"/>
              <w:jc w:val="center"/>
              <w:rPr>
                <w:rFonts w:eastAsia="Times New Roman" w:cs="Arial"/>
                <w:sz w:val="22"/>
                <w:lang w:val="en-US"/>
              </w:rPr>
            </w:pPr>
            <w:r w:rsidRPr="004F04C3">
              <w:rPr>
                <w:rFonts w:eastAsia="Times New Roman" w:cs="Arial"/>
                <w:sz w:val="22"/>
                <w:lang w:val="en-US"/>
              </w:rPr>
              <w:t>(30,50%)</w:t>
            </w:r>
          </w:p>
        </w:tc>
        <w:tc>
          <w:tcPr>
            <w:tcW w:w="794"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34</w:t>
            </w:r>
          </w:p>
        </w:tc>
        <w:tc>
          <w:tcPr>
            <w:tcW w:w="839"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57,62%</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1</w:t>
            </w:r>
          </w:p>
        </w:tc>
        <w:tc>
          <w:tcPr>
            <w:tcW w:w="643"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16</w:t>
            </w:r>
          </w:p>
        </w:tc>
        <w:tc>
          <w:tcPr>
            <w:tcW w:w="91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15</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42,50% za 15 taksi</w:t>
            </w:r>
          </w:p>
        </w:tc>
      </w:tr>
      <w:tr w:rsidR="004F04C3" w:rsidRPr="004F04C3" w:rsidTr="004F04C3">
        <w:trPr>
          <w:trHeight w:val="285"/>
        </w:trPr>
        <w:tc>
          <w:tcPr>
            <w:tcW w:w="474"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b/>
                <w:bCs/>
                <w:noProof/>
                <w:sz w:val="22"/>
                <w:lang w:eastAsia="sr-Latn-CS"/>
              </w:rPr>
            </w:pPr>
            <w:r w:rsidRPr="004F04C3">
              <w:rPr>
                <w:rFonts w:eastAsia="Times New Roman" w:cs="Arial"/>
                <w:b/>
                <w:bCs/>
                <w:noProof/>
                <w:sz w:val="22"/>
                <w:lang w:eastAsia="sr-Latn-CS"/>
              </w:rPr>
              <w:t>20.</w:t>
            </w:r>
          </w:p>
        </w:tc>
        <w:tc>
          <w:tcPr>
            <w:tcW w:w="10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Pljevlja</w:t>
            </w:r>
          </w:p>
        </w:tc>
        <w:tc>
          <w:tcPr>
            <w:tcW w:w="7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94/49</w:t>
            </w:r>
          </w:p>
        </w:tc>
        <w:tc>
          <w:tcPr>
            <w:tcW w:w="9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sz w:val="22"/>
                <w:lang w:val="en-US"/>
              </w:rPr>
            </w:pPr>
            <w:r w:rsidRPr="004F04C3">
              <w:rPr>
                <w:rFonts w:eastAsia="Times New Roman" w:cs="Arial"/>
                <w:sz w:val="22"/>
                <w:lang w:val="en-US"/>
              </w:rPr>
              <w:t>45 taksi</w:t>
            </w:r>
          </w:p>
          <w:p w:rsidR="004F04C3" w:rsidRPr="004F04C3" w:rsidRDefault="004F04C3" w:rsidP="004F04C3">
            <w:pPr>
              <w:spacing w:before="0" w:after="0" w:line="240" w:lineRule="auto"/>
              <w:jc w:val="center"/>
              <w:rPr>
                <w:rFonts w:eastAsia="Times New Roman" w:cs="Arial"/>
                <w:sz w:val="22"/>
                <w:lang w:val="en-US"/>
              </w:rPr>
            </w:pPr>
            <w:r w:rsidRPr="004F04C3">
              <w:rPr>
                <w:rFonts w:eastAsia="Times New Roman" w:cs="Arial"/>
                <w:sz w:val="22"/>
                <w:lang w:val="en-US"/>
              </w:rPr>
              <w:t>(47,87%)</w:t>
            </w:r>
          </w:p>
        </w:tc>
        <w:tc>
          <w:tcPr>
            <w:tcW w:w="7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50</w:t>
            </w:r>
          </w:p>
        </w:tc>
        <w:tc>
          <w:tcPr>
            <w:tcW w:w="8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53,19%</w:t>
            </w:r>
          </w:p>
        </w:tc>
        <w:tc>
          <w:tcPr>
            <w:tcW w:w="9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w:t>
            </w:r>
          </w:p>
        </w:tc>
        <w:tc>
          <w:tcPr>
            <w:tcW w:w="6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5</w:t>
            </w:r>
          </w:p>
        </w:tc>
        <w:tc>
          <w:tcPr>
            <w:tcW w:w="9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14</w:t>
            </w:r>
          </w:p>
        </w:tc>
        <w:tc>
          <w:tcPr>
            <w:tcW w:w="12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41,48% za 14 taksi</w:t>
            </w:r>
          </w:p>
        </w:tc>
      </w:tr>
      <w:tr w:rsidR="004F04C3" w:rsidRPr="004F04C3" w:rsidTr="004F04C3">
        <w:trPr>
          <w:trHeight w:val="285"/>
        </w:trPr>
        <w:tc>
          <w:tcPr>
            <w:tcW w:w="474"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b/>
                <w:bCs/>
                <w:noProof/>
                <w:sz w:val="22"/>
                <w:lang w:eastAsia="sr-Latn-CS"/>
              </w:rPr>
            </w:pPr>
            <w:r w:rsidRPr="004F04C3">
              <w:rPr>
                <w:rFonts w:eastAsia="Times New Roman" w:cs="Arial"/>
                <w:b/>
                <w:bCs/>
                <w:noProof/>
                <w:sz w:val="22"/>
                <w:lang w:eastAsia="sr-Latn-CS"/>
              </w:rPr>
              <w:t>21.</w:t>
            </w:r>
          </w:p>
        </w:tc>
        <w:tc>
          <w:tcPr>
            <w:tcW w:w="10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Plužine</w:t>
            </w:r>
          </w:p>
        </w:tc>
        <w:tc>
          <w:tcPr>
            <w:tcW w:w="7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97/47</w:t>
            </w:r>
          </w:p>
        </w:tc>
        <w:tc>
          <w:tcPr>
            <w:tcW w:w="9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sz w:val="22"/>
                <w:lang w:val="en-US"/>
              </w:rPr>
            </w:pPr>
            <w:r w:rsidRPr="004F04C3">
              <w:rPr>
                <w:rFonts w:eastAsia="Times New Roman" w:cs="Arial"/>
                <w:sz w:val="22"/>
                <w:lang w:val="en-US"/>
              </w:rPr>
              <w:t>50 taksi</w:t>
            </w:r>
          </w:p>
          <w:p w:rsidR="004F04C3" w:rsidRPr="004F04C3" w:rsidRDefault="004F04C3" w:rsidP="004F04C3">
            <w:pPr>
              <w:spacing w:before="0" w:after="0" w:line="240" w:lineRule="auto"/>
              <w:jc w:val="center"/>
              <w:rPr>
                <w:rFonts w:eastAsia="Times New Roman" w:cs="Arial"/>
                <w:sz w:val="22"/>
                <w:lang w:val="en-US"/>
              </w:rPr>
            </w:pPr>
            <w:r w:rsidRPr="004F04C3">
              <w:rPr>
                <w:rFonts w:eastAsia="Times New Roman" w:cs="Arial"/>
                <w:sz w:val="22"/>
                <w:lang w:val="en-US"/>
              </w:rPr>
              <w:t>(51,54%)</w:t>
            </w:r>
          </w:p>
        </w:tc>
        <w:tc>
          <w:tcPr>
            <w:tcW w:w="7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59</w:t>
            </w:r>
          </w:p>
        </w:tc>
        <w:tc>
          <w:tcPr>
            <w:tcW w:w="8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60,82%</w:t>
            </w:r>
          </w:p>
        </w:tc>
        <w:tc>
          <w:tcPr>
            <w:tcW w:w="9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w:t>
            </w:r>
          </w:p>
        </w:tc>
        <w:tc>
          <w:tcPr>
            <w:tcW w:w="6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9</w:t>
            </w:r>
          </w:p>
        </w:tc>
        <w:tc>
          <w:tcPr>
            <w:tcW w:w="9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21</w:t>
            </w:r>
          </w:p>
        </w:tc>
        <w:tc>
          <w:tcPr>
            <w:tcW w:w="12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04C3" w:rsidRPr="004F04C3" w:rsidRDefault="004F04C3" w:rsidP="004F04C3">
            <w:pPr>
              <w:spacing w:before="100" w:beforeAutospacing="1" w:after="100" w:afterAutospacing="1" w:line="240" w:lineRule="auto"/>
              <w:jc w:val="center"/>
              <w:rPr>
                <w:rFonts w:eastAsia="Times New Roman" w:cs="Arial"/>
                <w:noProof/>
                <w:sz w:val="22"/>
                <w:lang w:eastAsia="sr-Latn-CS"/>
              </w:rPr>
            </w:pPr>
            <w:r w:rsidRPr="004F04C3">
              <w:rPr>
                <w:rFonts w:eastAsia="Times New Roman" w:cs="Arial"/>
                <w:noProof/>
                <w:sz w:val="22"/>
                <w:lang w:eastAsia="sr-Latn-CS"/>
              </w:rPr>
              <w:t>54,47% za 21 taksu</w:t>
            </w:r>
          </w:p>
        </w:tc>
      </w:tr>
    </w:tbl>
    <w:p w:rsidR="004F04C3" w:rsidRPr="004F04C3" w:rsidRDefault="004F04C3" w:rsidP="004F04C3">
      <w:pPr>
        <w:spacing w:before="0" w:after="0" w:line="240" w:lineRule="auto"/>
        <w:rPr>
          <w:rFonts w:ascii="Calibri" w:eastAsia="Times New Roman" w:hAnsi="Calibri" w:cs="Calibri"/>
          <w:i/>
          <w:szCs w:val="24"/>
          <w:lang w:val="en-US"/>
        </w:rPr>
      </w:pPr>
    </w:p>
    <w:p w:rsidR="004F04C3" w:rsidRPr="004F04C3" w:rsidRDefault="004F04C3" w:rsidP="004F04C3">
      <w:pPr>
        <w:spacing w:before="0" w:after="0" w:line="240" w:lineRule="auto"/>
        <w:ind w:left="360"/>
        <w:rPr>
          <w:rFonts w:ascii="Calibri" w:eastAsia="Times New Roman" w:hAnsi="Calibri" w:cs="Calibri"/>
          <w:i/>
          <w:szCs w:val="24"/>
          <w:lang w:val="en-US"/>
        </w:rPr>
      </w:pPr>
    </w:p>
    <w:p w:rsidR="004F04C3" w:rsidRPr="004F04C3" w:rsidRDefault="004F04C3" w:rsidP="004F04C3">
      <w:pPr>
        <w:spacing w:before="0" w:after="0" w:line="240" w:lineRule="auto"/>
        <w:ind w:left="360"/>
        <w:rPr>
          <w:rFonts w:ascii="Calibri" w:eastAsia="Times New Roman" w:hAnsi="Calibri" w:cs="Calibri"/>
          <w:i/>
          <w:szCs w:val="24"/>
          <w:lang w:val="en-US"/>
        </w:rPr>
      </w:pPr>
      <w:r w:rsidRPr="004F04C3">
        <w:rPr>
          <w:rFonts w:ascii="Calibri" w:eastAsia="Times New Roman" w:hAnsi="Calibri" w:cs="Calibri"/>
          <w:i/>
          <w:szCs w:val="24"/>
          <w:lang w:val="en-US"/>
        </w:rPr>
        <w:t>Tabela 2: Saglasnost Vlade Crne Gore na Prijedloge odluka o lokalnim komunalnim taksama</w:t>
      </w:r>
    </w:p>
    <w:tbl>
      <w:tblPr>
        <w:tblW w:w="8073" w:type="dxa"/>
        <w:jc w:val="center"/>
        <w:tblCellMar>
          <w:left w:w="0" w:type="dxa"/>
          <w:right w:w="0" w:type="dxa"/>
        </w:tblCellMar>
        <w:tblLook w:val="04A0" w:firstRow="1" w:lastRow="0" w:firstColumn="1" w:lastColumn="0" w:noHBand="0" w:noVBand="1"/>
      </w:tblPr>
      <w:tblGrid>
        <w:gridCol w:w="517"/>
        <w:gridCol w:w="1290"/>
        <w:gridCol w:w="1410"/>
        <w:gridCol w:w="1160"/>
        <w:gridCol w:w="895"/>
        <w:gridCol w:w="979"/>
        <w:gridCol w:w="729"/>
        <w:gridCol w:w="1835"/>
      </w:tblGrid>
      <w:tr w:rsidR="004F04C3" w:rsidRPr="004F04C3" w:rsidTr="004F04C3">
        <w:trPr>
          <w:trHeight w:val="1867"/>
          <w:jc w:val="center"/>
        </w:trPr>
        <w:tc>
          <w:tcPr>
            <w:tcW w:w="510" w:type="dxa"/>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b/>
                <w:bCs/>
                <w:noProof/>
                <w:sz w:val="22"/>
                <w:lang w:eastAsia="sr-Latn-CS"/>
              </w:rPr>
            </w:pPr>
            <w:r w:rsidRPr="004F04C3">
              <w:rPr>
                <w:rFonts w:eastAsia="Times New Roman" w:cs="Arial"/>
                <w:b/>
                <w:bCs/>
                <w:noProof/>
                <w:sz w:val="22"/>
                <w:lang w:eastAsia="sr-Latn-CS"/>
              </w:rPr>
              <w:t>Rb.</w:t>
            </w:r>
          </w:p>
        </w:tc>
        <w:tc>
          <w:tcPr>
            <w:tcW w:w="1074" w:type="dxa"/>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b/>
                <w:bCs/>
                <w:noProof/>
                <w:sz w:val="22"/>
                <w:lang w:eastAsia="sr-Latn-CS"/>
              </w:rPr>
            </w:pPr>
            <w:r w:rsidRPr="004F04C3">
              <w:rPr>
                <w:rFonts w:eastAsia="Times New Roman" w:cs="Arial"/>
                <w:b/>
                <w:bCs/>
                <w:noProof/>
                <w:sz w:val="22"/>
                <w:lang w:eastAsia="sr-Latn-CS"/>
              </w:rPr>
              <w:t>Opština</w:t>
            </w:r>
          </w:p>
        </w:tc>
        <w:tc>
          <w:tcPr>
            <w:tcW w:w="1287" w:type="dxa"/>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b/>
                <w:bCs/>
                <w:noProof/>
                <w:sz w:val="22"/>
                <w:lang w:eastAsia="sr-Latn-CS"/>
              </w:rPr>
            </w:pPr>
            <w:r w:rsidRPr="004F04C3">
              <w:rPr>
                <w:rFonts w:eastAsia="Times New Roman" w:cs="Arial"/>
                <w:b/>
                <w:bCs/>
                <w:noProof/>
                <w:sz w:val="22"/>
                <w:lang w:eastAsia="sr-Latn-CS"/>
              </w:rPr>
              <w:t>Važeća odluka/Nova odluka</w:t>
            </w:r>
          </w:p>
        </w:tc>
        <w:tc>
          <w:tcPr>
            <w:tcW w:w="1346" w:type="dxa"/>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b/>
                <w:bCs/>
                <w:noProof/>
                <w:sz w:val="22"/>
                <w:lang w:eastAsia="sr-Latn-CS"/>
              </w:rPr>
            </w:pPr>
            <w:r w:rsidRPr="004F04C3">
              <w:rPr>
                <w:rFonts w:eastAsia="Times New Roman" w:cs="Arial"/>
                <w:b/>
                <w:bCs/>
                <w:noProof/>
                <w:sz w:val="22"/>
                <w:lang w:eastAsia="sr-Latn-CS"/>
              </w:rPr>
              <w:t>Efekat smanjenja</w:t>
            </w:r>
          </w:p>
        </w:tc>
        <w:tc>
          <w:tcPr>
            <w:tcW w:w="875" w:type="dxa"/>
            <w:tcBorders>
              <w:top w:val="single" w:sz="8" w:space="0" w:color="000000"/>
              <w:left w:val="single" w:sz="8" w:space="0" w:color="000000"/>
              <w:bottom w:val="single" w:sz="8" w:space="0" w:color="000000"/>
              <w:right w:val="single" w:sz="4" w:space="0" w:color="auto"/>
            </w:tcBorders>
            <w:shd w:val="clear" w:color="auto" w:fill="BFBFBF"/>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b/>
                <w:bCs/>
                <w:i/>
                <w:iCs/>
                <w:noProof/>
                <w:sz w:val="22"/>
                <w:lang w:eastAsia="sr-Latn-CS"/>
              </w:rPr>
            </w:pPr>
            <w:r w:rsidRPr="004F04C3">
              <w:rPr>
                <w:rFonts w:eastAsia="Times New Roman" w:cs="Arial"/>
                <w:b/>
                <w:bCs/>
                <w:noProof/>
                <w:sz w:val="22"/>
                <w:lang w:eastAsia="sr-Latn-CS"/>
              </w:rPr>
              <w:t>Broj taksi koji je ukinut u odnosu na važeću odluku</w:t>
            </w:r>
          </w:p>
        </w:tc>
        <w:tc>
          <w:tcPr>
            <w:tcW w:w="920" w:type="dxa"/>
            <w:tcBorders>
              <w:top w:val="single" w:sz="8" w:space="0" w:color="000000"/>
              <w:left w:val="single" w:sz="4" w:space="0" w:color="auto"/>
              <w:bottom w:val="single" w:sz="8" w:space="0" w:color="000000"/>
              <w:right w:val="single" w:sz="8" w:space="0" w:color="000000"/>
            </w:tcBorders>
            <w:shd w:val="clear" w:color="auto" w:fill="BFBFBF"/>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b/>
                <w:bCs/>
                <w:noProof/>
                <w:sz w:val="22"/>
                <w:lang w:eastAsia="sr-Latn-CS"/>
              </w:rPr>
            </w:pPr>
            <w:r w:rsidRPr="004F04C3">
              <w:rPr>
                <w:rFonts w:eastAsia="Times New Roman" w:cs="Arial"/>
                <w:b/>
                <w:bCs/>
                <w:noProof/>
                <w:sz w:val="22"/>
                <w:lang w:eastAsia="sr-Latn-CS"/>
              </w:rPr>
              <w:t>% ukinutih taksi u odnosu na važeću odluku</w:t>
            </w:r>
          </w:p>
        </w:tc>
        <w:tc>
          <w:tcPr>
            <w:tcW w:w="704" w:type="dxa"/>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b/>
                <w:bCs/>
                <w:noProof/>
                <w:sz w:val="22"/>
                <w:lang w:eastAsia="sr-Latn-CS"/>
              </w:rPr>
            </w:pPr>
            <w:r w:rsidRPr="004F04C3">
              <w:rPr>
                <w:rFonts w:eastAsia="Times New Roman" w:cs="Arial"/>
                <w:b/>
                <w:bCs/>
                <w:noProof/>
                <w:sz w:val="22"/>
                <w:lang w:eastAsia="sr-Latn-CS"/>
              </w:rPr>
              <w:t>Broj novih taksi</w:t>
            </w:r>
          </w:p>
        </w:tc>
        <w:tc>
          <w:tcPr>
            <w:tcW w:w="1357" w:type="dxa"/>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b/>
                <w:bCs/>
                <w:noProof/>
                <w:sz w:val="22"/>
                <w:lang w:eastAsia="sr-Latn-CS"/>
              </w:rPr>
            </w:pPr>
            <w:r w:rsidRPr="004F04C3">
              <w:rPr>
                <w:rFonts w:eastAsia="Times New Roman" w:cs="Arial"/>
                <w:b/>
                <w:bCs/>
                <w:noProof/>
                <w:sz w:val="22"/>
                <w:lang w:eastAsia="sr-Latn-CS"/>
              </w:rPr>
              <w:t>Prosječno procentualno smanjenje  iznosa taksi</w:t>
            </w:r>
          </w:p>
        </w:tc>
      </w:tr>
      <w:tr w:rsidR="004F04C3" w:rsidRPr="004F04C3" w:rsidTr="004F04C3">
        <w:trPr>
          <w:trHeight w:val="405"/>
          <w:jc w:val="center"/>
        </w:trPr>
        <w:tc>
          <w:tcPr>
            <w:tcW w:w="510" w:type="dxa"/>
            <w:tcBorders>
              <w:top w:val="nil"/>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b/>
                <w:bCs/>
                <w:noProof/>
                <w:sz w:val="22"/>
                <w:lang w:eastAsia="sr-Latn-CS"/>
              </w:rPr>
            </w:pPr>
            <w:r w:rsidRPr="004F04C3">
              <w:rPr>
                <w:rFonts w:eastAsia="Times New Roman" w:cs="Arial"/>
                <w:b/>
                <w:bCs/>
                <w:noProof/>
                <w:sz w:val="22"/>
                <w:lang w:eastAsia="sr-Latn-CS"/>
              </w:rPr>
              <w:t>1.</w:t>
            </w:r>
          </w:p>
        </w:tc>
        <w:tc>
          <w:tcPr>
            <w:tcW w:w="1074" w:type="dxa"/>
            <w:tcBorders>
              <w:top w:val="nil"/>
              <w:left w:val="nil"/>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Glavni grad  Podgorica</w:t>
            </w:r>
          </w:p>
        </w:tc>
        <w:tc>
          <w:tcPr>
            <w:tcW w:w="1287" w:type="dxa"/>
            <w:tcBorders>
              <w:top w:val="nil"/>
              <w:left w:val="nil"/>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31/16</w:t>
            </w:r>
          </w:p>
        </w:tc>
        <w:tc>
          <w:tcPr>
            <w:tcW w:w="134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15 taksi (48,38%)</w:t>
            </w:r>
          </w:p>
        </w:tc>
        <w:tc>
          <w:tcPr>
            <w:tcW w:w="875"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15</w:t>
            </w:r>
          </w:p>
        </w:tc>
        <w:tc>
          <w:tcPr>
            <w:tcW w:w="920"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48,38%</w:t>
            </w:r>
          </w:p>
        </w:tc>
        <w:tc>
          <w:tcPr>
            <w:tcW w:w="704" w:type="dxa"/>
            <w:tcBorders>
              <w:top w:val="nil"/>
              <w:left w:val="nil"/>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w:t>
            </w:r>
          </w:p>
        </w:tc>
        <w:tc>
          <w:tcPr>
            <w:tcW w:w="1357" w:type="dxa"/>
            <w:tcBorders>
              <w:top w:val="nil"/>
              <w:left w:val="nil"/>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31,95% za 8 taksi</w:t>
            </w:r>
          </w:p>
        </w:tc>
      </w:tr>
      <w:tr w:rsidR="004F04C3" w:rsidRPr="004F04C3" w:rsidTr="004F04C3">
        <w:trPr>
          <w:trHeight w:val="384"/>
          <w:jc w:val="center"/>
        </w:trPr>
        <w:tc>
          <w:tcPr>
            <w:tcW w:w="510" w:type="dxa"/>
            <w:tcBorders>
              <w:top w:val="nil"/>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b/>
                <w:bCs/>
                <w:noProof/>
                <w:sz w:val="22"/>
                <w:lang w:eastAsia="sr-Latn-CS"/>
              </w:rPr>
            </w:pPr>
            <w:r w:rsidRPr="004F04C3">
              <w:rPr>
                <w:rFonts w:eastAsia="Times New Roman" w:cs="Arial"/>
                <w:b/>
                <w:bCs/>
                <w:noProof/>
                <w:sz w:val="22"/>
                <w:lang w:eastAsia="sr-Latn-CS"/>
              </w:rPr>
              <w:t>2.</w:t>
            </w:r>
          </w:p>
        </w:tc>
        <w:tc>
          <w:tcPr>
            <w:tcW w:w="1074" w:type="dxa"/>
            <w:tcBorders>
              <w:top w:val="nil"/>
              <w:left w:val="nil"/>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Nikšić</w:t>
            </w:r>
          </w:p>
        </w:tc>
        <w:tc>
          <w:tcPr>
            <w:tcW w:w="1287" w:type="dxa"/>
            <w:tcBorders>
              <w:top w:val="nil"/>
              <w:left w:val="nil"/>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33/17</w:t>
            </w:r>
          </w:p>
        </w:tc>
        <w:tc>
          <w:tcPr>
            <w:tcW w:w="134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16 taksi (48,48%)</w:t>
            </w:r>
          </w:p>
        </w:tc>
        <w:tc>
          <w:tcPr>
            <w:tcW w:w="875"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20</w:t>
            </w:r>
          </w:p>
        </w:tc>
        <w:tc>
          <w:tcPr>
            <w:tcW w:w="920"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60,60%</w:t>
            </w:r>
          </w:p>
        </w:tc>
        <w:tc>
          <w:tcPr>
            <w:tcW w:w="704" w:type="dxa"/>
            <w:tcBorders>
              <w:top w:val="nil"/>
              <w:left w:val="nil"/>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4</w:t>
            </w:r>
          </w:p>
        </w:tc>
        <w:tc>
          <w:tcPr>
            <w:tcW w:w="1357" w:type="dxa"/>
            <w:tcBorders>
              <w:top w:val="nil"/>
              <w:left w:val="nil"/>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43,08% za 2 takse</w:t>
            </w:r>
          </w:p>
        </w:tc>
      </w:tr>
      <w:tr w:rsidR="004F04C3" w:rsidRPr="004F04C3" w:rsidTr="004F04C3">
        <w:trPr>
          <w:trHeight w:val="384"/>
          <w:jc w:val="center"/>
        </w:trPr>
        <w:tc>
          <w:tcPr>
            <w:tcW w:w="510" w:type="dxa"/>
            <w:tcBorders>
              <w:top w:val="nil"/>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b/>
                <w:bCs/>
                <w:noProof/>
                <w:sz w:val="22"/>
                <w:lang w:eastAsia="sr-Latn-CS"/>
              </w:rPr>
            </w:pPr>
            <w:r w:rsidRPr="004F04C3">
              <w:rPr>
                <w:rFonts w:eastAsia="Times New Roman" w:cs="Arial"/>
                <w:b/>
                <w:bCs/>
                <w:noProof/>
                <w:sz w:val="22"/>
                <w:lang w:eastAsia="sr-Latn-CS"/>
              </w:rPr>
              <w:t>3.</w:t>
            </w:r>
          </w:p>
        </w:tc>
        <w:tc>
          <w:tcPr>
            <w:tcW w:w="1074" w:type="dxa"/>
            <w:tcBorders>
              <w:top w:val="nil"/>
              <w:left w:val="nil"/>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Tuzi</w:t>
            </w:r>
          </w:p>
        </w:tc>
        <w:tc>
          <w:tcPr>
            <w:tcW w:w="1287" w:type="dxa"/>
            <w:tcBorders>
              <w:top w:val="nil"/>
              <w:left w:val="nil"/>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30/14</w:t>
            </w:r>
          </w:p>
        </w:tc>
        <w:tc>
          <w:tcPr>
            <w:tcW w:w="134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14 taksi (46,66%)</w:t>
            </w:r>
          </w:p>
        </w:tc>
        <w:tc>
          <w:tcPr>
            <w:tcW w:w="875"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15</w:t>
            </w:r>
          </w:p>
        </w:tc>
        <w:tc>
          <w:tcPr>
            <w:tcW w:w="920"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50,00%</w:t>
            </w:r>
          </w:p>
        </w:tc>
        <w:tc>
          <w:tcPr>
            <w:tcW w:w="704" w:type="dxa"/>
            <w:tcBorders>
              <w:top w:val="nil"/>
              <w:left w:val="nil"/>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1</w:t>
            </w:r>
          </w:p>
        </w:tc>
        <w:tc>
          <w:tcPr>
            <w:tcW w:w="1357" w:type="dxa"/>
            <w:tcBorders>
              <w:top w:val="nil"/>
              <w:left w:val="nil"/>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48,97% za 5 taksi</w:t>
            </w:r>
          </w:p>
        </w:tc>
      </w:tr>
      <w:tr w:rsidR="004F04C3" w:rsidRPr="004F04C3" w:rsidTr="004F04C3">
        <w:trPr>
          <w:trHeight w:val="369"/>
          <w:jc w:val="center"/>
        </w:trPr>
        <w:tc>
          <w:tcPr>
            <w:tcW w:w="510" w:type="dxa"/>
            <w:tcBorders>
              <w:top w:val="nil"/>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b/>
                <w:bCs/>
                <w:noProof/>
                <w:sz w:val="22"/>
                <w:lang w:eastAsia="sr-Latn-CS"/>
              </w:rPr>
            </w:pPr>
            <w:r w:rsidRPr="004F04C3">
              <w:rPr>
                <w:rFonts w:eastAsia="Times New Roman" w:cs="Arial"/>
                <w:b/>
                <w:bCs/>
                <w:noProof/>
                <w:sz w:val="22"/>
                <w:lang w:eastAsia="sr-Latn-CS"/>
              </w:rPr>
              <w:t>4.</w:t>
            </w:r>
          </w:p>
        </w:tc>
        <w:tc>
          <w:tcPr>
            <w:tcW w:w="1074" w:type="dxa"/>
            <w:tcBorders>
              <w:top w:val="nil"/>
              <w:left w:val="nil"/>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Danilovgrad</w:t>
            </w:r>
          </w:p>
        </w:tc>
        <w:tc>
          <w:tcPr>
            <w:tcW w:w="1287" w:type="dxa"/>
            <w:tcBorders>
              <w:top w:val="nil"/>
              <w:left w:val="nil"/>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26/13</w:t>
            </w:r>
          </w:p>
        </w:tc>
        <w:tc>
          <w:tcPr>
            <w:tcW w:w="134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13 taksi (50,00%)</w:t>
            </w:r>
          </w:p>
        </w:tc>
        <w:tc>
          <w:tcPr>
            <w:tcW w:w="875"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14</w:t>
            </w:r>
          </w:p>
        </w:tc>
        <w:tc>
          <w:tcPr>
            <w:tcW w:w="920"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53,84%</w:t>
            </w:r>
          </w:p>
        </w:tc>
        <w:tc>
          <w:tcPr>
            <w:tcW w:w="704" w:type="dxa"/>
            <w:tcBorders>
              <w:top w:val="nil"/>
              <w:left w:val="nil"/>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1</w:t>
            </w:r>
          </w:p>
        </w:tc>
        <w:tc>
          <w:tcPr>
            <w:tcW w:w="1357" w:type="dxa"/>
            <w:tcBorders>
              <w:top w:val="nil"/>
              <w:left w:val="nil"/>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25,00% za 3 takse</w:t>
            </w:r>
          </w:p>
        </w:tc>
      </w:tr>
      <w:tr w:rsidR="004F04C3" w:rsidRPr="004F04C3" w:rsidTr="004F04C3">
        <w:trPr>
          <w:trHeight w:val="485"/>
          <w:jc w:val="center"/>
        </w:trPr>
        <w:tc>
          <w:tcPr>
            <w:tcW w:w="510" w:type="dxa"/>
            <w:tcBorders>
              <w:top w:val="nil"/>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b/>
                <w:bCs/>
                <w:noProof/>
                <w:sz w:val="22"/>
                <w:lang w:eastAsia="sr-Latn-CS"/>
              </w:rPr>
            </w:pPr>
            <w:r w:rsidRPr="004F04C3">
              <w:rPr>
                <w:rFonts w:eastAsia="Times New Roman" w:cs="Arial"/>
                <w:b/>
                <w:bCs/>
                <w:noProof/>
                <w:sz w:val="22"/>
                <w:lang w:eastAsia="sr-Latn-CS"/>
              </w:rPr>
              <w:lastRenderedPageBreak/>
              <w:t>5.</w:t>
            </w:r>
          </w:p>
        </w:tc>
        <w:tc>
          <w:tcPr>
            <w:tcW w:w="1074" w:type="dxa"/>
            <w:tcBorders>
              <w:top w:val="nil"/>
              <w:left w:val="nil"/>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Cetinje</w:t>
            </w:r>
          </w:p>
        </w:tc>
        <w:tc>
          <w:tcPr>
            <w:tcW w:w="1287" w:type="dxa"/>
            <w:tcBorders>
              <w:top w:val="nil"/>
              <w:left w:val="nil"/>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54/9</w:t>
            </w:r>
          </w:p>
        </w:tc>
        <w:tc>
          <w:tcPr>
            <w:tcW w:w="134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45 taksi (83,33%)</w:t>
            </w:r>
          </w:p>
        </w:tc>
        <w:tc>
          <w:tcPr>
            <w:tcW w:w="875"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46</w:t>
            </w:r>
          </w:p>
        </w:tc>
        <w:tc>
          <w:tcPr>
            <w:tcW w:w="920"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85,18%</w:t>
            </w:r>
          </w:p>
        </w:tc>
        <w:tc>
          <w:tcPr>
            <w:tcW w:w="704" w:type="dxa"/>
            <w:tcBorders>
              <w:top w:val="nil"/>
              <w:left w:val="nil"/>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1</w:t>
            </w:r>
          </w:p>
        </w:tc>
        <w:tc>
          <w:tcPr>
            <w:tcW w:w="1357" w:type="dxa"/>
            <w:tcBorders>
              <w:top w:val="nil"/>
              <w:left w:val="nil"/>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49,42% za 7 taksi</w:t>
            </w:r>
          </w:p>
        </w:tc>
      </w:tr>
      <w:tr w:rsidR="004F04C3" w:rsidRPr="004F04C3" w:rsidTr="004F04C3">
        <w:trPr>
          <w:trHeight w:val="384"/>
          <w:jc w:val="center"/>
        </w:trPr>
        <w:tc>
          <w:tcPr>
            <w:tcW w:w="510" w:type="dxa"/>
            <w:tcBorders>
              <w:top w:val="nil"/>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b/>
                <w:bCs/>
                <w:noProof/>
                <w:sz w:val="22"/>
                <w:lang w:eastAsia="sr-Latn-CS"/>
              </w:rPr>
            </w:pPr>
            <w:r w:rsidRPr="004F04C3">
              <w:rPr>
                <w:rFonts w:eastAsia="Times New Roman" w:cs="Arial"/>
                <w:b/>
                <w:bCs/>
                <w:noProof/>
                <w:sz w:val="22"/>
                <w:lang w:eastAsia="sr-Latn-CS"/>
              </w:rPr>
              <w:t>6.</w:t>
            </w:r>
          </w:p>
        </w:tc>
        <w:tc>
          <w:tcPr>
            <w:tcW w:w="1074" w:type="dxa"/>
            <w:tcBorders>
              <w:top w:val="nil"/>
              <w:left w:val="nil"/>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Bijelo Polje</w:t>
            </w:r>
          </w:p>
        </w:tc>
        <w:tc>
          <w:tcPr>
            <w:tcW w:w="1287" w:type="dxa"/>
            <w:tcBorders>
              <w:top w:val="nil"/>
              <w:left w:val="nil"/>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25/5</w:t>
            </w:r>
          </w:p>
        </w:tc>
        <w:tc>
          <w:tcPr>
            <w:tcW w:w="134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20 taksi (80,00%)</w:t>
            </w:r>
          </w:p>
        </w:tc>
        <w:tc>
          <w:tcPr>
            <w:tcW w:w="875"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20</w:t>
            </w:r>
          </w:p>
        </w:tc>
        <w:tc>
          <w:tcPr>
            <w:tcW w:w="920"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80,00%</w:t>
            </w:r>
          </w:p>
        </w:tc>
        <w:tc>
          <w:tcPr>
            <w:tcW w:w="704" w:type="dxa"/>
            <w:tcBorders>
              <w:top w:val="nil"/>
              <w:left w:val="nil"/>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w:t>
            </w:r>
          </w:p>
        </w:tc>
        <w:tc>
          <w:tcPr>
            <w:tcW w:w="1357" w:type="dxa"/>
            <w:tcBorders>
              <w:top w:val="nil"/>
              <w:left w:val="nil"/>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7,7% za 1 taksu</w:t>
            </w:r>
          </w:p>
        </w:tc>
      </w:tr>
      <w:tr w:rsidR="004F04C3" w:rsidRPr="004F04C3" w:rsidTr="004F04C3">
        <w:trPr>
          <w:trHeight w:val="384"/>
          <w:jc w:val="center"/>
        </w:trPr>
        <w:tc>
          <w:tcPr>
            <w:tcW w:w="510" w:type="dxa"/>
            <w:tcBorders>
              <w:top w:val="nil"/>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b/>
                <w:bCs/>
                <w:noProof/>
                <w:sz w:val="22"/>
                <w:lang w:eastAsia="sr-Latn-CS"/>
              </w:rPr>
            </w:pPr>
            <w:r w:rsidRPr="004F04C3">
              <w:rPr>
                <w:rFonts w:eastAsia="Times New Roman" w:cs="Arial"/>
                <w:b/>
                <w:bCs/>
                <w:noProof/>
                <w:sz w:val="22"/>
                <w:lang w:eastAsia="sr-Latn-CS"/>
              </w:rPr>
              <w:t>7.</w:t>
            </w:r>
          </w:p>
        </w:tc>
        <w:tc>
          <w:tcPr>
            <w:tcW w:w="1074" w:type="dxa"/>
            <w:tcBorders>
              <w:top w:val="nil"/>
              <w:left w:val="nil"/>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Kolašin</w:t>
            </w:r>
          </w:p>
        </w:tc>
        <w:tc>
          <w:tcPr>
            <w:tcW w:w="1287" w:type="dxa"/>
            <w:tcBorders>
              <w:top w:val="nil"/>
              <w:left w:val="nil"/>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35/10</w:t>
            </w:r>
          </w:p>
        </w:tc>
        <w:tc>
          <w:tcPr>
            <w:tcW w:w="134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25 taksi (71,42%)</w:t>
            </w:r>
          </w:p>
        </w:tc>
        <w:tc>
          <w:tcPr>
            <w:tcW w:w="875"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26</w:t>
            </w:r>
          </w:p>
        </w:tc>
        <w:tc>
          <w:tcPr>
            <w:tcW w:w="920"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74,28%</w:t>
            </w:r>
          </w:p>
        </w:tc>
        <w:tc>
          <w:tcPr>
            <w:tcW w:w="704" w:type="dxa"/>
            <w:tcBorders>
              <w:top w:val="nil"/>
              <w:left w:val="nil"/>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1</w:t>
            </w:r>
          </w:p>
        </w:tc>
        <w:tc>
          <w:tcPr>
            <w:tcW w:w="1357" w:type="dxa"/>
            <w:tcBorders>
              <w:top w:val="nil"/>
              <w:left w:val="nil"/>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60,14% za 5 taksi</w:t>
            </w:r>
          </w:p>
        </w:tc>
      </w:tr>
      <w:tr w:rsidR="004F04C3" w:rsidRPr="004F04C3" w:rsidTr="004F04C3">
        <w:trPr>
          <w:trHeight w:val="384"/>
          <w:jc w:val="center"/>
        </w:trPr>
        <w:tc>
          <w:tcPr>
            <w:tcW w:w="510" w:type="dxa"/>
            <w:tcBorders>
              <w:top w:val="nil"/>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b/>
                <w:bCs/>
                <w:noProof/>
                <w:sz w:val="22"/>
                <w:lang w:eastAsia="sr-Latn-CS"/>
              </w:rPr>
            </w:pPr>
            <w:r w:rsidRPr="004F04C3">
              <w:rPr>
                <w:rFonts w:eastAsia="Times New Roman" w:cs="Arial"/>
                <w:b/>
                <w:bCs/>
                <w:noProof/>
                <w:sz w:val="22"/>
                <w:lang w:eastAsia="sr-Latn-CS"/>
              </w:rPr>
              <w:t>8.</w:t>
            </w:r>
          </w:p>
        </w:tc>
        <w:tc>
          <w:tcPr>
            <w:tcW w:w="1074" w:type="dxa"/>
            <w:tcBorders>
              <w:top w:val="nil"/>
              <w:left w:val="nil"/>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Mojkovac</w:t>
            </w:r>
          </w:p>
        </w:tc>
        <w:tc>
          <w:tcPr>
            <w:tcW w:w="1287" w:type="dxa"/>
            <w:tcBorders>
              <w:top w:val="nil"/>
              <w:left w:val="nil"/>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39/12</w:t>
            </w:r>
          </w:p>
        </w:tc>
        <w:tc>
          <w:tcPr>
            <w:tcW w:w="134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27 taksi (69,23%)</w:t>
            </w:r>
          </w:p>
        </w:tc>
        <w:tc>
          <w:tcPr>
            <w:tcW w:w="875"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28</w:t>
            </w:r>
          </w:p>
        </w:tc>
        <w:tc>
          <w:tcPr>
            <w:tcW w:w="920"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71,79%</w:t>
            </w:r>
          </w:p>
        </w:tc>
        <w:tc>
          <w:tcPr>
            <w:tcW w:w="704" w:type="dxa"/>
            <w:tcBorders>
              <w:top w:val="nil"/>
              <w:left w:val="nil"/>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1</w:t>
            </w:r>
          </w:p>
        </w:tc>
        <w:tc>
          <w:tcPr>
            <w:tcW w:w="1357" w:type="dxa"/>
            <w:tcBorders>
              <w:top w:val="nil"/>
              <w:left w:val="nil"/>
              <w:bottom w:val="single" w:sz="8" w:space="0" w:color="000000"/>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18,33% za 2 takse</w:t>
            </w:r>
          </w:p>
        </w:tc>
      </w:tr>
      <w:tr w:rsidR="004F04C3" w:rsidRPr="004F04C3" w:rsidTr="004F04C3">
        <w:trPr>
          <w:trHeight w:val="384"/>
          <w:jc w:val="center"/>
        </w:trPr>
        <w:tc>
          <w:tcPr>
            <w:tcW w:w="510" w:type="dxa"/>
            <w:tcBorders>
              <w:top w:val="nil"/>
              <w:left w:val="single" w:sz="8" w:space="0" w:color="000000"/>
              <w:bottom w:val="single" w:sz="4" w:space="0" w:color="auto"/>
              <w:right w:val="single" w:sz="8" w:space="0" w:color="000000"/>
            </w:tcBorders>
            <w:shd w:val="clear" w:color="auto" w:fill="BFBFBF"/>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b/>
                <w:bCs/>
                <w:noProof/>
                <w:sz w:val="22"/>
                <w:lang w:eastAsia="sr-Latn-CS"/>
              </w:rPr>
            </w:pPr>
            <w:r w:rsidRPr="004F04C3">
              <w:rPr>
                <w:rFonts w:eastAsia="Times New Roman" w:cs="Arial"/>
                <w:b/>
                <w:bCs/>
                <w:noProof/>
                <w:sz w:val="22"/>
                <w:lang w:eastAsia="sr-Latn-CS"/>
              </w:rPr>
              <w:t>9.</w:t>
            </w:r>
          </w:p>
        </w:tc>
        <w:tc>
          <w:tcPr>
            <w:tcW w:w="1074" w:type="dxa"/>
            <w:tcBorders>
              <w:top w:val="nil"/>
              <w:left w:val="nil"/>
              <w:bottom w:val="single" w:sz="4" w:space="0" w:color="auto"/>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Ulcinj</w:t>
            </w:r>
          </w:p>
        </w:tc>
        <w:tc>
          <w:tcPr>
            <w:tcW w:w="1287" w:type="dxa"/>
            <w:tcBorders>
              <w:top w:val="nil"/>
              <w:left w:val="nil"/>
              <w:bottom w:val="single" w:sz="4" w:space="0" w:color="auto"/>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48/9</w:t>
            </w:r>
          </w:p>
        </w:tc>
        <w:tc>
          <w:tcPr>
            <w:tcW w:w="134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39 taksi (81,25%)</w:t>
            </w:r>
          </w:p>
        </w:tc>
        <w:tc>
          <w:tcPr>
            <w:tcW w:w="875"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39</w:t>
            </w:r>
          </w:p>
        </w:tc>
        <w:tc>
          <w:tcPr>
            <w:tcW w:w="920" w:type="dxa"/>
            <w:tcBorders>
              <w:top w:val="nil"/>
              <w:left w:val="single" w:sz="4" w:space="0" w:color="auto"/>
              <w:bottom w:val="single" w:sz="4" w:space="0" w:color="auto"/>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81,25%</w:t>
            </w:r>
          </w:p>
        </w:tc>
        <w:tc>
          <w:tcPr>
            <w:tcW w:w="704" w:type="dxa"/>
            <w:tcBorders>
              <w:top w:val="nil"/>
              <w:left w:val="nil"/>
              <w:bottom w:val="single" w:sz="4" w:space="0" w:color="auto"/>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w:t>
            </w:r>
          </w:p>
        </w:tc>
        <w:tc>
          <w:tcPr>
            <w:tcW w:w="1357" w:type="dxa"/>
            <w:tcBorders>
              <w:top w:val="nil"/>
              <w:left w:val="nil"/>
              <w:bottom w:val="single" w:sz="4" w:space="0" w:color="auto"/>
              <w:right w:val="single" w:sz="8" w:space="0" w:color="000000"/>
            </w:tcBorders>
            <w:tcMar>
              <w:top w:w="0" w:type="dxa"/>
              <w:left w:w="108" w:type="dxa"/>
              <w:bottom w:w="0" w:type="dxa"/>
              <w:right w:w="108" w:type="dxa"/>
            </w:tcMar>
            <w:hideMark/>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34,00% za 6 taksi</w:t>
            </w:r>
          </w:p>
        </w:tc>
      </w:tr>
      <w:tr w:rsidR="004F04C3" w:rsidRPr="004F04C3" w:rsidTr="004F04C3">
        <w:trPr>
          <w:trHeight w:val="369"/>
          <w:jc w:val="center"/>
        </w:trPr>
        <w:tc>
          <w:tcPr>
            <w:tcW w:w="510" w:type="dxa"/>
            <w:tcBorders>
              <w:top w:val="single" w:sz="4" w:space="0" w:color="auto"/>
              <w:left w:val="single" w:sz="8" w:space="0" w:color="000000"/>
              <w:bottom w:val="single" w:sz="4" w:space="0" w:color="auto"/>
              <w:right w:val="single" w:sz="8" w:space="0" w:color="000000"/>
            </w:tcBorders>
            <w:shd w:val="clear" w:color="auto" w:fill="BFBFBF"/>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b/>
                <w:bCs/>
                <w:noProof/>
                <w:sz w:val="22"/>
                <w:lang w:eastAsia="sr-Latn-CS"/>
              </w:rPr>
            </w:pPr>
            <w:r w:rsidRPr="004F04C3">
              <w:rPr>
                <w:rFonts w:eastAsia="Times New Roman" w:cs="Arial"/>
                <w:b/>
                <w:bCs/>
                <w:noProof/>
                <w:sz w:val="22"/>
                <w:lang w:eastAsia="sr-Latn-CS"/>
              </w:rPr>
              <w:t>10.</w:t>
            </w:r>
          </w:p>
        </w:tc>
        <w:tc>
          <w:tcPr>
            <w:tcW w:w="1074"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Bar</w:t>
            </w:r>
          </w:p>
        </w:tc>
        <w:tc>
          <w:tcPr>
            <w:tcW w:w="1287"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25/16</w:t>
            </w:r>
          </w:p>
        </w:tc>
        <w:tc>
          <w:tcPr>
            <w:tcW w:w="134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9 taksi (36,00%)</w:t>
            </w:r>
          </w:p>
        </w:tc>
        <w:tc>
          <w:tcPr>
            <w:tcW w:w="875"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15</w:t>
            </w:r>
          </w:p>
        </w:tc>
        <w:tc>
          <w:tcPr>
            <w:tcW w:w="920"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60,00%</w:t>
            </w:r>
          </w:p>
        </w:tc>
        <w:tc>
          <w:tcPr>
            <w:tcW w:w="704"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6</w:t>
            </w:r>
          </w:p>
        </w:tc>
        <w:tc>
          <w:tcPr>
            <w:tcW w:w="1357"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54,16% za 2 takse</w:t>
            </w:r>
          </w:p>
        </w:tc>
      </w:tr>
      <w:tr w:rsidR="004F04C3" w:rsidRPr="004F04C3" w:rsidTr="004F04C3">
        <w:trPr>
          <w:trHeight w:val="369"/>
          <w:jc w:val="center"/>
        </w:trPr>
        <w:tc>
          <w:tcPr>
            <w:tcW w:w="510" w:type="dxa"/>
            <w:tcBorders>
              <w:top w:val="single" w:sz="4" w:space="0" w:color="auto"/>
              <w:left w:val="single" w:sz="8" w:space="0" w:color="000000"/>
              <w:bottom w:val="single" w:sz="4" w:space="0" w:color="auto"/>
              <w:right w:val="single" w:sz="8" w:space="0" w:color="000000"/>
            </w:tcBorders>
            <w:shd w:val="clear" w:color="auto" w:fill="BFBFBF"/>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b/>
                <w:bCs/>
                <w:noProof/>
                <w:sz w:val="22"/>
                <w:lang w:eastAsia="sr-Latn-CS"/>
              </w:rPr>
            </w:pPr>
            <w:r w:rsidRPr="004F04C3">
              <w:rPr>
                <w:rFonts w:eastAsia="Times New Roman" w:cs="Arial"/>
                <w:b/>
                <w:bCs/>
                <w:noProof/>
                <w:sz w:val="22"/>
                <w:lang w:eastAsia="sr-Latn-CS"/>
              </w:rPr>
              <w:t xml:space="preserve">11. </w:t>
            </w:r>
          </w:p>
        </w:tc>
        <w:tc>
          <w:tcPr>
            <w:tcW w:w="1074"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Herceg Novi</w:t>
            </w:r>
          </w:p>
        </w:tc>
        <w:tc>
          <w:tcPr>
            <w:tcW w:w="1287"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37/18</w:t>
            </w:r>
          </w:p>
        </w:tc>
        <w:tc>
          <w:tcPr>
            <w:tcW w:w="134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19 taksi (51,35%)</w:t>
            </w:r>
          </w:p>
        </w:tc>
        <w:tc>
          <w:tcPr>
            <w:tcW w:w="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23</w:t>
            </w:r>
          </w:p>
        </w:tc>
        <w:tc>
          <w:tcPr>
            <w:tcW w:w="9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62,16%</w:t>
            </w:r>
          </w:p>
        </w:tc>
        <w:tc>
          <w:tcPr>
            <w:tcW w:w="7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4</w:t>
            </w:r>
          </w:p>
        </w:tc>
        <w:tc>
          <w:tcPr>
            <w:tcW w:w="1357"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30,38% za 4 takse</w:t>
            </w:r>
          </w:p>
        </w:tc>
      </w:tr>
      <w:tr w:rsidR="004F04C3" w:rsidRPr="004F04C3" w:rsidTr="004F04C3">
        <w:trPr>
          <w:trHeight w:val="369"/>
          <w:jc w:val="center"/>
        </w:trPr>
        <w:tc>
          <w:tcPr>
            <w:tcW w:w="510" w:type="dxa"/>
            <w:tcBorders>
              <w:top w:val="single" w:sz="4" w:space="0" w:color="auto"/>
              <w:left w:val="single" w:sz="8" w:space="0" w:color="000000"/>
              <w:bottom w:val="single" w:sz="4" w:space="0" w:color="auto"/>
              <w:right w:val="single" w:sz="8" w:space="0" w:color="000000"/>
            </w:tcBorders>
            <w:shd w:val="clear" w:color="auto" w:fill="BFBFBF"/>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b/>
                <w:bCs/>
                <w:noProof/>
                <w:sz w:val="22"/>
                <w:lang w:eastAsia="sr-Latn-CS"/>
              </w:rPr>
            </w:pPr>
            <w:r w:rsidRPr="004F04C3">
              <w:rPr>
                <w:rFonts w:eastAsia="Times New Roman" w:cs="Arial"/>
                <w:b/>
                <w:bCs/>
                <w:noProof/>
                <w:sz w:val="22"/>
                <w:lang w:eastAsia="sr-Latn-CS"/>
              </w:rPr>
              <w:t>12.</w:t>
            </w:r>
          </w:p>
        </w:tc>
        <w:tc>
          <w:tcPr>
            <w:tcW w:w="1074" w:type="dxa"/>
            <w:tcBorders>
              <w:top w:val="nil"/>
              <w:left w:val="nil"/>
              <w:bottom w:val="single" w:sz="8"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Pljevlja</w:t>
            </w:r>
          </w:p>
        </w:tc>
        <w:tc>
          <w:tcPr>
            <w:tcW w:w="1287" w:type="dxa"/>
            <w:tcBorders>
              <w:top w:val="nil"/>
              <w:left w:val="nil"/>
              <w:bottom w:val="single" w:sz="8"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33/17</w:t>
            </w:r>
          </w:p>
        </w:tc>
        <w:tc>
          <w:tcPr>
            <w:tcW w:w="1346" w:type="dxa"/>
            <w:tcBorders>
              <w:top w:val="nil"/>
              <w:left w:val="nil"/>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16 taksi</w:t>
            </w:r>
          </w:p>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(48,48%)</w:t>
            </w:r>
          </w:p>
        </w:tc>
        <w:tc>
          <w:tcPr>
            <w:tcW w:w="875" w:type="dxa"/>
            <w:tcBorders>
              <w:top w:val="nil"/>
              <w:left w:val="nil"/>
              <w:bottom w:val="single" w:sz="8" w:space="0" w:color="000000"/>
              <w:right w:val="single" w:sz="8" w:space="0" w:color="auto"/>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16</w:t>
            </w:r>
          </w:p>
        </w:tc>
        <w:tc>
          <w:tcPr>
            <w:tcW w:w="920" w:type="dxa"/>
            <w:tcBorders>
              <w:top w:val="nil"/>
              <w:left w:val="nil"/>
              <w:bottom w:val="single" w:sz="8"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48,48%</w:t>
            </w:r>
          </w:p>
        </w:tc>
        <w:tc>
          <w:tcPr>
            <w:tcW w:w="704" w:type="dxa"/>
            <w:tcBorders>
              <w:top w:val="nil"/>
              <w:left w:val="nil"/>
              <w:bottom w:val="single" w:sz="8"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w:t>
            </w:r>
          </w:p>
        </w:tc>
        <w:tc>
          <w:tcPr>
            <w:tcW w:w="1357" w:type="dxa"/>
            <w:tcBorders>
              <w:top w:val="nil"/>
              <w:left w:val="nil"/>
              <w:bottom w:val="single" w:sz="8"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45,02% za 12 takse</w:t>
            </w:r>
          </w:p>
        </w:tc>
      </w:tr>
      <w:tr w:rsidR="004F04C3" w:rsidRPr="004F04C3" w:rsidTr="004F04C3">
        <w:trPr>
          <w:trHeight w:val="369"/>
          <w:jc w:val="center"/>
        </w:trPr>
        <w:tc>
          <w:tcPr>
            <w:tcW w:w="510" w:type="dxa"/>
            <w:tcBorders>
              <w:top w:val="single" w:sz="4" w:space="0" w:color="auto"/>
              <w:left w:val="single" w:sz="8" w:space="0" w:color="000000"/>
              <w:bottom w:val="single" w:sz="4" w:space="0" w:color="auto"/>
              <w:right w:val="single" w:sz="8" w:space="0" w:color="000000"/>
            </w:tcBorders>
            <w:shd w:val="clear" w:color="auto" w:fill="BFBFBF"/>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b/>
                <w:bCs/>
                <w:noProof/>
                <w:sz w:val="22"/>
                <w:lang w:eastAsia="sr-Latn-CS"/>
              </w:rPr>
            </w:pPr>
            <w:r w:rsidRPr="004F04C3">
              <w:rPr>
                <w:rFonts w:eastAsia="Times New Roman" w:cs="Arial"/>
                <w:b/>
                <w:bCs/>
                <w:noProof/>
                <w:sz w:val="22"/>
                <w:lang w:eastAsia="sr-Latn-CS"/>
              </w:rPr>
              <w:t>13.</w:t>
            </w:r>
          </w:p>
        </w:tc>
        <w:tc>
          <w:tcPr>
            <w:tcW w:w="1074" w:type="dxa"/>
            <w:tcBorders>
              <w:top w:val="nil"/>
              <w:left w:val="nil"/>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Žabljak</w:t>
            </w:r>
          </w:p>
        </w:tc>
        <w:tc>
          <w:tcPr>
            <w:tcW w:w="1287" w:type="dxa"/>
            <w:tcBorders>
              <w:top w:val="nil"/>
              <w:left w:val="nil"/>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35/13</w:t>
            </w:r>
          </w:p>
        </w:tc>
        <w:tc>
          <w:tcPr>
            <w:tcW w:w="1346" w:type="dxa"/>
            <w:tcBorders>
              <w:top w:val="nil"/>
              <w:left w:val="nil"/>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22 taksi</w:t>
            </w:r>
          </w:p>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(62,86%)</w:t>
            </w:r>
          </w:p>
        </w:tc>
        <w:tc>
          <w:tcPr>
            <w:tcW w:w="875" w:type="dxa"/>
            <w:tcBorders>
              <w:top w:val="nil"/>
              <w:left w:val="nil"/>
              <w:bottom w:val="single" w:sz="8" w:space="0" w:color="000000"/>
              <w:right w:val="single" w:sz="8" w:space="0" w:color="auto"/>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24</w:t>
            </w:r>
          </w:p>
        </w:tc>
        <w:tc>
          <w:tcPr>
            <w:tcW w:w="920" w:type="dxa"/>
            <w:tcBorders>
              <w:top w:val="nil"/>
              <w:left w:val="nil"/>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68,57%</w:t>
            </w:r>
          </w:p>
        </w:tc>
        <w:tc>
          <w:tcPr>
            <w:tcW w:w="704" w:type="dxa"/>
            <w:tcBorders>
              <w:top w:val="nil"/>
              <w:left w:val="nil"/>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2</w:t>
            </w:r>
          </w:p>
        </w:tc>
        <w:tc>
          <w:tcPr>
            <w:tcW w:w="1357" w:type="dxa"/>
            <w:tcBorders>
              <w:top w:val="nil"/>
              <w:left w:val="nil"/>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35,51 za 3 takse</w:t>
            </w:r>
          </w:p>
        </w:tc>
      </w:tr>
      <w:tr w:rsidR="004F04C3" w:rsidRPr="004F04C3" w:rsidTr="004F04C3">
        <w:trPr>
          <w:trHeight w:val="369"/>
          <w:jc w:val="center"/>
        </w:trPr>
        <w:tc>
          <w:tcPr>
            <w:tcW w:w="510" w:type="dxa"/>
            <w:tcBorders>
              <w:top w:val="single" w:sz="4" w:space="0" w:color="auto"/>
              <w:left w:val="single" w:sz="8" w:space="0" w:color="000000"/>
              <w:bottom w:val="single" w:sz="4" w:space="0" w:color="auto"/>
              <w:right w:val="single" w:sz="8" w:space="0" w:color="000000"/>
            </w:tcBorders>
            <w:shd w:val="clear" w:color="auto" w:fill="BFBFBF"/>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b/>
                <w:bCs/>
                <w:noProof/>
                <w:sz w:val="22"/>
                <w:lang w:eastAsia="sr-Latn-CS"/>
              </w:rPr>
            </w:pPr>
            <w:r w:rsidRPr="004F04C3">
              <w:rPr>
                <w:rFonts w:eastAsia="Times New Roman" w:cs="Arial"/>
                <w:b/>
                <w:bCs/>
                <w:noProof/>
                <w:sz w:val="22"/>
                <w:lang w:eastAsia="sr-Latn-CS"/>
              </w:rPr>
              <w:t>14.</w:t>
            </w:r>
          </w:p>
        </w:tc>
        <w:tc>
          <w:tcPr>
            <w:tcW w:w="1074"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Tivat</w:t>
            </w:r>
          </w:p>
        </w:tc>
        <w:tc>
          <w:tcPr>
            <w:tcW w:w="1287"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70/18</w:t>
            </w:r>
          </w:p>
        </w:tc>
        <w:tc>
          <w:tcPr>
            <w:tcW w:w="1346"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52 taksi (74,28%)</w:t>
            </w:r>
          </w:p>
        </w:tc>
        <w:tc>
          <w:tcPr>
            <w:tcW w:w="875"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57</w:t>
            </w:r>
          </w:p>
        </w:tc>
        <w:tc>
          <w:tcPr>
            <w:tcW w:w="920"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left"/>
              <w:rPr>
                <w:rFonts w:eastAsia="Times New Roman" w:cs="Arial"/>
                <w:noProof/>
                <w:sz w:val="22"/>
                <w:lang w:eastAsia="sr-Latn-CS"/>
              </w:rPr>
            </w:pPr>
            <w:r w:rsidRPr="004F04C3">
              <w:rPr>
                <w:rFonts w:eastAsia="Times New Roman" w:cs="Arial"/>
                <w:noProof/>
                <w:sz w:val="22"/>
                <w:lang w:eastAsia="sr-Latn-CS"/>
              </w:rPr>
              <w:t>81,43%</w:t>
            </w:r>
          </w:p>
        </w:tc>
        <w:tc>
          <w:tcPr>
            <w:tcW w:w="704"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5</w:t>
            </w:r>
          </w:p>
        </w:tc>
        <w:tc>
          <w:tcPr>
            <w:tcW w:w="1357"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49,72% za 5 taksi</w:t>
            </w:r>
          </w:p>
        </w:tc>
      </w:tr>
      <w:tr w:rsidR="004F04C3" w:rsidRPr="004F04C3" w:rsidTr="004F04C3">
        <w:trPr>
          <w:trHeight w:val="369"/>
          <w:jc w:val="center"/>
        </w:trPr>
        <w:tc>
          <w:tcPr>
            <w:tcW w:w="510" w:type="dxa"/>
            <w:tcBorders>
              <w:top w:val="single" w:sz="4" w:space="0" w:color="auto"/>
              <w:left w:val="single" w:sz="8" w:space="0" w:color="000000"/>
              <w:bottom w:val="single" w:sz="4" w:space="0" w:color="auto"/>
              <w:right w:val="single" w:sz="8" w:space="0" w:color="000000"/>
            </w:tcBorders>
            <w:shd w:val="clear" w:color="auto" w:fill="BFBFBF"/>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b/>
                <w:bCs/>
                <w:noProof/>
                <w:sz w:val="22"/>
                <w:lang w:eastAsia="sr-Latn-CS"/>
              </w:rPr>
            </w:pPr>
            <w:r w:rsidRPr="004F04C3">
              <w:rPr>
                <w:rFonts w:eastAsia="Times New Roman" w:cs="Arial"/>
                <w:b/>
                <w:bCs/>
                <w:noProof/>
                <w:sz w:val="22"/>
                <w:lang w:eastAsia="sr-Latn-CS"/>
              </w:rPr>
              <w:t>15.</w:t>
            </w:r>
          </w:p>
        </w:tc>
        <w:tc>
          <w:tcPr>
            <w:tcW w:w="1074"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Šavnik</w:t>
            </w:r>
          </w:p>
        </w:tc>
        <w:tc>
          <w:tcPr>
            <w:tcW w:w="1287"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33/13</w:t>
            </w:r>
          </w:p>
        </w:tc>
        <w:tc>
          <w:tcPr>
            <w:tcW w:w="134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20 taksi (60,60%)</w:t>
            </w:r>
          </w:p>
        </w:tc>
        <w:tc>
          <w:tcPr>
            <w:tcW w:w="875"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21</w:t>
            </w:r>
          </w:p>
        </w:tc>
        <w:tc>
          <w:tcPr>
            <w:tcW w:w="920"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63,63%</w:t>
            </w:r>
          </w:p>
        </w:tc>
        <w:tc>
          <w:tcPr>
            <w:tcW w:w="704"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1</w:t>
            </w:r>
          </w:p>
        </w:tc>
        <w:tc>
          <w:tcPr>
            <w:tcW w:w="1357"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62,99% za 4 takse</w:t>
            </w:r>
          </w:p>
        </w:tc>
      </w:tr>
      <w:tr w:rsidR="004F04C3" w:rsidRPr="004F04C3" w:rsidTr="004F04C3">
        <w:trPr>
          <w:trHeight w:val="369"/>
          <w:jc w:val="center"/>
        </w:trPr>
        <w:tc>
          <w:tcPr>
            <w:tcW w:w="510" w:type="dxa"/>
            <w:tcBorders>
              <w:top w:val="single" w:sz="4" w:space="0" w:color="auto"/>
              <w:left w:val="single" w:sz="8" w:space="0" w:color="000000"/>
              <w:bottom w:val="single" w:sz="4" w:space="0" w:color="auto"/>
              <w:right w:val="single" w:sz="8" w:space="0" w:color="000000"/>
            </w:tcBorders>
            <w:shd w:val="clear" w:color="auto" w:fill="BFBFBF"/>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b/>
                <w:bCs/>
                <w:noProof/>
                <w:sz w:val="22"/>
                <w:lang w:eastAsia="sr-Latn-CS"/>
              </w:rPr>
            </w:pPr>
            <w:r w:rsidRPr="004F04C3">
              <w:rPr>
                <w:rFonts w:eastAsia="Times New Roman" w:cs="Arial"/>
                <w:b/>
                <w:bCs/>
                <w:noProof/>
                <w:sz w:val="22"/>
                <w:lang w:eastAsia="sr-Latn-CS"/>
              </w:rPr>
              <w:t>16.</w:t>
            </w:r>
          </w:p>
        </w:tc>
        <w:tc>
          <w:tcPr>
            <w:tcW w:w="1074"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Gusinje</w:t>
            </w:r>
          </w:p>
        </w:tc>
        <w:tc>
          <w:tcPr>
            <w:tcW w:w="1287"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41/13</w:t>
            </w:r>
          </w:p>
        </w:tc>
        <w:tc>
          <w:tcPr>
            <w:tcW w:w="134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28 taksi</w:t>
            </w:r>
          </w:p>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(68,29%)</w:t>
            </w:r>
          </w:p>
        </w:tc>
        <w:tc>
          <w:tcPr>
            <w:tcW w:w="875"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30</w:t>
            </w:r>
          </w:p>
        </w:tc>
        <w:tc>
          <w:tcPr>
            <w:tcW w:w="920" w:type="dxa"/>
            <w:tcBorders>
              <w:top w:val="single" w:sz="4" w:space="0" w:color="auto"/>
              <w:left w:val="single" w:sz="4" w:space="0" w:color="auto"/>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73,17%</w:t>
            </w:r>
          </w:p>
        </w:tc>
        <w:tc>
          <w:tcPr>
            <w:tcW w:w="704"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2</w:t>
            </w:r>
          </w:p>
        </w:tc>
        <w:tc>
          <w:tcPr>
            <w:tcW w:w="1357"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29,48% za 4 takse</w:t>
            </w:r>
          </w:p>
        </w:tc>
      </w:tr>
      <w:tr w:rsidR="004F04C3" w:rsidRPr="004F04C3" w:rsidTr="004F04C3">
        <w:trPr>
          <w:trHeight w:val="369"/>
          <w:jc w:val="center"/>
        </w:trPr>
        <w:tc>
          <w:tcPr>
            <w:tcW w:w="510" w:type="dxa"/>
            <w:tcBorders>
              <w:top w:val="single" w:sz="4" w:space="0" w:color="auto"/>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b/>
                <w:bCs/>
                <w:noProof/>
                <w:sz w:val="22"/>
                <w:lang w:eastAsia="sr-Latn-CS"/>
              </w:rPr>
            </w:pPr>
            <w:r w:rsidRPr="004F04C3">
              <w:rPr>
                <w:rFonts w:eastAsia="Times New Roman" w:cs="Arial"/>
                <w:b/>
                <w:bCs/>
                <w:noProof/>
                <w:sz w:val="22"/>
                <w:lang w:eastAsia="sr-Latn-CS"/>
              </w:rPr>
              <w:t>17.</w:t>
            </w:r>
          </w:p>
        </w:tc>
        <w:tc>
          <w:tcPr>
            <w:tcW w:w="1074"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Andrijevica</w:t>
            </w:r>
          </w:p>
        </w:tc>
        <w:tc>
          <w:tcPr>
            <w:tcW w:w="12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31/11</w:t>
            </w:r>
          </w:p>
        </w:tc>
        <w:tc>
          <w:tcPr>
            <w:tcW w:w="13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20 taksi</w:t>
            </w:r>
          </w:p>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(64,51%)</w:t>
            </w:r>
          </w:p>
        </w:tc>
        <w:tc>
          <w:tcPr>
            <w:tcW w:w="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24</w:t>
            </w:r>
          </w:p>
        </w:tc>
        <w:tc>
          <w:tcPr>
            <w:tcW w:w="9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77,41%</w:t>
            </w:r>
          </w:p>
        </w:tc>
        <w:tc>
          <w:tcPr>
            <w:tcW w:w="7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4</w:t>
            </w:r>
          </w:p>
        </w:tc>
        <w:tc>
          <w:tcPr>
            <w:tcW w:w="13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40,66% za 3 takse</w:t>
            </w:r>
          </w:p>
        </w:tc>
      </w:tr>
      <w:tr w:rsidR="004F04C3" w:rsidRPr="004F04C3" w:rsidTr="004F04C3">
        <w:trPr>
          <w:trHeight w:val="369"/>
          <w:jc w:val="center"/>
        </w:trPr>
        <w:tc>
          <w:tcPr>
            <w:tcW w:w="510" w:type="dxa"/>
            <w:tcBorders>
              <w:top w:val="single" w:sz="4" w:space="0" w:color="auto"/>
              <w:left w:val="single" w:sz="8" w:space="0" w:color="000000"/>
              <w:bottom w:val="single" w:sz="4" w:space="0" w:color="auto"/>
              <w:right w:val="single" w:sz="8" w:space="0" w:color="000000"/>
            </w:tcBorders>
            <w:shd w:val="clear" w:color="auto" w:fill="BFBFBF"/>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b/>
                <w:bCs/>
                <w:noProof/>
                <w:sz w:val="22"/>
                <w:lang w:eastAsia="sr-Latn-CS"/>
              </w:rPr>
            </w:pPr>
            <w:r w:rsidRPr="004F04C3">
              <w:rPr>
                <w:rFonts w:eastAsia="Times New Roman" w:cs="Arial"/>
                <w:b/>
                <w:bCs/>
                <w:noProof/>
                <w:sz w:val="22"/>
                <w:lang w:eastAsia="sr-Latn-CS"/>
              </w:rPr>
              <w:t>18.</w:t>
            </w:r>
          </w:p>
        </w:tc>
        <w:tc>
          <w:tcPr>
            <w:tcW w:w="1074"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Kotor</w:t>
            </w:r>
          </w:p>
        </w:tc>
        <w:tc>
          <w:tcPr>
            <w:tcW w:w="1287"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41/13</w:t>
            </w:r>
          </w:p>
        </w:tc>
        <w:tc>
          <w:tcPr>
            <w:tcW w:w="134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28 taksi</w:t>
            </w:r>
          </w:p>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(68,29%)</w:t>
            </w:r>
          </w:p>
        </w:tc>
        <w:tc>
          <w:tcPr>
            <w:tcW w:w="875"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31</w:t>
            </w:r>
          </w:p>
        </w:tc>
        <w:tc>
          <w:tcPr>
            <w:tcW w:w="920"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75,60%</w:t>
            </w:r>
          </w:p>
        </w:tc>
        <w:tc>
          <w:tcPr>
            <w:tcW w:w="704"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3</w:t>
            </w:r>
          </w:p>
        </w:tc>
        <w:tc>
          <w:tcPr>
            <w:tcW w:w="1357"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49,98% za 6 taksi</w:t>
            </w:r>
          </w:p>
        </w:tc>
      </w:tr>
      <w:tr w:rsidR="004F04C3" w:rsidRPr="004F04C3" w:rsidTr="004F04C3">
        <w:trPr>
          <w:trHeight w:val="369"/>
          <w:jc w:val="center"/>
        </w:trPr>
        <w:tc>
          <w:tcPr>
            <w:tcW w:w="510" w:type="dxa"/>
            <w:tcBorders>
              <w:top w:val="single" w:sz="4" w:space="0" w:color="auto"/>
              <w:left w:val="single" w:sz="8" w:space="0" w:color="000000"/>
              <w:bottom w:val="single" w:sz="4" w:space="0" w:color="auto"/>
              <w:right w:val="single" w:sz="8" w:space="0" w:color="000000"/>
            </w:tcBorders>
            <w:shd w:val="clear" w:color="auto" w:fill="BFBFBF"/>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b/>
                <w:bCs/>
                <w:noProof/>
                <w:sz w:val="22"/>
                <w:lang w:eastAsia="sr-Latn-CS"/>
              </w:rPr>
            </w:pPr>
            <w:r w:rsidRPr="004F04C3">
              <w:rPr>
                <w:rFonts w:eastAsia="Times New Roman" w:cs="Arial"/>
                <w:b/>
                <w:bCs/>
                <w:noProof/>
                <w:sz w:val="22"/>
                <w:lang w:eastAsia="sr-Latn-CS"/>
              </w:rPr>
              <w:t>19.</w:t>
            </w:r>
          </w:p>
        </w:tc>
        <w:tc>
          <w:tcPr>
            <w:tcW w:w="1074"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Budva</w:t>
            </w:r>
          </w:p>
        </w:tc>
        <w:tc>
          <w:tcPr>
            <w:tcW w:w="1287"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82/11</w:t>
            </w:r>
          </w:p>
        </w:tc>
        <w:tc>
          <w:tcPr>
            <w:tcW w:w="134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71 taksi</w:t>
            </w:r>
          </w:p>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(86,58%)</w:t>
            </w:r>
          </w:p>
        </w:tc>
        <w:tc>
          <w:tcPr>
            <w:tcW w:w="875"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73</w:t>
            </w:r>
          </w:p>
        </w:tc>
        <w:tc>
          <w:tcPr>
            <w:tcW w:w="920"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81,81%</w:t>
            </w:r>
          </w:p>
        </w:tc>
        <w:tc>
          <w:tcPr>
            <w:tcW w:w="704"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2</w:t>
            </w:r>
          </w:p>
        </w:tc>
        <w:tc>
          <w:tcPr>
            <w:tcW w:w="1357"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85,07% za 6 taksi</w:t>
            </w:r>
          </w:p>
        </w:tc>
      </w:tr>
      <w:tr w:rsidR="004F04C3" w:rsidRPr="004F04C3" w:rsidTr="004F04C3">
        <w:trPr>
          <w:trHeight w:val="369"/>
          <w:jc w:val="center"/>
        </w:trPr>
        <w:tc>
          <w:tcPr>
            <w:tcW w:w="510" w:type="dxa"/>
            <w:tcBorders>
              <w:top w:val="single" w:sz="4" w:space="0" w:color="auto"/>
              <w:left w:val="single" w:sz="8" w:space="0" w:color="000000"/>
              <w:bottom w:val="single" w:sz="4" w:space="0" w:color="auto"/>
              <w:right w:val="single" w:sz="8" w:space="0" w:color="000000"/>
            </w:tcBorders>
            <w:shd w:val="clear" w:color="auto" w:fill="BFBFBF"/>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b/>
                <w:bCs/>
                <w:noProof/>
                <w:sz w:val="22"/>
                <w:lang w:eastAsia="sr-Latn-CS"/>
              </w:rPr>
            </w:pPr>
            <w:r w:rsidRPr="004F04C3">
              <w:rPr>
                <w:rFonts w:eastAsia="Times New Roman" w:cs="Arial"/>
                <w:b/>
                <w:bCs/>
                <w:noProof/>
                <w:sz w:val="22"/>
                <w:lang w:eastAsia="sr-Latn-CS"/>
              </w:rPr>
              <w:t>20.</w:t>
            </w:r>
          </w:p>
        </w:tc>
        <w:tc>
          <w:tcPr>
            <w:tcW w:w="1074"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Plav</w:t>
            </w:r>
          </w:p>
        </w:tc>
        <w:tc>
          <w:tcPr>
            <w:tcW w:w="1287"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44/13</w:t>
            </w:r>
          </w:p>
        </w:tc>
        <w:tc>
          <w:tcPr>
            <w:tcW w:w="134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31 taksi</w:t>
            </w:r>
          </w:p>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(70,45%)</w:t>
            </w:r>
          </w:p>
        </w:tc>
        <w:tc>
          <w:tcPr>
            <w:tcW w:w="875"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36</w:t>
            </w:r>
          </w:p>
        </w:tc>
        <w:tc>
          <w:tcPr>
            <w:tcW w:w="920"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81,81%</w:t>
            </w:r>
          </w:p>
        </w:tc>
        <w:tc>
          <w:tcPr>
            <w:tcW w:w="704"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5</w:t>
            </w:r>
          </w:p>
        </w:tc>
        <w:tc>
          <w:tcPr>
            <w:tcW w:w="1357"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43,11% za 6 taksi</w:t>
            </w:r>
          </w:p>
        </w:tc>
      </w:tr>
      <w:tr w:rsidR="004F04C3" w:rsidRPr="004F04C3" w:rsidTr="004F04C3">
        <w:trPr>
          <w:trHeight w:val="369"/>
          <w:jc w:val="center"/>
        </w:trPr>
        <w:tc>
          <w:tcPr>
            <w:tcW w:w="510" w:type="dxa"/>
            <w:tcBorders>
              <w:top w:val="single" w:sz="4" w:space="0" w:color="auto"/>
              <w:left w:val="single" w:sz="8" w:space="0" w:color="000000"/>
              <w:bottom w:val="single" w:sz="4" w:space="0" w:color="auto"/>
              <w:right w:val="single" w:sz="8" w:space="0" w:color="000000"/>
            </w:tcBorders>
            <w:shd w:val="clear" w:color="auto" w:fill="BFBFBF"/>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b/>
                <w:bCs/>
                <w:noProof/>
                <w:sz w:val="22"/>
                <w:lang w:eastAsia="sr-Latn-CS"/>
              </w:rPr>
            </w:pPr>
            <w:r w:rsidRPr="004F04C3">
              <w:rPr>
                <w:rFonts w:eastAsia="Times New Roman" w:cs="Arial"/>
                <w:b/>
                <w:bCs/>
                <w:noProof/>
                <w:sz w:val="22"/>
                <w:lang w:eastAsia="sr-Latn-CS"/>
              </w:rPr>
              <w:t>21.</w:t>
            </w:r>
          </w:p>
        </w:tc>
        <w:tc>
          <w:tcPr>
            <w:tcW w:w="1074"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Rožaje</w:t>
            </w:r>
          </w:p>
        </w:tc>
        <w:tc>
          <w:tcPr>
            <w:tcW w:w="1287"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35/11</w:t>
            </w:r>
          </w:p>
        </w:tc>
        <w:tc>
          <w:tcPr>
            <w:tcW w:w="134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24 taksi</w:t>
            </w:r>
          </w:p>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(68,57%)</w:t>
            </w:r>
          </w:p>
        </w:tc>
        <w:tc>
          <w:tcPr>
            <w:tcW w:w="875"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25</w:t>
            </w:r>
          </w:p>
        </w:tc>
        <w:tc>
          <w:tcPr>
            <w:tcW w:w="920"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71,42%</w:t>
            </w:r>
          </w:p>
        </w:tc>
        <w:tc>
          <w:tcPr>
            <w:tcW w:w="704"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1</w:t>
            </w:r>
          </w:p>
        </w:tc>
        <w:tc>
          <w:tcPr>
            <w:tcW w:w="1357" w:type="dxa"/>
            <w:tcBorders>
              <w:top w:val="single" w:sz="4" w:space="0" w:color="auto"/>
              <w:left w:val="nil"/>
              <w:bottom w:val="single" w:sz="4" w:space="0" w:color="auto"/>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31,86% za 3 takse</w:t>
            </w:r>
          </w:p>
        </w:tc>
      </w:tr>
      <w:tr w:rsidR="004F04C3" w:rsidRPr="004F04C3" w:rsidTr="004F04C3">
        <w:trPr>
          <w:trHeight w:val="369"/>
          <w:jc w:val="center"/>
        </w:trPr>
        <w:tc>
          <w:tcPr>
            <w:tcW w:w="510" w:type="dxa"/>
            <w:tcBorders>
              <w:top w:val="single" w:sz="4" w:space="0" w:color="auto"/>
              <w:left w:val="single" w:sz="8" w:space="0" w:color="000000"/>
              <w:bottom w:val="single" w:sz="8" w:space="0" w:color="000000"/>
              <w:right w:val="single" w:sz="8" w:space="0" w:color="000000"/>
            </w:tcBorders>
            <w:shd w:val="clear" w:color="auto" w:fill="BFBFBF"/>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b/>
                <w:bCs/>
                <w:noProof/>
                <w:sz w:val="22"/>
                <w:lang w:eastAsia="sr-Latn-CS"/>
              </w:rPr>
            </w:pPr>
            <w:r w:rsidRPr="004F04C3">
              <w:rPr>
                <w:rFonts w:eastAsia="Times New Roman" w:cs="Arial"/>
                <w:b/>
                <w:bCs/>
                <w:noProof/>
                <w:sz w:val="22"/>
                <w:lang w:eastAsia="sr-Latn-CS"/>
              </w:rPr>
              <w:t>22.</w:t>
            </w:r>
          </w:p>
        </w:tc>
        <w:tc>
          <w:tcPr>
            <w:tcW w:w="1074"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Plužine</w:t>
            </w:r>
          </w:p>
        </w:tc>
        <w:tc>
          <w:tcPr>
            <w:tcW w:w="1287"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31/10</w:t>
            </w:r>
          </w:p>
        </w:tc>
        <w:tc>
          <w:tcPr>
            <w:tcW w:w="134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21 taksa</w:t>
            </w:r>
          </w:p>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(67,74%)</w:t>
            </w:r>
          </w:p>
        </w:tc>
        <w:tc>
          <w:tcPr>
            <w:tcW w:w="875"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26</w:t>
            </w:r>
          </w:p>
        </w:tc>
        <w:tc>
          <w:tcPr>
            <w:tcW w:w="920" w:type="dxa"/>
            <w:tcBorders>
              <w:top w:val="single" w:sz="4" w:space="0" w:color="auto"/>
              <w:left w:val="single" w:sz="4" w:space="0" w:color="auto"/>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83,87%</w:t>
            </w:r>
          </w:p>
        </w:tc>
        <w:tc>
          <w:tcPr>
            <w:tcW w:w="704"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5</w:t>
            </w:r>
          </w:p>
        </w:tc>
        <w:tc>
          <w:tcPr>
            <w:tcW w:w="1357"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rsidR="004F04C3" w:rsidRPr="004F04C3" w:rsidRDefault="004F04C3" w:rsidP="004F04C3">
            <w:pPr>
              <w:spacing w:before="0" w:after="0" w:line="240" w:lineRule="auto"/>
              <w:jc w:val="center"/>
              <w:rPr>
                <w:rFonts w:eastAsia="Times New Roman" w:cs="Arial"/>
                <w:noProof/>
                <w:sz w:val="22"/>
                <w:lang w:eastAsia="sr-Latn-CS"/>
              </w:rPr>
            </w:pPr>
            <w:r w:rsidRPr="004F04C3">
              <w:rPr>
                <w:rFonts w:eastAsia="Times New Roman" w:cs="Arial"/>
                <w:noProof/>
                <w:sz w:val="22"/>
                <w:lang w:eastAsia="sr-Latn-CS"/>
              </w:rPr>
              <w:t>19,52% za 4 takse</w:t>
            </w:r>
          </w:p>
        </w:tc>
      </w:tr>
    </w:tbl>
    <w:p w:rsidR="004F04C3" w:rsidRPr="004F04C3" w:rsidRDefault="004F04C3" w:rsidP="004F04C3">
      <w:pPr>
        <w:spacing w:before="0" w:after="0" w:line="240" w:lineRule="auto"/>
        <w:rPr>
          <w:rFonts w:ascii="Calibri" w:eastAsia="Times New Roman" w:hAnsi="Calibri" w:cs="Calibri"/>
          <w:i/>
          <w:szCs w:val="24"/>
          <w:lang w:val="en-US"/>
        </w:rPr>
      </w:pPr>
    </w:p>
    <w:p w:rsidR="004F04C3" w:rsidRPr="004F04C3" w:rsidRDefault="004F04C3" w:rsidP="00146EBE">
      <w:pPr>
        <w:numPr>
          <w:ilvl w:val="0"/>
          <w:numId w:val="17"/>
        </w:numPr>
        <w:spacing w:before="0" w:after="200" w:line="240" w:lineRule="auto"/>
        <w:contextualSpacing/>
        <w:jc w:val="left"/>
        <w:rPr>
          <w:rFonts w:ascii="Calibri" w:eastAsia="Times New Roman" w:hAnsi="Calibri" w:cs="Arial"/>
          <w:b/>
          <w:noProof/>
          <w:color w:val="000000"/>
          <w:szCs w:val="24"/>
          <w:lang w:eastAsia="sr-Latn-CS"/>
        </w:rPr>
      </w:pPr>
      <w:r w:rsidRPr="004F04C3">
        <w:rPr>
          <w:rFonts w:ascii="Calibri" w:eastAsia="Times New Roman" w:hAnsi="Calibri" w:cs="Arial"/>
          <w:b/>
          <w:noProof/>
          <w:color w:val="000000"/>
          <w:szCs w:val="24"/>
          <w:lang w:eastAsia="sr-Latn-CS"/>
        </w:rPr>
        <w:t>KONTINUIRANO PRAĆENJE RANGA CRNE GORE U MEĐUNARODNIM IZVJEŠTAJIMA:</w:t>
      </w:r>
    </w:p>
    <w:p w:rsidR="004F04C3" w:rsidRPr="004F04C3" w:rsidRDefault="004F04C3" w:rsidP="00146EBE">
      <w:pPr>
        <w:numPr>
          <w:ilvl w:val="0"/>
          <w:numId w:val="28"/>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Doing Business, Svjetska banka</w:t>
      </w:r>
    </w:p>
    <w:p w:rsidR="004F04C3" w:rsidRPr="004F04C3" w:rsidRDefault="004F04C3" w:rsidP="00146EBE">
      <w:pPr>
        <w:numPr>
          <w:ilvl w:val="0"/>
          <w:numId w:val="28"/>
        </w:numPr>
        <w:spacing w:before="0" w:after="0" w:line="240" w:lineRule="auto"/>
        <w:jc w:val="left"/>
        <w:rPr>
          <w:rFonts w:ascii="Calibri" w:eastAsia="Calibri" w:hAnsi="Calibri" w:cs="Times New Roman"/>
          <w:szCs w:val="24"/>
          <w:lang w:val="en-US"/>
        </w:rPr>
      </w:pPr>
      <w:r w:rsidRPr="004F04C3">
        <w:rPr>
          <w:rFonts w:ascii="Calibri" w:eastAsia="Calibri" w:hAnsi="Calibri" w:cs="Times New Roman"/>
          <w:szCs w:val="24"/>
          <w:lang w:val="en-US"/>
        </w:rPr>
        <w:t>Indeks globalne konkurentnosti, Svjetski ekonomski forum</w:t>
      </w:r>
    </w:p>
    <w:p w:rsidR="004F04C3" w:rsidRPr="004F04C3" w:rsidRDefault="004F04C3" w:rsidP="00146EBE">
      <w:pPr>
        <w:numPr>
          <w:ilvl w:val="0"/>
          <w:numId w:val="28"/>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Indeks ekonomskih sloboda, Heritidž fondacija</w:t>
      </w:r>
    </w:p>
    <w:p w:rsidR="004F04C3" w:rsidRPr="004F04C3" w:rsidRDefault="004F04C3" w:rsidP="00146EBE">
      <w:pPr>
        <w:numPr>
          <w:ilvl w:val="0"/>
          <w:numId w:val="28"/>
        </w:numPr>
        <w:spacing w:before="0" w:after="0" w:line="240" w:lineRule="auto"/>
        <w:jc w:val="left"/>
        <w:rPr>
          <w:rFonts w:ascii="Calibri" w:eastAsia="Times New Roman" w:hAnsi="Calibri" w:cs="Times New Roman"/>
          <w:szCs w:val="24"/>
          <w:lang w:val="es-MX"/>
        </w:rPr>
      </w:pPr>
      <w:r w:rsidRPr="004F04C3">
        <w:rPr>
          <w:rFonts w:ascii="Calibri" w:eastAsia="Calibri" w:hAnsi="Calibri" w:cs="Times New Roman"/>
          <w:szCs w:val="24"/>
          <w:lang w:val="es-MX"/>
        </w:rPr>
        <w:t xml:space="preserve">Ekonomske sloboda u svijetu, </w:t>
      </w:r>
      <w:r w:rsidRPr="004F04C3">
        <w:rPr>
          <w:rFonts w:ascii="Calibri" w:eastAsia="Times New Roman" w:hAnsi="Calibri" w:cs="Times New Roman"/>
          <w:szCs w:val="24"/>
          <w:lang w:val="es-MX"/>
        </w:rPr>
        <w:t>Fraser Institut</w:t>
      </w:r>
    </w:p>
    <w:p w:rsidR="004F04C3" w:rsidRPr="004F04C3" w:rsidRDefault="004F04C3" w:rsidP="00146EBE">
      <w:pPr>
        <w:numPr>
          <w:ilvl w:val="0"/>
          <w:numId w:val="28"/>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Indeks percepcije korupcije, Tranasparency International</w:t>
      </w:r>
    </w:p>
    <w:p w:rsidR="004F04C3" w:rsidRPr="004F04C3" w:rsidRDefault="004F04C3" w:rsidP="00146EBE">
      <w:pPr>
        <w:numPr>
          <w:ilvl w:val="0"/>
          <w:numId w:val="28"/>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Slobode u svijetu, Freedom House</w:t>
      </w:r>
    </w:p>
    <w:p w:rsidR="004F04C3" w:rsidRPr="004F04C3" w:rsidRDefault="004F04C3" w:rsidP="00146EBE">
      <w:pPr>
        <w:numPr>
          <w:ilvl w:val="0"/>
          <w:numId w:val="28"/>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Kreditni rejting Standard &amp; Poor’s</w:t>
      </w:r>
    </w:p>
    <w:p w:rsidR="004F04C3" w:rsidRPr="00B14FA6" w:rsidRDefault="004F04C3" w:rsidP="00146EBE">
      <w:pPr>
        <w:numPr>
          <w:ilvl w:val="0"/>
          <w:numId w:val="28"/>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Kreditni rejting Moody’s.</w:t>
      </w:r>
    </w:p>
    <w:p w:rsidR="004F04C3" w:rsidRPr="004F04C3" w:rsidRDefault="004F04C3" w:rsidP="00146EBE">
      <w:pPr>
        <w:numPr>
          <w:ilvl w:val="0"/>
          <w:numId w:val="17"/>
        </w:numPr>
        <w:spacing w:before="0" w:after="0" w:line="240" w:lineRule="auto"/>
        <w:contextualSpacing/>
        <w:jc w:val="left"/>
        <w:rPr>
          <w:rFonts w:ascii="Calibri" w:eastAsia="Times New Roman" w:hAnsi="Calibri" w:cs="Arial"/>
          <w:b/>
          <w:noProof/>
          <w:color w:val="000000"/>
          <w:szCs w:val="24"/>
          <w:lang w:val="en-US" w:eastAsia="sr-Latn-CS"/>
        </w:rPr>
      </w:pPr>
      <w:r w:rsidRPr="004F04C3">
        <w:rPr>
          <w:rFonts w:ascii="Calibri" w:eastAsia="Times New Roman" w:hAnsi="Calibri" w:cs="Arial"/>
          <w:b/>
          <w:noProof/>
          <w:color w:val="000000"/>
          <w:szCs w:val="24"/>
          <w:lang w:val="en-US" w:eastAsia="sr-Latn-CS"/>
        </w:rPr>
        <w:t>SARADNJA SA KREDITNIM REJTING AGENCIJAMA</w:t>
      </w:r>
    </w:p>
    <w:p w:rsidR="004F04C3" w:rsidRPr="004F04C3" w:rsidRDefault="004F04C3" w:rsidP="004F04C3">
      <w:pPr>
        <w:spacing w:before="0" w:after="0" w:line="240" w:lineRule="auto"/>
        <w:ind w:firstLine="360"/>
        <w:rPr>
          <w:rFonts w:ascii="Calibri" w:eastAsia="Times New Roman" w:hAnsi="Calibri" w:cs="Times New Roman"/>
          <w:szCs w:val="24"/>
          <w:lang w:val="en-US"/>
        </w:rPr>
      </w:pPr>
      <w:r w:rsidRPr="004F04C3">
        <w:rPr>
          <w:rFonts w:ascii="Calibri" w:eastAsia="Times New Roman" w:hAnsi="Calibri" w:cs="Times New Roman"/>
          <w:szCs w:val="24"/>
          <w:lang w:val="en-US"/>
        </w:rPr>
        <w:t>Kreditne rejting agencije kontinuirano vrše procjene fiskalno-finansijske pozicije Crne Gore i u tom dijelu Ministarstvo finansija pruža podršku i neophodne podatke u cilju dobijanja povoljnije ocjene kreditnog rejtinga.</w:t>
      </w:r>
    </w:p>
    <w:p w:rsidR="004F04C3" w:rsidRPr="00B14FA6" w:rsidRDefault="004F04C3" w:rsidP="00B14FA6">
      <w:pPr>
        <w:spacing w:before="0" w:after="0" w:line="240" w:lineRule="auto"/>
        <w:ind w:firstLine="360"/>
        <w:rPr>
          <w:rFonts w:ascii="Calibri" w:eastAsia="Times New Roman" w:hAnsi="Calibri" w:cs="Times New Roman"/>
          <w:szCs w:val="24"/>
          <w:lang w:val="en-US"/>
        </w:rPr>
      </w:pPr>
      <w:r w:rsidRPr="004F04C3">
        <w:rPr>
          <w:rFonts w:ascii="Calibri" w:eastAsia="Times New Roman" w:hAnsi="Calibri" w:cs="Times New Roman"/>
          <w:szCs w:val="24"/>
          <w:lang w:val="en-US"/>
        </w:rPr>
        <w:lastRenderedPageBreak/>
        <w:t>Tokom februara 2020. godine, analitičari kreditne agencije „Moody’s“ (12-14 februar) i „Standard and Poor’s “ (24-25 februar) boravili su u Crnoj Gori u ok</w:t>
      </w:r>
      <w:r w:rsidR="00B14FA6">
        <w:rPr>
          <w:rFonts w:ascii="Calibri" w:eastAsia="Times New Roman" w:hAnsi="Calibri" w:cs="Times New Roman"/>
          <w:szCs w:val="24"/>
          <w:lang w:val="en-US"/>
        </w:rPr>
        <w:t xml:space="preserve">viru redovne godišnje posjete. </w:t>
      </w:r>
    </w:p>
    <w:p w:rsidR="004F04C3" w:rsidRPr="004F04C3" w:rsidRDefault="004F04C3" w:rsidP="00146EBE">
      <w:pPr>
        <w:numPr>
          <w:ilvl w:val="0"/>
          <w:numId w:val="17"/>
        </w:numPr>
        <w:autoSpaceDE w:val="0"/>
        <w:spacing w:before="0" w:after="0" w:line="240" w:lineRule="auto"/>
        <w:contextualSpacing/>
        <w:jc w:val="left"/>
        <w:rPr>
          <w:rFonts w:ascii="Calibri" w:eastAsia="Times New Roman" w:hAnsi="Calibri" w:cs="Arial"/>
          <w:b/>
          <w:szCs w:val="24"/>
          <w:lang w:val="en-GB" w:eastAsia="en-GB"/>
        </w:rPr>
      </w:pPr>
      <w:r w:rsidRPr="004F04C3">
        <w:rPr>
          <w:rFonts w:ascii="Calibri" w:eastAsia="Times New Roman" w:hAnsi="Calibri" w:cs="Arial"/>
          <w:b/>
          <w:szCs w:val="24"/>
          <w:lang w:val="en-GB" w:eastAsia="en-GB"/>
        </w:rPr>
        <w:t xml:space="preserve">EU INTEGRACIJE </w:t>
      </w:r>
    </w:p>
    <w:p w:rsidR="004F04C3" w:rsidRPr="004F04C3" w:rsidRDefault="004F04C3" w:rsidP="00B14FA6">
      <w:pPr>
        <w:spacing w:before="0" w:after="0" w:line="240" w:lineRule="auto"/>
        <w:ind w:firstLine="360"/>
        <w:rPr>
          <w:rFonts w:ascii="Calibri" w:eastAsia="Times New Roman" w:hAnsi="Calibri" w:cs="Times New Roman"/>
          <w:szCs w:val="24"/>
          <w:lang w:val="en-GB"/>
        </w:rPr>
      </w:pPr>
      <w:r w:rsidRPr="004F04C3">
        <w:rPr>
          <w:rFonts w:ascii="Calibri" w:eastAsia="Times New Roman" w:hAnsi="Calibri" w:cs="Times New Roman"/>
          <w:szCs w:val="24"/>
          <w:lang w:val="en-GB"/>
        </w:rPr>
        <w:t>Pripremljeni su prilozi za Pododbor za preduzetništvo i industrijsku politiku- Poglavlje 20, kao i odgovori na dodatna pitanja Evropske komisije u okvi</w:t>
      </w:r>
      <w:r w:rsidR="00B14FA6">
        <w:rPr>
          <w:rFonts w:ascii="Calibri" w:eastAsia="Times New Roman" w:hAnsi="Calibri" w:cs="Times New Roman"/>
          <w:szCs w:val="24"/>
          <w:lang w:val="en-GB"/>
        </w:rPr>
        <w:t>ru Poglavlja 17 i Poglavlja 20.</w:t>
      </w:r>
    </w:p>
    <w:p w:rsidR="004F04C3" w:rsidRPr="004F04C3" w:rsidRDefault="004F04C3" w:rsidP="00146EBE">
      <w:pPr>
        <w:numPr>
          <w:ilvl w:val="0"/>
          <w:numId w:val="17"/>
        </w:numPr>
        <w:autoSpaceDE w:val="0"/>
        <w:autoSpaceDN w:val="0"/>
        <w:spacing w:before="0" w:after="0" w:line="240" w:lineRule="auto"/>
        <w:contextualSpacing/>
        <w:jc w:val="left"/>
        <w:rPr>
          <w:rFonts w:ascii="Calibri" w:eastAsia="Times New Roman" w:hAnsi="Calibri" w:cs="Arial"/>
          <w:b/>
          <w:noProof/>
          <w:szCs w:val="24"/>
          <w:lang w:eastAsia="sr-Latn-CS"/>
        </w:rPr>
      </w:pPr>
      <w:r w:rsidRPr="004F04C3">
        <w:rPr>
          <w:rFonts w:ascii="Calibri" w:eastAsia="Times New Roman" w:hAnsi="Calibri" w:cs="Arial"/>
          <w:b/>
          <w:noProof/>
          <w:szCs w:val="24"/>
          <w:lang w:eastAsia="sr-Latn-CS"/>
        </w:rPr>
        <w:t>RADNA GRUPA ZA REFORMU ELEKTRONSKE REGISTRACIJE PREDUZEĆA</w:t>
      </w:r>
    </w:p>
    <w:p w:rsidR="004F04C3" w:rsidRPr="004F04C3" w:rsidRDefault="004F04C3" w:rsidP="004F04C3">
      <w:pPr>
        <w:spacing w:before="0" w:after="0" w:line="240" w:lineRule="auto"/>
        <w:ind w:firstLine="360"/>
        <w:rPr>
          <w:rFonts w:ascii="Calibri" w:eastAsia="Times New Roman" w:hAnsi="Calibri" w:cs="Times New Roman"/>
          <w:szCs w:val="24"/>
          <w:lang w:val="en-US"/>
        </w:rPr>
      </w:pPr>
      <w:r w:rsidRPr="004F04C3">
        <w:rPr>
          <w:rFonts w:ascii="Calibri" w:eastAsia="Times New Roman" w:hAnsi="Calibri" w:cs="Times New Roman"/>
          <w:szCs w:val="24"/>
          <w:lang w:val="en-US"/>
        </w:rPr>
        <w:t>Zaključkom Savjeta za konkurentnost na sjednici održanoj 22. marta 2019. godine, formirana je radna grupa za izradu dokumenta „Analiza stanja u oblasti registracije preduzeća sa mjerama za unaprijeđenje“. Pomenuti dokument je usvojen na sjednici Vlade, 01. avgusta 2019. godine.</w:t>
      </w:r>
    </w:p>
    <w:p w:rsidR="004F04C3" w:rsidRPr="004F04C3" w:rsidRDefault="004F04C3" w:rsidP="004F04C3">
      <w:pPr>
        <w:spacing w:before="0" w:after="0" w:line="240" w:lineRule="auto"/>
        <w:ind w:firstLine="360"/>
        <w:rPr>
          <w:rFonts w:ascii="Calibri" w:eastAsia="Times New Roman" w:hAnsi="Calibri" w:cs="Times New Roman"/>
          <w:szCs w:val="24"/>
          <w:lang w:val="en-US"/>
        </w:rPr>
      </w:pPr>
      <w:r w:rsidRPr="004F04C3">
        <w:rPr>
          <w:rFonts w:ascii="Calibri" w:eastAsia="Times New Roman" w:hAnsi="Calibri" w:cs="Times New Roman"/>
          <w:szCs w:val="24"/>
          <w:lang w:val="en-US"/>
        </w:rPr>
        <w:t xml:space="preserve">U dokumentu je detaljno obrađeno sadašnje stanje procesa registracije privrednih subjekata i navedeni su osnovni nedostaci, koji su obrazloženi i komentarima prikupljenim iz privatnog sektora. Dodatno, dat je opis željenog stanja koje podrazumijeva mogućnost potpune elektronske registracije preduzeća, odnosno pojednostavljenje procesa za one privrednike koji odluče da osnuju svoje preduzeće ili registruju izmjene dolaskom na šalter Centralnog registra privrednih subjekata. Kako je registracija preduzeća jedan od najvažnijih indikatora za praćenje konkurentnosti zemlje, u dokumentu je dat osvrt na Doing Business metodologiju i prijedlog izmjene organizacionog statusa CRPS-a. </w:t>
      </w:r>
    </w:p>
    <w:p w:rsidR="004F04C3" w:rsidRPr="004F04C3" w:rsidRDefault="004F04C3" w:rsidP="004F04C3">
      <w:pPr>
        <w:spacing w:before="0" w:after="0" w:line="240" w:lineRule="auto"/>
        <w:ind w:firstLine="360"/>
        <w:rPr>
          <w:rFonts w:ascii="Calibri" w:eastAsia="Times New Roman" w:hAnsi="Calibri" w:cs="Times New Roman"/>
          <w:szCs w:val="24"/>
          <w:lang w:val="es-MX"/>
        </w:rPr>
      </w:pPr>
      <w:r w:rsidRPr="004F04C3">
        <w:rPr>
          <w:rFonts w:ascii="Calibri" w:eastAsia="Times New Roman" w:hAnsi="Calibri" w:cs="Times New Roman"/>
          <w:szCs w:val="24"/>
          <w:lang w:val="es-MX"/>
        </w:rPr>
        <w:t>Krajnji cilj reforme procesa registracije preduzeća je da se cjelokupan proces osnivanja preduzeća (od rezervacije imena do momenta kada preduzeće može da obavlja pravne radnje), odvija elektronski. Registracija privrednih subjekata treba da je u skladu sa sljedećim principima, koji su međunarodna praksa:</w:t>
      </w:r>
    </w:p>
    <w:p w:rsidR="004F04C3" w:rsidRPr="004F04C3" w:rsidRDefault="004F04C3" w:rsidP="00146EBE">
      <w:pPr>
        <w:numPr>
          <w:ilvl w:val="0"/>
          <w:numId w:val="30"/>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Registracija je upis to jest evidencija i nije davanje dozvole;</w:t>
      </w:r>
    </w:p>
    <w:p w:rsidR="004F04C3" w:rsidRPr="004F04C3" w:rsidRDefault="004F04C3" w:rsidP="00146EBE">
      <w:pPr>
        <w:numPr>
          <w:ilvl w:val="0"/>
          <w:numId w:val="30"/>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Baza podataka je zbirka statusnih i finansijskih podataka i dokumenata koji su javno dostupni i formira se na osnovu dokumenata koje privredni subjekti slobodno (autonomno usvajaju), a stupaju na snagu registracijom privrednog subjekta u centralnom registru;</w:t>
      </w:r>
    </w:p>
    <w:p w:rsidR="004F04C3" w:rsidRPr="004F04C3" w:rsidRDefault="004F04C3" w:rsidP="00146EBE">
      <w:pPr>
        <w:numPr>
          <w:ilvl w:val="0"/>
          <w:numId w:val="30"/>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Organi javne vlasti ne razmjenjuju dokumenta već podatke (re-use of data);</w:t>
      </w:r>
    </w:p>
    <w:p w:rsidR="004F04C3" w:rsidRPr="004F04C3" w:rsidRDefault="004F04C3" w:rsidP="00146EBE">
      <w:pPr>
        <w:numPr>
          <w:ilvl w:val="0"/>
          <w:numId w:val="30"/>
        </w:numPr>
        <w:spacing w:before="0" w:after="0" w:line="240" w:lineRule="auto"/>
        <w:jc w:val="left"/>
        <w:rPr>
          <w:rFonts w:ascii="Calibri" w:eastAsia="Times New Roman" w:hAnsi="Calibri" w:cs="Times New Roman"/>
          <w:szCs w:val="24"/>
          <w:lang w:val="es-MX"/>
        </w:rPr>
      </w:pPr>
      <w:r w:rsidRPr="004F04C3">
        <w:rPr>
          <w:rFonts w:ascii="Calibri" w:eastAsia="Times New Roman" w:hAnsi="Calibri" w:cs="Times New Roman"/>
          <w:szCs w:val="24"/>
          <w:lang w:val="es-MX"/>
        </w:rPr>
        <w:t>Objavljivanje je istovremeno sa registracijom u registru;</w:t>
      </w:r>
    </w:p>
    <w:p w:rsidR="004F04C3" w:rsidRPr="004F04C3" w:rsidRDefault="004F04C3" w:rsidP="00146EBE">
      <w:pPr>
        <w:numPr>
          <w:ilvl w:val="0"/>
          <w:numId w:val="30"/>
        </w:numPr>
        <w:spacing w:before="0" w:after="0" w:line="240" w:lineRule="auto"/>
        <w:jc w:val="left"/>
        <w:rPr>
          <w:rFonts w:ascii="Calibri" w:eastAsia="Times New Roman" w:hAnsi="Calibri" w:cs="Times New Roman"/>
          <w:szCs w:val="24"/>
          <w:lang w:val="es-MX"/>
        </w:rPr>
      </w:pPr>
      <w:r w:rsidRPr="004F04C3">
        <w:rPr>
          <w:rFonts w:ascii="Calibri" w:eastAsia="Times New Roman" w:hAnsi="Calibri" w:cs="Times New Roman"/>
          <w:szCs w:val="24"/>
          <w:lang w:val="es-MX"/>
        </w:rPr>
        <w:t>Privredni subjekat je vlasnik podataka koje dostavlja i sam snosi zakonsku odgovornost za tačnost tih podataka.</w:t>
      </w:r>
    </w:p>
    <w:p w:rsidR="004F04C3" w:rsidRPr="004F04C3" w:rsidRDefault="004F04C3" w:rsidP="004F04C3">
      <w:pPr>
        <w:spacing w:before="0" w:after="0" w:line="240" w:lineRule="auto"/>
        <w:ind w:firstLine="360"/>
        <w:rPr>
          <w:rFonts w:ascii="Calibri" w:eastAsia="Times New Roman" w:hAnsi="Calibri" w:cs="Times New Roman"/>
          <w:szCs w:val="24"/>
          <w:lang w:val="en-US"/>
        </w:rPr>
      </w:pPr>
      <w:r w:rsidRPr="004F04C3">
        <w:rPr>
          <w:rFonts w:ascii="Calibri" w:eastAsia="Times New Roman" w:hAnsi="Calibri" w:cs="Times New Roman"/>
          <w:szCs w:val="24"/>
          <w:lang w:val="en-US"/>
        </w:rPr>
        <w:t>Analizom postojećeg regulatornog okvira za registraciju preduzeća i identifikovanje mogućnosti za njegovo unaprijeđenje, sprovedene su aktivnosti u cilju pojednostavljivanja “fizičke registracije” i uvođenja “elektronske registracije” preduzeća, i to:</w:t>
      </w:r>
    </w:p>
    <w:p w:rsidR="004F04C3" w:rsidRPr="004F04C3" w:rsidRDefault="004F04C3" w:rsidP="00146EBE">
      <w:pPr>
        <w:numPr>
          <w:ilvl w:val="0"/>
          <w:numId w:val="35"/>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b/>
          <w:i/>
          <w:szCs w:val="24"/>
          <w:lang w:val="en-US"/>
        </w:rPr>
        <w:t>Pravilnik o postupku registracije, bližoj sadržini i načinu vođenja Centralnog registra privrednih subjekata</w:t>
      </w:r>
      <w:r w:rsidRPr="004F04C3">
        <w:rPr>
          <w:rFonts w:ascii="Calibri" w:eastAsia="Times New Roman" w:hAnsi="Calibri" w:cs="Times New Roman"/>
          <w:szCs w:val="24"/>
          <w:lang w:val="en-US"/>
        </w:rPr>
        <w:t xml:space="preserve"> (“Službeni list CG”, br. 98/20), koji </w:t>
      </w:r>
      <w:r w:rsidRPr="004F04C3">
        <w:rPr>
          <w:rFonts w:ascii="Calibri" w:eastAsia="Times New Roman" w:hAnsi="Calibri" w:cs="Calibri"/>
          <w:szCs w:val="24"/>
          <w:lang w:val="en-US"/>
        </w:rPr>
        <w:t>propisuje postupak registracije, jedinstveni obrazac registracione prijave, bliži sadržaj i način vođenja Centralnog registra privrednih subjekata</w:t>
      </w:r>
      <w:r w:rsidRPr="004F04C3">
        <w:rPr>
          <w:rFonts w:ascii="Calibri" w:eastAsia="Times New Roman" w:hAnsi="Calibri" w:cs="Times New Roman"/>
          <w:szCs w:val="24"/>
          <w:lang w:val="en-US"/>
        </w:rPr>
        <w:t>;</w:t>
      </w:r>
    </w:p>
    <w:p w:rsidR="004F04C3" w:rsidRPr="004F04C3" w:rsidRDefault="004F04C3" w:rsidP="00146EBE">
      <w:pPr>
        <w:numPr>
          <w:ilvl w:val="0"/>
          <w:numId w:val="35"/>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b/>
          <w:i/>
          <w:szCs w:val="24"/>
          <w:lang w:val="en-US"/>
        </w:rPr>
        <w:t>Pravilnik o određivanju kriterijuma i visini naknade za registraciju privrednih subjekata u Centralnom registru privrednih subjekata</w:t>
      </w:r>
      <w:r w:rsidRPr="004F04C3">
        <w:rPr>
          <w:rFonts w:ascii="Calibri" w:eastAsia="Times New Roman" w:hAnsi="Calibri" w:cs="Times New Roman"/>
          <w:szCs w:val="24"/>
          <w:lang w:val="en-US"/>
        </w:rPr>
        <w:t xml:space="preserve"> (“Službeni list CG”, br. 98/20), koji propisuje kriterijumime i visinu naknade za registraciju privrednih subjekata. </w:t>
      </w:r>
    </w:p>
    <w:p w:rsidR="004F04C3" w:rsidRPr="004F04C3" w:rsidRDefault="004F04C3" w:rsidP="004F04C3">
      <w:pPr>
        <w:spacing w:before="0" w:after="0" w:line="240" w:lineRule="auto"/>
        <w:ind w:firstLine="360"/>
        <w:rPr>
          <w:rFonts w:ascii="Calibri" w:eastAsia="Times New Roman" w:hAnsi="Calibri" w:cs="Times New Roman"/>
          <w:szCs w:val="24"/>
          <w:lang w:val="en-US"/>
        </w:rPr>
      </w:pPr>
      <w:r w:rsidRPr="004F04C3">
        <w:rPr>
          <w:rFonts w:ascii="Calibri" w:eastAsia="Times New Roman" w:hAnsi="Calibri" w:cs="Times New Roman"/>
          <w:szCs w:val="24"/>
          <w:lang w:val="en-US"/>
        </w:rPr>
        <w:t>Jedinstvena registraciona prijava je u značajnoj mjeri inovirana, u smislu da:</w:t>
      </w:r>
    </w:p>
    <w:p w:rsidR="004F04C3" w:rsidRPr="004F04C3" w:rsidRDefault="004F04C3" w:rsidP="00146EBE">
      <w:pPr>
        <w:numPr>
          <w:ilvl w:val="0"/>
          <w:numId w:val="36"/>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dosadašnji obrasci (njih 16) su spojeni u jedan, i na taj način je olakšano strankama da na pregledan način ispune prijavu, za svaki od privrednih subjekata koji se registruju u Centralnom registru privrednih subjekata (CRPS);</w:t>
      </w:r>
    </w:p>
    <w:p w:rsidR="004F04C3" w:rsidRPr="004F04C3" w:rsidRDefault="004F04C3" w:rsidP="00146EBE">
      <w:pPr>
        <w:numPr>
          <w:ilvl w:val="0"/>
          <w:numId w:val="36"/>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Po istom principu, u toku je izrada elektronske jedinstvene registracione prijave.</w:t>
      </w:r>
    </w:p>
    <w:p w:rsidR="004F04C3" w:rsidRPr="004F04C3" w:rsidRDefault="004F04C3" w:rsidP="004F04C3">
      <w:pPr>
        <w:spacing w:before="0" w:after="0" w:line="240" w:lineRule="auto"/>
        <w:ind w:firstLine="360"/>
        <w:rPr>
          <w:rFonts w:ascii="Calibri" w:eastAsia="Times New Roman" w:hAnsi="Calibri" w:cs="Calibri"/>
          <w:noProof/>
          <w:szCs w:val="24"/>
          <w:lang w:eastAsia="sr-Latn-CS"/>
        </w:rPr>
      </w:pPr>
      <w:r w:rsidRPr="004F04C3">
        <w:rPr>
          <w:rFonts w:ascii="Calibri" w:eastAsia="Times New Roman" w:hAnsi="Calibri" w:cs="Calibri"/>
          <w:noProof/>
          <w:szCs w:val="24"/>
          <w:lang w:eastAsia="sr-Latn-CS"/>
        </w:rPr>
        <w:t>Kada je u pitanju proces registracije preduzeća u Centralnom registru privrednih subjekata (CRPS), poboljšanja u odnosu na prethodno zakonsko rješenje, su:</w:t>
      </w:r>
    </w:p>
    <w:p w:rsidR="004F04C3" w:rsidRPr="004F04C3" w:rsidRDefault="004F04C3" w:rsidP="004F04C3">
      <w:pPr>
        <w:spacing w:before="0" w:after="0" w:line="240" w:lineRule="auto"/>
        <w:ind w:firstLine="360"/>
        <w:rPr>
          <w:rFonts w:ascii="Calibri" w:eastAsia="Times New Roman" w:hAnsi="Calibri" w:cs="Times New Roman"/>
          <w:szCs w:val="24"/>
          <w:lang w:val="en-US"/>
        </w:rPr>
      </w:pPr>
      <w:r w:rsidRPr="004F04C3">
        <w:rPr>
          <w:rFonts w:ascii="Calibri" w:eastAsia="Times New Roman" w:hAnsi="Calibri" w:cs="Times New Roman"/>
          <w:b/>
          <w:i/>
          <w:szCs w:val="24"/>
          <w:lang w:val="en-US"/>
        </w:rPr>
        <w:t>Stvaranje normativnih preduslova</w:t>
      </w:r>
      <w:r w:rsidRPr="004F04C3">
        <w:rPr>
          <w:rFonts w:ascii="Calibri" w:eastAsia="Times New Roman" w:hAnsi="Calibri" w:cs="Times New Roman"/>
          <w:szCs w:val="24"/>
          <w:lang w:val="en-US"/>
        </w:rPr>
        <w:t xml:space="preserve"> za uvođenje potpune elektronske registracije preduzeća;</w:t>
      </w:r>
    </w:p>
    <w:p w:rsidR="004F04C3" w:rsidRPr="004F04C3" w:rsidRDefault="004F04C3" w:rsidP="00146EBE">
      <w:pPr>
        <w:numPr>
          <w:ilvl w:val="0"/>
          <w:numId w:val="37"/>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 xml:space="preserve">Rok za donošenje rješenja o registraciji skraćen je sa četiri na </w:t>
      </w:r>
      <w:r w:rsidRPr="004F04C3">
        <w:rPr>
          <w:rFonts w:ascii="Calibri" w:eastAsia="Times New Roman" w:hAnsi="Calibri" w:cs="Times New Roman"/>
          <w:b/>
          <w:i/>
          <w:szCs w:val="24"/>
          <w:lang w:val="en-US"/>
        </w:rPr>
        <w:t>tri radna dana</w:t>
      </w:r>
      <w:r w:rsidRPr="004F04C3">
        <w:rPr>
          <w:rFonts w:ascii="Calibri" w:eastAsia="Times New Roman" w:hAnsi="Calibri" w:cs="Times New Roman"/>
          <w:szCs w:val="24"/>
          <w:lang w:val="en-US"/>
        </w:rPr>
        <w:t>;</w:t>
      </w:r>
    </w:p>
    <w:p w:rsidR="004F04C3" w:rsidRPr="004F04C3" w:rsidRDefault="004F04C3" w:rsidP="00146EBE">
      <w:pPr>
        <w:numPr>
          <w:ilvl w:val="0"/>
          <w:numId w:val="37"/>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lastRenderedPageBreak/>
        <w:t xml:space="preserve">Originalnom dokumentacijom smatra i </w:t>
      </w:r>
      <w:r w:rsidRPr="004F04C3">
        <w:rPr>
          <w:rFonts w:ascii="Calibri" w:eastAsia="Times New Roman" w:hAnsi="Calibri" w:cs="Times New Roman"/>
          <w:b/>
          <w:i/>
          <w:szCs w:val="24"/>
          <w:lang w:val="en-US"/>
        </w:rPr>
        <w:t>elektronski dokument</w:t>
      </w:r>
      <w:r w:rsidRPr="004F04C3">
        <w:rPr>
          <w:rFonts w:ascii="Calibri" w:eastAsia="Times New Roman" w:hAnsi="Calibri" w:cs="Times New Roman"/>
          <w:szCs w:val="24"/>
          <w:lang w:val="en-US"/>
        </w:rPr>
        <w:t xml:space="preserve"> u skladu sa zakonom kojim se uređuje elektronski dokument;</w:t>
      </w:r>
    </w:p>
    <w:p w:rsidR="004F04C3" w:rsidRPr="004F04C3" w:rsidRDefault="004F04C3" w:rsidP="00146EBE">
      <w:pPr>
        <w:numPr>
          <w:ilvl w:val="0"/>
          <w:numId w:val="37"/>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 xml:space="preserve">Rješenjem o registraciji se više </w:t>
      </w:r>
      <w:r w:rsidRPr="004F04C3">
        <w:rPr>
          <w:rFonts w:ascii="Calibri" w:eastAsia="Times New Roman" w:hAnsi="Calibri" w:cs="Times New Roman"/>
          <w:b/>
          <w:i/>
          <w:szCs w:val="24"/>
          <w:lang w:val="en-US"/>
        </w:rPr>
        <w:t>ne određuje akcizni broj</w:t>
      </w:r>
      <w:r w:rsidRPr="004F04C3">
        <w:rPr>
          <w:rFonts w:ascii="Calibri" w:eastAsia="Times New Roman" w:hAnsi="Calibri" w:cs="Times New Roman"/>
          <w:szCs w:val="24"/>
          <w:lang w:val="en-US"/>
        </w:rPr>
        <w:t>, imajući u vidu da to nije uslov za registraciju;</w:t>
      </w:r>
    </w:p>
    <w:p w:rsidR="004F04C3" w:rsidRPr="004F04C3" w:rsidRDefault="004F04C3" w:rsidP="00146EBE">
      <w:pPr>
        <w:numPr>
          <w:ilvl w:val="0"/>
          <w:numId w:val="37"/>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 xml:space="preserve">Dokumentacija iz člana 14 Direktive (EU) 2017/1132 Evropskog parlamenta i Savjeta od 14.  juna 2017.  o određenim aspektima prava društava, biće </w:t>
      </w:r>
      <w:r w:rsidRPr="004F04C3">
        <w:rPr>
          <w:rFonts w:ascii="Calibri" w:eastAsia="Times New Roman" w:hAnsi="Calibri" w:cs="Times New Roman"/>
          <w:b/>
          <w:i/>
          <w:szCs w:val="24"/>
          <w:lang w:val="en-US"/>
        </w:rPr>
        <w:t>objavljena na stranici CRPS-a</w:t>
      </w:r>
      <w:r w:rsidRPr="004F04C3">
        <w:rPr>
          <w:rFonts w:ascii="Calibri" w:eastAsia="Times New Roman" w:hAnsi="Calibri" w:cs="Times New Roman"/>
          <w:szCs w:val="24"/>
          <w:lang w:val="en-US"/>
        </w:rPr>
        <w:t>;</w:t>
      </w:r>
    </w:p>
    <w:p w:rsidR="004F04C3" w:rsidRPr="004F04C3" w:rsidRDefault="004F04C3" w:rsidP="00146EBE">
      <w:pPr>
        <w:numPr>
          <w:ilvl w:val="0"/>
          <w:numId w:val="37"/>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 xml:space="preserve">Podnosilac prijave </w:t>
      </w:r>
      <w:r w:rsidRPr="004F04C3">
        <w:rPr>
          <w:rFonts w:ascii="Calibri" w:eastAsia="Times New Roman" w:hAnsi="Calibri" w:cs="Times New Roman"/>
          <w:b/>
          <w:i/>
          <w:szCs w:val="24"/>
          <w:lang w:val="en-US"/>
        </w:rPr>
        <w:t>odgovara za tačnost podataka u cijeloj prijavi</w:t>
      </w:r>
      <w:r w:rsidRPr="004F04C3">
        <w:rPr>
          <w:rFonts w:ascii="Calibri" w:eastAsia="Times New Roman" w:hAnsi="Calibri" w:cs="Times New Roman"/>
          <w:szCs w:val="24"/>
          <w:lang w:val="en-US"/>
        </w:rPr>
        <w:t>;</w:t>
      </w:r>
    </w:p>
    <w:p w:rsidR="004F04C3" w:rsidRPr="004F04C3" w:rsidRDefault="004F04C3" w:rsidP="00146EBE">
      <w:pPr>
        <w:numPr>
          <w:ilvl w:val="0"/>
          <w:numId w:val="37"/>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b/>
          <w:i/>
          <w:szCs w:val="24"/>
          <w:lang w:val="en-US"/>
        </w:rPr>
        <w:t xml:space="preserve">Ukinuta je praksa da se zahtijeva dostavljanje izvoda iz Centralnog klirinškog depozitarnog društva. </w:t>
      </w:r>
      <w:r w:rsidRPr="004F04C3">
        <w:rPr>
          <w:rFonts w:ascii="Calibri" w:eastAsia="Times New Roman" w:hAnsi="Calibri" w:cs="Times New Roman"/>
          <w:szCs w:val="24"/>
          <w:lang w:val="en-US"/>
        </w:rPr>
        <w:t>Cijena izvoda iznosila je 6€;</w:t>
      </w:r>
    </w:p>
    <w:p w:rsidR="004F04C3" w:rsidRPr="004F04C3" w:rsidRDefault="004F04C3" w:rsidP="00146EBE">
      <w:pPr>
        <w:numPr>
          <w:ilvl w:val="0"/>
          <w:numId w:val="37"/>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 xml:space="preserve">Odluka o strukturi, bližim uslovima i načinu otvaranja i ukidanja transakcionih računa CBCG je </w:t>
      </w:r>
      <w:r w:rsidRPr="004F04C3">
        <w:rPr>
          <w:rFonts w:ascii="Calibri" w:eastAsia="Times New Roman" w:hAnsi="Calibri" w:cs="Times New Roman"/>
          <w:b/>
          <w:i/>
          <w:szCs w:val="24"/>
          <w:lang w:val="en-US"/>
        </w:rPr>
        <w:t>izmijenjena u dijelu</w:t>
      </w:r>
      <w:r w:rsidRPr="004F04C3">
        <w:rPr>
          <w:rFonts w:ascii="Calibri" w:eastAsia="Times New Roman" w:hAnsi="Calibri" w:cs="Times New Roman"/>
          <w:szCs w:val="24"/>
          <w:lang w:val="en-US"/>
        </w:rPr>
        <w:t xml:space="preserve"> koji se odnosi na upotrebu pečata u pravnom prometu.</w:t>
      </w:r>
    </w:p>
    <w:p w:rsidR="004F04C3" w:rsidRPr="004F04C3" w:rsidRDefault="004F04C3" w:rsidP="004F04C3">
      <w:pPr>
        <w:spacing w:before="0" w:after="0" w:line="240" w:lineRule="auto"/>
        <w:ind w:firstLine="360"/>
        <w:rPr>
          <w:rFonts w:ascii="Calibri" w:eastAsia="Times New Roman" w:hAnsi="Calibri" w:cs="Times New Roman"/>
          <w:szCs w:val="24"/>
          <w:lang w:val="en-US"/>
        </w:rPr>
      </w:pPr>
      <w:r w:rsidRPr="004F04C3">
        <w:rPr>
          <w:rFonts w:ascii="Calibri" w:eastAsia="Times New Roman" w:hAnsi="Calibri" w:cs="Times New Roman"/>
          <w:szCs w:val="24"/>
          <w:lang w:val="en-US"/>
        </w:rPr>
        <w:t>N</w:t>
      </w:r>
      <w:r w:rsidRPr="004F04C3">
        <w:rPr>
          <w:rFonts w:ascii="Calibri" w:eastAsia="Times New Roman" w:hAnsi="Calibri" w:cs="Times New Roman"/>
          <w:b/>
          <w:i/>
          <w:szCs w:val="24"/>
          <w:lang w:val="en-US"/>
        </w:rPr>
        <w:t>aknada za registraciju osnivanja akcionarskog društva je smanjena</w:t>
      </w:r>
      <w:r w:rsidRPr="004F04C3">
        <w:rPr>
          <w:rFonts w:ascii="Calibri" w:eastAsia="Times New Roman" w:hAnsi="Calibri" w:cs="Times New Roman"/>
          <w:szCs w:val="24"/>
          <w:lang w:val="en-US"/>
        </w:rPr>
        <w:t xml:space="preserve"> sa 50 na 40eura, dok je za registraciju ostalih oblika privrednih subjekata smanjena sa 10  na 5eura. Sa druge strane, ako se registracija osnivanja privrednog subjekta koji se registruje u CRPS-u obavlja </w:t>
      </w:r>
      <w:r w:rsidRPr="004F04C3">
        <w:rPr>
          <w:rFonts w:ascii="Calibri" w:eastAsia="Times New Roman" w:hAnsi="Calibri" w:cs="Times New Roman"/>
          <w:b/>
          <w:i/>
          <w:szCs w:val="24"/>
          <w:lang w:val="en-US"/>
        </w:rPr>
        <w:t>elektronskim putem, naknada za registraciju u CRPS se ne naplaćuje</w:t>
      </w:r>
      <w:r w:rsidRPr="004F04C3">
        <w:rPr>
          <w:rFonts w:ascii="Calibri" w:eastAsia="Times New Roman" w:hAnsi="Calibri" w:cs="Times New Roman"/>
          <w:szCs w:val="24"/>
          <w:lang w:val="en-US"/>
        </w:rPr>
        <w:t xml:space="preserve">. </w:t>
      </w:r>
    </w:p>
    <w:p w:rsidR="004F04C3" w:rsidRPr="004F04C3" w:rsidRDefault="004F04C3" w:rsidP="004F04C3">
      <w:pPr>
        <w:spacing w:before="0" w:after="0" w:line="240" w:lineRule="auto"/>
        <w:ind w:firstLine="360"/>
        <w:rPr>
          <w:rFonts w:ascii="Calibri" w:eastAsia="Times New Roman" w:hAnsi="Calibri" w:cs="Times New Roman"/>
          <w:b/>
          <w:i/>
          <w:szCs w:val="24"/>
          <w:lang w:val="en-US"/>
        </w:rPr>
      </w:pPr>
      <w:r w:rsidRPr="004F04C3">
        <w:rPr>
          <w:rFonts w:ascii="Calibri" w:eastAsia="Times New Roman" w:hAnsi="Calibri" w:cs="Times New Roman"/>
          <w:szCs w:val="24"/>
          <w:lang w:val="en-US"/>
        </w:rPr>
        <w:t xml:space="preserve">Takođe, iznos naknade za objavljivanje registracije novoosnovanih preduzeća u </w:t>
      </w:r>
      <w:r w:rsidRPr="004F04C3">
        <w:rPr>
          <w:rFonts w:ascii="Calibri" w:eastAsia="Times New Roman" w:hAnsi="Calibri" w:cs="Times New Roman"/>
          <w:b/>
          <w:i/>
          <w:szCs w:val="24"/>
          <w:lang w:val="en-US"/>
        </w:rPr>
        <w:t xml:space="preserve">Službenom listu iznosi 3 eura, umjesto dosadašnjih 12 eura. </w:t>
      </w:r>
    </w:p>
    <w:p w:rsidR="004F04C3" w:rsidRPr="004F04C3" w:rsidRDefault="004F04C3" w:rsidP="004F04C3">
      <w:pPr>
        <w:spacing w:before="0" w:after="0" w:line="240" w:lineRule="auto"/>
        <w:ind w:firstLine="360"/>
        <w:rPr>
          <w:rFonts w:ascii="Calibri" w:eastAsia="Times New Roman" w:hAnsi="Calibri" w:cs="Times New Roman"/>
          <w:szCs w:val="24"/>
          <w:lang w:val="en-US"/>
        </w:rPr>
      </w:pPr>
      <w:r w:rsidRPr="004F04C3">
        <w:rPr>
          <w:rFonts w:ascii="Calibri" w:eastAsia="Times New Roman" w:hAnsi="Calibri" w:cs="Times New Roman"/>
          <w:szCs w:val="24"/>
          <w:lang w:val="en-US"/>
        </w:rPr>
        <w:t xml:space="preserve">Sa razvojem elektronske registracije, usvojena je </w:t>
      </w:r>
      <w:r w:rsidRPr="004F04C3">
        <w:rPr>
          <w:rFonts w:ascii="Calibri" w:eastAsia="Times New Roman" w:hAnsi="Calibri" w:cs="Times New Roman"/>
          <w:b/>
          <w:i/>
          <w:szCs w:val="24"/>
          <w:lang w:val="en-US"/>
        </w:rPr>
        <w:t>Uredba o bližim uslovima i načinu plaćanja administrativnih taksi elektronskim putem</w:t>
      </w:r>
      <w:r w:rsidRPr="004F04C3">
        <w:rPr>
          <w:rFonts w:ascii="Calibri" w:eastAsia="Times New Roman" w:hAnsi="Calibri" w:cs="Times New Roman"/>
          <w:szCs w:val="24"/>
          <w:lang w:val="en-US"/>
        </w:rPr>
        <w:t xml:space="preserve"> čime se stekla mogućnost plaćanja svih taksi, elektronskim putem. </w:t>
      </w:r>
    </w:p>
    <w:p w:rsidR="004F04C3" w:rsidRPr="004F04C3" w:rsidRDefault="004F04C3" w:rsidP="004F04C3">
      <w:pPr>
        <w:spacing w:before="0" w:after="0" w:line="240" w:lineRule="auto"/>
        <w:ind w:firstLine="360"/>
        <w:rPr>
          <w:rFonts w:ascii="Calibri" w:eastAsia="Times New Roman" w:hAnsi="Calibri" w:cs="Times New Roman"/>
          <w:szCs w:val="24"/>
          <w:lang w:val="en-US"/>
        </w:rPr>
      </w:pPr>
      <w:r w:rsidRPr="004F04C3">
        <w:rPr>
          <w:rFonts w:ascii="Calibri" w:eastAsia="Times New Roman" w:hAnsi="Calibri" w:cs="Times New Roman"/>
          <w:szCs w:val="24"/>
          <w:lang w:val="en-US"/>
        </w:rPr>
        <w:t>Aktivnosti na uspostavljanju plaćanja taksi (</w:t>
      </w:r>
      <w:r w:rsidRPr="004F04C3">
        <w:rPr>
          <w:rFonts w:ascii="Calibri" w:eastAsia="Times New Roman" w:hAnsi="Calibri" w:cs="Times New Roman"/>
          <w:b/>
          <w:i/>
          <w:szCs w:val="24"/>
          <w:lang w:val="en-US"/>
        </w:rPr>
        <w:t>Nacionalni sistem za naplatu administrativnih taksi -NS-NAT)</w:t>
      </w:r>
      <w:r w:rsidRPr="004F04C3">
        <w:rPr>
          <w:rFonts w:ascii="Calibri" w:eastAsia="Times New Roman" w:hAnsi="Calibri" w:cs="Times New Roman"/>
          <w:szCs w:val="24"/>
          <w:lang w:val="en-US"/>
        </w:rPr>
        <w:t xml:space="preserve"> su u finalnoj fazi. Nakon verifikacije sporazuma sa Centralnom bankom i potpisivanje ugovora sa Ministarstvom unutrašnjih poslova, sistem će biti funkcionalan. </w:t>
      </w:r>
    </w:p>
    <w:p w:rsidR="004F04C3" w:rsidRPr="004F04C3" w:rsidRDefault="004F04C3" w:rsidP="004F04C3">
      <w:pPr>
        <w:spacing w:before="0" w:after="0" w:line="240" w:lineRule="auto"/>
        <w:ind w:firstLine="360"/>
        <w:rPr>
          <w:rFonts w:ascii="Calibri" w:eastAsia="Times New Roman" w:hAnsi="Calibri" w:cs="Times New Roman"/>
          <w:szCs w:val="24"/>
          <w:lang w:val="en-US"/>
        </w:rPr>
      </w:pPr>
      <w:r w:rsidRPr="004F04C3">
        <w:rPr>
          <w:rFonts w:ascii="Calibri" w:eastAsia="Times New Roman" w:hAnsi="Calibri" w:cs="Times New Roman"/>
          <w:szCs w:val="24"/>
          <w:lang w:val="en-US"/>
        </w:rPr>
        <w:t>Od 25. decembra 2020. godine, putem linka</w:t>
      </w:r>
      <w:r w:rsidRPr="004F04C3">
        <w:rPr>
          <w:rFonts w:ascii="Calibri" w:eastAsia="Times New Roman" w:hAnsi="Calibri" w:cs="Times New Roman"/>
          <w:b/>
          <w:i/>
          <w:szCs w:val="24"/>
          <w:lang w:val="en-US"/>
        </w:rPr>
        <w:t xml:space="preserve"> https://efirma.tax.gov.me </w:t>
      </w:r>
      <w:r w:rsidRPr="004F04C3">
        <w:rPr>
          <w:rFonts w:ascii="Calibri" w:eastAsia="Times New Roman" w:hAnsi="Calibri" w:cs="Times New Roman"/>
          <w:szCs w:val="24"/>
          <w:lang w:val="en-US"/>
        </w:rPr>
        <w:t>omogućena je elektronska registracija jednočlanih društava sa ograničenom odgovornošću za osnivače rezidente uz minimalni kapital od 1€, u kojem su osnivač i izvršni direktor jedno isto lice, uz priloženu elektronski potpisanu dokumentaciju. Pored navedenog, uspostavljeni su i elektronski servisi naručivanja potvrda koje izdaje CRPS, a to su: izvod i potvrda o aktivnosti.</w:t>
      </w:r>
    </w:p>
    <w:p w:rsidR="004F04C3" w:rsidRPr="004F04C3" w:rsidRDefault="004F04C3" w:rsidP="004F04C3">
      <w:pPr>
        <w:spacing w:before="0" w:after="0" w:line="240" w:lineRule="auto"/>
        <w:rPr>
          <w:rFonts w:ascii="Calibri" w:eastAsia="Times New Roman" w:hAnsi="Calibri" w:cs="Times New Roman"/>
          <w:szCs w:val="24"/>
          <w:lang w:val="es-MX"/>
        </w:rPr>
      </w:pPr>
    </w:p>
    <w:p w:rsidR="004F04C3" w:rsidRPr="004F04C3" w:rsidRDefault="004F04C3" w:rsidP="00146EBE">
      <w:pPr>
        <w:numPr>
          <w:ilvl w:val="0"/>
          <w:numId w:val="17"/>
        </w:numPr>
        <w:spacing w:before="0" w:after="0" w:line="240" w:lineRule="auto"/>
        <w:jc w:val="left"/>
        <w:rPr>
          <w:rFonts w:ascii="Calibri" w:eastAsia="Times New Roman" w:hAnsi="Calibri" w:cs="Times New Roman"/>
          <w:b/>
          <w:szCs w:val="24"/>
          <w:lang w:val="es-MX"/>
        </w:rPr>
      </w:pPr>
      <w:r w:rsidRPr="004F04C3">
        <w:rPr>
          <w:rFonts w:ascii="Calibri" w:eastAsia="Times New Roman" w:hAnsi="Calibri" w:cs="Times New Roman"/>
          <w:b/>
          <w:szCs w:val="24"/>
          <w:lang w:val="es-MX"/>
        </w:rPr>
        <w:t>AKCIONI PLAN ZA UNAPRIJEĐENJE POSLOVNOG AMBIJENTA (U IZABRANIM OBLASTIMA)</w:t>
      </w:r>
    </w:p>
    <w:p w:rsidR="004F04C3" w:rsidRPr="004F04C3" w:rsidRDefault="004F04C3" w:rsidP="004F04C3">
      <w:pPr>
        <w:spacing w:before="0" w:after="0" w:line="240" w:lineRule="auto"/>
        <w:ind w:firstLine="360"/>
        <w:rPr>
          <w:rFonts w:ascii="Calibri" w:eastAsia="Times New Roman" w:hAnsi="Calibri" w:cs="Times New Roman"/>
          <w:szCs w:val="24"/>
          <w:lang w:val="es-MX"/>
        </w:rPr>
      </w:pPr>
      <w:r w:rsidRPr="004F04C3">
        <w:rPr>
          <w:rFonts w:ascii="Calibri" w:eastAsia="Times New Roman" w:hAnsi="Calibri" w:cs="Times New Roman"/>
          <w:szCs w:val="24"/>
          <w:lang w:val="en-US"/>
        </w:rPr>
        <w:t xml:space="preserve">U ciju unaprijeđenja poslovnog ambijenta, stvaranja preduslova za povećanje konkurentnosti, a posljedično i boljeg pozicioniranja na međunarodnim listama konkurentnosti, Vlada Crne Gore je u junu 2019. godine donijela Akcioni plan za unaprijeđenje poslovnog ambijenta (u izabranim oblastima). Akcioni plan tretira pet oblasti i to: započinjanje biznisa, izdavanje građevinskih dozvola, dobijanje priključka za električnu energiju, plaćanje poreza i registraciju nepokretnosti. Identifikovane oblasti se oslanjanju na nalaze Izvještaja o lakoći poslovanja Svjetske banke, koji ih je prepoznao kao „ranjive“ za Crnu Goru, imajući u vidu da Crna Gora ostvaruje lošije pozicije u poređenju sa ostalim zemljama obuhvaćenim izvještajem. </w:t>
      </w:r>
      <w:r w:rsidRPr="004F04C3">
        <w:rPr>
          <w:rFonts w:ascii="Calibri" w:eastAsia="Times New Roman" w:hAnsi="Calibri" w:cs="Times New Roman"/>
          <w:szCs w:val="24"/>
          <w:lang w:val="es-MX"/>
        </w:rPr>
        <w:t xml:space="preserve">Akcioni plan prikazuje konkretne aktivnosti, regulatorne i operativne u cilju postizanja željenih rezultata. Identifikovani su rokovi kao i odgovorna lica na operativnom nivou. </w:t>
      </w:r>
    </w:p>
    <w:p w:rsidR="004F04C3" w:rsidRPr="004F04C3" w:rsidRDefault="004F04C3" w:rsidP="004F04C3">
      <w:pPr>
        <w:spacing w:before="0" w:after="0" w:line="240" w:lineRule="auto"/>
        <w:ind w:firstLine="360"/>
        <w:rPr>
          <w:rFonts w:ascii="Calibri" w:eastAsia="Times New Roman" w:hAnsi="Calibri" w:cs="Times New Roman"/>
          <w:szCs w:val="24"/>
          <w:lang w:val="es-MX"/>
        </w:rPr>
      </w:pPr>
      <w:r w:rsidRPr="004F04C3">
        <w:rPr>
          <w:rFonts w:ascii="Calibri" w:eastAsia="Times New Roman" w:hAnsi="Calibri" w:cs="Times New Roman"/>
          <w:szCs w:val="24"/>
          <w:lang w:val="es-MX"/>
        </w:rPr>
        <w:t>Dominantne aktivnosti predviđene akcionim planom tiču se uspostavljanja digitalnih procesa prije svega za elektronsku registraciju preduzeća i uspostavljanje e katastra. Indikatori uspjeha za realizaciju mjera iz AP će biti unaprijeđenje pozicije Crne Gore u Izvještaju o lakoći poslovanja Svjetske banke (Doing Business izvještaju).</w:t>
      </w:r>
    </w:p>
    <w:p w:rsidR="004F04C3" w:rsidRPr="004F04C3" w:rsidRDefault="004F04C3" w:rsidP="004F04C3">
      <w:pPr>
        <w:spacing w:before="0" w:after="0" w:line="240" w:lineRule="auto"/>
        <w:ind w:firstLine="360"/>
        <w:rPr>
          <w:rFonts w:ascii="Calibri" w:eastAsia="Times New Roman" w:hAnsi="Calibri" w:cs="Times New Roman"/>
          <w:szCs w:val="24"/>
          <w:lang w:val="es-MX"/>
        </w:rPr>
      </w:pPr>
      <w:r w:rsidRPr="004F04C3">
        <w:rPr>
          <w:rFonts w:ascii="Calibri" w:eastAsia="Times New Roman" w:hAnsi="Calibri" w:cs="Times New Roman"/>
          <w:szCs w:val="24"/>
          <w:lang w:val="es-MX"/>
        </w:rPr>
        <w:t>Pored uspostavljanja elektronske registracije preduzeća, akcioni plan podrazumijeva i unaprijeđenje procedura za klasičnu registraciju preduzeća, u dijelu pojednostavljenja formulara, smanjenja troškova i unaprijeđenje postupanja CRPS-a. U dijelu e katastra omogućiće se pribavljanje podataka iz katastarskih evidencija elektronskim putem, čime se se skratiti vrijeme potrebno za registraciju nepokretnosti.</w:t>
      </w:r>
    </w:p>
    <w:p w:rsidR="004F04C3" w:rsidRPr="004F04C3" w:rsidRDefault="004F04C3" w:rsidP="004F04C3">
      <w:pPr>
        <w:spacing w:before="0" w:after="0" w:line="240" w:lineRule="auto"/>
        <w:ind w:firstLine="360"/>
        <w:rPr>
          <w:rFonts w:ascii="Calibri" w:eastAsia="Times New Roman" w:hAnsi="Calibri" w:cs="Times New Roman"/>
          <w:szCs w:val="24"/>
          <w:lang w:val="es-MX"/>
        </w:rPr>
      </w:pPr>
      <w:r w:rsidRPr="004F04C3">
        <w:rPr>
          <w:rFonts w:ascii="Calibri" w:eastAsia="Times New Roman" w:hAnsi="Calibri" w:cs="Times New Roman"/>
          <w:szCs w:val="24"/>
          <w:lang w:val="es-MX"/>
        </w:rPr>
        <w:lastRenderedPageBreak/>
        <w:t>Implementacija ovog akcionog plana podrazumijeva donošenje četiri zakona: Zakona o privrednim društvima, Zakona o planiranju prostora i izgradnji objekata, Zakona o energetici i Zakona o državnom premjeru i katastru.</w:t>
      </w:r>
    </w:p>
    <w:p w:rsidR="004F04C3" w:rsidRPr="004F04C3" w:rsidRDefault="004F04C3" w:rsidP="004F04C3">
      <w:pPr>
        <w:spacing w:before="0" w:after="0" w:line="240" w:lineRule="auto"/>
        <w:ind w:firstLine="360"/>
        <w:rPr>
          <w:rFonts w:ascii="Calibri" w:eastAsia="Times New Roman" w:hAnsi="Calibri" w:cs="Times New Roman"/>
          <w:szCs w:val="24"/>
          <w:lang w:val="es-MX"/>
        </w:rPr>
      </w:pPr>
      <w:r w:rsidRPr="004F04C3">
        <w:rPr>
          <w:rFonts w:ascii="Calibri" w:eastAsia="Times New Roman" w:hAnsi="Calibri" w:cs="Times New Roman"/>
          <w:szCs w:val="24"/>
          <w:lang w:val="es-MX"/>
        </w:rPr>
        <w:t xml:space="preserve">Novi </w:t>
      </w:r>
      <w:r w:rsidRPr="004F04C3">
        <w:rPr>
          <w:rFonts w:ascii="Calibri" w:eastAsia="Times New Roman" w:hAnsi="Calibri" w:cs="Times New Roman"/>
          <w:b/>
          <w:i/>
          <w:szCs w:val="24"/>
          <w:lang w:val="es-MX"/>
        </w:rPr>
        <w:t>Zakon o privrednim društvima</w:t>
      </w:r>
      <w:r w:rsidR="002E47A0">
        <w:rPr>
          <w:rFonts w:ascii="Calibri" w:eastAsia="Times New Roman" w:hAnsi="Calibri" w:cs="Times New Roman"/>
          <w:szCs w:val="24"/>
          <w:lang w:val="es-MX"/>
        </w:rPr>
        <w:t xml:space="preserve"> usvojen je</w:t>
      </w:r>
      <w:r w:rsidRPr="004F04C3">
        <w:rPr>
          <w:rFonts w:ascii="Calibri" w:eastAsia="Times New Roman" w:hAnsi="Calibri" w:cs="Times New Roman"/>
          <w:szCs w:val="24"/>
          <w:lang w:val="es-MX"/>
        </w:rPr>
        <w:t xml:space="preserve"> 25.  juna 2020.  godine. Zakon</w:t>
      </w:r>
      <w:r w:rsidR="002E47A0">
        <w:rPr>
          <w:rFonts w:ascii="Calibri" w:eastAsia="Times New Roman" w:hAnsi="Calibri" w:cs="Times New Roman"/>
          <w:szCs w:val="24"/>
          <w:lang w:val="es-MX"/>
        </w:rPr>
        <w:t xml:space="preserve"> reguliše pitanja osnivanja, upravljanja, restrukturiranja, prestanka rada preduzeća, kao i druga pitanja od značaja za </w:t>
      </w:r>
      <w:r w:rsidRPr="004F04C3">
        <w:rPr>
          <w:rFonts w:ascii="Calibri" w:eastAsia="Times New Roman" w:hAnsi="Calibri" w:cs="Times New Roman"/>
          <w:szCs w:val="24"/>
          <w:lang w:val="es-MX"/>
        </w:rPr>
        <w:t>njihovo funkcio</w:t>
      </w:r>
      <w:r w:rsidR="002E47A0">
        <w:rPr>
          <w:rFonts w:ascii="Calibri" w:eastAsia="Times New Roman" w:hAnsi="Calibri" w:cs="Times New Roman"/>
          <w:szCs w:val="24"/>
          <w:lang w:val="es-MX"/>
        </w:rPr>
        <w:t xml:space="preserve">nisanje. Primjena ovog zakona, najznačajnijeg </w:t>
      </w:r>
      <w:r w:rsidRPr="004F04C3">
        <w:rPr>
          <w:rFonts w:ascii="Calibri" w:eastAsia="Times New Roman" w:hAnsi="Calibri" w:cs="Times New Roman"/>
          <w:szCs w:val="24"/>
          <w:lang w:val="es-MX"/>
        </w:rPr>
        <w:t>za poslovanje preduzeća, ima za ci</w:t>
      </w:r>
      <w:r w:rsidR="002E47A0">
        <w:rPr>
          <w:rFonts w:ascii="Calibri" w:eastAsia="Times New Roman" w:hAnsi="Calibri" w:cs="Times New Roman"/>
          <w:szCs w:val="24"/>
          <w:lang w:val="es-MX"/>
        </w:rPr>
        <w:t xml:space="preserve">lj stvaranje uslova poslovanja koji će svim preduzećima omogućiti </w:t>
      </w:r>
      <w:r w:rsidRPr="004F04C3">
        <w:rPr>
          <w:rFonts w:ascii="Calibri" w:eastAsia="Times New Roman" w:hAnsi="Calibri" w:cs="Times New Roman"/>
          <w:szCs w:val="24"/>
          <w:lang w:val="es-MX"/>
        </w:rPr>
        <w:t>da postanu relevantni</w:t>
      </w:r>
      <w:r w:rsidR="002E47A0">
        <w:rPr>
          <w:rFonts w:ascii="Calibri" w:eastAsia="Times New Roman" w:hAnsi="Calibri" w:cs="Times New Roman"/>
          <w:szCs w:val="24"/>
          <w:lang w:val="es-MX"/>
        </w:rPr>
        <w:t xml:space="preserve"> učesnici na jedinstvenom evropskom ekonomskom prostoru, da doprinese</w:t>
      </w:r>
      <w:r w:rsidRPr="004F04C3">
        <w:rPr>
          <w:rFonts w:ascii="Calibri" w:eastAsia="Times New Roman" w:hAnsi="Calibri" w:cs="Times New Roman"/>
          <w:szCs w:val="24"/>
          <w:lang w:val="es-MX"/>
        </w:rPr>
        <w:t xml:space="preserve"> konkurentnosti i prosperitetu crnogorske ekonomije i dobrobiti biznisa i građana. Novine u zakonu, koje ujedno predstavljaju poboljšanje u odnosu na prethodno zakonsko rješenje su: stvaranje normativnih  preduslova  za  uvođenje  potpune elektronske registracije preduzeća; rok za donošenje rješenja o registraciji skraćen je sa četiri na tri radna dana; zakonom je predviđeno da se originalnom dokumentacijom smatra i elektronski dokument u skladu sa zakonom kojim se uređuje elektronski dokument; odredbe koje se odnose na naknade za registraciju su izmještene iz zakona, a propisano je da će se kriterijumi za određivanje naknade i visinu naknade za registraciju odrediti podzakonskim aktom (Pravilnik o određivanju kriterijuma i visini naknade za registraciju  privrednih  subjekata  u  Centralnom  registru  privrednih subjekata); rješenjem o registraciji se više ne određuje akcizni  broj,  imajući  u  vidu  da  to  nije  uslov  za  registraciju, a da je znatno uticalo na donošenje rješenja u  zakonom  propisanom  roku.  </w:t>
      </w:r>
    </w:p>
    <w:p w:rsidR="004F04C3" w:rsidRPr="004F04C3" w:rsidRDefault="004F04C3" w:rsidP="004F04C3">
      <w:pPr>
        <w:spacing w:before="0" w:after="0" w:line="240" w:lineRule="auto"/>
        <w:ind w:firstLine="360"/>
        <w:rPr>
          <w:rFonts w:ascii="Calibri" w:eastAsia="Times New Roman" w:hAnsi="Calibri" w:cs="Times New Roman"/>
          <w:szCs w:val="24"/>
          <w:lang w:val="es-MX"/>
        </w:rPr>
      </w:pPr>
      <w:r w:rsidRPr="004F04C3">
        <w:rPr>
          <w:rFonts w:ascii="Calibri" w:eastAsia="Times New Roman" w:hAnsi="Calibri" w:cs="Times New Roman"/>
          <w:szCs w:val="24"/>
          <w:lang w:val="es-MX"/>
        </w:rPr>
        <w:t xml:space="preserve">Novim </w:t>
      </w:r>
      <w:r w:rsidRPr="004F04C3">
        <w:rPr>
          <w:rFonts w:ascii="Calibri" w:eastAsia="Times New Roman" w:hAnsi="Calibri" w:cs="Times New Roman"/>
          <w:b/>
          <w:i/>
          <w:szCs w:val="24"/>
          <w:lang w:val="es-MX"/>
        </w:rPr>
        <w:t>Zakonom o izmjenama i dopunama Zakona o energetici</w:t>
      </w:r>
      <w:r w:rsidRPr="004F04C3">
        <w:rPr>
          <w:rFonts w:ascii="Calibri" w:eastAsia="Times New Roman" w:hAnsi="Calibri" w:cs="Times New Roman"/>
          <w:szCs w:val="24"/>
          <w:lang w:val="es-MX"/>
        </w:rPr>
        <w:t xml:space="preserve"> (“Službeni list CG“, br. 82/20 od 06. avgusta 2020. godine) privredi se omogućava da lakše, brže i jeftinije dođe do priključka na elektroenergetsku mrežu, a domaćinstvima daje prilika proizvodnje električne energije za sopstvene potrebe. Pored navedenog kroz ove izmjene i dopune taj proces je pojednostavljen i podrazumijeva niže troškove, odnosno, u prethodnom periodu bilo je potrebno sedam koraka za realizaciju ove aktivnosti, dok sada zakon predviđa tri koraka, koji su jedina relacija u kojima potrošač ima komunikaciju sa elektroenergetskim operatorom, čime će se značajno uticati na dalje jačanje ranga u okviru DB izvještaja u indikatoru “dobijanje električne energije”.</w:t>
      </w:r>
    </w:p>
    <w:p w:rsidR="004F04C3" w:rsidRPr="004F04C3" w:rsidRDefault="004F04C3" w:rsidP="00B14FA6">
      <w:pPr>
        <w:spacing w:before="0" w:after="0" w:line="240" w:lineRule="auto"/>
        <w:ind w:firstLine="360"/>
        <w:rPr>
          <w:rFonts w:ascii="Calibri" w:eastAsia="Times New Roman" w:hAnsi="Calibri" w:cs="Times New Roman"/>
          <w:szCs w:val="24"/>
          <w:lang w:val="en-US"/>
        </w:rPr>
      </w:pPr>
      <w:r w:rsidRPr="004F04C3">
        <w:rPr>
          <w:rFonts w:ascii="Calibri" w:eastAsia="Times New Roman" w:hAnsi="Calibri" w:cs="Times New Roman"/>
          <w:szCs w:val="24"/>
          <w:lang w:val="en-US"/>
        </w:rPr>
        <w:t xml:space="preserve">Istovremeno, usvojen je i </w:t>
      </w:r>
      <w:r w:rsidRPr="004F04C3">
        <w:rPr>
          <w:rFonts w:ascii="Calibri" w:eastAsia="Times New Roman" w:hAnsi="Calibri" w:cs="Times New Roman"/>
          <w:b/>
          <w:i/>
          <w:szCs w:val="24"/>
          <w:lang w:val="en-US"/>
        </w:rPr>
        <w:t xml:space="preserve">Zakon o izmjenama i dopunama Zakona o planiranju prostora i izgradnji objekata </w:t>
      </w:r>
      <w:r w:rsidRPr="004F04C3">
        <w:rPr>
          <w:rFonts w:ascii="Calibri" w:eastAsia="Times New Roman" w:hAnsi="Calibri" w:cs="Times New Roman"/>
          <w:szCs w:val="24"/>
          <w:lang w:val="en-US"/>
        </w:rPr>
        <w:t>(“Službeni list CG“, br.82/20 od 06. avgusta 2020. godine), kojim je došlo do ukidanja plaćanja naknade za komunalno opremanje objekata za proizvodnju, preradu i skladištenje. U skladu sa tim i opštine će moći da prilagode lokalne propise. Navedenim se u značajnoj mjeri utiče na jačanje ranga u okviru DB indikatora “dobijanje građevinske dozvole”.</w:t>
      </w:r>
    </w:p>
    <w:p w:rsidR="004F04C3" w:rsidRPr="004F04C3" w:rsidRDefault="004F04C3" w:rsidP="004F04C3">
      <w:pPr>
        <w:spacing w:before="0" w:after="0" w:line="240" w:lineRule="auto"/>
        <w:ind w:firstLine="360"/>
        <w:rPr>
          <w:rFonts w:ascii="Calibri" w:eastAsia="Times New Roman" w:hAnsi="Calibri" w:cs="Times New Roman"/>
          <w:szCs w:val="24"/>
          <w:lang w:val="en-US"/>
        </w:rPr>
      </w:pPr>
      <w:r w:rsidRPr="004F04C3">
        <w:rPr>
          <w:rFonts w:ascii="Calibri" w:eastAsia="Times New Roman" w:hAnsi="Calibri" w:cs="Times New Roman"/>
          <w:szCs w:val="24"/>
          <w:lang w:val="en-US"/>
        </w:rPr>
        <w:t>U vezi sa navedenim, aktivnosti se intezivno prate kroz izvještavanje Vladi, na mjesečnoj osnovi, počev od avgusta 2019. godine.</w:t>
      </w:r>
    </w:p>
    <w:p w:rsidR="004F04C3" w:rsidRPr="004F04C3" w:rsidRDefault="004F04C3" w:rsidP="004F04C3">
      <w:pPr>
        <w:spacing w:before="0" w:after="0" w:line="240" w:lineRule="auto"/>
        <w:rPr>
          <w:rFonts w:ascii="Calibri" w:eastAsia="Times New Roman" w:hAnsi="Calibri" w:cs="Times New Roman"/>
          <w:szCs w:val="24"/>
          <w:lang w:val="en-US"/>
        </w:rPr>
      </w:pPr>
    </w:p>
    <w:p w:rsidR="004F04C3" w:rsidRPr="004F04C3" w:rsidRDefault="004F04C3" w:rsidP="00146EBE">
      <w:pPr>
        <w:numPr>
          <w:ilvl w:val="0"/>
          <w:numId w:val="29"/>
        </w:numPr>
        <w:autoSpaceDE w:val="0"/>
        <w:autoSpaceDN w:val="0"/>
        <w:spacing w:before="0" w:after="0" w:line="240" w:lineRule="auto"/>
        <w:contextualSpacing/>
        <w:jc w:val="left"/>
        <w:rPr>
          <w:rFonts w:ascii="Calibri" w:eastAsia="Times New Roman" w:hAnsi="Calibri" w:cs="Arial"/>
          <w:b/>
          <w:noProof/>
          <w:szCs w:val="24"/>
          <w:lang w:eastAsia="sr-Latn-CS"/>
        </w:rPr>
      </w:pPr>
      <w:r w:rsidRPr="004F04C3">
        <w:rPr>
          <w:rFonts w:ascii="Calibri" w:eastAsia="Times New Roman" w:hAnsi="Calibri" w:cs="Arial"/>
          <w:b/>
          <w:noProof/>
          <w:szCs w:val="24"/>
          <w:lang w:eastAsia="sr-Latn-CS"/>
        </w:rPr>
        <w:t xml:space="preserve">PROGRAM EKONOMSKIH REFORMI </w:t>
      </w:r>
    </w:p>
    <w:p w:rsidR="004F04C3" w:rsidRPr="004F04C3" w:rsidRDefault="004F04C3" w:rsidP="004F04C3">
      <w:pPr>
        <w:spacing w:before="0" w:after="0" w:line="240" w:lineRule="auto"/>
        <w:ind w:firstLine="360"/>
        <w:rPr>
          <w:rFonts w:ascii="Calibri" w:eastAsia="Times New Roman" w:hAnsi="Calibri" w:cs="Times New Roman"/>
          <w:szCs w:val="24"/>
          <w:lang w:val="en-US"/>
        </w:rPr>
      </w:pPr>
      <w:r w:rsidRPr="004F04C3">
        <w:rPr>
          <w:rFonts w:ascii="Calibri" w:eastAsia="Times New Roman" w:hAnsi="Calibri" w:cs="Times New Roman"/>
          <w:szCs w:val="24"/>
          <w:lang w:val="en-US"/>
        </w:rPr>
        <w:t xml:space="preserve">Odlukom Vlade koja je usvojena 23. jula 2020. godine formiran je Radni tim za izradu Programa ekonomskih reformi za Crnu Goru za period 2021-2023. godina. </w:t>
      </w:r>
    </w:p>
    <w:p w:rsidR="004F04C3" w:rsidRPr="004F04C3" w:rsidRDefault="004F04C3" w:rsidP="004F04C3">
      <w:pPr>
        <w:spacing w:before="0" w:after="0" w:line="240" w:lineRule="auto"/>
        <w:ind w:firstLine="360"/>
        <w:rPr>
          <w:rFonts w:ascii="Calibri" w:eastAsia="Times New Roman" w:hAnsi="Calibri" w:cs="Times New Roman"/>
          <w:szCs w:val="24"/>
          <w:lang w:val="en-US"/>
        </w:rPr>
      </w:pPr>
      <w:r w:rsidRPr="004F04C3">
        <w:rPr>
          <w:rFonts w:ascii="Calibri" w:eastAsia="Times New Roman" w:hAnsi="Calibri" w:cs="Times New Roman"/>
          <w:szCs w:val="24"/>
          <w:lang w:val="en-US"/>
        </w:rPr>
        <w:t>Nakon formiranja radne grupe održan je niz sastanaka sa članovima Radne grupe angažovanim na izradi poglavlja 5 – strukturne reforme, kojima su prisustvovali konsultanti prof Milorad Katnić i profesor Mojmir Mrak. Istovremeno, u okviru navedenih sastanaka, a u vezi sa koncipiranjem adekvatnih mjera koje će biti korektan odgovor na zajedničke preporuke obezbijeđena je i redovna komunikacija sa nacionalnim IPA koordinatorom, kao i sa SPO predstavnicima svih ministarstava. Ovom prilikom poseban akcenat stavljen je na oblasti obrazovanja, socijalne inkluzije, zdravstva i rada.</w:t>
      </w:r>
    </w:p>
    <w:p w:rsidR="004F04C3" w:rsidRPr="004F04C3" w:rsidRDefault="004F04C3" w:rsidP="004F04C3">
      <w:pPr>
        <w:spacing w:before="0" w:after="0" w:line="240" w:lineRule="auto"/>
        <w:ind w:firstLine="360"/>
        <w:rPr>
          <w:rFonts w:ascii="Calibri" w:eastAsia="Times New Roman" w:hAnsi="Calibri" w:cs="Times New Roman"/>
          <w:szCs w:val="24"/>
          <w:lang w:val="en-US"/>
        </w:rPr>
      </w:pPr>
      <w:r w:rsidRPr="004F04C3">
        <w:rPr>
          <w:rFonts w:ascii="Calibri" w:eastAsia="Times New Roman" w:hAnsi="Calibri" w:cs="Times New Roman"/>
          <w:szCs w:val="24"/>
          <w:lang w:val="en-US"/>
        </w:rPr>
        <w:t xml:space="preserve">Proces izrade novog Programa ekonomskih reformi karakteriše uključenost predstavnika šire javnosti već u početnoj fazi pripreme. Tim povodom je 07. septembra 2020. godine predstavnicima privatnog sektora, NVO-a, lokalne zajednice i ostalim zainteresovanim stejkholderima upućen javni poziv da, u cilju unaprijeđenja teksta Programa, svojim komentarima i sugestijama daju doprinos. </w:t>
      </w:r>
      <w:r w:rsidRPr="004F04C3">
        <w:rPr>
          <w:rFonts w:ascii="Calibri" w:eastAsia="Times New Roman" w:hAnsi="Calibri" w:cs="Times New Roman"/>
          <w:szCs w:val="24"/>
          <w:lang w:val="en-US"/>
        </w:rPr>
        <w:lastRenderedPageBreak/>
        <w:t>Rok za dostavljanje priloga bio je 22. septembar, a navedeno su dostavili predstavnici Privredne komore, Unije poslodavaca, Savez sindikata Crne Gore i UNICEF-a. Svi komentari su dostavljeni članovima radne grupe, koji su sa posebnom pažnjom razmotreni i gdje je to bilo moguće uvršteni su u mjeru/reformu.</w:t>
      </w:r>
    </w:p>
    <w:p w:rsidR="004F04C3" w:rsidRPr="004F04C3" w:rsidRDefault="004F04C3" w:rsidP="004F04C3">
      <w:pPr>
        <w:spacing w:before="0" w:after="0" w:line="240" w:lineRule="auto"/>
        <w:ind w:firstLine="360"/>
        <w:rPr>
          <w:rFonts w:ascii="Calibri" w:eastAsia="Times New Roman" w:hAnsi="Calibri" w:cs="Times New Roman"/>
          <w:szCs w:val="24"/>
          <w:lang w:val="en-US"/>
        </w:rPr>
      </w:pPr>
      <w:r w:rsidRPr="004F04C3">
        <w:rPr>
          <w:rFonts w:ascii="Calibri" w:eastAsia="Times New Roman" w:hAnsi="Calibri" w:cs="Times New Roman"/>
          <w:szCs w:val="24"/>
          <w:lang w:val="en-US"/>
        </w:rPr>
        <w:t xml:space="preserve">Sa ciljem daljeg unaprijeđenja teksta koji će biti relavantan za usvajanje na Vladi i dostavljanje Evropskoj komisiji održane su radionice i konsultacije sa ekspertima. Na taj način, 29. septembra 2020. godine je održana prva online radionica, dok su tokom procesa pripreme Programa bila održana još četiri webinara. Fokus obuka bio je na analizi i sugestijama za unaprijeđenje tabela 10a i 10b strukturnih reformi koje će biti dio novog PER-a, kao i na temama koje će obuhvatati odnose se na unaprijeđivanje kanala i procesa komunikacije i razmjene informacija između različitih institucija koje učestvuju u pripremi Programa. </w:t>
      </w:r>
    </w:p>
    <w:p w:rsidR="004F04C3" w:rsidRPr="004F04C3" w:rsidRDefault="004F04C3" w:rsidP="004F04C3">
      <w:pPr>
        <w:spacing w:before="0" w:after="0" w:line="240" w:lineRule="auto"/>
        <w:ind w:firstLine="360"/>
        <w:rPr>
          <w:rFonts w:ascii="Calibri" w:eastAsia="Times New Roman" w:hAnsi="Calibri" w:cs="Times New Roman"/>
          <w:szCs w:val="24"/>
          <w:lang w:val="en-US"/>
        </w:rPr>
      </w:pPr>
      <w:r w:rsidRPr="004F04C3">
        <w:rPr>
          <w:rFonts w:ascii="Calibri" w:eastAsia="Times New Roman" w:hAnsi="Calibri" w:cs="Times New Roman"/>
          <w:szCs w:val="24"/>
          <w:lang w:val="en-US"/>
        </w:rPr>
        <w:t>Nacrt Poglavlja 5 – strukturne reforme bio je predmet komentara Evropske komisije, čime je poglavlje značajno unaprijeđeno u skladu sa dobijenim sugestijama.</w:t>
      </w:r>
    </w:p>
    <w:p w:rsidR="004F04C3" w:rsidRPr="004F04C3" w:rsidRDefault="004F04C3" w:rsidP="004F04C3">
      <w:pPr>
        <w:autoSpaceDE w:val="0"/>
        <w:autoSpaceDN w:val="0"/>
        <w:spacing w:before="0" w:after="0" w:line="240" w:lineRule="auto"/>
        <w:rPr>
          <w:rFonts w:ascii="Calibri" w:eastAsia="Times New Roman" w:hAnsi="Calibri" w:cs="Arial"/>
          <w:noProof/>
          <w:szCs w:val="24"/>
          <w:lang w:eastAsia="sr-Latn-CS"/>
        </w:rPr>
      </w:pPr>
    </w:p>
    <w:p w:rsidR="004F04C3" w:rsidRPr="004F04C3" w:rsidRDefault="004F04C3" w:rsidP="00146EBE">
      <w:pPr>
        <w:numPr>
          <w:ilvl w:val="0"/>
          <w:numId w:val="29"/>
        </w:numPr>
        <w:autoSpaceDE w:val="0"/>
        <w:autoSpaceDN w:val="0"/>
        <w:spacing w:before="0" w:after="0" w:line="240" w:lineRule="auto"/>
        <w:contextualSpacing/>
        <w:jc w:val="left"/>
        <w:rPr>
          <w:rFonts w:ascii="Calibri" w:eastAsia="Times New Roman" w:hAnsi="Calibri" w:cs="Arial"/>
          <w:b/>
          <w:noProof/>
          <w:szCs w:val="24"/>
          <w:lang w:eastAsia="sr-Latn-CS"/>
        </w:rPr>
      </w:pPr>
      <w:r w:rsidRPr="004F04C3">
        <w:rPr>
          <w:rFonts w:ascii="Calibri" w:eastAsia="Times New Roman" w:hAnsi="Calibri" w:cs="Arial"/>
          <w:b/>
          <w:noProof/>
          <w:szCs w:val="24"/>
          <w:lang w:eastAsia="sr-Latn-CS"/>
        </w:rPr>
        <w:t>REGISTAR FISKALNIH  I PARAFISKALNIH NAMETA</w:t>
      </w:r>
    </w:p>
    <w:p w:rsidR="004F04C3" w:rsidRPr="004F04C3" w:rsidRDefault="004F04C3" w:rsidP="004F04C3">
      <w:pPr>
        <w:spacing w:before="0" w:after="0" w:line="240" w:lineRule="auto"/>
        <w:ind w:firstLine="360"/>
        <w:rPr>
          <w:rFonts w:ascii="Calibri" w:eastAsia="Times New Roman" w:hAnsi="Calibri" w:cs="Times New Roman"/>
          <w:szCs w:val="24"/>
          <w:lang w:val="en-US"/>
        </w:rPr>
      </w:pPr>
      <w:r w:rsidRPr="004F04C3">
        <w:rPr>
          <w:rFonts w:ascii="Calibri" w:eastAsia="Times New Roman" w:hAnsi="Calibri" w:cs="Times New Roman"/>
          <w:szCs w:val="24"/>
          <w:lang w:val="en-US"/>
        </w:rPr>
        <w:t>Tokom 2020. godine, sprovedene su aktivnosti na izradi registra koji bi objedinio fiskalne i parafiskalne namete na nacionalnom i lokalnom nivou. Pitanje registra je već duže vrijeme važna tema koja je promovisana od strane Vlade i od strane privrednih udruženja kao mjera, sa ciljem unaprijeđenja poslovnog ambijenta.</w:t>
      </w:r>
    </w:p>
    <w:p w:rsidR="004F04C3" w:rsidRPr="004F04C3" w:rsidRDefault="004F04C3" w:rsidP="004F04C3">
      <w:pPr>
        <w:spacing w:before="0" w:after="0" w:line="240" w:lineRule="auto"/>
        <w:ind w:firstLine="360"/>
        <w:rPr>
          <w:rFonts w:ascii="Calibri" w:eastAsia="Times New Roman" w:hAnsi="Calibri" w:cs="Times New Roman"/>
          <w:szCs w:val="24"/>
          <w:lang w:val="en-US"/>
        </w:rPr>
      </w:pPr>
      <w:r w:rsidRPr="004F04C3">
        <w:rPr>
          <w:rFonts w:ascii="Calibri" w:eastAsia="Times New Roman" w:hAnsi="Calibri" w:cs="Times New Roman"/>
          <w:szCs w:val="24"/>
          <w:lang w:val="en-US"/>
        </w:rPr>
        <w:t xml:space="preserve">Osnovni cilj kreiranja ovog registra je centralizacija podataka o svim nametima (fiskalnim i parafiskalnim) koji postoje u Crnoj Gori, na državnom i lokalnom nivou, kako bi se pojednostavio proces poslovanja i kako bi postojao transparentan prikaz svih obaveza prema državi. Budući registar postao bi korisno sredstvo kojim bi država bila u stanju da nadgleda cjelokupni teret svakog sektora privrede, da analizira neophodnost postojećih nameta, da ima pregled koji se nameti preklapaju i da odluči u kojim slučajevima se namet može smanjiti, odložiti, ukinutii sl.  Za privredu bi, sa druge strane, ovakav registar predstavlja omogućnost da se unaprijed izračunaju i planiraju troškovi, i da se razumije na koje kategorije se nameti odnose. </w:t>
      </w:r>
    </w:p>
    <w:p w:rsidR="004F04C3" w:rsidRPr="004F04C3" w:rsidRDefault="004F04C3" w:rsidP="004F04C3">
      <w:pPr>
        <w:spacing w:before="0" w:after="0" w:line="240" w:lineRule="auto"/>
        <w:ind w:firstLine="360"/>
        <w:rPr>
          <w:rFonts w:ascii="Calibri" w:eastAsia="Times New Roman" w:hAnsi="Calibri" w:cs="Times New Roman"/>
          <w:szCs w:val="24"/>
          <w:lang w:val="en-US"/>
        </w:rPr>
      </w:pPr>
      <w:r w:rsidRPr="004F04C3">
        <w:rPr>
          <w:rFonts w:ascii="Calibri" w:eastAsia="Times New Roman" w:hAnsi="Calibri" w:cs="Times New Roman"/>
          <w:szCs w:val="24"/>
          <w:lang w:val="en-US"/>
        </w:rPr>
        <w:t>Registar bi se objavljivao na javnim web stranicama Vlade i lokalnih samouprava i bio vlasništvo Ministarstva finansija i socijalnog staranja koji bi deligirao obavezu ažuriranja fiskaliteta u realnom vremenu, u okviru svih segmenata privredne aktivnosti.</w:t>
      </w:r>
    </w:p>
    <w:p w:rsidR="004F04C3" w:rsidRPr="004F04C3" w:rsidRDefault="004F04C3" w:rsidP="004F04C3">
      <w:pPr>
        <w:spacing w:before="0" w:after="0" w:line="240" w:lineRule="auto"/>
        <w:ind w:firstLine="360"/>
        <w:rPr>
          <w:rFonts w:ascii="Calibri" w:eastAsia="Times New Roman" w:hAnsi="Calibri" w:cs="Times New Roman"/>
          <w:szCs w:val="24"/>
          <w:lang w:val="en-US"/>
        </w:rPr>
      </w:pPr>
      <w:r w:rsidRPr="004F04C3">
        <w:rPr>
          <w:rFonts w:ascii="Calibri" w:eastAsia="Times New Roman" w:hAnsi="Calibri" w:cs="Times New Roman"/>
          <w:szCs w:val="24"/>
          <w:lang w:val="en-US"/>
        </w:rPr>
        <w:t>Slijedi hronološki pregled plana aktivnosti na kreiranju novog registra fiskaliteta:</w:t>
      </w:r>
    </w:p>
    <w:p w:rsidR="004F04C3" w:rsidRPr="004F04C3" w:rsidRDefault="004F04C3" w:rsidP="004F04C3">
      <w:pPr>
        <w:autoSpaceDE w:val="0"/>
        <w:autoSpaceDN w:val="0"/>
        <w:spacing w:before="0" w:after="0" w:line="240" w:lineRule="auto"/>
        <w:rPr>
          <w:rFonts w:ascii="Calibri" w:eastAsia="Times New Roman" w:hAnsi="Calibri" w:cs="Arial"/>
          <w:b/>
          <w:noProof/>
          <w:szCs w:val="24"/>
          <w:lang w:eastAsia="sr-Latn-CS"/>
        </w:rPr>
      </w:pPr>
      <w:r w:rsidRPr="004F04C3">
        <w:rPr>
          <w:rFonts w:ascii="Calibri" w:eastAsia="Times New Roman" w:hAnsi="Calibri" w:cs="Arial"/>
          <w:b/>
          <w:noProof/>
          <w:szCs w:val="24"/>
          <w:lang w:eastAsia="sr-Latn-CS"/>
        </w:rPr>
        <w:t>Prva faza:</w:t>
      </w:r>
    </w:p>
    <w:p w:rsidR="004F04C3" w:rsidRPr="004F04C3" w:rsidRDefault="004F04C3" w:rsidP="00146EBE">
      <w:pPr>
        <w:numPr>
          <w:ilvl w:val="0"/>
          <w:numId w:val="38"/>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„Čišćenje“ postojećeg registra koji je kreirala Unija poslodavaca i dodavanje novih nameta koji su propisani nakon 2017. godine, a koji se nalaze u Katalogu propisa;</w:t>
      </w:r>
    </w:p>
    <w:p w:rsidR="004F04C3" w:rsidRPr="004F04C3" w:rsidRDefault="004F04C3" w:rsidP="00146EBE">
      <w:pPr>
        <w:numPr>
          <w:ilvl w:val="0"/>
          <w:numId w:val="38"/>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Popunjavanje starih atributa u registar (naziv nameta, grad u kome se primjenjuje, privredni sektor (oblast)4, propis u kome je propisan namet, iznos „od – do“ u eurima, odnosno izraženo kao % osnovice i napomena);</w:t>
      </w:r>
    </w:p>
    <w:p w:rsidR="004F04C3" w:rsidRPr="004F04C3" w:rsidRDefault="004F04C3" w:rsidP="00146EBE">
      <w:pPr>
        <w:numPr>
          <w:ilvl w:val="0"/>
          <w:numId w:val="38"/>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 xml:space="preserve">Uvezivanje registra sa Katalogom propisa; </w:t>
      </w:r>
    </w:p>
    <w:p w:rsidR="004F04C3" w:rsidRPr="004F04C3" w:rsidRDefault="004F04C3" w:rsidP="00146EBE">
      <w:pPr>
        <w:numPr>
          <w:ilvl w:val="0"/>
          <w:numId w:val="38"/>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Saradnja sa Katalogom propisa na dnevnoj bazi;</w:t>
      </w:r>
    </w:p>
    <w:p w:rsidR="004F04C3" w:rsidRPr="004F04C3" w:rsidRDefault="004F04C3" w:rsidP="00146EBE">
      <w:pPr>
        <w:numPr>
          <w:ilvl w:val="0"/>
          <w:numId w:val="38"/>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Objedinjavanje preporuka koje proisteknu iz prve faze rada na registru (npr brisanje nameta i propisa koji se ne primjenjuju u praksi);</w:t>
      </w:r>
    </w:p>
    <w:p w:rsidR="004F04C3" w:rsidRPr="004F04C3" w:rsidRDefault="004F04C3" w:rsidP="00146EBE">
      <w:pPr>
        <w:numPr>
          <w:ilvl w:val="0"/>
          <w:numId w:val="38"/>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Kreiranje web portala, tj online registra sa svim atributima uz mogućnosti za privredu i građane da prijave nepravilnosti, odnosno da daju sugestije i komentare.</w:t>
      </w:r>
    </w:p>
    <w:p w:rsidR="004F04C3" w:rsidRPr="004F04C3" w:rsidRDefault="004F04C3" w:rsidP="004F04C3">
      <w:pPr>
        <w:autoSpaceDE w:val="0"/>
        <w:autoSpaceDN w:val="0"/>
        <w:spacing w:before="0" w:after="0" w:line="240" w:lineRule="auto"/>
        <w:rPr>
          <w:rFonts w:ascii="Calibri" w:eastAsia="Times New Roman" w:hAnsi="Calibri" w:cs="Arial"/>
          <w:b/>
          <w:noProof/>
          <w:szCs w:val="24"/>
          <w:lang w:eastAsia="sr-Latn-CS"/>
        </w:rPr>
      </w:pPr>
      <w:r w:rsidRPr="004F04C3">
        <w:rPr>
          <w:rFonts w:ascii="Calibri" w:eastAsia="Times New Roman" w:hAnsi="Calibri" w:cs="Arial"/>
          <w:b/>
          <w:noProof/>
          <w:szCs w:val="24"/>
          <w:lang w:eastAsia="sr-Latn-CS"/>
        </w:rPr>
        <w:t>Druga faza:</w:t>
      </w:r>
    </w:p>
    <w:p w:rsidR="004F04C3" w:rsidRPr="004F04C3" w:rsidRDefault="004F04C3" w:rsidP="00146EBE">
      <w:pPr>
        <w:numPr>
          <w:ilvl w:val="0"/>
          <w:numId w:val="39"/>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Proširenje registra novim atributima i popunjavanje podataka;</w:t>
      </w:r>
    </w:p>
    <w:p w:rsidR="004F04C3" w:rsidRPr="004F04C3" w:rsidRDefault="004F04C3" w:rsidP="00146EBE">
      <w:pPr>
        <w:numPr>
          <w:ilvl w:val="0"/>
          <w:numId w:val="39"/>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Redovno ažuriranje nameta u skladu sa Katalogom propisa;</w:t>
      </w:r>
    </w:p>
    <w:p w:rsidR="004F04C3" w:rsidRPr="004F04C3" w:rsidRDefault="004F04C3" w:rsidP="00146EBE">
      <w:pPr>
        <w:numPr>
          <w:ilvl w:val="0"/>
          <w:numId w:val="39"/>
        </w:numPr>
        <w:spacing w:before="0" w:after="0" w:line="240" w:lineRule="auto"/>
        <w:jc w:val="left"/>
        <w:rPr>
          <w:rFonts w:ascii="Calibri" w:eastAsia="Times New Roman" w:hAnsi="Calibri" w:cs="Times New Roman"/>
          <w:b/>
          <w:szCs w:val="24"/>
          <w:lang w:val="en-US"/>
        </w:rPr>
      </w:pPr>
      <w:r w:rsidRPr="004F04C3">
        <w:rPr>
          <w:rFonts w:ascii="Calibri" w:eastAsia="Times New Roman" w:hAnsi="Calibri" w:cs="Times New Roman"/>
          <w:szCs w:val="24"/>
          <w:lang w:val="en-US"/>
        </w:rPr>
        <w:t>Uključivanje predstavnika ministarstava, lokalninih vlasti i javnih preduzeća kako bi provjerili unešene podatke.</w:t>
      </w:r>
    </w:p>
    <w:p w:rsidR="004F04C3" w:rsidRPr="004F04C3" w:rsidRDefault="004F04C3" w:rsidP="004F04C3">
      <w:pPr>
        <w:autoSpaceDE w:val="0"/>
        <w:autoSpaceDN w:val="0"/>
        <w:spacing w:before="0" w:after="0" w:line="240" w:lineRule="auto"/>
        <w:rPr>
          <w:rFonts w:ascii="Calibri" w:eastAsia="Times New Roman" w:hAnsi="Calibri" w:cs="Arial"/>
          <w:b/>
          <w:noProof/>
          <w:szCs w:val="24"/>
          <w:lang w:eastAsia="sr-Latn-CS"/>
        </w:rPr>
      </w:pPr>
      <w:r w:rsidRPr="004F04C3">
        <w:rPr>
          <w:rFonts w:ascii="Calibri" w:eastAsia="Times New Roman" w:hAnsi="Calibri" w:cs="Arial"/>
          <w:b/>
          <w:noProof/>
          <w:szCs w:val="24"/>
          <w:lang w:eastAsia="sr-Latn-CS"/>
        </w:rPr>
        <w:t xml:space="preserve">Treća faza </w:t>
      </w:r>
    </w:p>
    <w:p w:rsidR="004F04C3" w:rsidRPr="004F04C3" w:rsidRDefault="004F04C3" w:rsidP="00146EBE">
      <w:pPr>
        <w:numPr>
          <w:ilvl w:val="0"/>
          <w:numId w:val="40"/>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lastRenderedPageBreak/>
        <w:t>Dopuna registra nametima koji se ne nalaze u Katalogu propisa, a koji su identifikovani anketiranjem različitih subjekata;</w:t>
      </w:r>
    </w:p>
    <w:p w:rsidR="004F04C3" w:rsidRPr="004F04C3" w:rsidRDefault="004F04C3" w:rsidP="00146EBE">
      <w:pPr>
        <w:numPr>
          <w:ilvl w:val="0"/>
          <w:numId w:val="40"/>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Redovno ažuriranje nameta u skladu sa Katalogom propisa;</w:t>
      </w:r>
    </w:p>
    <w:p w:rsidR="004F04C3" w:rsidRPr="004F04C3" w:rsidRDefault="004F04C3" w:rsidP="00146EBE">
      <w:pPr>
        <w:numPr>
          <w:ilvl w:val="0"/>
          <w:numId w:val="40"/>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Davanje preporuka za brisanje nameta i inteziviranje aktivnosti na donošenju novog propisa kojim bi se regulisao način propisivanja nameta i rad samog registra.</w:t>
      </w:r>
    </w:p>
    <w:p w:rsidR="004F04C3" w:rsidRPr="004F04C3" w:rsidRDefault="004F04C3" w:rsidP="004F04C3">
      <w:pPr>
        <w:autoSpaceDE w:val="0"/>
        <w:autoSpaceDN w:val="0"/>
        <w:spacing w:before="0" w:after="0" w:line="240" w:lineRule="auto"/>
        <w:rPr>
          <w:rFonts w:ascii="Calibri" w:eastAsia="Times New Roman" w:hAnsi="Calibri" w:cs="Arial"/>
          <w:b/>
          <w:noProof/>
          <w:szCs w:val="24"/>
          <w:lang w:eastAsia="sr-Latn-CS"/>
        </w:rPr>
      </w:pPr>
      <w:r w:rsidRPr="004F04C3">
        <w:rPr>
          <w:rFonts w:ascii="Calibri" w:eastAsia="Times New Roman" w:hAnsi="Calibri" w:cs="Arial"/>
          <w:b/>
          <w:noProof/>
          <w:szCs w:val="24"/>
          <w:lang w:eastAsia="sr-Latn-CS"/>
        </w:rPr>
        <w:t xml:space="preserve">Četvrta faza </w:t>
      </w:r>
    </w:p>
    <w:p w:rsidR="004F04C3" w:rsidRPr="004F04C3" w:rsidRDefault="004F04C3" w:rsidP="00146EBE">
      <w:pPr>
        <w:numPr>
          <w:ilvl w:val="0"/>
          <w:numId w:val="41"/>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Kreiranje kalkulatora za obračun indeksa konkurentnosti lokalnih samouprava. Način i metodologija obračuna će biti naknadno definisani;</w:t>
      </w:r>
    </w:p>
    <w:p w:rsidR="004F04C3" w:rsidRPr="004F04C3" w:rsidRDefault="004F04C3" w:rsidP="00146EBE">
      <w:pPr>
        <w:numPr>
          <w:ilvl w:val="0"/>
          <w:numId w:val="41"/>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Redovno ažuriranje nameta u skladu sa Katalogom propisa;</w:t>
      </w:r>
    </w:p>
    <w:p w:rsidR="004F04C3" w:rsidRPr="004F04C3" w:rsidRDefault="004F04C3" w:rsidP="00146EBE">
      <w:pPr>
        <w:numPr>
          <w:ilvl w:val="0"/>
          <w:numId w:val="41"/>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Kreiranje Uputstva za ažuriranje registra.</w:t>
      </w:r>
    </w:p>
    <w:p w:rsidR="004F04C3" w:rsidRPr="004F04C3" w:rsidRDefault="004F04C3" w:rsidP="004F04C3">
      <w:pPr>
        <w:spacing w:before="0" w:after="0" w:line="240" w:lineRule="auto"/>
        <w:ind w:firstLine="360"/>
        <w:rPr>
          <w:rFonts w:ascii="Calibri" w:eastAsia="Times New Roman" w:hAnsi="Calibri" w:cs="Times New Roman"/>
          <w:szCs w:val="24"/>
          <w:lang w:val="en-US"/>
        </w:rPr>
      </w:pPr>
      <w:r w:rsidRPr="004F04C3">
        <w:rPr>
          <w:rFonts w:ascii="Calibri" w:eastAsia="Times New Roman" w:hAnsi="Calibri" w:cs="Times New Roman"/>
          <w:szCs w:val="24"/>
          <w:lang w:val="en-US"/>
        </w:rPr>
        <w:t>U vezi sa hronološkim pregledom, kreirana je web aplikacija na crnogorskom i engleskom jeziku (www.javninameti.me), koja je trenutno u fazi testiranja i koja omogućava:</w:t>
      </w:r>
    </w:p>
    <w:p w:rsidR="004F04C3" w:rsidRPr="004F04C3" w:rsidRDefault="004F04C3" w:rsidP="00146EBE">
      <w:pPr>
        <w:numPr>
          <w:ilvl w:val="0"/>
          <w:numId w:val="42"/>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Pretraživanje nameta po svim atributima;</w:t>
      </w:r>
    </w:p>
    <w:p w:rsidR="004F04C3" w:rsidRPr="004F04C3" w:rsidRDefault="004F04C3" w:rsidP="00146EBE">
      <w:pPr>
        <w:numPr>
          <w:ilvl w:val="0"/>
          <w:numId w:val="42"/>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Eksport rezultata u excel;</w:t>
      </w:r>
    </w:p>
    <w:p w:rsidR="004F04C3" w:rsidRPr="004F04C3" w:rsidRDefault="004F04C3" w:rsidP="00146EBE">
      <w:pPr>
        <w:numPr>
          <w:ilvl w:val="0"/>
          <w:numId w:val="42"/>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Analitiku nameta kroz 3 vrste izvještaja za administratore;</w:t>
      </w:r>
    </w:p>
    <w:p w:rsidR="004F04C3" w:rsidRPr="004F04C3" w:rsidRDefault="004F04C3" w:rsidP="00146EBE">
      <w:pPr>
        <w:numPr>
          <w:ilvl w:val="0"/>
          <w:numId w:val="42"/>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Komentarisanje od strane građana, privatnog i javnog sektora, kako bi se registar kontinuirano unaprijeđivao i ažurirao.</w:t>
      </w:r>
    </w:p>
    <w:p w:rsidR="004F04C3" w:rsidRPr="004F04C3" w:rsidRDefault="004F04C3" w:rsidP="004F04C3">
      <w:pPr>
        <w:spacing w:before="0" w:after="0" w:line="240" w:lineRule="auto"/>
        <w:ind w:firstLine="360"/>
        <w:rPr>
          <w:rFonts w:ascii="Calibri" w:eastAsia="Times New Roman" w:hAnsi="Calibri" w:cs="Times New Roman"/>
          <w:szCs w:val="24"/>
          <w:lang w:val="en-US"/>
        </w:rPr>
      </w:pPr>
      <w:r w:rsidRPr="004F04C3">
        <w:rPr>
          <w:rFonts w:ascii="Calibri" w:eastAsia="Times New Roman" w:hAnsi="Calibri" w:cs="Times New Roman"/>
          <w:szCs w:val="24"/>
          <w:lang w:val="en-US"/>
        </w:rPr>
        <w:t>Do kraja 2020. godine baza je popunjena sa 2.279 nameta odnosno razvrstanih nameta 27.626 koji su opisani sa 20 atributa. Unos nameta je izvršen iz 783 propisa na nacionalnom i lokalnom nivou koji daju osnov ili propisuju iznos nameta.</w:t>
      </w:r>
    </w:p>
    <w:p w:rsidR="004F04C3" w:rsidRPr="004F04C3" w:rsidRDefault="004F04C3" w:rsidP="004F04C3">
      <w:pPr>
        <w:spacing w:before="0" w:after="0" w:line="240" w:lineRule="auto"/>
        <w:ind w:firstLine="360"/>
        <w:rPr>
          <w:rFonts w:ascii="Calibri" w:eastAsia="Times New Roman" w:hAnsi="Calibri" w:cs="Times New Roman"/>
          <w:szCs w:val="24"/>
          <w:lang w:val="en-US"/>
        </w:rPr>
      </w:pPr>
      <w:r w:rsidRPr="004F04C3">
        <w:rPr>
          <w:rFonts w:ascii="Calibri" w:eastAsia="Times New Roman" w:hAnsi="Calibri" w:cs="Times New Roman"/>
          <w:szCs w:val="24"/>
          <w:lang w:val="en-US"/>
        </w:rPr>
        <w:t>Takođe, u cilju kreiranja kvalitetne i tačne baze Registra nameta, kontinuirano se prati legislativa kojom se propisuje osnov ili iznos nameta. Ministarstvo finansija je uputilo dopise relevantnim institucijama za propise koje je potrebno staviti van snage ili izmijeniti u dijelu ažuiranja propisa koji su pravni osnov za donošenje predmetnog propisa (ukupan iznos propisa je 416).</w:t>
      </w:r>
    </w:p>
    <w:p w:rsidR="004F04C3" w:rsidRPr="00B14FA6" w:rsidRDefault="004F04C3" w:rsidP="00B14FA6">
      <w:pPr>
        <w:spacing w:before="0" w:after="0" w:line="240" w:lineRule="auto"/>
        <w:ind w:firstLine="360"/>
        <w:rPr>
          <w:rFonts w:ascii="Calibri" w:eastAsia="Times New Roman" w:hAnsi="Calibri" w:cs="Times New Roman"/>
          <w:szCs w:val="24"/>
          <w:lang w:val="en-US"/>
        </w:rPr>
      </w:pPr>
      <w:r w:rsidRPr="004F04C3">
        <w:rPr>
          <w:rFonts w:ascii="Calibri" w:eastAsia="Times New Roman" w:hAnsi="Calibri" w:cs="Times New Roman"/>
          <w:szCs w:val="24"/>
          <w:lang w:val="en-US"/>
        </w:rPr>
        <w:t>U cilju veće cjelihodnosti i transparentnosti biznis licenci, u okviru Registra dodata je i baza e-licenci</w:t>
      </w:r>
      <w:r w:rsidRPr="004F04C3">
        <w:rPr>
          <w:rFonts w:ascii="Calibri" w:eastAsia="Times New Roman" w:hAnsi="Calibri" w:cs="Times New Roman"/>
          <w:szCs w:val="24"/>
          <w:vertAlign w:val="superscript"/>
          <w:lang w:val="en-US"/>
        </w:rPr>
        <w:footnoteReference w:id="8"/>
      </w:r>
      <w:r w:rsidR="00B14FA6">
        <w:rPr>
          <w:rFonts w:ascii="Calibri" w:eastAsia="Times New Roman" w:hAnsi="Calibri" w:cs="Times New Roman"/>
          <w:szCs w:val="24"/>
          <w:lang w:val="en-US"/>
        </w:rPr>
        <w:t>.</w:t>
      </w:r>
    </w:p>
    <w:p w:rsidR="004F04C3" w:rsidRPr="004F04C3" w:rsidRDefault="004F04C3" w:rsidP="00146EBE">
      <w:pPr>
        <w:numPr>
          <w:ilvl w:val="0"/>
          <w:numId w:val="31"/>
        </w:numPr>
        <w:autoSpaceDE w:val="0"/>
        <w:autoSpaceDN w:val="0"/>
        <w:spacing w:before="0" w:after="0" w:line="240" w:lineRule="auto"/>
        <w:contextualSpacing/>
        <w:jc w:val="left"/>
        <w:rPr>
          <w:rFonts w:ascii="Calibri" w:eastAsia="Times New Roman" w:hAnsi="Calibri" w:cs="Arial"/>
          <w:b/>
          <w:noProof/>
          <w:szCs w:val="24"/>
          <w:lang w:eastAsia="sr-Latn-CS"/>
        </w:rPr>
      </w:pPr>
      <w:r w:rsidRPr="004F04C3">
        <w:rPr>
          <w:rFonts w:ascii="Calibri" w:eastAsia="Times New Roman" w:hAnsi="Calibri" w:cs="Arial"/>
          <w:b/>
          <w:noProof/>
          <w:szCs w:val="24"/>
          <w:lang w:eastAsia="sr-Latn-CS"/>
        </w:rPr>
        <w:t>INICIJATIVA SAVJETA STRANIH INVESTITORA</w:t>
      </w:r>
    </w:p>
    <w:p w:rsidR="004F04C3" w:rsidRPr="004F04C3" w:rsidRDefault="004F04C3" w:rsidP="004F04C3">
      <w:pPr>
        <w:spacing w:before="0" w:after="0" w:line="240" w:lineRule="auto"/>
        <w:ind w:firstLine="360"/>
        <w:rPr>
          <w:rFonts w:ascii="Calibri" w:eastAsia="Times New Roman" w:hAnsi="Calibri" w:cs="Times New Roman"/>
          <w:szCs w:val="24"/>
          <w:lang w:val="en-US"/>
        </w:rPr>
      </w:pPr>
      <w:r w:rsidRPr="004F04C3">
        <w:rPr>
          <w:rFonts w:ascii="Calibri" w:eastAsia="Times New Roman" w:hAnsi="Calibri" w:cs="Times New Roman"/>
          <w:szCs w:val="24"/>
          <w:lang w:val="en-US"/>
        </w:rPr>
        <w:t>Savjet za konkurentnost je na 9. sjednici, održanoj u decembru 2019. godine, usvojio Plan rada za 2020. godinu. Planom je utvrđena i inicijativa Savjeta stranih investitora u dijelu definisanja mjera za eliminisanje barijera za:</w:t>
      </w:r>
    </w:p>
    <w:p w:rsidR="004F04C3" w:rsidRPr="004F04C3" w:rsidRDefault="004F04C3" w:rsidP="00146EBE">
      <w:pPr>
        <w:numPr>
          <w:ilvl w:val="0"/>
          <w:numId w:val="43"/>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razvoj elektronskih servisa koji se odnose na implementaciju takozvanih „end to end“ servisa u dijelu online podnošenja zahtjeva i dobijanja kredita i online otvaranja računa, uključujući i video identifikaciju (kao dodatnu mjeru sigurnosti); </w:t>
      </w:r>
    </w:p>
    <w:p w:rsidR="004F04C3" w:rsidRPr="004F04C3" w:rsidRDefault="004F04C3" w:rsidP="00146EBE">
      <w:pPr>
        <w:numPr>
          <w:ilvl w:val="0"/>
          <w:numId w:val="43"/>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implementaciju instant plaćanja u cilju dalje modernizacije platnog sistema Crne Gore i</w:t>
      </w:r>
    </w:p>
    <w:p w:rsidR="004F04C3" w:rsidRPr="004F04C3" w:rsidRDefault="004F04C3" w:rsidP="00146EBE">
      <w:pPr>
        <w:numPr>
          <w:ilvl w:val="0"/>
          <w:numId w:val="43"/>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implementaciju plaćanja uz pomoć standardizovanog QR koda u cilju automatizacije procesa plaćanja (pojednostavljenje postupka, unaprjeđenje procesa i smanjenje troskova).</w:t>
      </w:r>
    </w:p>
    <w:p w:rsidR="004F04C3" w:rsidRPr="004F04C3" w:rsidRDefault="004F04C3" w:rsidP="004F04C3">
      <w:pPr>
        <w:spacing w:before="0" w:after="0" w:line="240" w:lineRule="auto"/>
        <w:ind w:firstLine="360"/>
        <w:rPr>
          <w:rFonts w:ascii="Calibri" w:eastAsia="Times New Roman" w:hAnsi="Calibri" w:cs="Times New Roman"/>
          <w:szCs w:val="24"/>
          <w:lang w:val="en-US"/>
        </w:rPr>
      </w:pPr>
      <w:r w:rsidRPr="004F04C3">
        <w:rPr>
          <w:rFonts w:ascii="Calibri" w:eastAsia="Times New Roman" w:hAnsi="Calibri" w:cs="Times New Roman"/>
          <w:szCs w:val="24"/>
          <w:lang w:val="en-US"/>
        </w:rPr>
        <w:t>S tim u vezi, formirana je radna grupa, kako bi se kroz rad Savjeta za konkurentnost stvorili regulatorni i drugi uslovi koji su neophodni za uspostavljanje elektronskih servisa u bankarskim i telekomunikacionim uslugama. U radnoj grupi su uključeni predstavnici Centralne banke kao ključna institucija u cijelom procesu, predstavnici Ministarstva finansija, predstavnici Savjeta stranih investitora, kao i predstavnici iz bankarskog i telekomunikacionog sektora.</w:t>
      </w:r>
    </w:p>
    <w:p w:rsidR="004F04C3" w:rsidRPr="004F04C3" w:rsidRDefault="004F04C3" w:rsidP="00B14FA6">
      <w:pPr>
        <w:spacing w:before="0" w:after="0" w:line="240" w:lineRule="auto"/>
        <w:ind w:firstLine="360"/>
        <w:rPr>
          <w:rFonts w:ascii="Calibri" w:eastAsia="Times New Roman" w:hAnsi="Calibri" w:cs="Times New Roman"/>
          <w:szCs w:val="24"/>
          <w:lang w:val="en-US"/>
        </w:rPr>
      </w:pPr>
      <w:r w:rsidRPr="004F04C3">
        <w:rPr>
          <w:rFonts w:ascii="Calibri" w:eastAsia="Times New Roman" w:hAnsi="Calibri" w:cs="Times New Roman"/>
          <w:szCs w:val="24"/>
          <w:lang w:val="en-US"/>
        </w:rPr>
        <w:t>Održano je nekoliko sastanaka sa predstavnicima privatnog sektora, Centralne banke Crne Gore i Poreske uprave i donijet je Akcioni plan sa listom aktivnosti koje treba realizovati. U vezi sa navedenim, kao sastavni dio plana čine preporuke privatnog sektora koje su definisane u Bijeloj knjizi (Investiciona klima u Crnoj Gori 2019) Sav</w:t>
      </w:r>
      <w:r w:rsidR="00B14FA6">
        <w:rPr>
          <w:rFonts w:ascii="Calibri" w:eastAsia="Times New Roman" w:hAnsi="Calibri" w:cs="Times New Roman"/>
          <w:szCs w:val="24"/>
          <w:lang w:val="en-US"/>
        </w:rPr>
        <w:t>jeta stranih investitora, i to:</w:t>
      </w:r>
    </w:p>
    <w:p w:rsidR="004F04C3" w:rsidRPr="004F04C3" w:rsidRDefault="004F04C3" w:rsidP="00146EBE">
      <w:pPr>
        <w:numPr>
          <w:ilvl w:val="0"/>
          <w:numId w:val="44"/>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lastRenderedPageBreak/>
        <w:t>Preporuka br. 3: Potreba uspostavljanja tijela, kao što je Forum za spriječavanje prevara, koje će se baviti spriječavanjem prevara u Crnoj Gori i koje će služiti kao platforma za razmjenu informacija među bankama;</w:t>
      </w:r>
    </w:p>
    <w:p w:rsidR="004F04C3" w:rsidRPr="004F04C3" w:rsidRDefault="004F04C3" w:rsidP="00146EBE">
      <w:pPr>
        <w:numPr>
          <w:ilvl w:val="0"/>
          <w:numId w:val="44"/>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Preporuka br. 4: Potreba formiranja radne grupe u koju bi bili uključeni predstavnici Centralne banke i predstavnici banaka koje su članice Savjeta stranih investitora u cilju uspostavljanja tržišta novca u Crnoj Gori;</w:t>
      </w:r>
    </w:p>
    <w:p w:rsidR="004F04C3" w:rsidRPr="004F04C3" w:rsidRDefault="004F04C3" w:rsidP="00146EBE">
      <w:pPr>
        <w:numPr>
          <w:ilvl w:val="0"/>
          <w:numId w:val="44"/>
        </w:numPr>
        <w:spacing w:before="0" w:after="0" w:line="240" w:lineRule="auto"/>
        <w:jc w:val="left"/>
        <w:rPr>
          <w:rFonts w:ascii="Calibri" w:eastAsia="Times New Roman" w:hAnsi="Calibri" w:cs="Times New Roman"/>
          <w:szCs w:val="24"/>
          <w:lang w:val="en-US"/>
        </w:rPr>
      </w:pPr>
      <w:r w:rsidRPr="004F04C3">
        <w:rPr>
          <w:rFonts w:ascii="Calibri" w:eastAsia="Times New Roman" w:hAnsi="Calibri" w:cs="Times New Roman"/>
          <w:szCs w:val="24"/>
          <w:lang w:val="en-US"/>
        </w:rPr>
        <w:t>Preporuka br. 7: Potreba formiranja radne grupe koja bi se bavila rješavanjem otvorenih pitanja, kako bi banke mogle pravilno da implementiraju uslove za FATCA izvještavanje.</w:t>
      </w:r>
    </w:p>
    <w:p w:rsidR="00A97518" w:rsidRDefault="00A97518" w:rsidP="00101664">
      <w:pPr>
        <w:pStyle w:val="PlainText"/>
        <w:spacing w:before="240"/>
        <w:jc w:val="both"/>
        <w:rPr>
          <w:rFonts w:ascii="Calibri" w:eastAsia="Times New Roman" w:hAnsi="Calibri" w:cs="Arial"/>
          <w:noProof/>
          <w:sz w:val="24"/>
          <w:szCs w:val="24"/>
          <w:lang w:val="sr-Latn-CS" w:eastAsia="sr-Latn-CS"/>
        </w:rPr>
      </w:pPr>
    </w:p>
    <w:p w:rsidR="00B64C8A" w:rsidRPr="00493CE3" w:rsidRDefault="00B64C8A" w:rsidP="00B64C8A">
      <w:pPr>
        <w:pStyle w:val="PlainText"/>
        <w:shd w:val="clear" w:color="auto" w:fill="F9D8CD" w:themeFill="accent1" w:themeFillTint="33"/>
        <w:ind w:left="360"/>
        <w:jc w:val="both"/>
        <w:rPr>
          <w:rFonts w:asciiTheme="minorHAnsi" w:hAnsiTheme="minorHAnsi" w:cs="Arial"/>
          <w:b/>
          <w:sz w:val="24"/>
          <w:szCs w:val="24"/>
        </w:rPr>
      </w:pPr>
      <w:r w:rsidRPr="00493CE3">
        <w:rPr>
          <w:rFonts w:asciiTheme="minorHAnsi" w:eastAsia="Times New Roman" w:hAnsiTheme="minorHAnsi" w:cs="Arial"/>
          <w:b/>
          <w:noProof/>
          <w:sz w:val="24"/>
          <w:szCs w:val="24"/>
          <w:lang w:val="sr-Latn-CS" w:eastAsia="sr-Latn-CS"/>
        </w:rPr>
        <w:t>6. DIREKTORAT ZA CENTRALNU HARMONIZACIJU</w:t>
      </w:r>
    </w:p>
    <w:p w:rsidR="00A97518" w:rsidRDefault="00A97518" w:rsidP="008F659F">
      <w:pPr>
        <w:pStyle w:val="PlainText"/>
        <w:jc w:val="both"/>
        <w:rPr>
          <w:rFonts w:asciiTheme="minorHAnsi" w:hAnsiTheme="minorHAnsi" w:cs="Arial"/>
          <w:b/>
          <w:sz w:val="24"/>
          <w:szCs w:val="24"/>
        </w:rPr>
      </w:pPr>
    </w:p>
    <w:p w:rsidR="009F412E" w:rsidRPr="00363BF3" w:rsidRDefault="009F412E" w:rsidP="00363BF3">
      <w:pPr>
        <w:spacing w:before="0" w:after="0" w:line="240" w:lineRule="auto"/>
        <w:ind w:firstLine="360"/>
        <w:rPr>
          <w:b/>
          <w:szCs w:val="24"/>
          <w:u w:val="single"/>
        </w:rPr>
      </w:pPr>
      <w:r w:rsidRPr="00363BF3">
        <w:rPr>
          <w:b/>
          <w:szCs w:val="24"/>
          <w:u w:val="single"/>
        </w:rPr>
        <w:t>Direkcija za harmonizaciju upravljanja i unutrasnjih kontrola</w:t>
      </w:r>
    </w:p>
    <w:p w:rsidR="009F412E" w:rsidRPr="00363BF3" w:rsidRDefault="009F412E" w:rsidP="00363BF3">
      <w:pPr>
        <w:pStyle w:val="PlainText"/>
        <w:ind w:firstLine="360"/>
        <w:jc w:val="both"/>
        <w:rPr>
          <w:rFonts w:ascii="Calibri" w:hAnsi="Calibri"/>
          <w:b/>
          <w:sz w:val="24"/>
          <w:szCs w:val="24"/>
        </w:rPr>
      </w:pPr>
      <w:r w:rsidRPr="00363BF3">
        <w:rPr>
          <w:rFonts w:ascii="Calibri" w:hAnsi="Calibri"/>
          <w:b/>
          <w:sz w:val="24"/>
          <w:szCs w:val="24"/>
        </w:rPr>
        <w:t>Realizacija programa rada Vlade Crne Gore za 2020. godinu</w:t>
      </w:r>
      <w:r w:rsidR="00395523" w:rsidRPr="00363BF3">
        <w:rPr>
          <w:rFonts w:ascii="Calibri" w:hAnsi="Calibri"/>
          <w:b/>
          <w:sz w:val="24"/>
          <w:szCs w:val="24"/>
        </w:rPr>
        <w:t xml:space="preserve"> - </w:t>
      </w:r>
      <w:r w:rsidRPr="00363BF3">
        <w:rPr>
          <w:rFonts w:ascii="Calibri" w:hAnsi="Calibri" w:cs="Calibri"/>
          <w:sz w:val="24"/>
          <w:szCs w:val="24"/>
        </w:rPr>
        <w:t xml:space="preserve">Programom rada Vlade za 2020. godinu </w:t>
      </w:r>
      <w:r w:rsidR="00363BF3">
        <w:rPr>
          <w:rFonts w:ascii="Calibri" w:hAnsi="Calibri" w:cs="Calibri"/>
          <w:sz w:val="24"/>
          <w:szCs w:val="24"/>
        </w:rPr>
        <w:t xml:space="preserve">i </w:t>
      </w:r>
      <w:r w:rsidR="00363BF3" w:rsidRPr="00363BF3">
        <w:rPr>
          <w:rFonts w:ascii="Calibri" w:hAnsi="Calibri" w:cs="Calibri"/>
          <w:b/>
          <w:sz w:val="24"/>
          <w:szCs w:val="24"/>
        </w:rPr>
        <w:t>Programom rada Ministarstva za 2020. godinu</w:t>
      </w:r>
      <w:r w:rsidR="00363BF3">
        <w:rPr>
          <w:rFonts w:ascii="Calibri" w:hAnsi="Calibri" w:cs="Calibri"/>
          <w:sz w:val="24"/>
          <w:szCs w:val="24"/>
        </w:rPr>
        <w:t xml:space="preserve"> </w:t>
      </w:r>
      <w:r w:rsidRPr="00363BF3">
        <w:rPr>
          <w:rFonts w:ascii="Calibri" w:hAnsi="Calibri" w:cs="Calibri"/>
          <w:sz w:val="24"/>
          <w:szCs w:val="24"/>
        </w:rPr>
        <w:t xml:space="preserve">bilo je predviđeno pripremanje Konsolidovanog izvještaja o upravljanju i unutrašnjim kontrolama u javnom sektoru za 2019. godinu. </w:t>
      </w:r>
    </w:p>
    <w:p w:rsidR="009F412E" w:rsidRPr="00363BF3" w:rsidRDefault="009F412E" w:rsidP="00363BF3">
      <w:pPr>
        <w:spacing w:before="0" w:after="160" w:line="240" w:lineRule="auto"/>
        <w:ind w:firstLine="360"/>
        <w:rPr>
          <w:rFonts w:ascii="Calibri" w:eastAsia="Calibri" w:hAnsi="Calibri" w:cs="Calibri"/>
          <w:szCs w:val="24"/>
          <w:lang w:val="en-US"/>
        </w:rPr>
      </w:pPr>
      <w:r w:rsidRPr="00363BF3">
        <w:rPr>
          <w:rFonts w:ascii="Calibri" w:eastAsia="Calibri" w:hAnsi="Calibri" w:cs="Calibri"/>
          <w:szCs w:val="24"/>
          <w:lang w:val="en-US"/>
        </w:rPr>
        <w:t xml:space="preserve">Vlada Crne Gore je na sjednici od 18.06.2020. godine usvojila </w:t>
      </w:r>
      <w:r w:rsidRPr="003327F8">
        <w:rPr>
          <w:rFonts w:ascii="Calibri" w:eastAsia="Calibri" w:hAnsi="Calibri" w:cs="Calibri"/>
          <w:b/>
          <w:i/>
          <w:szCs w:val="24"/>
          <w:lang w:val="en-US"/>
        </w:rPr>
        <w:t>Konsolidovani izvještaj o upravl</w:t>
      </w:r>
      <w:r w:rsidR="00363BF3" w:rsidRPr="003327F8">
        <w:rPr>
          <w:rFonts w:ascii="Calibri" w:eastAsia="Calibri" w:hAnsi="Calibri" w:cs="Calibri"/>
          <w:b/>
          <w:i/>
          <w:szCs w:val="24"/>
          <w:lang w:val="en-US"/>
        </w:rPr>
        <w:t xml:space="preserve">janju i unutrašnjim kontrolama </w:t>
      </w:r>
      <w:r w:rsidRPr="003327F8">
        <w:rPr>
          <w:rFonts w:ascii="Calibri" w:eastAsia="Calibri" w:hAnsi="Calibri" w:cs="Calibri"/>
          <w:b/>
          <w:i/>
          <w:szCs w:val="24"/>
          <w:lang w:val="en-US"/>
        </w:rPr>
        <w:t>u javnom sektoru Crne Gore za 2019. godinu</w:t>
      </w:r>
      <w:r w:rsidRPr="00363BF3">
        <w:rPr>
          <w:rFonts w:ascii="Calibri" w:eastAsia="Calibri" w:hAnsi="Calibri" w:cs="Calibri"/>
          <w:szCs w:val="24"/>
          <w:lang w:val="en-US"/>
        </w:rPr>
        <w:t>.</w:t>
      </w:r>
    </w:p>
    <w:p w:rsidR="009F412E" w:rsidRPr="00363BF3" w:rsidRDefault="009F412E" w:rsidP="00C655C0">
      <w:pPr>
        <w:spacing w:before="0" w:after="0" w:line="240" w:lineRule="auto"/>
        <w:ind w:firstLine="360"/>
        <w:rPr>
          <w:rFonts w:ascii="Calibri" w:eastAsia="Calibri" w:hAnsi="Calibri" w:cs="Times New Roman"/>
          <w:b/>
          <w:szCs w:val="24"/>
          <w:lang w:val="en-US"/>
        </w:rPr>
      </w:pPr>
      <w:r w:rsidRPr="00363BF3">
        <w:rPr>
          <w:rFonts w:ascii="Calibri" w:eastAsia="Calibri" w:hAnsi="Calibri" w:cs="Times New Roman"/>
          <w:b/>
          <w:szCs w:val="24"/>
          <w:lang w:val="en-US"/>
        </w:rPr>
        <w:t>Realizo</w:t>
      </w:r>
      <w:r w:rsidR="008C37D8">
        <w:rPr>
          <w:rFonts w:ascii="Calibri" w:eastAsia="Calibri" w:hAnsi="Calibri" w:cs="Times New Roman"/>
          <w:b/>
          <w:szCs w:val="24"/>
          <w:lang w:val="en-US"/>
        </w:rPr>
        <w:t>vanje zaključ</w:t>
      </w:r>
      <w:r w:rsidR="00395523" w:rsidRPr="00363BF3">
        <w:rPr>
          <w:rFonts w:ascii="Calibri" w:eastAsia="Calibri" w:hAnsi="Calibri" w:cs="Times New Roman"/>
          <w:b/>
          <w:szCs w:val="24"/>
          <w:lang w:val="en-US"/>
        </w:rPr>
        <w:t xml:space="preserve">aka Vlade Crne Gore - </w:t>
      </w:r>
      <w:r w:rsidRPr="00363BF3">
        <w:rPr>
          <w:rFonts w:ascii="Calibri" w:eastAsia="Calibri" w:hAnsi="Calibri" w:cs="Calibri"/>
          <w:szCs w:val="24"/>
          <w:lang w:val="en-US"/>
        </w:rPr>
        <w:t>Vlada Crne Gore je na sjednici od 18. juna 2020. godine zadužila sve korisnike sredstava budžeta Crne Gore i preporučila svim korisnicima sredstava budžeta lokalne samouprave da sprovedu samoprocjenu unutrašnjih kontrola u skladu sa Pravilnikom o načinu uspostavljanja i unapređenja upravljanja i kontrola u javnom sektoru i oba</w:t>
      </w:r>
      <w:r w:rsidR="00395523" w:rsidRPr="00363BF3">
        <w:rPr>
          <w:rFonts w:ascii="Calibri" w:eastAsia="Calibri" w:hAnsi="Calibri" w:cs="Calibri"/>
          <w:szCs w:val="24"/>
          <w:lang w:val="en-US"/>
        </w:rPr>
        <w:t xml:space="preserve">vijeste Ministarstvo finansija </w:t>
      </w:r>
      <w:r w:rsidRPr="00363BF3">
        <w:rPr>
          <w:rFonts w:ascii="Calibri" w:eastAsia="Calibri" w:hAnsi="Calibri" w:cs="Calibri"/>
          <w:szCs w:val="24"/>
          <w:lang w:val="en-US"/>
        </w:rPr>
        <w:t>do kraja marta 2021. godine o realizaciji, a Ministarvo finansija da pruži stručnu pomoć u realizaciji.</w:t>
      </w:r>
    </w:p>
    <w:p w:rsidR="009F412E" w:rsidRPr="00363BF3" w:rsidRDefault="009F412E" w:rsidP="00632490">
      <w:pPr>
        <w:numPr>
          <w:ilvl w:val="0"/>
          <w:numId w:val="79"/>
        </w:numPr>
        <w:spacing w:before="0" w:after="160" w:line="240" w:lineRule="auto"/>
        <w:contextualSpacing/>
        <w:rPr>
          <w:rFonts w:ascii="Calibri" w:eastAsia="Calibri" w:hAnsi="Calibri" w:cs="Calibri"/>
          <w:szCs w:val="24"/>
          <w:lang w:val="en-US"/>
        </w:rPr>
      </w:pPr>
      <w:r w:rsidRPr="00363BF3">
        <w:rPr>
          <w:rFonts w:ascii="Calibri" w:eastAsia="Calibri" w:hAnsi="Calibri" w:cs="Calibri"/>
          <w:szCs w:val="24"/>
          <w:lang w:val="en-US"/>
        </w:rPr>
        <w:t>Četiri institucije obavijestile su Ministavo finansija o realizaciji sprovedene Samoprocjene unutrašnjih kontrola.</w:t>
      </w:r>
    </w:p>
    <w:p w:rsidR="009F412E" w:rsidRPr="00363BF3" w:rsidRDefault="009F412E" w:rsidP="00632490">
      <w:pPr>
        <w:numPr>
          <w:ilvl w:val="0"/>
          <w:numId w:val="79"/>
        </w:numPr>
        <w:spacing w:before="0" w:after="160" w:line="240" w:lineRule="auto"/>
        <w:contextualSpacing/>
        <w:rPr>
          <w:rFonts w:ascii="Calibri" w:eastAsia="Calibri" w:hAnsi="Calibri" w:cs="Calibri"/>
          <w:b/>
          <w:szCs w:val="24"/>
          <w:lang w:val="en-US"/>
        </w:rPr>
      </w:pPr>
      <w:r w:rsidRPr="00363BF3">
        <w:rPr>
          <w:rFonts w:ascii="Calibri" w:eastAsia="Calibri" w:hAnsi="Calibri" w:cs="Calibri"/>
          <w:szCs w:val="24"/>
          <w:lang w:val="en-US"/>
        </w:rPr>
        <w:t xml:space="preserve">Ministarvo finansija je u saradnji sa Upravom za kadrove u novembru 2020. godine organizovalo obuke na temu Samoprocjena unutrašnjih kontrola za zaposlene na centralnom i lokalnom nivou. </w:t>
      </w:r>
    </w:p>
    <w:p w:rsidR="009F412E" w:rsidRPr="00363BF3" w:rsidRDefault="009F412E" w:rsidP="00363BF3">
      <w:pPr>
        <w:spacing w:before="0" w:after="0" w:line="240" w:lineRule="auto"/>
        <w:jc w:val="left"/>
        <w:rPr>
          <w:rFonts w:ascii="Calibri" w:eastAsia="Calibri" w:hAnsi="Calibri" w:cs="Times New Roman"/>
          <w:b/>
          <w:szCs w:val="24"/>
          <w:lang w:val="en-US"/>
        </w:rPr>
      </w:pPr>
      <w:r w:rsidRPr="00363BF3">
        <w:rPr>
          <w:rFonts w:ascii="Calibri" w:eastAsia="Calibri" w:hAnsi="Calibri" w:cs="Times New Roman"/>
          <w:b/>
          <w:szCs w:val="24"/>
          <w:lang w:val="en-US"/>
        </w:rPr>
        <w:t>Stan</w:t>
      </w:r>
      <w:r w:rsidR="008C37D8">
        <w:rPr>
          <w:rFonts w:ascii="Calibri" w:eastAsia="Calibri" w:hAnsi="Calibri" w:cs="Times New Roman"/>
          <w:b/>
          <w:szCs w:val="24"/>
          <w:lang w:val="en-US"/>
        </w:rPr>
        <w:t>je u upravnim oblastima i izvješ</w:t>
      </w:r>
      <w:r w:rsidRPr="00363BF3">
        <w:rPr>
          <w:rFonts w:ascii="Calibri" w:eastAsia="Calibri" w:hAnsi="Calibri" w:cs="Times New Roman"/>
          <w:b/>
          <w:szCs w:val="24"/>
          <w:lang w:val="en-US"/>
        </w:rPr>
        <w:t>taj o radu organizacionih jedinica</w:t>
      </w:r>
    </w:p>
    <w:p w:rsidR="009F412E" w:rsidRPr="00363BF3" w:rsidRDefault="009F412E" w:rsidP="00D75593">
      <w:pPr>
        <w:autoSpaceDE w:val="0"/>
        <w:autoSpaceDN w:val="0"/>
        <w:adjustRightInd w:val="0"/>
        <w:spacing w:before="0" w:after="160" w:line="240" w:lineRule="auto"/>
        <w:ind w:firstLine="360"/>
        <w:contextualSpacing/>
        <w:rPr>
          <w:rFonts w:ascii="Calibri" w:eastAsia="Calibri" w:hAnsi="Calibri" w:cs="Calibri"/>
          <w:color w:val="000000"/>
          <w:szCs w:val="24"/>
          <w:lang w:val="en-US"/>
        </w:rPr>
      </w:pPr>
      <w:r w:rsidRPr="00363BF3">
        <w:rPr>
          <w:rFonts w:ascii="Calibri" w:eastAsia="Calibri" w:hAnsi="Calibri" w:cs="Calibri"/>
          <w:color w:val="000000"/>
          <w:szCs w:val="24"/>
          <w:lang w:val="sl-SI"/>
        </w:rPr>
        <w:t xml:space="preserve">Ministastvo finansija je pripremilo, a Vlada Crne Gore je 09. jula 2020. godine donijela </w:t>
      </w:r>
      <w:r w:rsidRPr="00363BF3">
        <w:rPr>
          <w:rFonts w:ascii="Calibri" w:eastAsia="Calibri" w:hAnsi="Calibri" w:cs="Calibri"/>
          <w:b/>
          <w:color w:val="000000"/>
          <w:szCs w:val="24"/>
          <w:lang w:val="sl-SI"/>
        </w:rPr>
        <w:t>Uredbu o prenošenju poslova i zadataka finansijskog upravljanja i unutrašnjih kontrola u javnom sektoru</w:t>
      </w:r>
      <w:r w:rsidRPr="00363BF3">
        <w:rPr>
          <w:rFonts w:ascii="Calibri" w:eastAsia="Calibri" w:hAnsi="Calibri" w:cs="Calibri"/>
          <w:color w:val="000000"/>
          <w:szCs w:val="24"/>
          <w:lang w:val="sl-SI"/>
        </w:rPr>
        <w:t xml:space="preserve"> ("Službeni list Crne Gore", br. 079/20 od 02.08.2020.) kojom su propisani poslovi koje rukovodilac subjekta može prenijeti na rukovodioce organizacionih jedinica ili druge zaposlene u organima, ustanovama i pravnom licu. </w:t>
      </w:r>
    </w:p>
    <w:p w:rsidR="009F412E" w:rsidRPr="00363BF3" w:rsidRDefault="009F412E" w:rsidP="00D75593">
      <w:pPr>
        <w:autoSpaceDE w:val="0"/>
        <w:autoSpaceDN w:val="0"/>
        <w:adjustRightInd w:val="0"/>
        <w:spacing w:before="0" w:after="160" w:line="240" w:lineRule="auto"/>
        <w:ind w:firstLine="360"/>
        <w:contextualSpacing/>
        <w:rPr>
          <w:rFonts w:ascii="Calibri" w:eastAsia="Calibri" w:hAnsi="Calibri" w:cs="Calibri"/>
          <w:color w:val="000000"/>
          <w:szCs w:val="24"/>
          <w:lang w:val="en-US"/>
        </w:rPr>
      </w:pPr>
      <w:r w:rsidRPr="00363BF3">
        <w:rPr>
          <w:rFonts w:ascii="Calibri" w:eastAsia="Calibri" w:hAnsi="Calibri" w:cs="Calibri"/>
          <w:color w:val="000000"/>
          <w:szCs w:val="24"/>
          <w:lang w:val="sl-SI"/>
        </w:rPr>
        <w:t xml:space="preserve">U cilju pružanja podrške organima u upravljanju sredstvima Ministarstvo finansija i socijalnog staranja pripremilo je u septembru 2020. godine Metodologiju za prenošenje poslova i zadataka finansijskog upravljanja i unutrašnjih kontrola u javnom sektoru koja čini polaznu osnovu za uspostavljanje sistema odgovornosti u javnom sektoru. </w:t>
      </w:r>
    </w:p>
    <w:p w:rsidR="009F412E" w:rsidRPr="00363BF3" w:rsidRDefault="009F412E" w:rsidP="00D75593">
      <w:pPr>
        <w:autoSpaceDE w:val="0"/>
        <w:autoSpaceDN w:val="0"/>
        <w:adjustRightInd w:val="0"/>
        <w:spacing w:before="0" w:after="160" w:line="240" w:lineRule="auto"/>
        <w:ind w:firstLine="360"/>
        <w:contextualSpacing/>
        <w:rPr>
          <w:rFonts w:ascii="Calibri" w:eastAsia="Calibri" w:hAnsi="Calibri" w:cs="Calibri"/>
          <w:color w:val="000000"/>
          <w:szCs w:val="24"/>
          <w:lang w:val="en-US"/>
        </w:rPr>
      </w:pPr>
      <w:r w:rsidRPr="00363BF3">
        <w:rPr>
          <w:rFonts w:ascii="Calibri" w:eastAsia="Calibri" w:hAnsi="Calibri" w:cs="Calibri"/>
          <w:color w:val="000000"/>
          <w:szCs w:val="24"/>
          <w:lang w:val="en-US"/>
        </w:rPr>
        <w:t xml:space="preserve">Predstavnici </w:t>
      </w:r>
      <w:r w:rsidRPr="00363BF3">
        <w:rPr>
          <w:rFonts w:ascii="Calibri" w:eastAsia="Calibri" w:hAnsi="Calibri" w:cs="Calibri"/>
          <w:color w:val="000000"/>
          <w:szCs w:val="24"/>
          <w:lang w:val="pl-PL"/>
        </w:rPr>
        <w:t xml:space="preserve">Direktorata za centralnu harmonizaciju </w:t>
      </w:r>
      <w:r w:rsidRPr="00363BF3">
        <w:rPr>
          <w:rFonts w:ascii="Calibri" w:eastAsia="Calibri" w:hAnsi="Calibri" w:cs="Calibri"/>
          <w:color w:val="000000"/>
          <w:szCs w:val="24"/>
          <w:lang w:val="en-US"/>
        </w:rPr>
        <w:t xml:space="preserve">su tokom 2020. godine bili intezivno uključeni u aktivnosti pregovaračkih poglavlja: 32 – Finansijska kontrola, </w:t>
      </w:r>
      <w:r w:rsidRPr="00363BF3">
        <w:rPr>
          <w:rFonts w:ascii="Calibri" w:eastAsia="Calibri" w:hAnsi="Calibri" w:cs="Calibri"/>
          <w:color w:val="000000"/>
          <w:szCs w:val="24"/>
          <w:lang w:val="pl-PL"/>
        </w:rPr>
        <w:t>6 – Privredno pravo i 33 – Finansijske i budžetske odredbe.</w:t>
      </w:r>
    </w:p>
    <w:p w:rsidR="009F412E" w:rsidRPr="00363BF3" w:rsidRDefault="00D75593" w:rsidP="00D75593">
      <w:pPr>
        <w:tabs>
          <w:tab w:val="left" w:pos="142"/>
          <w:tab w:val="left" w:pos="426"/>
        </w:tabs>
        <w:autoSpaceDE w:val="0"/>
        <w:autoSpaceDN w:val="0"/>
        <w:adjustRightInd w:val="0"/>
        <w:spacing w:before="0" w:after="160" w:line="240" w:lineRule="auto"/>
        <w:contextualSpacing/>
        <w:rPr>
          <w:rFonts w:ascii="Calibri" w:eastAsia="AgfaRotisSemisans-Light" w:hAnsi="Calibri" w:cs="Calibri"/>
          <w:b/>
          <w:bCs/>
          <w:color w:val="000000"/>
          <w:szCs w:val="24"/>
          <w:lang w:val="en-US"/>
        </w:rPr>
      </w:pPr>
      <w:r>
        <w:rPr>
          <w:rFonts w:ascii="Calibri" w:eastAsia="Calibri" w:hAnsi="Calibri" w:cs="Calibri"/>
          <w:color w:val="000000"/>
          <w:szCs w:val="24"/>
          <w:lang w:val="hr-HR"/>
        </w:rPr>
        <w:tab/>
      </w:r>
      <w:r w:rsidR="009F412E" w:rsidRPr="00363BF3">
        <w:rPr>
          <w:rFonts w:ascii="Calibri" w:eastAsia="Calibri" w:hAnsi="Calibri" w:cs="Calibri"/>
          <w:color w:val="000000"/>
          <w:szCs w:val="24"/>
          <w:lang w:val="hr-HR"/>
        </w:rPr>
        <w:t>Priprema polugodišnjih i godišnjih izvještaja za Strategiju reforme državne uprave 2016-2020 i Program refomi javnih finansija, priprema izvještaja za Pododbor za ekonomska i finansijska pitanja i statistiku EK.</w:t>
      </w:r>
    </w:p>
    <w:p w:rsidR="00363BF3" w:rsidRDefault="009F412E" w:rsidP="00363BF3">
      <w:pPr>
        <w:pStyle w:val="PlainText"/>
        <w:ind w:firstLine="360"/>
        <w:jc w:val="both"/>
        <w:rPr>
          <w:rFonts w:asciiTheme="minorHAnsi" w:hAnsiTheme="minorHAnsi" w:cs="Arial"/>
          <w:b/>
          <w:sz w:val="24"/>
          <w:szCs w:val="24"/>
          <w:u w:val="single"/>
        </w:rPr>
      </w:pPr>
      <w:r w:rsidRPr="00363BF3">
        <w:rPr>
          <w:rFonts w:asciiTheme="minorHAnsi" w:hAnsiTheme="minorHAnsi" w:cs="Arial"/>
          <w:b/>
          <w:sz w:val="24"/>
          <w:szCs w:val="24"/>
          <w:u w:val="single"/>
        </w:rPr>
        <w:t>Direkcija za nadzor nad revizijom</w:t>
      </w:r>
    </w:p>
    <w:p w:rsidR="00363BF3" w:rsidRPr="00363BF3" w:rsidRDefault="00363BF3" w:rsidP="00363BF3">
      <w:pPr>
        <w:pStyle w:val="PlainText"/>
        <w:ind w:firstLine="360"/>
        <w:jc w:val="both"/>
        <w:rPr>
          <w:rFonts w:asciiTheme="minorHAnsi" w:hAnsiTheme="minorHAnsi" w:cs="Arial"/>
          <w:b/>
          <w:sz w:val="24"/>
          <w:szCs w:val="24"/>
          <w:u w:val="single"/>
        </w:rPr>
      </w:pPr>
      <w:r w:rsidRPr="00363BF3">
        <w:rPr>
          <w:rFonts w:asciiTheme="minorHAnsi" w:hAnsiTheme="minorHAnsi" w:cs="Arial"/>
          <w:color w:val="000000"/>
          <w:sz w:val="24"/>
          <w:szCs w:val="24"/>
        </w:rPr>
        <w:t>Ključne aktivnosti u 2020. godini u oblastima iz nadležnosti Direkcije bile su usmjerene na sl</w:t>
      </w:r>
      <w:r>
        <w:rPr>
          <w:rFonts w:asciiTheme="minorHAnsi" w:hAnsiTheme="minorHAnsi" w:cs="Arial"/>
          <w:color w:val="000000"/>
          <w:sz w:val="24"/>
          <w:szCs w:val="24"/>
        </w:rPr>
        <w:t>j</w:t>
      </w:r>
      <w:r w:rsidRPr="00363BF3">
        <w:rPr>
          <w:rFonts w:asciiTheme="minorHAnsi" w:hAnsiTheme="minorHAnsi" w:cs="Arial"/>
          <w:color w:val="000000"/>
          <w:sz w:val="24"/>
          <w:szCs w:val="24"/>
        </w:rPr>
        <w:t>edeće:</w:t>
      </w:r>
    </w:p>
    <w:p w:rsidR="00363BF3" w:rsidRPr="00363BF3" w:rsidRDefault="00363BF3" w:rsidP="00632490">
      <w:pPr>
        <w:numPr>
          <w:ilvl w:val="0"/>
          <w:numId w:val="80"/>
        </w:numPr>
        <w:autoSpaceDE w:val="0"/>
        <w:autoSpaceDN w:val="0"/>
        <w:adjustRightInd w:val="0"/>
        <w:spacing w:before="0" w:after="0" w:line="240" w:lineRule="auto"/>
        <w:contextualSpacing/>
        <w:jc w:val="left"/>
        <w:rPr>
          <w:rFonts w:eastAsia="Calibri" w:cs="Arial"/>
          <w:color w:val="000000"/>
          <w:szCs w:val="24"/>
          <w:lang w:val="en-US"/>
        </w:rPr>
      </w:pPr>
      <w:r w:rsidRPr="00363BF3">
        <w:rPr>
          <w:rFonts w:eastAsia="Calibri" w:cs="Arial"/>
          <w:color w:val="000000"/>
          <w:szCs w:val="24"/>
          <w:lang w:val="en-US"/>
        </w:rPr>
        <w:lastRenderedPageBreak/>
        <w:t>Sprovođenje Zakona o reviziju, posebno u dijelu koji se odnosi na nadzor nad radom društava za reviziju i ovlašćenih revizora;</w:t>
      </w:r>
    </w:p>
    <w:p w:rsidR="00363BF3" w:rsidRPr="00363BF3" w:rsidRDefault="00363BF3" w:rsidP="00632490">
      <w:pPr>
        <w:numPr>
          <w:ilvl w:val="0"/>
          <w:numId w:val="80"/>
        </w:numPr>
        <w:autoSpaceDE w:val="0"/>
        <w:autoSpaceDN w:val="0"/>
        <w:adjustRightInd w:val="0"/>
        <w:spacing w:before="0" w:after="0" w:line="240" w:lineRule="auto"/>
        <w:contextualSpacing/>
        <w:jc w:val="left"/>
        <w:rPr>
          <w:rFonts w:eastAsia="Calibri" w:cs="Arial"/>
          <w:color w:val="000000"/>
          <w:szCs w:val="24"/>
          <w:lang w:val="en-US"/>
        </w:rPr>
      </w:pPr>
      <w:r w:rsidRPr="00363BF3">
        <w:rPr>
          <w:rFonts w:eastAsia="Calibri" w:cs="Arial"/>
          <w:color w:val="000000"/>
          <w:szCs w:val="24"/>
          <w:lang w:val="en-US"/>
        </w:rPr>
        <w:t>Aktivno učestvovanje u aktivnostima u pregovaračkom poglavlju 6 – Privredno pravo.</w:t>
      </w:r>
    </w:p>
    <w:p w:rsidR="00363BF3" w:rsidRPr="00363BF3" w:rsidRDefault="00363BF3" w:rsidP="00363BF3">
      <w:pPr>
        <w:autoSpaceDE w:val="0"/>
        <w:autoSpaceDN w:val="0"/>
        <w:adjustRightInd w:val="0"/>
        <w:spacing w:before="0" w:after="0" w:line="240" w:lineRule="auto"/>
        <w:ind w:firstLine="360"/>
        <w:rPr>
          <w:rFonts w:eastAsia="Calibri" w:cs="Arial"/>
          <w:color w:val="000000"/>
          <w:szCs w:val="24"/>
          <w:lang w:val="en-US"/>
        </w:rPr>
      </w:pPr>
      <w:r w:rsidRPr="00363BF3">
        <w:rPr>
          <w:rFonts w:eastAsia="Calibri" w:cs="Arial"/>
          <w:color w:val="000000"/>
          <w:szCs w:val="24"/>
          <w:lang w:val="en-US"/>
        </w:rPr>
        <w:t>Ostvareni su sledeći rezultati:</w:t>
      </w:r>
    </w:p>
    <w:p w:rsidR="00363BF3" w:rsidRPr="00363BF3" w:rsidRDefault="00363BF3" w:rsidP="00632490">
      <w:pPr>
        <w:numPr>
          <w:ilvl w:val="0"/>
          <w:numId w:val="81"/>
        </w:numPr>
        <w:autoSpaceDE w:val="0"/>
        <w:autoSpaceDN w:val="0"/>
        <w:adjustRightInd w:val="0"/>
        <w:spacing w:before="0" w:after="0" w:line="240" w:lineRule="auto"/>
        <w:contextualSpacing/>
        <w:jc w:val="left"/>
        <w:rPr>
          <w:rFonts w:eastAsia="Calibri" w:cs="Arial"/>
          <w:color w:val="000000"/>
          <w:szCs w:val="24"/>
          <w:lang w:val="en-US"/>
        </w:rPr>
      </w:pPr>
      <w:r w:rsidRPr="00363BF3">
        <w:rPr>
          <w:rFonts w:eastAsia="Calibri" w:cs="Arial"/>
          <w:color w:val="000000"/>
          <w:szCs w:val="24"/>
          <w:lang w:val="en-US"/>
        </w:rPr>
        <w:t>Izvršen nadzor nad radom pet d</w:t>
      </w:r>
      <w:r w:rsidRPr="00363BF3">
        <w:rPr>
          <w:rFonts w:eastAsia="Calibri" w:cs="Arial"/>
          <w:color w:val="000000"/>
          <w:szCs w:val="24"/>
          <w:lang w:val="en-GB"/>
        </w:rPr>
        <w:t>ruštva za reviziju (uključujući sva “big 4” društva za reviziju koja posluju u Crnoj Gori), odnosno nadzor nad radom osam ovlašćenih revizora sa ciljem utvrđivanja da li društva, odnoso ovlašćeni revizori obavljaju reviziju u skladu sa Zakonom o reviziji, Međunarodnim standardima revizije i pravilima revizorske struke;</w:t>
      </w:r>
    </w:p>
    <w:p w:rsidR="00363BF3" w:rsidRPr="00363BF3" w:rsidRDefault="00363BF3" w:rsidP="00632490">
      <w:pPr>
        <w:numPr>
          <w:ilvl w:val="0"/>
          <w:numId w:val="81"/>
        </w:numPr>
        <w:autoSpaceDE w:val="0"/>
        <w:autoSpaceDN w:val="0"/>
        <w:adjustRightInd w:val="0"/>
        <w:spacing w:before="0" w:after="0" w:line="240" w:lineRule="auto"/>
        <w:contextualSpacing/>
        <w:jc w:val="left"/>
        <w:rPr>
          <w:rFonts w:eastAsia="Calibri" w:cs="Arial"/>
          <w:color w:val="000000"/>
          <w:szCs w:val="24"/>
          <w:lang w:val="en-US"/>
        </w:rPr>
      </w:pPr>
      <w:r w:rsidRPr="00363BF3">
        <w:rPr>
          <w:rFonts w:eastAsia="Calibri" w:cs="Arial"/>
          <w:color w:val="000000"/>
          <w:szCs w:val="24"/>
          <w:lang w:val="en-GB"/>
        </w:rPr>
        <w:t xml:space="preserve">Pripremljeno pet izvještaja o kontrolama koji sadrži naročito nalaze i zaključke o sprovedenim kontrolama; </w:t>
      </w:r>
    </w:p>
    <w:p w:rsidR="00363BF3" w:rsidRPr="00363BF3" w:rsidRDefault="00363BF3" w:rsidP="00632490">
      <w:pPr>
        <w:numPr>
          <w:ilvl w:val="0"/>
          <w:numId w:val="81"/>
        </w:numPr>
        <w:autoSpaceDE w:val="0"/>
        <w:autoSpaceDN w:val="0"/>
        <w:adjustRightInd w:val="0"/>
        <w:spacing w:before="0" w:after="0" w:line="240" w:lineRule="auto"/>
        <w:contextualSpacing/>
        <w:jc w:val="left"/>
        <w:rPr>
          <w:rFonts w:eastAsia="Calibri" w:cs="Arial"/>
          <w:color w:val="000000"/>
          <w:szCs w:val="24"/>
          <w:lang w:val="en-GB"/>
        </w:rPr>
      </w:pPr>
      <w:r w:rsidRPr="00363BF3">
        <w:rPr>
          <w:rFonts w:eastAsia="Calibri" w:cs="Arial"/>
          <w:color w:val="000000"/>
          <w:szCs w:val="24"/>
          <w:lang w:val="en-GB"/>
        </w:rPr>
        <w:t>Preduzete mjera na osnovu kontrola u skladu sa Zakonom o reviziji, odnosno izrečeno šest mjera u skladu sa Zakonom;</w:t>
      </w:r>
    </w:p>
    <w:p w:rsidR="00363BF3" w:rsidRDefault="00363BF3" w:rsidP="00632490">
      <w:pPr>
        <w:numPr>
          <w:ilvl w:val="0"/>
          <w:numId w:val="81"/>
        </w:numPr>
        <w:autoSpaceDE w:val="0"/>
        <w:autoSpaceDN w:val="0"/>
        <w:adjustRightInd w:val="0"/>
        <w:spacing w:before="0" w:after="0" w:line="240" w:lineRule="auto"/>
        <w:contextualSpacing/>
        <w:jc w:val="left"/>
        <w:rPr>
          <w:rFonts w:eastAsia="Calibri" w:cs="Arial"/>
          <w:color w:val="000000"/>
          <w:szCs w:val="24"/>
          <w:lang w:val="en-GB"/>
        </w:rPr>
      </w:pPr>
      <w:r w:rsidRPr="00363BF3">
        <w:rPr>
          <w:rFonts w:eastAsia="Calibri" w:cs="Arial"/>
          <w:color w:val="000000"/>
          <w:szCs w:val="24"/>
          <w:lang w:val="en-GB"/>
        </w:rPr>
        <w:t>Izdavanje</w:t>
      </w:r>
      <w:r w:rsidRPr="00363BF3">
        <w:rPr>
          <w:rFonts w:eastAsia="Calibri" w:cs="Arial"/>
          <w:color w:val="000000"/>
          <w:szCs w:val="24"/>
        </w:rPr>
        <w:t xml:space="preserve"> </w:t>
      </w:r>
      <w:r w:rsidRPr="00363BF3">
        <w:rPr>
          <w:rFonts w:eastAsia="Calibri" w:cs="Arial"/>
          <w:color w:val="000000"/>
          <w:szCs w:val="24"/>
          <w:lang w:val="en-GB"/>
        </w:rPr>
        <w:t>prekr</w:t>
      </w:r>
      <w:r w:rsidRPr="00363BF3">
        <w:rPr>
          <w:rFonts w:eastAsia="Calibri" w:cs="Arial"/>
          <w:color w:val="000000"/>
          <w:szCs w:val="24"/>
        </w:rPr>
        <w:t>š</w:t>
      </w:r>
      <w:r w:rsidRPr="00363BF3">
        <w:rPr>
          <w:rFonts w:eastAsia="Calibri" w:cs="Arial"/>
          <w:color w:val="000000"/>
          <w:szCs w:val="24"/>
          <w:lang w:val="en-GB"/>
        </w:rPr>
        <w:t>ajnih</w:t>
      </w:r>
      <w:r w:rsidRPr="00363BF3">
        <w:rPr>
          <w:rFonts w:eastAsia="Calibri" w:cs="Arial"/>
          <w:color w:val="000000"/>
          <w:szCs w:val="24"/>
        </w:rPr>
        <w:t xml:space="preserve"> </w:t>
      </w:r>
      <w:r w:rsidRPr="00363BF3">
        <w:rPr>
          <w:rFonts w:eastAsia="Calibri" w:cs="Arial"/>
          <w:color w:val="000000"/>
          <w:szCs w:val="24"/>
          <w:lang w:val="en-GB"/>
        </w:rPr>
        <w:t>naloga</w:t>
      </w:r>
      <w:r w:rsidRPr="00363BF3">
        <w:rPr>
          <w:rFonts w:eastAsia="Calibri" w:cs="Arial"/>
          <w:color w:val="000000"/>
          <w:szCs w:val="24"/>
        </w:rPr>
        <w:t xml:space="preserve"> </w:t>
      </w:r>
      <w:r w:rsidRPr="00363BF3">
        <w:rPr>
          <w:rFonts w:eastAsia="Calibri" w:cs="Arial"/>
          <w:color w:val="000000"/>
          <w:szCs w:val="24"/>
          <w:lang w:val="en-GB"/>
        </w:rPr>
        <w:t>u</w:t>
      </w:r>
      <w:r w:rsidRPr="00363BF3">
        <w:rPr>
          <w:rFonts w:eastAsia="Calibri" w:cs="Arial"/>
          <w:color w:val="000000"/>
          <w:szCs w:val="24"/>
        </w:rPr>
        <w:t xml:space="preserve"> </w:t>
      </w:r>
      <w:r w:rsidRPr="00363BF3">
        <w:rPr>
          <w:rFonts w:eastAsia="Calibri" w:cs="Arial"/>
          <w:color w:val="000000"/>
          <w:szCs w:val="24"/>
          <w:lang w:val="en-GB"/>
        </w:rPr>
        <w:t>skladu</w:t>
      </w:r>
      <w:r w:rsidRPr="00363BF3">
        <w:rPr>
          <w:rFonts w:eastAsia="Calibri" w:cs="Arial"/>
          <w:color w:val="000000"/>
          <w:szCs w:val="24"/>
        </w:rPr>
        <w:t xml:space="preserve"> </w:t>
      </w:r>
      <w:r w:rsidRPr="00363BF3">
        <w:rPr>
          <w:rFonts w:eastAsia="Calibri" w:cs="Arial"/>
          <w:color w:val="000000"/>
          <w:szCs w:val="24"/>
          <w:lang w:val="en-GB"/>
        </w:rPr>
        <w:t>sa</w:t>
      </w:r>
      <w:r w:rsidRPr="00363BF3">
        <w:rPr>
          <w:rFonts w:eastAsia="Calibri" w:cs="Arial"/>
          <w:color w:val="000000"/>
          <w:szCs w:val="24"/>
        </w:rPr>
        <w:t xml:space="preserve"> </w:t>
      </w:r>
      <w:r w:rsidRPr="00363BF3">
        <w:rPr>
          <w:rFonts w:eastAsia="Calibri" w:cs="Arial"/>
          <w:color w:val="000000"/>
          <w:szCs w:val="24"/>
          <w:lang w:val="en-GB"/>
        </w:rPr>
        <w:t>Zakonom</w:t>
      </w:r>
      <w:r w:rsidRPr="00363BF3">
        <w:rPr>
          <w:rFonts w:eastAsia="Calibri" w:cs="Arial"/>
          <w:color w:val="000000"/>
          <w:szCs w:val="24"/>
        </w:rPr>
        <w:t xml:space="preserve"> </w:t>
      </w:r>
      <w:r w:rsidRPr="00363BF3">
        <w:rPr>
          <w:rFonts w:eastAsia="Calibri" w:cs="Arial"/>
          <w:color w:val="000000"/>
          <w:szCs w:val="24"/>
          <w:lang w:val="en-GB"/>
        </w:rPr>
        <w:t>o</w:t>
      </w:r>
      <w:r w:rsidRPr="00363BF3">
        <w:rPr>
          <w:rFonts w:eastAsia="Calibri" w:cs="Arial"/>
          <w:color w:val="000000"/>
          <w:szCs w:val="24"/>
        </w:rPr>
        <w:t xml:space="preserve"> </w:t>
      </w:r>
      <w:r w:rsidRPr="00363BF3">
        <w:rPr>
          <w:rFonts w:eastAsia="Calibri" w:cs="Arial"/>
          <w:color w:val="000000"/>
          <w:szCs w:val="24"/>
          <w:lang w:val="en-GB"/>
        </w:rPr>
        <w:t>reviziji.</w:t>
      </w:r>
    </w:p>
    <w:p w:rsidR="00CF332C" w:rsidRDefault="00CF332C" w:rsidP="00CF332C">
      <w:pPr>
        <w:autoSpaceDE w:val="0"/>
        <w:autoSpaceDN w:val="0"/>
        <w:adjustRightInd w:val="0"/>
        <w:spacing w:before="0" w:after="0" w:line="240" w:lineRule="auto"/>
        <w:contextualSpacing/>
        <w:jc w:val="left"/>
        <w:rPr>
          <w:rFonts w:eastAsia="Calibri" w:cs="Arial"/>
          <w:color w:val="000000"/>
          <w:szCs w:val="24"/>
          <w:lang w:val="en-GB"/>
        </w:rPr>
      </w:pPr>
    </w:p>
    <w:p w:rsidR="00CF332C" w:rsidRDefault="00CF332C" w:rsidP="00CF332C">
      <w:pPr>
        <w:autoSpaceDE w:val="0"/>
        <w:autoSpaceDN w:val="0"/>
        <w:adjustRightInd w:val="0"/>
        <w:spacing w:before="0" w:after="0" w:line="240" w:lineRule="auto"/>
        <w:contextualSpacing/>
        <w:jc w:val="left"/>
        <w:rPr>
          <w:rFonts w:eastAsia="Calibri" w:cs="Arial"/>
          <w:b/>
          <w:color w:val="000000"/>
          <w:szCs w:val="24"/>
          <w:u w:val="single"/>
          <w:lang w:val="en-GB"/>
        </w:rPr>
      </w:pPr>
      <w:r w:rsidRPr="00CF332C">
        <w:rPr>
          <w:rFonts w:eastAsia="Calibri" w:cs="Arial"/>
          <w:color w:val="000000"/>
          <w:szCs w:val="24"/>
          <w:lang w:val="en-GB"/>
        </w:rPr>
        <w:tab/>
      </w:r>
      <w:r w:rsidRPr="00CF332C">
        <w:rPr>
          <w:rFonts w:eastAsia="Calibri" w:cs="Arial"/>
          <w:b/>
          <w:color w:val="000000"/>
          <w:szCs w:val="24"/>
          <w:u w:val="single"/>
          <w:lang w:val="en-GB"/>
        </w:rPr>
        <w:t>Di</w:t>
      </w:r>
      <w:r>
        <w:rPr>
          <w:rFonts w:eastAsia="Calibri" w:cs="Arial"/>
          <w:b/>
          <w:color w:val="000000"/>
          <w:szCs w:val="24"/>
          <w:u w:val="single"/>
          <w:lang w:val="en-GB"/>
        </w:rPr>
        <w:t>rekcija za harmonizaciju unutraš</w:t>
      </w:r>
      <w:r w:rsidRPr="00CF332C">
        <w:rPr>
          <w:rFonts w:eastAsia="Calibri" w:cs="Arial"/>
          <w:b/>
          <w:color w:val="000000"/>
          <w:szCs w:val="24"/>
          <w:u w:val="single"/>
          <w:lang w:val="en-GB"/>
        </w:rPr>
        <w:t>nje revizije</w:t>
      </w:r>
    </w:p>
    <w:p w:rsidR="00CF332C" w:rsidRPr="00363BF3" w:rsidRDefault="00CF332C" w:rsidP="00CF332C">
      <w:pPr>
        <w:autoSpaceDE w:val="0"/>
        <w:autoSpaceDN w:val="0"/>
        <w:adjustRightInd w:val="0"/>
        <w:spacing w:before="0" w:after="0" w:line="240" w:lineRule="auto"/>
        <w:contextualSpacing/>
        <w:jc w:val="left"/>
        <w:rPr>
          <w:rFonts w:eastAsia="Calibri" w:cs="Arial"/>
          <w:color w:val="000000"/>
          <w:szCs w:val="24"/>
          <w:lang w:val="en-GB"/>
        </w:rPr>
      </w:pPr>
    </w:p>
    <w:p w:rsidR="00C655C0" w:rsidRPr="00C655C0" w:rsidRDefault="00C655C0" w:rsidP="00C655C0">
      <w:pPr>
        <w:pStyle w:val="PlainText"/>
        <w:ind w:firstLine="360"/>
        <w:jc w:val="both"/>
        <w:rPr>
          <w:rFonts w:asciiTheme="minorHAnsi" w:hAnsiTheme="minorHAnsi"/>
          <w:b/>
          <w:sz w:val="24"/>
          <w:szCs w:val="24"/>
        </w:rPr>
      </w:pPr>
      <w:r w:rsidRPr="00C655C0">
        <w:rPr>
          <w:rFonts w:asciiTheme="minorHAnsi" w:hAnsiTheme="minorHAnsi"/>
          <w:b/>
          <w:sz w:val="24"/>
          <w:szCs w:val="24"/>
        </w:rPr>
        <w:t xml:space="preserve">Realizacija programa rada Vlade Crne Gore za 2020. godinu - </w:t>
      </w:r>
      <w:r w:rsidRPr="00C655C0">
        <w:rPr>
          <w:rFonts w:asciiTheme="minorHAnsi" w:hAnsiTheme="minorHAnsi" w:cs="Calibri"/>
          <w:sz w:val="24"/>
          <w:szCs w:val="24"/>
        </w:rPr>
        <w:t xml:space="preserve">Programom rada Vlade za 2020. godinu i </w:t>
      </w:r>
      <w:r w:rsidRPr="00C655C0">
        <w:rPr>
          <w:rFonts w:asciiTheme="minorHAnsi" w:hAnsiTheme="minorHAnsi" w:cs="Calibri"/>
          <w:b/>
          <w:sz w:val="24"/>
          <w:szCs w:val="24"/>
        </w:rPr>
        <w:t>Programom rada Ministarstva za 2020. godinu</w:t>
      </w:r>
      <w:r w:rsidRPr="00C655C0">
        <w:rPr>
          <w:rFonts w:asciiTheme="minorHAnsi" w:hAnsiTheme="minorHAnsi" w:cs="Calibri"/>
          <w:sz w:val="24"/>
          <w:szCs w:val="24"/>
        </w:rPr>
        <w:t xml:space="preserve"> bilo je predviđeno pripremanje Konsolidovanog izvještaja o upravljanju i unutrašnjim kontrolama u javnom sektoru za 2019. godinu. </w:t>
      </w:r>
    </w:p>
    <w:p w:rsidR="00C655C0" w:rsidRDefault="00C655C0" w:rsidP="00C655C0">
      <w:pPr>
        <w:spacing w:before="0" w:after="160" w:line="240" w:lineRule="auto"/>
        <w:ind w:firstLine="360"/>
        <w:rPr>
          <w:rFonts w:eastAsia="Calibri" w:cs="Calibri"/>
          <w:szCs w:val="24"/>
          <w:lang w:val="en-US"/>
        </w:rPr>
      </w:pPr>
      <w:r w:rsidRPr="00C655C0">
        <w:rPr>
          <w:rFonts w:eastAsia="Calibri" w:cs="Calibri"/>
          <w:szCs w:val="24"/>
          <w:lang w:val="en-US"/>
        </w:rPr>
        <w:t>Vlada Crne Gore je na sjednici od 18.06.2020. godine usvojila Konsolidovani izvještaj o upravljanju i unutrašnjim kontrolama u javnom sektoru Crne Gore za 2019. godinu.</w:t>
      </w:r>
    </w:p>
    <w:p w:rsidR="00C655C0" w:rsidRPr="00C655C0" w:rsidRDefault="005B5196" w:rsidP="00C655C0">
      <w:pPr>
        <w:spacing w:before="0" w:after="160" w:line="240" w:lineRule="auto"/>
        <w:ind w:firstLine="360"/>
        <w:rPr>
          <w:rFonts w:eastAsia="Calibri" w:cs="Calibri"/>
          <w:szCs w:val="24"/>
          <w:lang w:val="en-US"/>
        </w:rPr>
      </w:pPr>
      <w:r>
        <w:rPr>
          <w:rFonts w:ascii="Calibri" w:eastAsia="Calibri" w:hAnsi="Calibri" w:cs="Times New Roman"/>
          <w:b/>
          <w:szCs w:val="24"/>
          <w:lang w:val="en-US"/>
        </w:rPr>
        <w:t>Realizovanje zaključ</w:t>
      </w:r>
      <w:r w:rsidR="00C655C0" w:rsidRPr="00C655C0">
        <w:rPr>
          <w:rFonts w:ascii="Calibri" w:eastAsia="Calibri" w:hAnsi="Calibri" w:cs="Times New Roman"/>
          <w:b/>
          <w:szCs w:val="24"/>
          <w:lang w:val="en-US"/>
        </w:rPr>
        <w:t>aka Vlade Crne Gore</w:t>
      </w:r>
    </w:p>
    <w:p w:rsidR="005815D7" w:rsidRPr="005815D7" w:rsidRDefault="005815D7" w:rsidP="005815D7">
      <w:pPr>
        <w:spacing w:before="0" w:after="0" w:line="240" w:lineRule="auto"/>
        <w:rPr>
          <w:rFonts w:eastAsia="Calibri" w:cs="Calibri"/>
          <w:szCs w:val="24"/>
          <w:lang w:val="en-US"/>
        </w:rPr>
      </w:pPr>
      <w:r w:rsidRPr="005815D7">
        <w:rPr>
          <w:rFonts w:eastAsia="Calibri" w:cs="Calibri"/>
          <w:szCs w:val="24"/>
          <w:lang w:val="en-US"/>
        </w:rPr>
        <w:t>Vlada Crne Gore, na sjednici od 18. juna 2020. godine usvojila je Konsolidovani izvještaj o uprav</w:t>
      </w:r>
      <w:r>
        <w:rPr>
          <w:rFonts w:eastAsia="Calibri" w:cs="Calibri"/>
          <w:szCs w:val="24"/>
          <w:lang w:val="en-US"/>
        </w:rPr>
        <w:t>ljanju i unutrašnjim kontrolama</w:t>
      </w:r>
      <w:r w:rsidRPr="005815D7">
        <w:rPr>
          <w:rFonts w:eastAsia="Calibri" w:cs="Calibri"/>
          <w:szCs w:val="24"/>
          <w:lang w:val="en-US"/>
        </w:rPr>
        <w:t xml:space="preserve"> u javnom sektoru Crne Gore za 2019. godinu i donijela sl</w:t>
      </w:r>
      <w:r>
        <w:rPr>
          <w:rFonts w:eastAsia="Calibri" w:cs="Calibri"/>
          <w:szCs w:val="24"/>
          <w:lang w:val="en-US"/>
        </w:rPr>
        <w:t>j</w:t>
      </w:r>
      <w:r w:rsidRPr="005815D7">
        <w:rPr>
          <w:rFonts w:eastAsia="Calibri" w:cs="Calibri"/>
          <w:szCs w:val="24"/>
          <w:lang w:val="en-US"/>
        </w:rPr>
        <w:t>edeće zaključke iz oblasti unutrašnje revizije:</w:t>
      </w:r>
    </w:p>
    <w:p w:rsidR="005815D7" w:rsidRPr="005815D7" w:rsidRDefault="005815D7" w:rsidP="00632490">
      <w:pPr>
        <w:numPr>
          <w:ilvl w:val="0"/>
          <w:numId w:val="79"/>
        </w:numPr>
        <w:spacing w:before="0" w:after="0" w:line="240" w:lineRule="auto"/>
        <w:rPr>
          <w:rFonts w:eastAsia="Times New Roman" w:cs="Calibri"/>
          <w:szCs w:val="24"/>
          <w:lang w:val="en-US" w:eastAsia="sr-Latn-CS"/>
        </w:rPr>
      </w:pPr>
      <w:r w:rsidRPr="005815D7">
        <w:rPr>
          <w:rFonts w:eastAsia="Times New Roman" w:cs="Calibri"/>
          <w:szCs w:val="24"/>
          <w:lang w:val="en-US" w:eastAsia="sr-Latn-CS"/>
        </w:rPr>
        <w:t>Zadužuju se Ministarstvo održivog razvoja i turizma, Fond penzijskog i invalidskog osiguranja, Uprava javnih radova i Uprava policije da preduzmu aktivnosti na popunjavanju radnog mjesta rukovodioca jedinice za unutrašnju reviziju i da o tome obavijeste Ministarstvo finansija najkasnije do kraja 2020.</w:t>
      </w:r>
      <w:r>
        <w:rPr>
          <w:rFonts w:eastAsia="Times New Roman" w:cs="Calibri"/>
          <w:szCs w:val="24"/>
          <w:lang w:val="en-US" w:eastAsia="sr-Latn-CS"/>
        </w:rPr>
        <w:t xml:space="preserve"> </w:t>
      </w:r>
      <w:r w:rsidRPr="005815D7">
        <w:rPr>
          <w:rFonts w:eastAsia="Times New Roman" w:cs="Calibri"/>
          <w:szCs w:val="24"/>
          <w:lang w:val="en-US" w:eastAsia="sr-Latn-CS"/>
        </w:rPr>
        <w:t>godine.</w:t>
      </w:r>
    </w:p>
    <w:p w:rsidR="005815D7" w:rsidRPr="005815D7" w:rsidRDefault="005815D7" w:rsidP="005815D7">
      <w:pPr>
        <w:spacing w:before="0" w:after="0" w:line="240" w:lineRule="auto"/>
        <w:rPr>
          <w:rFonts w:eastAsia="Times New Roman" w:cs="Calibri"/>
          <w:szCs w:val="24"/>
          <w:lang w:val="sr-Latn-RS" w:eastAsia="sr-Latn-CS"/>
        </w:rPr>
      </w:pPr>
      <w:r w:rsidRPr="005815D7">
        <w:rPr>
          <w:rFonts w:eastAsia="Times New Roman" w:cs="Calibri"/>
          <w:szCs w:val="24"/>
          <w:lang w:val="en-US" w:eastAsia="sr-Latn-CS"/>
        </w:rPr>
        <w:t>Realizacija zaključka: Ministarstvo odr</w:t>
      </w:r>
      <w:r w:rsidRPr="005815D7">
        <w:rPr>
          <w:rFonts w:eastAsia="Times New Roman" w:cs="Calibri"/>
          <w:szCs w:val="24"/>
          <w:lang w:val="sr-Latn-RS" w:eastAsia="sr-Latn-CS"/>
        </w:rPr>
        <w:t>živog razvoja i turizma i Fond penzijskog i invalidskog osiguranja su realizovali zaključak. Uprava javnih radova i Uprava policije nijesu obavijestili Ministarstvo finansija i socijalnog staranja o realizaciji zaključka.</w:t>
      </w:r>
    </w:p>
    <w:p w:rsidR="005815D7" w:rsidRPr="005815D7" w:rsidRDefault="005815D7" w:rsidP="00632490">
      <w:pPr>
        <w:numPr>
          <w:ilvl w:val="0"/>
          <w:numId w:val="79"/>
        </w:numPr>
        <w:spacing w:before="0" w:after="0" w:line="240" w:lineRule="auto"/>
        <w:jc w:val="left"/>
        <w:rPr>
          <w:rFonts w:eastAsia="Times New Roman" w:cs="Calibri"/>
          <w:szCs w:val="24"/>
          <w:lang w:val="en-US" w:eastAsia="sr-Latn-CS"/>
        </w:rPr>
      </w:pPr>
      <w:r w:rsidRPr="005815D7">
        <w:rPr>
          <w:rFonts w:eastAsia="Times New Roman" w:cs="Calibri"/>
          <w:szCs w:val="24"/>
          <w:lang w:val="en-US" w:eastAsia="sr-Latn-CS"/>
        </w:rPr>
        <w:t>Preporučuje se opštini Plav da, aktom o organizaciji i načinu rada lokalne uprave, utvrdi posebnu organizacionu jedinicu za unutrašnju reviziju, da aktom o unutrašnjoj organizaciji i sistematizaciji, sistematizuje radna mjesta u organizacionoj jedinici za unutrašnju reviziju, utvrdi broj izvršilaca, u skladu s članom 49 Zakona o upravljanju i unutrašnjim kontrolama u javnom sektoru i izvrši raspoređivanje i o tome obavijesti Ministarstvo finansija najkasnije do kraja 2020. godine.</w:t>
      </w:r>
    </w:p>
    <w:p w:rsidR="005815D7" w:rsidRPr="005815D7" w:rsidRDefault="005815D7" w:rsidP="005815D7">
      <w:pPr>
        <w:spacing w:before="0" w:after="0" w:line="240" w:lineRule="auto"/>
        <w:rPr>
          <w:rFonts w:eastAsia="Times New Roman" w:cs="Calibri"/>
          <w:szCs w:val="24"/>
          <w:lang w:val="en-US" w:eastAsia="sr-Latn-CS"/>
        </w:rPr>
      </w:pPr>
      <w:r w:rsidRPr="005815D7">
        <w:rPr>
          <w:rFonts w:eastAsia="Times New Roman" w:cs="Calibri"/>
          <w:szCs w:val="24"/>
          <w:lang w:val="en-US" w:eastAsia="sr-Latn-CS"/>
        </w:rPr>
        <w:t>Realizacija zaključka</w:t>
      </w:r>
      <w:r w:rsidRPr="005815D7">
        <w:rPr>
          <w:rFonts w:eastAsia="Times New Roman" w:cs="Calibri"/>
          <w:b/>
          <w:szCs w:val="24"/>
          <w:lang w:val="en-US" w:eastAsia="sr-Latn-CS"/>
        </w:rPr>
        <w:t>:</w:t>
      </w:r>
      <w:r w:rsidRPr="005815D7">
        <w:rPr>
          <w:rFonts w:eastAsia="Times New Roman" w:cs="Calibri"/>
          <w:szCs w:val="24"/>
          <w:lang w:val="en-US" w:eastAsia="sr-Latn-CS"/>
        </w:rPr>
        <w:t xml:space="preserve"> Opština Plav je djelimično realizovala zaključak na način što je izmijenila i dopunila Odluku o organizaciji i načinu rada lokalne uprave kojom je uspostavljena Služba za unutrašnju reviziju.</w:t>
      </w:r>
    </w:p>
    <w:p w:rsidR="005815D7" w:rsidRPr="005815D7" w:rsidRDefault="005815D7" w:rsidP="00632490">
      <w:pPr>
        <w:numPr>
          <w:ilvl w:val="0"/>
          <w:numId w:val="79"/>
        </w:numPr>
        <w:spacing w:before="0" w:after="0" w:line="240" w:lineRule="auto"/>
        <w:jc w:val="left"/>
        <w:rPr>
          <w:rFonts w:eastAsia="Times New Roman" w:cs="Calibri"/>
          <w:szCs w:val="24"/>
          <w:lang w:val="en-US" w:eastAsia="sr-Latn-CS"/>
        </w:rPr>
      </w:pPr>
      <w:r w:rsidRPr="005815D7">
        <w:rPr>
          <w:rFonts w:eastAsia="Times New Roman" w:cs="Calibri"/>
          <w:szCs w:val="24"/>
          <w:lang w:val="en-US" w:eastAsia="sr-Latn-CS"/>
        </w:rPr>
        <w:t xml:space="preserve">Preporučuje se opštini Budva da popuni radno mjesto rukovodioca Službe za unutrašnju reviziju i preduzme aktivnosti na donošenju akta o unutrašnjoj organizaciji i sistematizaciji i popunjavanju sistematizovanih radnih mjesta i o tome obavijesti Ministarstvo finansija najkasnije do kraja 2020. godine. </w:t>
      </w:r>
    </w:p>
    <w:p w:rsidR="005815D7" w:rsidRPr="005815D7" w:rsidRDefault="005815D7" w:rsidP="005815D7">
      <w:pPr>
        <w:spacing w:before="0" w:after="0" w:line="240" w:lineRule="auto"/>
        <w:rPr>
          <w:rFonts w:eastAsia="Times New Roman" w:cs="Calibri"/>
          <w:szCs w:val="24"/>
          <w:lang w:val="sr-Latn-RS" w:eastAsia="sr-Latn-CS"/>
        </w:rPr>
      </w:pPr>
      <w:r w:rsidRPr="005815D7">
        <w:rPr>
          <w:rFonts w:eastAsia="Times New Roman" w:cs="Calibri"/>
          <w:szCs w:val="24"/>
          <w:lang w:eastAsia="sr-Latn-CS"/>
        </w:rPr>
        <w:t xml:space="preserve">Realizacija zaključka: </w:t>
      </w:r>
      <w:r w:rsidRPr="005815D7">
        <w:rPr>
          <w:rFonts w:eastAsia="Times New Roman" w:cs="Calibri"/>
          <w:szCs w:val="24"/>
          <w:lang w:val="en-US" w:eastAsia="sr-Latn-CS"/>
        </w:rPr>
        <w:t>Opština Budva nije obavijestila Ministarstvo finansija i socijalnog staranja o realizaciji zaključka.</w:t>
      </w:r>
    </w:p>
    <w:p w:rsidR="005815D7" w:rsidRPr="005815D7" w:rsidRDefault="005815D7" w:rsidP="00632490">
      <w:pPr>
        <w:numPr>
          <w:ilvl w:val="0"/>
          <w:numId w:val="79"/>
        </w:numPr>
        <w:spacing w:before="0" w:after="0" w:line="240" w:lineRule="auto"/>
        <w:jc w:val="left"/>
        <w:rPr>
          <w:rFonts w:eastAsia="Times New Roman" w:cs="Calibri"/>
          <w:szCs w:val="24"/>
          <w:lang w:val="en-US" w:eastAsia="sr-Latn-CS"/>
        </w:rPr>
      </w:pPr>
      <w:r w:rsidRPr="005815D7">
        <w:rPr>
          <w:rFonts w:eastAsia="Times New Roman" w:cs="Calibri"/>
          <w:szCs w:val="24"/>
          <w:lang w:val="en-US" w:eastAsia="sr-Latn-CS"/>
        </w:rPr>
        <w:lastRenderedPageBreak/>
        <w:t xml:space="preserve">Preporučuje se opštinama Andrijevica, Petnjica, Gusinje i Tuzi da obezbijede vršenje funkcije unutrašnje revizije na jedan od načina propisanih Zakonom o upravljanju i unutrašnjim kontrolama u javnom sektoru, i to: organizovanjem posebne organizacione jedinice za unutrašnju reviziju u okviru subjekta ili obavljanjem poslova unutrašnje revizije od strane jedinice unutrašnje revizije drugog subjekta putem sporazuma i da o tome, najkasnije do kraja 2020. godine, obavijeste Ministarstvo finansija. </w:t>
      </w:r>
    </w:p>
    <w:p w:rsidR="005815D7" w:rsidRPr="005815D7" w:rsidRDefault="005815D7" w:rsidP="005815D7">
      <w:pPr>
        <w:spacing w:before="0" w:after="0" w:line="240" w:lineRule="auto"/>
        <w:rPr>
          <w:rFonts w:eastAsia="Times New Roman" w:cs="Calibri"/>
          <w:szCs w:val="24"/>
          <w:lang w:val="sr-Latn-RS" w:eastAsia="sr-Latn-CS"/>
        </w:rPr>
      </w:pPr>
      <w:r w:rsidRPr="005815D7">
        <w:rPr>
          <w:rFonts w:eastAsia="Times New Roman" w:cs="Calibri"/>
          <w:szCs w:val="24"/>
          <w:lang w:val="en-US" w:eastAsia="sr-Latn-CS"/>
        </w:rPr>
        <w:t>Realizacija zaključka</w:t>
      </w:r>
      <w:r w:rsidRPr="005815D7">
        <w:rPr>
          <w:rFonts w:eastAsia="Times New Roman" w:cs="Calibri"/>
          <w:b/>
          <w:szCs w:val="24"/>
          <w:lang w:val="en-US" w:eastAsia="sr-Latn-CS"/>
        </w:rPr>
        <w:t>:</w:t>
      </w:r>
      <w:r w:rsidRPr="005815D7">
        <w:rPr>
          <w:rFonts w:eastAsia="Times New Roman" w:cs="Calibri"/>
          <w:szCs w:val="24"/>
          <w:lang w:val="en-US" w:eastAsia="sr-Latn-CS"/>
        </w:rPr>
        <w:t xml:space="preserve"> Opština Andrijevica je </w:t>
      </w:r>
      <w:r w:rsidRPr="005815D7">
        <w:rPr>
          <w:rFonts w:eastAsia="Times New Roman" w:cs="Calibri"/>
          <w:szCs w:val="24"/>
          <w:lang w:val="sr-Latn-RS" w:eastAsia="sr-Latn-CS"/>
        </w:rPr>
        <w:t xml:space="preserve">obavijestila Ministarstvo finansija i socijalnog staranja da je </w:t>
      </w:r>
      <w:r w:rsidRPr="005815D7">
        <w:rPr>
          <w:rFonts w:eastAsia="Times New Roman" w:cs="Calibri"/>
          <w:szCs w:val="24"/>
          <w:lang w:val="en-US" w:eastAsia="sr-Latn-CS"/>
        </w:rPr>
        <w:t xml:space="preserve">realizovala zaključak i zaključila sporazum o povjeravanju poslova unutrašnje revizije sa opštinom Berane, dok opštine Petnjica, Gusinje i Tuzi nijesu </w:t>
      </w:r>
      <w:r w:rsidRPr="005815D7">
        <w:rPr>
          <w:rFonts w:eastAsia="Times New Roman" w:cs="Calibri"/>
          <w:szCs w:val="24"/>
          <w:lang w:val="sr-Latn-RS" w:eastAsia="sr-Latn-CS"/>
        </w:rPr>
        <w:t>obavijestile Ministarstvo finansija i socijalnog staranja o realizaciji zaključka.</w:t>
      </w:r>
    </w:p>
    <w:p w:rsidR="005815D7" w:rsidRPr="005815D7" w:rsidRDefault="005815D7" w:rsidP="00632490">
      <w:pPr>
        <w:numPr>
          <w:ilvl w:val="0"/>
          <w:numId w:val="79"/>
        </w:numPr>
        <w:spacing w:before="0" w:after="0" w:line="240" w:lineRule="auto"/>
        <w:jc w:val="left"/>
        <w:rPr>
          <w:rFonts w:eastAsia="Times New Roman" w:cs="Calibri"/>
          <w:szCs w:val="24"/>
          <w:lang w:val="en-US" w:eastAsia="sr-Latn-CS"/>
        </w:rPr>
      </w:pPr>
      <w:r w:rsidRPr="005815D7">
        <w:rPr>
          <w:rFonts w:eastAsia="Times New Roman" w:cs="Calibri"/>
          <w:szCs w:val="24"/>
          <w:lang w:val="en-US" w:eastAsia="sr-Latn-CS"/>
        </w:rPr>
        <w:t xml:space="preserve">Zadužuju se Ministarstvo pravde, Ministarstvo vanjskih poslova, Ministarstvo prosvjete, Ministarstvo ekonomije, Ministarstvo saobraćaja i pomorstva, </w:t>
      </w:r>
      <w:r w:rsidRPr="005815D7">
        <w:rPr>
          <w:rFonts w:eastAsia="Times New Roman" w:cs="Calibri"/>
          <w:szCs w:val="24"/>
          <w:lang w:val="sr-Latn-RS" w:eastAsia="sr-Latn-CS"/>
        </w:rPr>
        <w:t xml:space="preserve"> </w:t>
      </w:r>
      <w:r w:rsidRPr="005815D7">
        <w:rPr>
          <w:rFonts w:eastAsia="Times New Roman" w:cs="Calibri"/>
          <w:szCs w:val="24"/>
          <w:lang w:val="en-US" w:eastAsia="sr-Latn-CS"/>
        </w:rPr>
        <w:t>Ministarstvo rada i socijalnog staranja, Fond za zdravstveno osiguranje Crne Gore, Zavod za zapošljavanje Crne Gore, Ministarstvo javne uprave, Ministarstvo zdravlja, Univerzitet Crne Gore i Crveni Krst Crne Gore da preduzmu aktivnosti na popunjavanju radnih mjesta za unutrašnje revizore, koja nijesu popunjena u skladu sa Zakonom o upravljanju i unutrašnjim kontrolama u javnom sektoru i o tome, najkasnije do kraja 2020. godine, obavijeste Ministarstvo finansija.</w:t>
      </w:r>
    </w:p>
    <w:p w:rsidR="005815D7" w:rsidRPr="005815D7" w:rsidRDefault="005815D7" w:rsidP="005815D7">
      <w:pPr>
        <w:spacing w:before="0" w:after="0" w:line="240" w:lineRule="auto"/>
        <w:rPr>
          <w:rFonts w:eastAsia="Times New Roman" w:cs="Calibri"/>
          <w:szCs w:val="24"/>
          <w:lang w:val="sr-Latn-RS" w:eastAsia="sr-Latn-CS"/>
        </w:rPr>
      </w:pPr>
      <w:r w:rsidRPr="005815D7">
        <w:rPr>
          <w:rFonts w:eastAsia="Times New Roman" w:cs="Calibri"/>
          <w:szCs w:val="24"/>
          <w:lang w:val="en-US" w:eastAsia="sr-Latn-CS"/>
        </w:rPr>
        <w:t>Realizacija zaključka:</w:t>
      </w:r>
      <w:r w:rsidRPr="005815D7">
        <w:rPr>
          <w:rFonts w:eastAsia="Times New Roman" w:cs="Calibri"/>
          <w:b/>
          <w:szCs w:val="24"/>
          <w:lang w:val="en-US" w:eastAsia="sr-Latn-CS"/>
        </w:rPr>
        <w:t xml:space="preserve"> </w:t>
      </w:r>
      <w:r w:rsidRPr="005815D7">
        <w:rPr>
          <w:rFonts w:eastAsia="Times New Roman" w:cs="Calibri"/>
          <w:szCs w:val="24"/>
          <w:lang w:val="en-US" w:eastAsia="sr-Latn-CS"/>
        </w:rPr>
        <w:t xml:space="preserve">Ministarstvo rada i socijalnog staranja i Fond za zdravstveno osiguranje Crne Gore su realizovali zaključak. Ministarstvo pravde, Ministarstvo vanjskih poslova, Ministarstvo prosvjete, Ministarstvo ekonomije, Ministarstvo saobraćaja i pomorstva, Zavod za zapošljavanje Crne Gore, Ministarstvo javne uprave, Ministarstvo zdravlja, Univerzitet Crne Gore i Crveni Krst Crne Gore nijesu </w:t>
      </w:r>
      <w:r w:rsidRPr="005815D7">
        <w:rPr>
          <w:rFonts w:eastAsia="Times New Roman" w:cs="Calibri"/>
          <w:szCs w:val="24"/>
          <w:lang w:val="sr-Latn-RS" w:eastAsia="sr-Latn-CS"/>
        </w:rPr>
        <w:t>obavijestili Ministarstvo finansija i socijalnog staranja o realizaciji zaključka.</w:t>
      </w:r>
    </w:p>
    <w:p w:rsidR="005815D7" w:rsidRPr="005815D7" w:rsidRDefault="005815D7" w:rsidP="00632490">
      <w:pPr>
        <w:numPr>
          <w:ilvl w:val="0"/>
          <w:numId w:val="79"/>
        </w:numPr>
        <w:spacing w:before="0" w:after="0" w:line="240" w:lineRule="auto"/>
        <w:jc w:val="left"/>
        <w:rPr>
          <w:rFonts w:eastAsia="Times New Roman" w:cs="Calibri"/>
          <w:szCs w:val="24"/>
          <w:lang w:val="en-US" w:eastAsia="sr-Latn-CS"/>
        </w:rPr>
      </w:pPr>
      <w:r w:rsidRPr="005815D7">
        <w:rPr>
          <w:rFonts w:eastAsia="Times New Roman" w:cs="Calibri"/>
          <w:szCs w:val="24"/>
          <w:lang w:val="en-US" w:eastAsia="sr-Latn-CS"/>
        </w:rPr>
        <w:t>Preporučuje se Prijestonici Cetinje i opštinama Bar, Bijelo Polje, Herceg Novi, Kotor, Nikšić, Pljevlja i Tivat da preduzmu aktivnosti na popunjavanju radnih mjesta za unutrašnje revizore, koja nijesu popunjena u skladu sa Zakonom o upravljanju i unutrašnjim kontrolama u javnom sektoru i o tome, najkasnije do kraja 2020. godine, obavijeste Ministarstvo finansija.</w:t>
      </w:r>
    </w:p>
    <w:p w:rsidR="005815D7" w:rsidRPr="005815D7" w:rsidRDefault="005815D7" w:rsidP="005815D7">
      <w:pPr>
        <w:pStyle w:val="PlainText"/>
        <w:jc w:val="both"/>
        <w:rPr>
          <w:rFonts w:asciiTheme="minorHAnsi" w:hAnsiTheme="minorHAnsi" w:cs="Arial"/>
          <w:sz w:val="24"/>
          <w:szCs w:val="24"/>
        </w:rPr>
      </w:pPr>
      <w:r w:rsidRPr="005815D7">
        <w:rPr>
          <w:rFonts w:asciiTheme="minorHAnsi" w:hAnsiTheme="minorHAnsi" w:cs="Arial"/>
          <w:sz w:val="24"/>
          <w:szCs w:val="24"/>
        </w:rPr>
        <w:t>Realizacija zaključka: Opštine Kotor i Nikšić su realizovale zaključak.</w:t>
      </w:r>
    </w:p>
    <w:p w:rsidR="005815D7" w:rsidRPr="005815D7" w:rsidRDefault="005815D7" w:rsidP="005815D7">
      <w:pPr>
        <w:pStyle w:val="PlainText"/>
        <w:jc w:val="both"/>
        <w:rPr>
          <w:rFonts w:asciiTheme="minorHAnsi" w:hAnsiTheme="minorHAnsi" w:cs="Arial"/>
          <w:sz w:val="24"/>
          <w:szCs w:val="24"/>
        </w:rPr>
      </w:pPr>
      <w:r w:rsidRPr="005815D7">
        <w:rPr>
          <w:rFonts w:asciiTheme="minorHAnsi" w:hAnsiTheme="minorHAnsi" w:cs="Arial"/>
          <w:sz w:val="24"/>
          <w:szCs w:val="24"/>
        </w:rPr>
        <w:t xml:space="preserve">Opština Bar je djemično realizovala zaključak i popunila radno mjesto za mlađeg unutrašnjeg revizora. </w:t>
      </w:r>
    </w:p>
    <w:p w:rsidR="005815D7" w:rsidRPr="005815D7" w:rsidRDefault="005815D7" w:rsidP="005815D7">
      <w:pPr>
        <w:pStyle w:val="PlainText"/>
        <w:jc w:val="both"/>
        <w:rPr>
          <w:rFonts w:asciiTheme="minorHAnsi" w:hAnsiTheme="minorHAnsi" w:cs="Arial"/>
          <w:sz w:val="24"/>
          <w:szCs w:val="24"/>
        </w:rPr>
      </w:pPr>
      <w:r w:rsidRPr="005815D7">
        <w:rPr>
          <w:rFonts w:asciiTheme="minorHAnsi" w:hAnsiTheme="minorHAnsi" w:cs="Arial"/>
          <w:sz w:val="24"/>
          <w:szCs w:val="24"/>
        </w:rPr>
        <w:t>Opština Bijelo Polje je preduzela aktivnosti na popunjavanju radnih mjesta za unutrašnje revizore na način što je tokom 2020. godine raspisala oglas za popunu upražnjenog radnog mjesta – mlađi unutrašnji revizor. Na raspisani oglas, niko od prijavljenih kandidata nije ispunjavao tražene uslove predviđene oglasom, te je iz tog razloga to radno mjesto i dalje nepopunjeno.</w:t>
      </w:r>
    </w:p>
    <w:p w:rsidR="00363BF3" w:rsidRDefault="005815D7" w:rsidP="005815D7">
      <w:pPr>
        <w:pStyle w:val="PlainText"/>
        <w:jc w:val="both"/>
        <w:rPr>
          <w:rFonts w:asciiTheme="minorHAnsi" w:hAnsiTheme="minorHAnsi" w:cs="Arial"/>
          <w:sz w:val="24"/>
          <w:szCs w:val="24"/>
        </w:rPr>
      </w:pPr>
      <w:r w:rsidRPr="005815D7">
        <w:rPr>
          <w:rFonts w:asciiTheme="minorHAnsi" w:hAnsiTheme="minorHAnsi" w:cs="Arial"/>
          <w:sz w:val="24"/>
          <w:szCs w:val="24"/>
        </w:rPr>
        <w:t>Prijestonica Cetinje i opštine Herceg Novi, Pljevlja i Tivat nijesu obavijestile Ministarstvo finansija i socijalnog staranja o realizaciji zaključka.</w:t>
      </w:r>
    </w:p>
    <w:p w:rsidR="00D75593" w:rsidRDefault="00D75593" w:rsidP="00D75593">
      <w:pPr>
        <w:pStyle w:val="PlainText"/>
        <w:spacing w:before="240"/>
        <w:ind w:firstLine="360"/>
        <w:jc w:val="both"/>
        <w:rPr>
          <w:rFonts w:ascii="Calibri" w:hAnsi="Calibri"/>
          <w:b/>
          <w:sz w:val="24"/>
          <w:szCs w:val="24"/>
        </w:rPr>
      </w:pPr>
      <w:r w:rsidRPr="00D75593">
        <w:rPr>
          <w:rFonts w:ascii="Calibri" w:hAnsi="Calibri"/>
          <w:b/>
          <w:sz w:val="24"/>
          <w:szCs w:val="24"/>
        </w:rPr>
        <w:t>Stanje u upravnim oblastima i izvjestaj o radu organizacionih jedinica</w:t>
      </w:r>
    </w:p>
    <w:p w:rsidR="00D75593" w:rsidRPr="00D75593" w:rsidRDefault="00D75593" w:rsidP="00232B55">
      <w:pPr>
        <w:autoSpaceDE w:val="0"/>
        <w:autoSpaceDN w:val="0"/>
        <w:adjustRightInd w:val="0"/>
        <w:spacing w:before="0" w:after="0" w:line="240" w:lineRule="auto"/>
        <w:ind w:firstLine="360"/>
        <w:contextualSpacing/>
        <w:jc w:val="left"/>
        <w:rPr>
          <w:rFonts w:ascii="Calibri" w:eastAsia="Calibri" w:hAnsi="Calibri" w:cs="Calibri"/>
          <w:color w:val="000000"/>
          <w:szCs w:val="24"/>
          <w:lang w:val="en-US"/>
        </w:rPr>
      </w:pPr>
      <w:r w:rsidRPr="00D75593">
        <w:rPr>
          <w:rFonts w:ascii="Calibri" w:eastAsia="Calibri" w:hAnsi="Calibri" w:cs="Calibri"/>
          <w:color w:val="000000"/>
          <w:szCs w:val="24"/>
          <w:lang w:val="en-US"/>
        </w:rPr>
        <w:t xml:space="preserve">Predstavnici </w:t>
      </w:r>
      <w:r w:rsidRPr="00D75593">
        <w:rPr>
          <w:rFonts w:ascii="Calibri" w:eastAsia="Calibri" w:hAnsi="Calibri" w:cs="Calibri"/>
          <w:color w:val="000000"/>
          <w:szCs w:val="24"/>
          <w:lang w:val="pl-PL"/>
        </w:rPr>
        <w:t xml:space="preserve">Direktorata za centralnu harmonizaciju </w:t>
      </w:r>
      <w:r w:rsidRPr="00D75593">
        <w:rPr>
          <w:rFonts w:ascii="Calibri" w:eastAsia="Calibri" w:hAnsi="Calibri" w:cs="Calibri"/>
          <w:color w:val="000000"/>
          <w:szCs w:val="24"/>
          <w:lang w:val="en-US"/>
        </w:rPr>
        <w:t xml:space="preserve">su tokom 2020. godine bili intezivno bili uključeni u aktivnosti pregovaračkih poglavlja: 32 – Finansijska kontrola, </w:t>
      </w:r>
      <w:r w:rsidRPr="00D75593">
        <w:rPr>
          <w:rFonts w:ascii="Calibri" w:eastAsia="Calibri" w:hAnsi="Calibri" w:cs="Calibri"/>
          <w:color w:val="000000"/>
          <w:szCs w:val="24"/>
          <w:lang w:val="pl-PL"/>
        </w:rPr>
        <w:t>6 – Privredno pravo i 33 – Finansijske i budžetske odredbe.</w:t>
      </w:r>
    </w:p>
    <w:p w:rsidR="00D75593" w:rsidRPr="00D75593" w:rsidRDefault="00D75593" w:rsidP="00232B55">
      <w:pPr>
        <w:autoSpaceDE w:val="0"/>
        <w:autoSpaceDN w:val="0"/>
        <w:adjustRightInd w:val="0"/>
        <w:spacing w:before="0" w:line="240" w:lineRule="auto"/>
        <w:ind w:firstLine="360"/>
        <w:contextualSpacing/>
        <w:jc w:val="left"/>
        <w:rPr>
          <w:rFonts w:ascii="Calibri" w:eastAsia="Calibri" w:hAnsi="Calibri" w:cs="Calibri"/>
          <w:color w:val="000000"/>
          <w:szCs w:val="24"/>
          <w:lang w:val="en-US"/>
        </w:rPr>
      </w:pPr>
      <w:r w:rsidRPr="00D75593">
        <w:rPr>
          <w:rFonts w:ascii="Calibri" w:eastAsia="Calibri" w:hAnsi="Calibri" w:cs="Calibri"/>
          <w:color w:val="000000"/>
          <w:szCs w:val="24"/>
          <w:lang w:val="hr-HR"/>
        </w:rPr>
        <w:t>Priprema polugodišnjih i godišnjih izvještaja za Strategiju reforme državne uprave 2016-2020 i Program refomi javnih finansija, priprema izvještaja za Pododbor za ekonomska i finansijska pitanja i statistiku EK.</w:t>
      </w:r>
    </w:p>
    <w:p w:rsidR="00232B55" w:rsidRPr="00232B55" w:rsidRDefault="00232B55" w:rsidP="00232B55">
      <w:pPr>
        <w:shd w:val="clear" w:color="auto" w:fill="D9D9D9"/>
        <w:tabs>
          <w:tab w:val="left" w:pos="142"/>
          <w:tab w:val="left" w:pos="426"/>
        </w:tabs>
        <w:spacing w:after="160" w:line="276" w:lineRule="auto"/>
        <w:ind w:left="426"/>
        <w:contextualSpacing/>
        <w:jc w:val="left"/>
        <w:rPr>
          <w:rFonts w:ascii="Calibri" w:eastAsia="AgfaRotisSemisans-Light" w:hAnsi="Calibri" w:cs="Calibri"/>
          <w:b/>
          <w:bCs/>
          <w:color w:val="000000"/>
          <w:szCs w:val="24"/>
          <w:lang w:val="en-US"/>
        </w:rPr>
      </w:pPr>
      <w:r w:rsidRPr="00232B55">
        <w:rPr>
          <w:rFonts w:ascii="Calibri" w:eastAsia="AgfaRotisSemisans-Light" w:hAnsi="Calibri" w:cs="Calibri"/>
          <w:b/>
          <w:bCs/>
          <w:color w:val="000000"/>
          <w:szCs w:val="24"/>
          <w:lang w:val="en-US"/>
        </w:rPr>
        <w:t xml:space="preserve">Aktivnosti i rezultati u oblasti upravljanja i unutrašnjih kontrola </w:t>
      </w:r>
    </w:p>
    <w:p w:rsidR="00232B55" w:rsidRPr="00232B55" w:rsidRDefault="00232B55" w:rsidP="00232B55">
      <w:pPr>
        <w:autoSpaceDE w:val="0"/>
        <w:autoSpaceDN w:val="0"/>
        <w:adjustRightInd w:val="0"/>
        <w:spacing w:before="0" w:after="0" w:line="240" w:lineRule="auto"/>
        <w:ind w:firstLine="426"/>
        <w:rPr>
          <w:rFonts w:eastAsia="AgfaRotisSemisans-Light" w:cs="Calibri"/>
          <w:color w:val="000000"/>
          <w:szCs w:val="24"/>
          <w:lang w:val="en-US"/>
        </w:rPr>
      </w:pPr>
      <w:r w:rsidRPr="00232B55">
        <w:rPr>
          <w:rFonts w:eastAsia="AgfaRotisSemisans-Light" w:cs="Calibri"/>
          <w:bCs/>
          <w:color w:val="000000"/>
          <w:szCs w:val="24"/>
          <w:lang w:val="en-US"/>
        </w:rPr>
        <w:t>U oblasti uspostavljanja i razvoja unutrašnje revizije</w:t>
      </w:r>
      <w:r w:rsidRPr="00232B55">
        <w:rPr>
          <w:rFonts w:eastAsia="AgfaRotisSemisans-Light" w:cs="Calibri"/>
          <w:color w:val="000000"/>
          <w:szCs w:val="24"/>
          <w:lang w:val="en-US"/>
        </w:rPr>
        <w:t>, aktivnosti su bile usmjerene na dalje unaprijeđenje implementacije regulatornog okvira kroz kontinuiranu obuku i svakodnevnu komunikaciju sa unutra</w:t>
      </w:r>
      <w:r w:rsidRPr="00232B55">
        <w:rPr>
          <w:rFonts w:eastAsia="AgfaRotisSemisans-Light" w:cs="Calibri"/>
          <w:color w:val="000000"/>
          <w:szCs w:val="24"/>
          <w:lang w:val="sr-Latn-RS"/>
        </w:rPr>
        <w:t>šnjim revizorima</w:t>
      </w:r>
      <w:r w:rsidRPr="00232B55">
        <w:rPr>
          <w:rFonts w:eastAsia="AgfaRotisSemisans-Light" w:cs="Calibri"/>
          <w:color w:val="000000"/>
          <w:szCs w:val="24"/>
          <w:lang w:val="en-US"/>
        </w:rPr>
        <w:t xml:space="preserve">, uspostavljanju jedinica za unutrašnju reviziju i angažovanju </w:t>
      </w:r>
      <w:r w:rsidRPr="00232B55">
        <w:rPr>
          <w:rFonts w:eastAsia="AgfaRotisSemisans-Light" w:cs="Calibri"/>
          <w:color w:val="000000"/>
          <w:szCs w:val="24"/>
          <w:lang w:val="en-US"/>
        </w:rPr>
        <w:lastRenderedPageBreak/>
        <w:t>unutrašnjih revizora, organizovanje i održavanje kontinuirane obuke i obuke i sertifikacije unutrašnjih revizora u javnom sektoru.</w:t>
      </w:r>
    </w:p>
    <w:p w:rsidR="00232B55" w:rsidRPr="00232B55" w:rsidRDefault="00232B55" w:rsidP="00232B55">
      <w:pPr>
        <w:autoSpaceDE w:val="0"/>
        <w:autoSpaceDN w:val="0"/>
        <w:adjustRightInd w:val="0"/>
        <w:spacing w:before="0" w:after="0" w:line="240" w:lineRule="auto"/>
        <w:rPr>
          <w:rFonts w:eastAsia="AgfaRotisSemisans-Light" w:cs="Calibri"/>
          <w:color w:val="000000"/>
          <w:szCs w:val="24"/>
          <w:lang w:val="en-US"/>
        </w:rPr>
      </w:pPr>
      <w:r w:rsidRPr="00232B55">
        <w:rPr>
          <w:rFonts w:eastAsia="AgfaRotisSemisans-Light" w:cs="Calibri"/>
          <w:color w:val="000000"/>
          <w:szCs w:val="24"/>
          <w:lang w:val="en-US"/>
        </w:rPr>
        <w:t>Tokom 2020. godine spovedene su sl</w:t>
      </w:r>
      <w:r>
        <w:rPr>
          <w:rFonts w:eastAsia="AgfaRotisSemisans-Light" w:cs="Calibri"/>
          <w:color w:val="000000"/>
          <w:szCs w:val="24"/>
          <w:lang w:val="en-US"/>
        </w:rPr>
        <w:t>j</w:t>
      </w:r>
      <w:r w:rsidRPr="00232B55">
        <w:rPr>
          <w:rFonts w:eastAsia="AgfaRotisSemisans-Light" w:cs="Calibri"/>
          <w:color w:val="000000"/>
          <w:szCs w:val="24"/>
          <w:lang w:val="en-US"/>
        </w:rPr>
        <w:t xml:space="preserve">edeće aktivnosti: </w:t>
      </w:r>
    </w:p>
    <w:p w:rsidR="00232B55" w:rsidRPr="00232B55" w:rsidRDefault="00232B55" w:rsidP="00232B55">
      <w:pPr>
        <w:autoSpaceDE w:val="0"/>
        <w:autoSpaceDN w:val="0"/>
        <w:adjustRightInd w:val="0"/>
        <w:spacing w:before="0" w:after="0" w:line="240" w:lineRule="auto"/>
        <w:ind w:firstLine="360"/>
        <w:contextualSpacing/>
        <w:rPr>
          <w:rFonts w:eastAsia="Calibri" w:cs="Calibri"/>
          <w:color w:val="000000"/>
          <w:szCs w:val="24"/>
          <w:lang w:val="hr-HR"/>
        </w:rPr>
      </w:pPr>
      <w:r>
        <w:rPr>
          <w:rFonts w:eastAsia="Calibri" w:cs="Calibri"/>
          <w:color w:val="000000"/>
          <w:szCs w:val="24"/>
          <w:lang w:val="hr-HR"/>
        </w:rPr>
        <w:t xml:space="preserve">- </w:t>
      </w:r>
      <w:r w:rsidRPr="00232B55">
        <w:rPr>
          <w:rFonts w:eastAsia="Calibri" w:cs="Calibri"/>
          <w:color w:val="000000"/>
          <w:szCs w:val="24"/>
          <w:lang w:val="hr-HR"/>
        </w:rPr>
        <w:t>U okviru programa kontinuiranog profesionalnog usavršavanja ovlašćenih unutrašnjih revizora u javnom sektoru, ukupno je održana 21 obuka</w:t>
      </w:r>
      <w:r w:rsidRPr="00232B55">
        <w:rPr>
          <w:rFonts w:eastAsia="Calibri" w:cs="Calibri"/>
          <w:szCs w:val="24"/>
          <w:vertAlign w:val="superscript"/>
          <w:lang w:val="hr-HR"/>
        </w:rPr>
        <w:footnoteReference w:id="9"/>
      </w:r>
      <w:r w:rsidRPr="00232B55">
        <w:rPr>
          <w:rFonts w:eastAsia="Calibri" w:cs="Calibri"/>
          <w:color w:val="000000"/>
          <w:szCs w:val="24"/>
          <w:lang w:val="hr-HR"/>
        </w:rPr>
        <w:t xml:space="preserve"> za unutrašnje revizore raspoređene u jedinicama za unutrašnju reviziju na centralnom i lokalnom nivou. Teme su bile sledeće:  “Nova metodologija rada unutrašnje revizije u javnom sektoru”, “Ažuriranje planova unutrašnje revizije izazvano pandemijom COVID virusa i praktična uputstva”, “Uvod u unutrašnju reviziju i primjena metodologije za rad unutrašnjih revizora”, “Strateško planiranje unutrašnje revizije i izrada strateških planova u skladu sa novom metodologijom rada unutrašnjih revizora”, “Izrada godišnjeg plana unutrašnje revizije i praktična primjena grupe Standarda 2100” i “Upravljanje rizicima i uloga unutrašnjeg revizora”.</w:t>
      </w:r>
    </w:p>
    <w:p w:rsidR="00232B55" w:rsidRPr="00232B55" w:rsidRDefault="00232B55" w:rsidP="00232B55">
      <w:pPr>
        <w:autoSpaceDE w:val="0"/>
        <w:autoSpaceDN w:val="0"/>
        <w:adjustRightInd w:val="0"/>
        <w:spacing w:before="0" w:after="0" w:line="240" w:lineRule="auto"/>
        <w:ind w:firstLine="360"/>
        <w:contextualSpacing/>
        <w:rPr>
          <w:rFonts w:eastAsia="Calibri" w:cs="Calibri"/>
          <w:color w:val="000000"/>
          <w:szCs w:val="24"/>
          <w:lang w:val="hr-HR"/>
        </w:rPr>
      </w:pPr>
      <w:r>
        <w:rPr>
          <w:rFonts w:eastAsia="Calibri" w:cs="Calibri"/>
          <w:color w:val="000000"/>
          <w:szCs w:val="24"/>
          <w:lang w:val="hr-HR"/>
        </w:rPr>
        <w:t xml:space="preserve">- </w:t>
      </w:r>
      <w:r w:rsidRPr="00232B55">
        <w:rPr>
          <w:rFonts w:eastAsia="Calibri" w:cs="Calibri"/>
          <w:color w:val="000000"/>
          <w:szCs w:val="24"/>
          <w:lang w:val="hr-HR"/>
        </w:rPr>
        <w:t xml:space="preserve">U okviru projekta “Unapređenje sistema budžetiranja, višegodišnjeg okvira budžeta i sistema unutrašnje finansijske kontrole u javnom sektoru” Ministarstvo finansija i socijalnog staranja je u saradnji sa ekspertima na projektu nastavilo obavljanje pilot revizije upravljanja u četiri pilot institucije u kojima je uključeno 20 unutrašnjih revizora sa centralnog i lokalnog nivoa. </w:t>
      </w:r>
    </w:p>
    <w:p w:rsidR="00232B55" w:rsidRPr="00232B55" w:rsidRDefault="00232B55" w:rsidP="00232B55">
      <w:pPr>
        <w:autoSpaceDE w:val="0"/>
        <w:autoSpaceDN w:val="0"/>
        <w:adjustRightInd w:val="0"/>
        <w:spacing w:before="0" w:after="0" w:line="240" w:lineRule="auto"/>
        <w:ind w:firstLine="360"/>
        <w:contextualSpacing/>
        <w:rPr>
          <w:rFonts w:eastAsia="Calibri" w:cs="Calibri"/>
          <w:color w:val="000000"/>
          <w:szCs w:val="24"/>
          <w:lang w:val="hr-HR"/>
        </w:rPr>
      </w:pPr>
      <w:r>
        <w:rPr>
          <w:rFonts w:eastAsia="Calibri" w:cs="Calibri"/>
          <w:color w:val="000000"/>
          <w:szCs w:val="24"/>
          <w:lang w:val="hr-HR"/>
        </w:rPr>
        <w:t xml:space="preserve">- </w:t>
      </w:r>
      <w:r w:rsidRPr="00232B55">
        <w:rPr>
          <w:rFonts w:eastAsia="Calibri" w:cs="Calibri"/>
          <w:color w:val="000000"/>
          <w:szCs w:val="24"/>
          <w:lang w:val="hr-HR"/>
        </w:rPr>
        <w:t xml:space="preserve">U okviru projekta “Unapređenje sistema budžetiranja, višegodišnjeg okvira budžeta i sistema unutrašnje finansijske kontrole u javnom sektoru” u julu i decembru 2020. godine održane su dvije online radionice za unutrašnje revizore na temu “Obavljanje periodične samoocjene”. </w:t>
      </w:r>
    </w:p>
    <w:p w:rsidR="00232B55" w:rsidRPr="00232B55" w:rsidRDefault="00232B55" w:rsidP="00232B55">
      <w:pPr>
        <w:pStyle w:val="PlainText"/>
        <w:ind w:firstLine="360"/>
        <w:jc w:val="both"/>
        <w:rPr>
          <w:rFonts w:asciiTheme="minorHAnsi" w:hAnsiTheme="minorHAnsi"/>
          <w:sz w:val="24"/>
          <w:szCs w:val="24"/>
        </w:rPr>
      </w:pPr>
      <w:r>
        <w:rPr>
          <w:rFonts w:asciiTheme="minorHAnsi" w:hAnsiTheme="minorHAnsi"/>
          <w:sz w:val="24"/>
          <w:szCs w:val="24"/>
        </w:rPr>
        <w:t xml:space="preserve">- </w:t>
      </w:r>
      <w:r w:rsidRPr="00232B55">
        <w:rPr>
          <w:rFonts w:asciiTheme="minorHAnsi" w:hAnsiTheme="minorHAnsi"/>
          <w:sz w:val="24"/>
          <w:szCs w:val="24"/>
        </w:rPr>
        <w:t xml:space="preserve">U skladu sa Pravilnikom o programu obuke i načinu polaganja ispita za sticanje sertifikata unutrašnjeg revizora u javnom sektoru ("Službeni list Crne Gore", br. 071/19 od 25.12.2019) u februaru 2020. godine započeo je Program obuke za unutrašnjeg revizora u javnom sektoru za 25 kandidata. I pored problema izazvanih COVID virusom, do kraja 2020. godine održana su predavanja iz sva četiri predmeta „Osnovi nacionalnog zakonodavstva”, “Osnovi unutrašnje revizije”, “Upravljanje i unutrašnja kontrola”, kao i “Finansijsko izvještavanje i računovodstvo u javnom sektoru”. DO kraja 2020. godine održana je teorijska provjera znanja iz tri predmeta dok je zbog epidemioloških mjera teorijska provjera znanja iz predmeta “Finansijsko izvještavanje i računovodstvo” odložena za kraj januara 2021. godine. </w:t>
      </w:r>
    </w:p>
    <w:p w:rsidR="00D75593" w:rsidRDefault="00232B55" w:rsidP="00232B55">
      <w:pPr>
        <w:pStyle w:val="PlainText"/>
        <w:ind w:firstLine="360"/>
        <w:jc w:val="both"/>
        <w:rPr>
          <w:rFonts w:asciiTheme="minorHAnsi" w:hAnsiTheme="minorHAnsi"/>
          <w:sz w:val="24"/>
          <w:szCs w:val="24"/>
        </w:rPr>
      </w:pPr>
      <w:r>
        <w:rPr>
          <w:rFonts w:asciiTheme="minorHAnsi" w:hAnsiTheme="minorHAnsi"/>
          <w:sz w:val="24"/>
          <w:szCs w:val="24"/>
        </w:rPr>
        <w:t xml:space="preserve">- </w:t>
      </w:r>
      <w:r w:rsidRPr="00232B55">
        <w:rPr>
          <w:rFonts w:asciiTheme="minorHAnsi" w:hAnsiTheme="minorHAnsi"/>
          <w:sz w:val="24"/>
          <w:szCs w:val="24"/>
        </w:rPr>
        <w:t>Sagledavanje kvaliteta rada unutrašnje revizije tokom 2020. godine nije sprovedeno neposrednom provjerom zbog situacije izazvane COVID virusom, već je Direktorat za centralnu harmonizaciju Ministarstva finansija početkom 2021. godine tražio od jedinica za unutrašnju reviziju na centralnom i lokalnom nivou da dostave konačne revizorske izvještaje o obavljenim revizijama sa propratnom revizorskom dokumentacijom.</w:t>
      </w:r>
      <w:r>
        <w:rPr>
          <w:rFonts w:asciiTheme="minorHAnsi" w:hAnsiTheme="minorHAnsi"/>
          <w:sz w:val="24"/>
          <w:szCs w:val="24"/>
        </w:rPr>
        <w:t xml:space="preserve"> </w:t>
      </w:r>
      <w:r w:rsidRPr="00232B55">
        <w:rPr>
          <w:rFonts w:asciiTheme="minorHAnsi" w:hAnsiTheme="minorHAnsi"/>
          <w:sz w:val="24"/>
          <w:szCs w:val="24"/>
        </w:rPr>
        <w:t>Pregledom konačnih revizorskih izvještaja i revizorske dokumentacije izvršiće se analiza i ocjena stepena razumijevanja i nivoa primjene nove metodologije rada unutrašnjih revizora od strane unutrašnjih revizora.</w:t>
      </w:r>
    </w:p>
    <w:p w:rsidR="00154DBE" w:rsidRDefault="00154DBE" w:rsidP="00154DBE">
      <w:pPr>
        <w:pStyle w:val="PlainText"/>
        <w:jc w:val="both"/>
        <w:rPr>
          <w:rFonts w:asciiTheme="minorHAnsi" w:hAnsiTheme="minorHAnsi"/>
          <w:sz w:val="24"/>
          <w:szCs w:val="24"/>
        </w:rPr>
      </w:pPr>
    </w:p>
    <w:p w:rsidR="00154DBE" w:rsidRDefault="00154DBE" w:rsidP="00154DBE">
      <w:pPr>
        <w:pStyle w:val="PlainText"/>
        <w:ind w:firstLine="360"/>
        <w:jc w:val="both"/>
        <w:rPr>
          <w:rFonts w:asciiTheme="minorHAnsi" w:hAnsiTheme="minorHAnsi"/>
          <w:b/>
          <w:sz w:val="24"/>
          <w:szCs w:val="24"/>
          <w:u w:val="single"/>
        </w:rPr>
      </w:pPr>
      <w:r w:rsidRPr="00154DBE">
        <w:rPr>
          <w:rFonts w:asciiTheme="minorHAnsi" w:hAnsiTheme="minorHAnsi"/>
          <w:b/>
          <w:sz w:val="24"/>
          <w:szCs w:val="24"/>
          <w:u w:val="single"/>
        </w:rPr>
        <w:t>Direkcija za koordinaciju, izvještavanje i državnu pomoć</w:t>
      </w:r>
    </w:p>
    <w:p w:rsidR="00154DBE" w:rsidRPr="00154DBE" w:rsidRDefault="00154DBE" w:rsidP="00154DBE">
      <w:pPr>
        <w:spacing w:before="0" w:after="0" w:line="240" w:lineRule="auto"/>
        <w:rPr>
          <w:rFonts w:eastAsia="Calibri" w:cs="Calibri"/>
          <w:szCs w:val="24"/>
          <w:lang w:val="en-US"/>
        </w:rPr>
      </w:pPr>
      <w:r w:rsidRPr="00154DBE">
        <w:rPr>
          <w:rFonts w:eastAsia="Calibri" w:cs="Calibri"/>
          <w:szCs w:val="24"/>
          <w:lang w:val="en-US"/>
        </w:rPr>
        <w:t>U izvještajnom periodu od septembra do decembra 2020. godine spovedene su sledeće aktivnosti:</w:t>
      </w:r>
    </w:p>
    <w:p w:rsidR="00154DBE" w:rsidRPr="00154DBE" w:rsidRDefault="00154DBE" w:rsidP="00154DBE">
      <w:pPr>
        <w:spacing w:before="0" w:after="0" w:line="240" w:lineRule="auto"/>
        <w:ind w:firstLine="360"/>
        <w:contextualSpacing/>
        <w:rPr>
          <w:rFonts w:eastAsia="AgfaRotisSemisans-Light" w:cs="Calibri"/>
          <w:color w:val="000000"/>
          <w:szCs w:val="24"/>
          <w:lang w:val="en-US"/>
        </w:rPr>
      </w:pPr>
      <w:r>
        <w:rPr>
          <w:rFonts w:eastAsia="AgfaRotisSemisans-Light" w:cs="Calibri"/>
          <w:color w:val="000000"/>
          <w:szCs w:val="24"/>
          <w:lang w:val="en-US"/>
        </w:rPr>
        <w:t xml:space="preserve">- </w:t>
      </w:r>
      <w:r w:rsidRPr="00154DBE">
        <w:rPr>
          <w:rFonts w:eastAsia="AgfaRotisSemisans-Light" w:cs="Calibri"/>
          <w:color w:val="000000"/>
          <w:szCs w:val="24"/>
          <w:lang w:val="en-US"/>
        </w:rPr>
        <w:t>Učešće u online obukama za unapređenje i implementaciju mjera za suzbijanje sive ekonomije koja je jedna od ključnih prioritenih reformskih mjera;</w:t>
      </w:r>
    </w:p>
    <w:p w:rsidR="00154DBE" w:rsidRPr="00154DBE" w:rsidRDefault="00154DBE" w:rsidP="00154DBE">
      <w:pPr>
        <w:spacing w:before="0" w:after="0" w:line="240" w:lineRule="auto"/>
        <w:ind w:firstLine="360"/>
        <w:contextualSpacing/>
        <w:rPr>
          <w:rFonts w:eastAsia="AgfaRotisSemisans-Light" w:cs="Calibri"/>
          <w:color w:val="000000"/>
          <w:szCs w:val="24"/>
          <w:lang w:val="en-US"/>
        </w:rPr>
      </w:pPr>
      <w:r>
        <w:rPr>
          <w:rFonts w:eastAsia="AgfaRotisSemisans-Light" w:cs="Calibri"/>
          <w:color w:val="000000"/>
          <w:szCs w:val="24"/>
          <w:lang w:val="en-US"/>
        </w:rPr>
        <w:t xml:space="preserve">- </w:t>
      </w:r>
      <w:r w:rsidRPr="00154DBE">
        <w:rPr>
          <w:rFonts w:eastAsia="AgfaRotisSemisans-Light" w:cs="Calibri"/>
          <w:color w:val="000000"/>
          <w:szCs w:val="24"/>
          <w:lang w:val="en-US"/>
        </w:rPr>
        <w:t>Formirana je  međuresorna radna grupa, koja uključuje predstavnike sljedećih institucija: Ministarstvo finansija, Ministarstvo ekonomije, Ministarstvo unutrašnjih poslova, Ministarstvo poljoprivrede i ruralnog razvoja, Ministarstvo održivog razvoja i turizma, Uprava policije, Uprava carina, Poreska uprava, Uprava za inspekcijske poslove, Uprava za statistiku, Glavi grad Podgorica,  Zajednica opšina Crne Gore, Savez sindikata Crne Gore, Unija slobodnih sindikata Crne Gore, Unija poslodavaca Crne Gore, Ministarstvo rada i socijalnog staranja;</w:t>
      </w:r>
    </w:p>
    <w:p w:rsidR="00154DBE" w:rsidRPr="00154DBE" w:rsidRDefault="00154DBE" w:rsidP="00154DBE">
      <w:pPr>
        <w:spacing w:before="0" w:after="0" w:line="240" w:lineRule="auto"/>
        <w:ind w:firstLine="360"/>
        <w:contextualSpacing/>
        <w:rPr>
          <w:rFonts w:eastAsia="AgfaRotisSemisans-Light" w:cs="Calibri"/>
          <w:color w:val="000000"/>
          <w:szCs w:val="24"/>
          <w:lang w:val="en-US"/>
        </w:rPr>
      </w:pPr>
      <w:r>
        <w:rPr>
          <w:rFonts w:eastAsia="AgfaRotisSemisans-Light" w:cs="Calibri"/>
          <w:color w:val="000000"/>
          <w:szCs w:val="24"/>
          <w:lang w:val="en-US"/>
        </w:rPr>
        <w:lastRenderedPageBreak/>
        <w:t xml:space="preserve">- </w:t>
      </w:r>
      <w:r w:rsidRPr="00154DBE">
        <w:rPr>
          <w:rFonts w:eastAsia="AgfaRotisSemisans-Light" w:cs="Calibri"/>
          <w:color w:val="000000"/>
          <w:szCs w:val="24"/>
          <w:lang w:val="en-US"/>
        </w:rPr>
        <w:t>Održan je sastanak sa predstavnicima Evropske komisije na temu vezano za aktivnosti koje se odnose na suzbijanje sive ekonomije.</w:t>
      </w:r>
    </w:p>
    <w:p w:rsidR="00154DBE" w:rsidRPr="00154DBE" w:rsidRDefault="00154DBE" w:rsidP="00154DBE">
      <w:pPr>
        <w:spacing w:before="0" w:after="0" w:line="240" w:lineRule="auto"/>
        <w:ind w:firstLine="360"/>
        <w:contextualSpacing/>
        <w:rPr>
          <w:rFonts w:eastAsia="AgfaRotisSemisans-Light" w:cs="Calibri"/>
          <w:color w:val="000000"/>
          <w:szCs w:val="24"/>
          <w:lang w:val="en-US"/>
        </w:rPr>
      </w:pPr>
      <w:r>
        <w:rPr>
          <w:rFonts w:eastAsia="AgfaRotisSemisans-Light" w:cs="Calibri"/>
          <w:color w:val="000000"/>
          <w:szCs w:val="24"/>
          <w:lang w:val="en-US"/>
        </w:rPr>
        <w:t>- Dopunjena</w:t>
      </w:r>
      <w:r w:rsidRPr="00154DBE">
        <w:rPr>
          <w:rFonts w:eastAsia="AgfaRotisSemisans-Light" w:cs="Calibri"/>
          <w:color w:val="000000"/>
          <w:szCs w:val="24"/>
          <w:lang w:val="en-US"/>
        </w:rPr>
        <w:t xml:space="preserve"> je Prioritetna reformska mjera 6: Unapređenje i implementacija mjera za suzbijanje sive ekonomije u okviru nacrta Programa ekonomskih reformi - poglavlje 5 (Strukturne reforme 2021-2023. godine), u okviru koje je definisana strategija implemetacija mjera na prevođenju neformalnog sektora u legalne tokove.</w:t>
      </w:r>
    </w:p>
    <w:p w:rsidR="00154DBE" w:rsidRDefault="00154DBE" w:rsidP="00154DBE">
      <w:pPr>
        <w:pStyle w:val="PlainText"/>
        <w:jc w:val="both"/>
        <w:rPr>
          <w:rFonts w:asciiTheme="minorHAnsi" w:hAnsiTheme="minorHAnsi"/>
          <w:b/>
          <w:sz w:val="24"/>
          <w:szCs w:val="24"/>
          <w:u w:val="single"/>
        </w:rPr>
      </w:pPr>
    </w:p>
    <w:p w:rsidR="00EA3D7D" w:rsidRDefault="00EA3D7D" w:rsidP="00EA3D7D">
      <w:pPr>
        <w:pStyle w:val="PlainText"/>
        <w:ind w:firstLine="360"/>
        <w:jc w:val="both"/>
        <w:rPr>
          <w:rFonts w:asciiTheme="minorHAnsi" w:hAnsiTheme="minorHAnsi"/>
          <w:b/>
          <w:sz w:val="24"/>
          <w:szCs w:val="24"/>
          <w:u w:val="single"/>
        </w:rPr>
      </w:pPr>
      <w:r>
        <w:rPr>
          <w:rFonts w:asciiTheme="minorHAnsi" w:hAnsiTheme="minorHAnsi"/>
          <w:b/>
          <w:sz w:val="24"/>
          <w:szCs w:val="24"/>
          <w:u w:val="single"/>
        </w:rPr>
        <w:t>Direkcija za rač</w:t>
      </w:r>
      <w:r w:rsidRPr="00EA3D7D">
        <w:rPr>
          <w:rFonts w:asciiTheme="minorHAnsi" w:hAnsiTheme="minorHAnsi"/>
          <w:b/>
          <w:sz w:val="24"/>
          <w:szCs w:val="24"/>
          <w:u w:val="single"/>
        </w:rPr>
        <w:t>unovodstvo</w:t>
      </w:r>
    </w:p>
    <w:p w:rsidR="00D26552" w:rsidRPr="00D26552" w:rsidRDefault="00D26552" w:rsidP="00D26552">
      <w:pPr>
        <w:spacing w:before="0" w:after="0" w:line="240" w:lineRule="auto"/>
        <w:ind w:firstLine="360"/>
        <w:rPr>
          <w:rFonts w:ascii="Calibri" w:eastAsia="Calibri" w:hAnsi="Calibri" w:cs="Arial"/>
          <w:szCs w:val="24"/>
          <w:lang w:val="en-US"/>
        </w:rPr>
      </w:pPr>
      <w:r w:rsidRPr="00D26552">
        <w:rPr>
          <w:b/>
          <w:szCs w:val="24"/>
        </w:rPr>
        <w:t xml:space="preserve">Realizacija programa rada Vlade Crne Gore za 2020. godinu - </w:t>
      </w:r>
      <w:r w:rsidRPr="00D26552">
        <w:rPr>
          <w:szCs w:val="24"/>
        </w:rPr>
        <w:t>Programom rada Vlade za 2020. godinu i</w:t>
      </w:r>
      <w:r w:rsidRPr="00D26552">
        <w:rPr>
          <w:b/>
          <w:szCs w:val="24"/>
        </w:rPr>
        <w:t xml:space="preserve"> Programom rada Ministarstva za 2020. godinu</w:t>
      </w:r>
      <w:r w:rsidRPr="00D26552">
        <w:rPr>
          <w:rFonts w:ascii="Calibri" w:eastAsia="Calibri" w:hAnsi="Calibri" w:cs="Arial"/>
          <w:szCs w:val="24"/>
          <w:lang w:val="en-US"/>
        </w:rPr>
        <w:t xml:space="preserve"> bilo je predviđeno pripremanje Predloga Zakona o računovodstvu. </w:t>
      </w:r>
    </w:p>
    <w:p w:rsidR="00D26552" w:rsidRPr="00D26552" w:rsidRDefault="00D26552" w:rsidP="00D26552">
      <w:pPr>
        <w:spacing w:before="0" w:after="0" w:line="240" w:lineRule="auto"/>
        <w:ind w:firstLine="360"/>
        <w:rPr>
          <w:rFonts w:ascii="Calibri" w:eastAsia="Calibri" w:hAnsi="Calibri" w:cs="Arial"/>
          <w:bCs/>
          <w:szCs w:val="24"/>
          <w:lang w:val="sr-Latn-RS"/>
        </w:rPr>
      </w:pPr>
      <w:r w:rsidRPr="00D26552">
        <w:rPr>
          <w:rFonts w:ascii="Calibri" w:eastAsia="Calibri" w:hAnsi="Calibri" w:cs="Arial"/>
          <w:bCs/>
          <w:szCs w:val="24"/>
          <w:lang w:val="sr-Latn-RS"/>
        </w:rPr>
        <w:t xml:space="preserve">Vlada Crne Gore je na sjednici održanoj 14.05.2020. godine utvrdila </w:t>
      </w:r>
      <w:r w:rsidRPr="0028250E">
        <w:rPr>
          <w:rFonts w:ascii="Calibri" w:eastAsia="Calibri" w:hAnsi="Calibri" w:cs="Arial"/>
          <w:b/>
          <w:bCs/>
          <w:i/>
          <w:szCs w:val="24"/>
          <w:lang w:val="en-GB"/>
        </w:rPr>
        <w:t>Predlog Zakona o računovodstvu</w:t>
      </w:r>
      <w:r w:rsidRPr="00D26552">
        <w:rPr>
          <w:rFonts w:ascii="Calibri" w:eastAsia="Calibri" w:hAnsi="Calibri" w:cs="Arial"/>
          <w:bCs/>
          <w:szCs w:val="24"/>
          <w:lang w:val="en-GB"/>
        </w:rPr>
        <w:t>, koji je upućen Skupštini Crne Gore radi stavljanja u proceduru.</w:t>
      </w:r>
    </w:p>
    <w:p w:rsidR="00D26552" w:rsidRPr="00D26552" w:rsidRDefault="00D26552" w:rsidP="00D26552">
      <w:pPr>
        <w:spacing w:before="0" w:after="0" w:line="240" w:lineRule="auto"/>
        <w:ind w:firstLine="360"/>
        <w:rPr>
          <w:rFonts w:eastAsia="Calibri" w:cs="Arial"/>
          <w:szCs w:val="24"/>
          <w:lang w:val="en-US"/>
        </w:rPr>
      </w:pPr>
      <w:r w:rsidRPr="00D26552">
        <w:rPr>
          <w:b/>
          <w:szCs w:val="24"/>
        </w:rPr>
        <w:t xml:space="preserve">Realizacija obaveza po programu pristupanja Crne Gore u EU - </w:t>
      </w:r>
      <w:r w:rsidRPr="00D26552">
        <w:rPr>
          <w:rFonts w:eastAsia="Calibri" w:cs="Arial"/>
          <w:szCs w:val="24"/>
          <w:lang w:val="en-US"/>
        </w:rPr>
        <w:t xml:space="preserve">Programom pristupanja Crne Gore u EU bilo je predviđeno usvajanje Zakona o računovodstvu. </w:t>
      </w:r>
    </w:p>
    <w:p w:rsidR="00D26552" w:rsidRPr="00D26552" w:rsidRDefault="00D26552" w:rsidP="00D26552">
      <w:pPr>
        <w:spacing w:before="0" w:after="0" w:line="240" w:lineRule="auto"/>
        <w:ind w:firstLine="360"/>
        <w:rPr>
          <w:rFonts w:eastAsia="Calibri" w:cs="Arial"/>
          <w:bCs/>
          <w:szCs w:val="24"/>
          <w:lang w:val="sr-Latn-RS"/>
        </w:rPr>
      </w:pPr>
      <w:r w:rsidRPr="00D26552">
        <w:rPr>
          <w:rFonts w:eastAsia="Calibri" w:cs="Arial"/>
          <w:bCs/>
          <w:szCs w:val="24"/>
          <w:lang w:val="sr-Latn-RS"/>
        </w:rPr>
        <w:t xml:space="preserve">Vlada Crne Gore je na sjednici održanoj 14.05.2020. godine utvrdila </w:t>
      </w:r>
      <w:r w:rsidRPr="00D26552">
        <w:rPr>
          <w:rFonts w:eastAsia="Calibri" w:cs="Arial"/>
          <w:bCs/>
          <w:szCs w:val="24"/>
          <w:lang w:val="en-GB"/>
        </w:rPr>
        <w:t>Predlog Zakona o računovodstvu, koji je upućen Skupštini Crne Gore radi stavljanja u proceduru.</w:t>
      </w:r>
      <w:r>
        <w:rPr>
          <w:rFonts w:eastAsia="Calibri" w:cs="Arial"/>
          <w:bCs/>
          <w:szCs w:val="24"/>
          <w:lang w:val="sr-Latn-RS"/>
        </w:rPr>
        <w:t xml:space="preserve"> </w:t>
      </w:r>
      <w:r w:rsidRPr="00D26552">
        <w:rPr>
          <w:rFonts w:eastAsia="Calibri" w:cs="Arial"/>
          <w:szCs w:val="24"/>
          <w:lang w:val="en-GB"/>
        </w:rPr>
        <w:t>Skupština Crne Gore, u novom sazivu, je vratila Predlog Zakon o računovodstvu Vladi Crne Gore na ponovno utvrđivanje.</w:t>
      </w:r>
    </w:p>
    <w:p w:rsidR="00EA3D7D" w:rsidRDefault="00D26552" w:rsidP="00D26552">
      <w:pPr>
        <w:pStyle w:val="PlainText"/>
        <w:ind w:firstLine="360"/>
        <w:jc w:val="both"/>
        <w:rPr>
          <w:rFonts w:asciiTheme="minorHAnsi" w:hAnsiTheme="minorHAnsi"/>
          <w:b/>
          <w:sz w:val="24"/>
          <w:szCs w:val="24"/>
        </w:rPr>
      </w:pPr>
      <w:r w:rsidRPr="00D26552">
        <w:rPr>
          <w:rFonts w:asciiTheme="minorHAnsi" w:hAnsiTheme="minorHAnsi"/>
          <w:b/>
          <w:sz w:val="24"/>
          <w:szCs w:val="24"/>
        </w:rPr>
        <w:t>Stanje u upravnim oblastima i izvjestaj o radu organizacionih jedinica</w:t>
      </w:r>
    </w:p>
    <w:p w:rsidR="00D26552" w:rsidRPr="00D26552" w:rsidRDefault="00D26552" w:rsidP="00D26552">
      <w:pPr>
        <w:spacing w:before="0" w:after="0" w:line="240" w:lineRule="auto"/>
        <w:rPr>
          <w:rFonts w:eastAsia="Calibri" w:cs="Arial"/>
          <w:color w:val="000000"/>
          <w:szCs w:val="24"/>
          <w:lang w:val="en-US"/>
        </w:rPr>
      </w:pPr>
      <w:r w:rsidRPr="00D26552">
        <w:rPr>
          <w:rFonts w:eastAsia="Calibri" w:cs="Arial"/>
          <w:color w:val="000000"/>
          <w:szCs w:val="24"/>
          <w:lang w:val="en-US"/>
        </w:rPr>
        <w:t>Ključne aktivnosti u 2020. godini u oblastima iz nadležnosti Direkcije bile su usmjerene na sl</w:t>
      </w:r>
      <w:r>
        <w:rPr>
          <w:rFonts w:eastAsia="Calibri" w:cs="Arial"/>
          <w:color w:val="000000"/>
          <w:szCs w:val="24"/>
          <w:lang w:val="en-US"/>
        </w:rPr>
        <w:t>j</w:t>
      </w:r>
      <w:r w:rsidRPr="00D26552">
        <w:rPr>
          <w:rFonts w:eastAsia="Calibri" w:cs="Arial"/>
          <w:color w:val="000000"/>
          <w:szCs w:val="24"/>
          <w:lang w:val="en-US"/>
        </w:rPr>
        <w:t>edeće:</w:t>
      </w:r>
    </w:p>
    <w:p w:rsidR="00D26552" w:rsidRPr="00D26552" w:rsidRDefault="00D26552" w:rsidP="00632490">
      <w:pPr>
        <w:numPr>
          <w:ilvl w:val="0"/>
          <w:numId w:val="80"/>
        </w:numPr>
        <w:spacing w:before="0" w:after="0" w:line="240" w:lineRule="auto"/>
        <w:contextualSpacing/>
        <w:rPr>
          <w:rFonts w:eastAsia="Calibri" w:cs="Arial"/>
          <w:color w:val="000000"/>
          <w:szCs w:val="24"/>
          <w:lang w:val="en-US"/>
        </w:rPr>
      </w:pPr>
      <w:r w:rsidRPr="00D26552">
        <w:rPr>
          <w:rFonts w:eastAsia="Calibri" w:cs="Arial"/>
          <w:color w:val="000000"/>
          <w:szCs w:val="24"/>
          <w:lang w:val="en-GB"/>
        </w:rPr>
        <w:t>Unapređenje zakonodavnog okvira u oblasti računovodstva kroz pripremanje predloga Zakona o računovodstvu;</w:t>
      </w:r>
    </w:p>
    <w:p w:rsidR="00D26552" w:rsidRPr="00D26552" w:rsidRDefault="00D26552" w:rsidP="00632490">
      <w:pPr>
        <w:numPr>
          <w:ilvl w:val="0"/>
          <w:numId w:val="80"/>
        </w:numPr>
        <w:spacing w:before="0" w:after="0" w:line="240" w:lineRule="auto"/>
        <w:contextualSpacing/>
        <w:rPr>
          <w:rFonts w:eastAsia="Calibri" w:cs="Arial"/>
          <w:color w:val="000000"/>
          <w:szCs w:val="24"/>
          <w:lang w:val="en-US"/>
        </w:rPr>
      </w:pPr>
      <w:r w:rsidRPr="00D26552">
        <w:rPr>
          <w:rFonts w:eastAsia="Calibri" w:cs="Arial"/>
          <w:color w:val="000000"/>
          <w:szCs w:val="24"/>
          <w:lang w:val="en-GB"/>
        </w:rPr>
        <w:t>Unapređenje zakonodavnog okvira u oblasti revizije kroz izmjenu podzakonskih akata;</w:t>
      </w:r>
    </w:p>
    <w:p w:rsidR="00D26552" w:rsidRPr="00D26552" w:rsidRDefault="00D26552" w:rsidP="00632490">
      <w:pPr>
        <w:numPr>
          <w:ilvl w:val="0"/>
          <w:numId w:val="80"/>
        </w:numPr>
        <w:spacing w:before="0" w:after="0" w:line="240" w:lineRule="auto"/>
        <w:contextualSpacing/>
        <w:rPr>
          <w:rFonts w:eastAsia="Calibri" w:cs="Arial"/>
          <w:color w:val="000000"/>
          <w:szCs w:val="24"/>
          <w:lang w:val="en-US"/>
        </w:rPr>
      </w:pPr>
      <w:r w:rsidRPr="00D26552">
        <w:rPr>
          <w:rFonts w:eastAsia="Calibri" w:cs="Arial"/>
          <w:color w:val="000000"/>
          <w:szCs w:val="24"/>
          <w:lang w:val="en-US"/>
        </w:rPr>
        <w:t xml:space="preserve">Aktivno učestvovanje u aktivnostima u pregovaračkom poglavlju 6 – Privredno pravo; </w:t>
      </w:r>
    </w:p>
    <w:p w:rsidR="00D26552" w:rsidRPr="00D26552" w:rsidRDefault="00D26552" w:rsidP="00632490">
      <w:pPr>
        <w:numPr>
          <w:ilvl w:val="0"/>
          <w:numId w:val="80"/>
        </w:numPr>
        <w:spacing w:before="0" w:after="0" w:line="240" w:lineRule="auto"/>
        <w:contextualSpacing/>
        <w:rPr>
          <w:rFonts w:eastAsia="Calibri" w:cs="Arial"/>
          <w:color w:val="000000"/>
          <w:szCs w:val="24"/>
          <w:lang w:val="en-US"/>
        </w:rPr>
      </w:pPr>
      <w:r w:rsidRPr="00D26552">
        <w:rPr>
          <w:rFonts w:eastAsia="Calibri" w:cs="Arial"/>
          <w:color w:val="000000"/>
          <w:szCs w:val="24"/>
          <w:lang w:val="en-US"/>
        </w:rPr>
        <w:t>Praćenje izvršavanja zakona i drugih propisa i nadzor u dijelu efikasnosti realizacije delegiranih nadležnosti iz oblasti računovodstva i revizije i druge poslove iz ove oblasti.</w:t>
      </w:r>
    </w:p>
    <w:p w:rsidR="00D26552" w:rsidRPr="00D26552" w:rsidRDefault="00D26552" w:rsidP="0090222B">
      <w:pPr>
        <w:spacing w:before="0" w:after="0" w:line="240" w:lineRule="auto"/>
        <w:rPr>
          <w:rFonts w:eastAsia="Calibri" w:cs="Arial"/>
          <w:color w:val="000000"/>
          <w:szCs w:val="24"/>
          <w:lang w:val="en-US"/>
        </w:rPr>
      </w:pPr>
      <w:r w:rsidRPr="00D26552">
        <w:rPr>
          <w:rFonts w:eastAsia="Calibri" w:cs="Arial"/>
          <w:color w:val="000000"/>
          <w:szCs w:val="24"/>
          <w:lang w:val="en-US"/>
        </w:rPr>
        <w:t>Ostvareni su sledeći rezultati:</w:t>
      </w:r>
    </w:p>
    <w:p w:rsidR="00D26552" w:rsidRPr="00D26552" w:rsidRDefault="00D26552" w:rsidP="00632490">
      <w:pPr>
        <w:numPr>
          <w:ilvl w:val="0"/>
          <w:numId w:val="81"/>
        </w:numPr>
        <w:spacing w:before="0" w:after="0" w:line="240" w:lineRule="auto"/>
        <w:contextualSpacing/>
        <w:rPr>
          <w:rFonts w:eastAsia="Calibri" w:cs="Arial"/>
          <w:color w:val="000000"/>
          <w:szCs w:val="24"/>
          <w:lang w:val="en-US"/>
        </w:rPr>
      </w:pPr>
      <w:r w:rsidRPr="00D26552">
        <w:rPr>
          <w:rFonts w:eastAsia="Calibri" w:cs="Arial"/>
          <w:color w:val="000000"/>
          <w:szCs w:val="24"/>
          <w:lang w:val="en-US"/>
        </w:rPr>
        <w:t>Pripremljen je predlog Zakona o računovodstvu koji je usklađen sa preporukama Evropske komisije, a koji je Vlada utvrdila na sjednici održanoj 20. maja 2020. godine;</w:t>
      </w:r>
    </w:p>
    <w:p w:rsidR="00D26552" w:rsidRPr="00D26552" w:rsidRDefault="00D26552" w:rsidP="00632490">
      <w:pPr>
        <w:numPr>
          <w:ilvl w:val="0"/>
          <w:numId w:val="81"/>
        </w:numPr>
        <w:spacing w:before="0" w:after="0" w:line="240" w:lineRule="auto"/>
        <w:contextualSpacing/>
        <w:rPr>
          <w:rFonts w:eastAsia="Calibri" w:cs="Arial"/>
          <w:color w:val="000000"/>
          <w:szCs w:val="24"/>
          <w:lang w:val="en-US"/>
        </w:rPr>
      </w:pPr>
      <w:r w:rsidRPr="00D26552">
        <w:rPr>
          <w:rFonts w:eastAsia="Calibri" w:cs="Arial"/>
          <w:color w:val="000000"/>
          <w:szCs w:val="24"/>
          <w:lang w:val="en-US"/>
        </w:rPr>
        <w:t xml:space="preserve">Pripremljen Pravilnik </w:t>
      </w:r>
      <w:r w:rsidRPr="00D26552">
        <w:rPr>
          <w:rFonts w:eastAsia="Calibri" w:cs="Arial"/>
          <w:color w:val="000000"/>
          <w:szCs w:val="24"/>
          <w:lang w:val="en-GB"/>
        </w:rPr>
        <w:t>o dokumentaciji koja se podnosi radi izdavanja licence za obavljanje revizije;</w:t>
      </w:r>
    </w:p>
    <w:p w:rsidR="00D26552" w:rsidRPr="0090222B" w:rsidRDefault="00D26552" w:rsidP="00632490">
      <w:pPr>
        <w:numPr>
          <w:ilvl w:val="0"/>
          <w:numId w:val="81"/>
        </w:numPr>
        <w:spacing w:before="0" w:after="0" w:line="240" w:lineRule="auto"/>
        <w:contextualSpacing/>
        <w:rPr>
          <w:rFonts w:eastAsia="Calibri" w:cs="Arial"/>
          <w:color w:val="000000"/>
          <w:szCs w:val="24"/>
          <w:lang w:val="en-US"/>
        </w:rPr>
      </w:pPr>
      <w:r w:rsidRPr="00D26552">
        <w:rPr>
          <w:rFonts w:eastAsia="Calibri" w:cs="Arial"/>
          <w:color w:val="000000"/>
          <w:szCs w:val="24"/>
          <w:lang w:val="en-GB"/>
        </w:rPr>
        <w:t>Pripremanje informacija (priloga) vezanih za realizaciju Programa pristu</w:t>
      </w:r>
      <w:r w:rsidR="0090222B">
        <w:rPr>
          <w:rFonts w:eastAsia="Calibri" w:cs="Arial"/>
          <w:color w:val="000000"/>
          <w:szCs w:val="24"/>
          <w:lang w:val="en-GB"/>
        </w:rPr>
        <w:t>panja Crne Gore Evropskoj uniji.</w:t>
      </w:r>
    </w:p>
    <w:p w:rsidR="009F412E" w:rsidRDefault="009F412E" w:rsidP="008F659F">
      <w:pPr>
        <w:pStyle w:val="PlainText"/>
        <w:jc w:val="both"/>
        <w:rPr>
          <w:rFonts w:asciiTheme="minorHAnsi" w:hAnsiTheme="minorHAnsi" w:cs="Arial"/>
          <w:b/>
          <w:sz w:val="24"/>
          <w:szCs w:val="24"/>
        </w:rPr>
      </w:pPr>
    </w:p>
    <w:p w:rsidR="00A97518" w:rsidRDefault="00B64C8A" w:rsidP="00493CE3">
      <w:pPr>
        <w:pStyle w:val="PlainText"/>
        <w:shd w:val="clear" w:color="auto" w:fill="F9D8CD" w:themeFill="accent1" w:themeFillTint="33"/>
        <w:ind w:firstLine="360"/>
        <w:jc w:val="both"/>
        <w:rPr>
          <w:rFonts w:asciiTheme="minorHAnsi" w:hAnsiTheme="minorHAnsi" w:cs="Arial"/>
          <w:b/>
          <w:sz w:val="24"/>
          <w:szCs w:val="24"/>
        </w:rPr>
      </w:pPr>
      <w:r>
        <w:rPr>
          <w:rFonts w:asciiTheme="minorHAnsi" w:hAnsiTheme="minorHAnsi" w:cs="Arial"/>
          <w:b/>
          <w:sz w:val="24"/>
          <w:szCs w:val="24"/>
        </w:rPr>
        <w:t xml:space="preserve">7. DIREKTORAT ZA LOKALNU SAMOUPRAVU I </w:t>
      </w:r>
      <w:r w:rsidR="00493CE3">
        <w:rPr>
          <w:rFonts w:asciiTheme="minorHAnsi" w:hAnsiTheme="minorHAnsi" w:cs="Arial"/>
          <w:b/>
          <w:sz w:val="24"/>
          <w:szCs w:val="24"/>
        </w:rPr>
        <w:t>PRIVREDNA DRUŠTVA</w:t>
      </w:r>
      <w:r>
        <w:rPr>
          <w:rFonts w:asciiTheme="minorHAnsi" w:hAnsiTheme="minorHAnsi" w:cs="Arial"/>
          <w:b/>
          <w:sz w:val="24"/>
          <w:szCs w:val="24"/>
        </w:rPr>
        <w:t xml:space="preserve"> U VEĆINSKOM VLASNIŠTVU DRŽAVE</w:t>
      </w:r>
    </w:p>
    <w:p w:rsidR="00A97518" w:rsidRDefault="00A97518" w:rsidP="008F659F">
      <w:pPr>
        <w:pStyle w:val="PlainText"/>
        <w:jc w:val="both"/>
        <w:rPr>
          <w:rFonts w:asciiTheme="minorHAnsi" w:hAnsiTheme="minorHAnsi" w:cs="Arial"/>
          <w:b/>
          <w:sz w:val="24"/>
          <w:szCs w:val="24"/>
        </w:rPr>
      </w:pPr>
    </w:p>
    <w:p w:rsidR="00493CE3" w:rsidRPr="00493CE3" w:rsidRDefault="00493CE3" w:rsidP="00493CE3">
      <w:pPr>
        <w:spacing w:before="0" w:after="0" w:line="240" w:lineRule="auto"/>
        <w:ind w:firstLine="360"/>
        <w:rPr>
          <w:rFonts w:ascii="Calibri" w:eastAsia="Calibri" w:hAnsi="Calibri" w:cs="Times New Roman"/>
          <w:bCs/>
          <w:szCs w:val="24"/>
          <w:lang w:val="hr-HR"/>
        </w:rPr>
      </w:pPr>
      <w:r w:rsidRPr="00493CE3">
        <w:rPr>
          <w:rFonts w:ascii="Calibri" w:eastAsia="Times New Roman" w:hAnsi="Calibri" w:cs="Times New Roman"/>
          <w:szCs w:val="24"/>
          <w:lang w:val="sr-Latn-BA"/>
        </w:rPr>
        <w:t xml:space="preserve">Direktorat je u toku 2020. godine, u okviru tekućih poslova, pripremao rješenja o petnaestodnevnom prenosu sredstava opštinama iz Egalizacionog fonda, rješenja o dodjeli pozajmica opštinama iz Egalizacionog fonda, </w:t>
      </w:r>
      <w:r w:rsidRPr="00493CE3">
        <w:rPr>
          <w:rFonts w:ascii="Calibri" w:eastAsia="Calibri" w:hAnsi="Calibri" w:cs="Times New Roman"/>
          <w:bCs/>
          <w:szCs w:val="24"/>
          <w:lang w:val="hr-HR"/>
        </w:rPr>
        <w:t>rješenje o konačnoj raspodjeli sredstava Egalizacionog fonda za 2020. godinu</w:t>
      </w:r>
      <w:r w:rsidRPr="00493CE3">
        <w:rPr>
          <w:rFonts w:ascii="Calibri" w:eastAsia="Times New Roman" w:hAnsi="Calibri" w:cs="Times New Roman"/>
          <w:szCs w:val="24"/>
          <w:lang w:val="sr-Latn-BA"/>
        </w:rPr>
        <w:t xml:space="preserve"> i druga akta vezana za funkcionisanje </w:t>
      </w:r>
      <w:r w:rsidRPr="00493CE3">
        <w:rPr>
          <w:rFonts w:ascii="Calibri" w:eastAsia="Times New Roman" w:hAnsi="Calibri" w:cs="Times New Roman"/>
          <w:b/>
          <w:szCs w:val="24"/>
          <w:lang w:val="sr-Latn-BA"/>
        </w:rPr>
        <w:t>Egalizacionog fonda</w:t>
      </w:r>
      <w:r w:rsidRPr="00493CE3">
        <w:rPr>
          <w:rFonts w:ascii="Calibri" w:eastAsia="Times New Roman" w:hAnsi="Calibri" w:cs="Times New Roman"/>
          <w:szCs w:val="24"/>
          <w:lang w:val="sr-Latn-BA"/>
        </w:rPr>
        <w:t xml:space="preserve"> kao i </w:t>
      </w:r>
      <w:r w:rsidRPr="00493CE3">
        <w:rPr>
          <w:rFonts w:ascii="Calibri" w:eastAsia="Times New Roman" w:hAnsi="Calibri" w:cs="Tahoma"/>
          <w:szCs w:val="24"/>
          <w:lang w:val="sr-Latn-BA"/>
        </w:rPr>
        <w:t xml:space="preserve">rješenja o prenosu sredstava </w:t>
      </w:r>
      <w:r w:rsidRPr="00493CE3">
        <w:rPr>
          <w:rFonts w:ascii="Calibri" w:eastAsia="Palatino Linotype" w:hAnsi="Calibri" w:cs="Palatino Linotype"/>
          <w:szCs w:val="24"/>
          <w:lang w:val="sr-Latn-BA"/>
        </w:rPr>
        <w:t>sa računa Fonda za podršku opštinama za predfinansiranje donatorskih projekata na namjenski račun opština</w:t>
      </w:r>
      <w:r w:rsidRPr="00493CE3">
        <w:rPr>
          <w:rFonts w:ascii="Calibri" w:eastAsia="Times New Roman" w:hAnsi="Calibri" w:cs="Times New Roman"/>
          <w:szCs w:val="24"/>
          <w:lang w:val="sr-Latn-BA"/>
        </w:rPr>
        <w:t xml:space="preserve"> i obavljala druge poslove vezane za funkcionisanje </w:t>
      </w:r>
      <w:r w:rsidRPr="00493CE3">
        <w:rPr>
          <w:rFonts w:ascii="Calibri" w:eastAsia="Times New Roman" w:hAnsi="Calibri" w:cs="Tahoma"/>
          <w:b/>
          <w:szCs w:val="24"/>
          <w:lang w:val="sr-Latn-BA"/>
        </w:rPr>
        <w:t>Fonda za podršku opštinama za predfinansiranje donatorskih projekata.</w:t>
      </w:r>
      <w:r w:rsidRPr="00493CE3">
        <w:rPr>
          <w:rFonts w:ascii="Calibri" w:eastAsia="Palatino Linotype" w:hAnsi="Calibri" w:cs="Palatino Linotype"/>
          <w:szCs w:val="24"/>
          <w:lang w:val="sr-Latn-BA"/>
        </w:rPr>
        <w:t xml:space="preserve"> </w:t>
      </w:r>
    </w:p>
    <w:p w:rsidR="00493CE3" w:rsidRPr="00493CE3" w:rsidRDefault="00493CE3" w:rsidP="00493CE3">
      <w:pPr>
        <w:spacing w:before="0" w:after="0" w:line="240" w:lineRule="auto"/>
        <w:ind w:firstLine="360"/>
        <w:rPr>
          <w:rFonts w:ascii="Calibri" w:eastAsia="Calibri" w:hAnsi="Calibri" w:cs="Times New Roman"/>
          <w:bCs/>
          <w:szCs w:val="24"/>
          <w:lang w:val="hr-HR"/>
        </w:rPr>
      </w:pPr>
      <w:r w:rsidRPr="00493CE3">
        <w:rPr>
          <w:rFonts w:ascii="Calibri" w:eastAsia="Calibri" w:hAnsi="Calibri" w:cs="Times New Roman"/>
          <w:bCs/>
          <w:szCs w:val="24"/>
          <w:lang w:val="hr-HR"/>
        </w:rPr>
        <w:t>Takođe, pripremana su mišljenja</w:t>
      </w:r>
      <w:r w:rsidRPr="00493CE3">
        <w:rPr>
          <w:rFonts w:ascii="Calibri" w:eastAsia="Calibri" w:hAnsi="Calibri" w:cs="Times New Roman"/>
          <w:szCs w:val="24"/>
        </w:rPr>
        <w:t xml:space="preserve"> </w:t>
      </w:r>
      <w:r w:rsidRPr="00493CE3">
        <w:rPr>
          <w:rFonts w:ascii="Calibri" w:eastAsia="Calibri" w:hAnsi="Calibri" w:cs="Times New Roman"/>
          <w:bCs/>
          <w:szCs w:val="24"/>
          <w:lang w:val="hr-HR"/>
        </w:rPr>
        <w:t>na odluke o budžetu opština i odluke o izmjenama i dopunama odluka o budžetu opština u skladu sa Zakonom o budžetu i fiskalnoj odgovornosti.</w:t>
      </w:r>
    </w:p>
    <w:p w:rsidR="00493CE3" w:rsidRPr="00493CE3" w:rsidRDefault="00493CE3" w:rsidP="00493CE3">
      <w:pPr>
        <w:spacing w:before="0" w:after="0" w:line="240" w:lineRule="auto"/>
        <w:ind w:firstLine="360"/>
        <w:rPr>
          <w:rFonts w:ascii="Calibri" w:eastAsia="Calibri" w:hAnsi="Calibri" w:cs="Times New Roman"/>
          <w:szCs w:val="24"/>
        </w:rPr>
      </w:pPr>
      <w:r w:rsidRPr="00493CE3">
        <w:rPr>
          <w:rFonts w:ascii="Calibri" w:eastAsia="Calibri" w:hAnsi="Calibri" w:cs="Times New Roman"/>
          <w:szCs w:val="24"/>
        </w:rPr>
        <w:t xml:space="preserve">U julu 2020. godine odobren je drugi ciklus projekta </w:t>
      </w:r>
      <w:r w:rsidRPr="00493CE3">
        <w:rPr>
          <w:rFonts w:ascii="Calibri" w:eastAsia="Calibri" w:hAnsi="Calibri" w:cs="Times New Roman"/>
          <w:b/>
          <w:szCs w:val="24"/>
        </w:rPr>
        <w:t xml:space="preserve">„Jačanje transparentnog i odgovornog upravljanja javnim finansijama u Crnoj Gori“ </w:t>
      </w:r>
      <w:r w:rsidRPr="00493CE3">
        <w:rPr>
          <w:rFonts w:ascii="Calibri" w:eastAsia="Calibri" w:hAnsi="Calibri" w:cs="Times New Roman"/>
          <w:szCs w:val="24"/>
        </w:rPr>
        <w:t xml:space="preserve">koji zajednički implementiraju Ministarstvo finansija </w:t>
      </w:r>
      <w:r w:rsidRPr="00493CE3">
        <w:rPr>
          <w:rFonts w:ascii="Calibri" w:eastAsia="Calibri" w:hAnsi="Calibri" w:cs="Times New Roman"/>
          <w:szCs w:val="24"/>
        </w:rPr>
        <w:lastRenderedPageBreak/>
        <w:t>Crne Gore i UNDP, uz podršku Ministarstva finansija Republike Slovačke</w:t>
      </w:r>
      <w:r w:rsidRPr="00493CE3">
        <w:rPr>
          <w:rFonts w:ascii="Calibri" w:eastAsia="Calibri" w:hAnsi="Calibri" w:cs="Times New Roman"/>
          <w:b/>
          <w:szCs w:val="24"/>
        </w:rPr>
        <w:t xml:space="preserve"> </w:t>
      </w:r>
      <w:r w:rsidRPr="00493CE3">
        <w:rPr>
          <w:rFonts w:ascii="Calibri" w:eastAsia="Calibri" w:hAnsi="Calibri" w:cs="Times New Roman"/>
          <w:szCs w:val="24"/>
        </w:rPr>
        <w:t>koji će trajati do marta 2023. godine.</w:t>
      </w:r>
    </w:p>
    <w:p w:rsidR="00493CE3" w:rsidRPr="00493CE3" w:rsidRDefault="00493CE3" w:rsidP="00493CE3">
      <w:pPr>
        <w:spacing w:before="0" w:after="0" w:line="240" w:lineRule="auto"/>
        <w:ind w:firstLine="360"/>
        <w:rPr>
          <w:rFonts w:ascii="Calibri" w:eastAsia="Calibri" w:hAnsi="Calibri" w:cs="Calibri"/>
          <w:szCs w:val="24"/>
          <w:lang w:val="sr-Latn-BA"/>
        </w:rPr>
      </w:pPr>
      <w:r w:rsidRPr="00493CE3">
        <w:rPr>
          <w:rFonts w:ascii="Calibri" w:eastAsia="Calibri" w:hAnsi="Calibri" w:cs="Calibri"/>
          <w:szCs w:val="24"/>
          <w:lang w:val="sr-Latn-BA"/>
        </w:rPr>
        <w:t xml:space="preserve">U okviru istog projekta izrađena je i </w:t>
      </w:r>
      <w:r w:rsidRPr="00493CE3">
        <w:rPr>
          <w:rFonts w:ascii="Calibri" w:eastAsia="Calibri" w:hAnsi="Calibri" w:cs="Calibri"/>
          <w:b/>
          <w:szCs w:val="24"/>
          <w:lang w:val="sr-Latn-BA"/>
        </w:rPr>
        <w:t xml:space="preserve">Metodologija i procedura za procjenu fiskalnog rizika u javnim preduzećima i lokalnim samoupravama u Crnoj Gori </w:t>
      </w:r>
      <w:r w:rsidRPr="00493CE3">
        <w:rPr>
          <w:rFonts w:ascii="Calibri" w:eastAsia="Calibri" w:hAnsi="Calibri" w:cs="Calibri"/>
          <w:szCs w:val="24"/>
          <w:lang w:val="sr-Latn-BA"/>
        </w:rPr>
        <w:t>kojom se bliže određuju kategorije fiskalnih rizika, međunarodno iskustvo sa fiskalnim rizicima, implicitne i potencijalne obaveze, preporuke, finansijska analiza i izvještavanje o fiskalnim rizicima u preduzećima u većinskom vlasništvu države, izvori fiskalnih rizika u državnim preduzećima, kvazi-fiskalne operacije, analiza i izvještavanje o fiskalnim rizicima u lokalnim samoupravama.</w:t>
      </w:r>
    </w:p>
    <w:p w:rsidR="00493CE3" w:rsidRPr="00493CE3" w:rsidRDefault="00493CE3" w:rsidP="00493CE3">
      <w:pPr>
        <w:spacing w:before="0" w:after="0" w:line="240" w:lineRule="auto"/>
        <w:ind w:firstLine="360"/>
        <w:rPr>
          <w:rFonts w:ascii="Calibri" w:eastAsia="Times New Roman" w:hAnsi="Calibri" w:cs="Times New Roman"/>
          <w:szCs w:val="24"/>
          <w:lang w:val="en-US"/>
        </w:rPr>
      </w:pPr>
      <w:r w:rsidRPr="00493CE3">
        <w:rPr>
          <w:rFonts w:ascii="Calibri" w:eastAsia="Times New Roman" w:hAnsi="Calibri" w:cs="Times New Roman"/>
          <w:szCs w:val="24"/>
          <w:lang w:val="sr-Latn-BA"/>
        </w:rPr>
        <w:t xml:space="preserve">Takođe, u izvještajnom periodu pripremljen je veći broj </w:t>
      </w:r>
      <w:r w:rsidRPr="00493CE3">
        <w:rPr>
          <w:rFonts w:ascii="Calibri" w:eastAsia="Times New Roman" w:hAnsi="Calibri" w:cs="Times New Roman"/>
          <w:b/>
          <w:szCs w:val="24"/>
          <w:lang w:val="sr-Latn-BA"/>
        </w:rPr>
        <w:t xml:space="preserve">informacija i mišljenja </w:t>
      </w:r>
      <w:r w:rsidRPr="00493CE3">
        <w:rPr>
          <w:rFonts w:ascii="Calibri" w:eastAsia="Times New Roman" w:hAnsi="Calibri" w:cs="Times New Roman"/>
          <w:szCs w:val="24"/>
          <w:lang w:val="sr-Latn-BA"/>
        </w:rPr>
        <w:t>u vezi finansijskih planova i izvještaja privrednih društava koja su u većinskom vlasništvu države</w:t>
      </w:r>
      <w:r w:rsidRPr="00493CE3">
        <w:rPr>
          <w:rFonts w:ascii="Calibri" w:eastAsia="Times New Roman" w:hAnsi="Calibri" w:cs="Times New Roman"/>
          <w:szCs w:val="24"/>
          <w:lang w:val="en-US"/>
        </w:rPr>
        <w:t>.</w:t>
      </w:r>
    </w:p>
    <w:p w:rsidR="00493CE3" w:rsidRPr="00493CE3" w:rsidRDefault="00493CE3" w:rsidP="00493CE3">
      <w:pPr>
        <w:spacing w:before="0" w:after="0" w:line="240" w:lineRule="auto"/>
        <w:ind w:firstLine="360"/>
        <w:rPr>
          <w:rFonts w:ascii="Calibri" w:eastAsia="Times New Roman" w:hAnsi="Calibri" w:cs="Times New Roman"/>
          <w:szCs w:val="24"/>
          <w:lang w:val="sr-Latn-ME"/>
        </w:rPr>
      </w:pPr>
      <w:r w:rsidRPr="00493CE3">
        <w:rPr>
          <w:rFonts w:ascii="Calibri" w:eastAsia="Times New Roman" w:hAnsi="Calibri" w:cs="Times New Roman"/>
          <w:szCs w:val="24"/>
          <w:lang w:val="sr-Latn-ME"/>
        </w:rPr>
        <w:t>Po pitanju praćenja funkcionisanja privrednih društava koja su u većinskom vlasništvu države,</w:t>
      </w:r>
      <w:r w:rsidRPr="00493CE3">
        <w:rPr>
          <w:rFonts w:ascii="Calibri" w:eastAsia="Times New Roman" w:hAnsi="Calibri" w:cs="Times New Roman"/>
          <w:b/>
          <w:szCs w:val="24"/>
          <w:lang w:val="sr-Latn-ME"/>
        </w:rPr>
        <w:t xml:space="preserve">  </w:t>
      </w:r>
      <w:r w:rsidRPr="00493CE3">
        <w:rPr>
          <w:rFonts w:ascii="Calibri" w:eastAsia="Times New Roman" w:hAnsi="Calibri" w:cs="Times New Roman"/>
          <w:szCs w:val="24"/>
          <w:lang w:val="sr-Latn-ME"/>
        </w:rPr>
        <w:t>pripremane su različite finansijske analize, mišljenja na finansijske planove i izvještaje društava koja su u većinskom vlasništvu države.</w:t>
      </w:r>
    </w:p>
    <w:p w:rsidR="00493CE3" w:rsidRPr="00493CE3" w:rsidRDefault="00493CE3" w:rsidP="00493CE3">
      <w:pPr>
        <w:spacing w:before="0" w:after="0" w:line="240" w:lineRule="auto"/>
        <w:ind w:firstLine="360"/>
        <w:rPr>
          <w:rFonts w:ascii="Calibri" w:eastAsia="Times New Roman" w:hAnsi="Calibri" w:cs="Times New Roman"/>
          <w:szCs w:val="24"/>
          <w:lang w:val="sr-Latn-ME"/>
        </w:rPr>
      </w:pPr>
      <w:r w:rsidRPr="00493CE3">
        <w:rPr>
          <w:rFonts w:ascii="Calibri" w:eastAsia="Times New Roman" w:hAnsi="Calibri" w:cs="Times New Roman"/>
          <w:szCs w:val="24"/>
          <w:lang w:val="sr-Latn-ME"/>
        </w:rPr>
        <w:t xml:space="preserve">U </w:t>
      </w:r>
      <w:r w:rsidRPr="00493CE3">
        <w:rPr>
          <w:rFonts w:ascii="Calibri" w:eastAsia="Times New Roman" w:hAnsi="Calibri" w:cs="Times New Roman"/>
          <w:szCs w:val="24"/>
          <w:u w:val="single"/>
          <w:lang w:val="sr-Latn-ME"/>
        </w:rPr>
        <w:t>Direkciji za sistem finansiranja lokalne samouprave</w:t>
      </w:r>
      <w:r w:rsidRPr="00493CE3">
        <w:rPr>
          <w:rFonts w:ascii="Calibri" w:eastAsia="Times New Roman" w:hAnsi="Calibri" w:cs="Times New Roman"/>
          <w:szCs w:val="24"/>
          <w:lang w:val="sr-Latn-ME"/>
        </w:rPr>
        <w:t xml:space="preserve"> u toku 2020. godine su vršene sl</w:t>
      </w:r>
      <w:r>
        <w:rPr>
          <w:rFonts w:ascii="Calibri" w:eastAsia="Times New Roman" w:hAnsi="Calibri" w:cs="Times New Roman"/>
          <w:szCs w:val="24"/>
          <w:lang w:val="sr-Latn-ME"/>
        </w:rPr>
        <w:t>j</w:t>
      </w:r>
      <w:r w:rsidRPr="00493CE3">
        <w:rPr>
          <w:rFonts w:ascii="Calibri" w:eastAsia="Times New Roman" w:hAnsi="Calibri" w:cs="Times New Roman"/>
          <w:szCs w:val="24"/>
          <w:lang w:val="sr-Latn-ME"/>
        </w:rPr>
        <w:t>edeće aktivnosti:</w:t>
      </w:r>
    </w:p>
    <w:p w:rsidR="00493CE3" w:rsidRPr="00493CE3" w:rsidRDefault="00493CE3" w:rsidP="00146EBE">
      <w:pPr>
        <w:numPr>
          <w:ilvl w:val="0"/>
          <w:numId w:val="45"/>
        </w:numPr>
        <w:spacing w:before="0" w:after="0" w:line="240" w:lineRule="auto"/>
        <w:contextualSpacing/>
        <w:rPr>
          <w:rFonts w:ascii="Calibri" w:eastAsia="Times New Roman" w:hAnsi="Calibri" w:cs="Times New Roman"/>
          <w:szCs w:val="24"/>
          <w:lang w:val="sr-Latn-ME"/>
        </w:rPr>
      </w:pPr>
      <w:r w:rsidRPr="00493CE3">
        <w:rPr>
          <w:rFonts w:ascii="Calibri" w:eastAsia="Times New Roman" w:hAnsi="Calibri" w:cs="Times New Roman"/>
          <w:szCs w:val="24"/>
          <w:lang w:val="sr-Latn-ME"/>
        </w:rPr>
        <w:t>izrada kvartalnog izvještaja o ostvarenim prihodima, rashodima i neizmirenim obavezama  jedinica lokalne samouprave za 2020. godinu;</w:t>
      </w:r>
    </w:p>
    <w:p w:rsidR="00493CE3" w:rsidRPr="00493CE3" w:rsidRDefault="00493CE3" w:rsidP="00146EBE">
      <w:pPr>
        <w:numPr>
          <w:ilvl w:val="0"/>
          <w:numId w:val="45"/>
        </w:numPr>
        <w:spacing w:before="0" w:after="0" w:line="240" w:lineRule="auto"/>
        <w:contextualSpacing/>
        <w:rPr>
          <w:rFonts w:ascii="Calibri" w:eastAsia="Times New Roman" w:hAnsi="Calibri" w:cs="Times New Roman"/>
          <w:szCs w:val="24"/>
          <w:lang w:val="sr-Latn-ME"/>
        </w:rPr>
      </w:pPr>
      <w:r w:rsidRPr="00493CE3">
        <w:rPr>
          <w:rFonts w:ascii="Calibri" w:eastAsia="Times New Roman" w:hAnsi="Calibri" w:cs="Times New Roman"/>
          <w:szCs w:val="24"/>
          <w:lang w:val="sr-Latn-ME"/>
        </w:rPr>
        <w:t>obrada informacija za potrebe Savjeta za finansijsku stabilnost;</w:t>
      </w:r>
    </w:p>
    <w:p w:rsidR="00493CE3" w:rsidRPr="00493CE3" w:rsidRDefault="00493CE3" w:rsidP="00146EBE">
      <w:pPr>
        <w:numPr>
          <w:ilvl w:val="0"/>
          <w:numId w:val="45"/>
        </w:numPr>
        <w:spacing w:before="0" w:after="0" w:line="240" w:lineRule="auto"/>
        <w:contextualSpacing/>
        <w:rPr>
          <w:rFonts w:ascii="Calibri" w:eastAsia="Times New Roman" w:hAnsi="Calibri" w:cs="Times New Roman"/>
          <w:szCs w:val="24"/>
          <w:lang w:val="sr-Latn-ME"/>
        </w:rPr>
      </w:pPr>
      <w:r w:rsidRPr="00493CE3">
        <w:rPr>
          <w:rFonts w:ascii="Calibri" w:eastAsia="Times New Roman" w:hAnsi="Calibri" w:cs="Times New Roman"/>
          <w:szCs w:val="24"/>
          <w:lang w:val="sr-Latn-ME"/>
        </w:rPr>
        <w:t xml:space="preserve">priprema akata vezanih za raspodjelu i petnaestodnevni prenos sredstava opštinama iz   Egalizacionog fonda; </w:t>
      </w:r>
    </w:p>
    <w:p w:rsidR="00493CE3" w:rsidRPr="00493CE3" w:rsidRDefault="00493CE3" w:rsidP="00146EBE">
      <w:pPr>
        <w:numPr>
          <w:ilvl w:val="0"/>
          <w:numId w:val="45"/>
        </w:numPr>
        <w:spacing w:before="0" w:after="0" w:line="240" w:lineRule="auto"/>
        <w:contextualSpacing/>
        <w:rPr>
          <w:rFonts w:ascii="Calibri" w:eastAsia="Times New Roman" w:hAnsi="Calibri" w:cs="Times New Roman"/>
          <w:szCs w:val="24"/>
          <w:lang w:val="sr-Latn-ME"/>
        </w:rPr>
      </w:pPr>
      <w:r w:rsidRPr="00493CE3">
        <w:rPr>
          <w:rFonts w:ascii="Calibri" w:eastAsia="Times New Roman" w:hAnsi="Calibri" w:cs="Times New Roman"/>
          <w:szCs w:val="24"/>
          <w:lang w:val="sr-Latn-ME"/>
        </w:rPr>
        <w:t>priprema mjesečnih izvještaja opštinama o načinu korišćenja sredstava Egalizacionog fonda;</w:t>
      </w:r>
    </w:p>
    <w:p w:rsidR="00493CE3" w:rsidRPr="00493CE3" w:rsidRDefault="00493CE3" w:rsidP="00146EBE">
      <w:pPr>
        <w:numPr>
          <w:ilvl w:val="0"/>
          <w:numId w:val="45"/>
        </w:numPr>
        <w:spacing w:before="0" w:after="0" w:line="240" w:lineRule="auto"/>
        <w:contextualSpacing/>
        <w:rPr>
          <w:rFonts w:ascii="Calibri" w:eastAsia="Times New Roman" w:hAnsi="Calibri" w:cs="Times New Roman"/>
          <w:szCs w:val="24"/>
          <w:lang w:val="sr-Latn-ME"/>
        </w:rPr>
      </w:pPr>
      <w:r w:rsidRPr="00493CE3">
        <w:rPr>
          <w:rFonts w:ascii="Calibri" w:eastAsia="Times New Roman" w:hAnsi="Calibri" w:cs="Times New Roman"/>
          <w:szCs w:val="24"/>
          <w:lang w:val="sr-Latn-ME"/>
        </w:rPr>
        <w:t>priprema rješenja o dodjeli pozajmica opštinama  iz Egalizacionog fonda;</w:t>
      </w:r>
    </w:p>
    <w:p w:rsidR="00493CE3" w:rsidRPr="00493CE3" w:rsidRDefault="00493CE3" w:rsidP="00146EBE">
      <w:pPr>
        <w:numPr>
          <w:ilvl w:val="0"/>
          <w:numId w:val="45"/>
        </w:numPr>
        <w:spacing w:before="0" w:after="0" w:line="240" w:lineRule="auto"/>
        <w:contextualSpacing/>
        <w:rPr>
          <w:rFonts w:ascii="Calibri" w:eastAsia="Times New Roman" w:hAnsi="Calibri" w:cs="Times New Roman"/>
          <w:szCs w:val="24"/>
          <w:lang w:val="sr-Latn-ME"/>
        </w:rPr>
      </w:pPr>
      <w:r w:rsidRPr="00493CE3">
        <w:rPr>
          <w:rFonts w:ascii="Calibri" w:eastAsia="Times New Roman" w:hAnsi="Calibri" w:cs="Times New Roman"/>
          <w:szCs w:val="24"/>
          <w:lang w:val="sr-Latn-ME"/>
        </w:rPr>
        <w:t>prijem i obrada zahtjeva za povlačenje sredstava iz Fonda za podršku opštinama za predfinansiranje donatorskih projekata;</w:t>
      </w:r>
    </w:p>
    <w:p w:rsidR="00493CE3" w:rsidRPr="00493CE3" w:rsidRDefault="00493CE3" w:rsidP="00146EBE">
      <w:pPr>
        <w:numPr>
          <w:ilvl w:val="0"/>
          <w:numId w:val="45"/>
        </w:numPr>
        <w:spacing w:before="0" w:after="0" w:line="240" w:lineRule="auto"/>
        <w:contextualSpacing/>
        <w:rPr>
          <w:rFonts w:ascii="Calibri" w:eastAsia="Times New Roman" w:hAnsi="Calibri" w:cs="Times New Roman"/>
          <w:szCs w:val="24"/>
          <w:lang w:val="sr-Latn-ME"/>
        </w:rPr>
      </w:pPr>
      <w:r w:rsidRPr="00493CE3">
        <w:rPr>
          <w:rFonts w:ascii="Calibri" w:eastAsia="Times New Roman" w:hAnsi="Calibri" w:cs="Times New Roman"/>
          <w:szCs w:val="24"/>
          <w:lang w:val="sr-Latn-ME"/>
        </w:rPr>
        <w:t>priprema rješenja o prenosu sredstava sa računa Fonda za podršku opštinama za predfinansiranje donatorskih projekata na namjenski račun opština;</w:t>
      </w:r>
    </w:p>
    <w:p w:rsidR="00493CE3" w:rsidRPr="00493CE3" w:rsidRDefault="00493CE3" w:rsidP="00146EBE">
      <w:pPr>
        <w:numPr>
          <w:ilvl w:val="0"/>
          <w:numId w:val="45"/>
        </w:numPr>
        <w:spacing w:before="0" w:after="0" w:line="240" w:lineRule="auto"/>
        <w:contextualSpacing/>
        <w:rPr>
          <w:rFonts w:ascii="Calibri" w:eastAsia="Times New Roman" w:hAnsi="Calibri" w:cs="Times New Roman"/>
          <w:szCs w:val="24"/>
          <w:lang w:val="sr-Latn-ME"/>
        </w:rPr>
      </w:pPr>
      <w:r w:rsidRPr="00493CE3">
        <w:rPr>
          <w:rFonts w:ascii="Calibri" w:eastAsia="Times New Roman" w:hAnsi="Calibri" w:cs="Times New Roman"/>
          <w:szCs w:val="24"/>
          <w:lang w:val="sr-Latn-ME"/>
        </w:rPr>
        <w:t>priprema informacija o realizaciji javne potrošnje na lokalnom nivou za potrebe Vlade;</w:t>
      </w:r>
    </w:p>
    <w:p w:rsidR="00493CE3" w:rsidRPr="00493CE3" w:rsidRDefault="00493CE3" w:rsidP="00146EBE">
      <w:pPr>
        <w:numPr>
          <w:ilvl w:val="0"/>
          <w:numId w:val="45"/>
        </w:numPr>
        <w:spacing w:before="0" w:after="0" w:line="240" w:lineRule="auto"/>
        <w:contextualSpacing/>
        <w:rPr>
          <w:rFonts w:ascii="Calibri" w:eastAsia="Times New Roman" w:hAnsi="Calibri" w:cs="Times New Roman"/>
          <w:szCs w:val="24"/>
          <w:lang w:val="sr-Latn-ME"/>
        </w:rPr>
      </w:pPr>
      <w:r w:rsidRPr="00493CE3">
        <w:rPr>
          <w:rFonts w:ascii="Calibri" w:eastAsia="Times New Roman" w:hAnsi="Calibri" w:cs="Times New Roman"/>
          <w:szCs w:val="24"/>
          <w:lang w:val="sr-Latn-ME"/>
        </w:rPr>
        <w:t>priprema odgovora na poslanička pitanja i pitanja novinara;</w:t>
      </w:r>
    </w:p>
    <w:p w:rsidR="00493CE3" w:rsidRPr="00493CE3" w:rsidRDefault="00493CE3" w:rsidP="00146EBE">
      <w:pPr>
        <w:numPr>
          <w:ilvl w:val="0"/>
          <w:numId w:val="45"/>
        </w:numPr>
        <w:spacing w:before="0" w:after="0" w:line="240" w:lineRule="auto"/>
        <w:contextualSpacing/>
        <w:rPr>
          <w:rFonts w:ascii="Calibri" w:eastAsia="Times New Roman" w:hAnsi="Calibri" w:cs="Times New Roman"/>
          <w:szCs w:val="24"/>
          <w:lang w:val="sr-Latn-ME"/>
        </w:rPr>
      </w:pPr>
      <w:r w:rsidRPr="00493CE3">
        <w:rPr>
          <w:rFonts w:ascii="Calibri" w:eastAsia="Times New Roman" w:hAnsi="Calibri" w:cs="Times New Roman"/>
          <w:szCs w:val="24"/>
          <w:lang w:val="sr-Latn-ME"/>
        </w:rPr>
        <w:t>priprema tekućih dopisa i drugih akata u skladu sa potrebama Vlade i  ovog direktorata.</w:t>
      </w:r>
    </w:p>
    <w:p w:rsidR="00493CE3" w:rsidRPr="00493CE3" w:rsidRDefault="00493CE3" w:rsidP="00493CE3">
      <w:pPr>
        <w:spacing w:before="0" w:after="0" w:line="240" w:lineRule="auto"/>
        <w:rPr>
          <w:rFonts w:ascii="Calibri" w:eastAsia="Times New Roman" w:hAnsi="Calibri" w:cs="Times New Roman"/>
          <w:b/>
          <w:szCs w:val="24"/>
          <w:u w:val="single"/>
          <w:lang w:val="sr-Latn-ME"/>
        </w:rPr>
      </w:pPr>
    </w:p>
    <w:p w:rsidR="00493CE3" w:rsidRPr="00493CE3" w:rsidRDefault="00493CE3" w:rsidP="00493CE3">
      <w:pPr>
        <w:spacing w:before="0" w:after="0" w:line="240" w:lineRule="auto"/>
        <w:ind w:firstLine="426"/>
        <w:rPr>
          <w:rFonts w:ascii="Calibri" w:eastAsia="Times New Roman" w:hAnsi="Calibri" w:cs="Times New Roman"/>
          <w:szCs w:val="24"/>
          <w:lang w:val="sr-Latn-ME"/>
        </w:rPr>
      </w:pPr>
      <w:r w:rsidRPr="00493CE3">
        <w:rPr>
          <w:rFonts w:ascii="Calibri" w:eastAsia="Times New Roman" w:hAnsi="Calibri" w:cs="Times New Roman"/>
          <w:szCs w:val="24"/>
          <w:lang w:val="sr-Latn-ME"/>
        </w:rPr>
        <w:t xml:space="preserve">U </w:t>
      </w:r>
      <w:r w:rsidRPr="00493CE3">
        <w:rPr>
          <w:rFonts w:ascii="Calibri" w:eastAsia="Times New Roman" w:hAnsi="Calibri" w:cs="Times New Roman"/>
          <w:szCs w:val="24"/>
          <w:u w:val="single"/>
          <w:lang w:val="sr-Latn-ME"/>
        </w:rPr>
        <w:t>Direkciji za privredna društva u većinskom vlasništvu države</w:t>
      </w:r>
      <w:r w:rsidRPr="00493CE3">
        <w:rPr>
          <w:rFonts w:ascii="Calibri" w:eastAsia="Times New Roman" w:hAnsi="Calibri" w:cs="Times New Roman"/>
          <w:szCs w:val="24"/>
          <w:lang w:val="sr-Latn-ME"/>
        </w:rPr>
        <w:t xml:space="preserve"> su vršene sledeće aktivnosti:</w:t>
      </w:r>
    </w:p>
    <w:p w:rsidR="00493CE3" w:rsidRPr="00493CE3" w:rsidRDefault="00493CE3" w:rsidP="00146EBE">
      <w:pPr>
        <w:numPr>
          <w:ilvl w:val="0"/>
          <w:numId w:val="46"/>
        </w:numPr>
        <w:spacing w:before="0" w:after="0" w:line="240" w:lineRule="auto"/>
        <w:contextualSpacing/>
        <w:rPr>
          <w:rFonts w:ascii="Calibri" w:eastAsia="Times New Roman" w:hAnsi="Calibri" w:cs="Times New Roman"/>
          <w:szCs w:val="24"/>
          <w:lang w:val="sr-Latn-ME"/>
        </w:rPr>
      </w:pPr>
      <w:r w:rsidRPr="00493CE3">
        <w:rPr>
          <w:rFonts w:ascii="Calibri" w:eastAsia="Times New Roman" w:hAnsi="Calibri" w:cs="Times New Roman"/>
          <w:szCs w:val="24"/>
          <w:lang w:val="sr-Latn-ME"/>
        </w:rPr>
        <w:t>priprema mišljenja na finansijske planove preduzeća koja su u većinskom vlasništvu države i i finansijske planove nezavisnih regulatornih tijela;</w:t>
      </w:r>
    </w:p>
    <w:p w:rsidR="00493CE3" w:rsidRPr="00493CE3" w:rsidRDefault="00493CE3" w:rsidP="00146EBE">
      <w:pPr>
        <w:numPr>
          <w:ilvl w:val="0"/>
          <w:numId w:val="46"/>
        </w:numPr>
        <w:spacing w:before="0" w:after="0" w:line="240" w:lineRule="auto"/>
        <w:contextualSpacing/>
        <w:rPr>
          <w:rFonts w:ascii="Calibri" w:eastAsia="Times New Roman" w:hAnsi="Calibri" w:cs="Times New Roman"/>
          <w:szCs w:val="24"/>
          <w:lang w:val="sr-Latn-ME"/>
        </w:rPr>
      </w:pPr>
      <w:r w:rsidRPr="00493CE3">
        <w:rPr>
          <w:rFonts w:ascii="Calibri" w:eastAsia="Times New Roman" w:hAnsi="Calibri" w:cs="Times New Roman"/>
          <w:szCs w:val="24"/>
          <w:lang w:val="sr-Latn-ME"/>
        </w:rPr>
        <w:t>priprema finansijskih analiza;</w:t>
      </w:r>
    </w:p>
    <w:p w:rsidR="00493CE3" w:rsidRPr="00493CE3" w:rsidRDefault="00493CE3" w:rsidP="00146EBE">
      <w:pPr>
        <w:numPr>
          <w:ilvl w:val="0"/>
          <w:numId w:val="46"/>
        </w:numPr>
        <w:spacing w:before="0" w:after="0" w:line="240" w:lineRule="auto"/>
        <w:contextualSpacing/>
        <w:rPr>
          <w:rFonts w:ascii="Calibri" w:eastAsia="Times New Roman" w:hAnsi="Calibri" w:cs="Times New Roman"/>
          <w:szCs w:val="24"/>
          <w:lang w:val="sr-Latn-ME"/>
        </w:rPr>
      </w:pPr>
      <w:r w:rsidRPr="00493CE3">
        <w:rPr>
          <w:rFonts w:ascii="Calibri" w:eastAsia="Times New Roman" w:hAnsi="Calibri" w:cs="Times New Roman"/>
          <w:szCs w:val="24"/>
          <w:lang w:val="sr-Latn-ME"/>
        </w:rPr>
        <w:t>evidencija i prikupljanje podataka o upravnim i revizorskim odborima formiranih u okviru privrednih društava u većinskom vlasništvu države;</w:t>
      </w:r>
    </w:p>
    <w:p w:rsidR="00493CE3" w:rsidRPr="00493CE3" w:rsidRDefault="00493CE3" w:rsidP="00146EBE">
      <w:pPr>
        <w:numPr>
          <w:ilvl w:val="0"/>
          <w:numId w:val="46"/>
        </w:numPr>
        <w:spacing w:before="0" w:after="0" w:line="240" w:lineRule="auto"/>
        <w:contextualSpacing/>
        <w:rPr>
          <w:rFonts w:ascii="Calibri" w:eastAsia="Times New Roman" w:hAnsi="Calibri" w:cs="Times New Roman"/>
          <w:szCs w:val="24"/>
          <w:lang w:val="sr-Latn-ME"/>
        </w:rPr>
      </w:pPr>
      <w:r w:rsidRPr="00493CE3">
        <w:rPr>
          <w:rFonts w:ascii="Calibri" w:eastAsia="Times New Roman" w:hAnsi="Calibri" w:cs="Times New Roman"/>
          <w:szCs w:val="24"/>
          <w:lang w:val="sr-Latn-ME"/>
        </w:rPr>
        <w:t>priprema odgovora na poslanička pitanja, priprema odgovora na pitanja novinara iz oblasti poslovanja privrednih društava u većinskom vlasništvu države;</w:t>
      </w:r>
    </w:p>
    <w:p w:rsidR="00493CE3" w:rsidRPr="00493CE3" w:rsidRDefault="00493CE3" w:rsidP="00146EBE">
      <w:pPr>
        <w:numPr>
          <w:ilvl w:val="0"/>
          <w:numId w:val="46"/>
        </w:numPr>
        <w:spacing w:before="0" w:after="0" w:line="240" w:lineRule="auto"/>
        <w:contextualSpacing/>
        <w:rPr>
          <w:rFonts w:ascii="Calibri" w:eastAsia="Times New Roman" w:hAnsi="Calibri" w:cs="Times New Roman"/>
          <w:szCs w:val="24"/>
          <w:lang w:val="sr-Latn-ME"/>
        </w:rPr>
      </w:pPr>
      <w:r w:rsidRPr="00493CE3">
        <w:rPr>
          <w:rFonts w:ascii="Calibri" w:eastAsia="Times New Roman" w:hAnsi="Calibri" w:cs="Times New Roman"/>
          <w:szCs w:val="24"/>
          <w:lang w:val="sr-Latn-ME"/>
        </w:rPr>
        <w:t>priprema tekućih dopisa.</w:t>
      </w:r>
    </w:p>
    <w:p w:rsidR="000D1EC7" w:rsidRDefault="000D1EC7" w:rsidP="00101664">
      <w:pPr>
        <w:pStyle w:val="PlainText"/>
        <w:spacing w:before="240"/>
        <w:jc w:val="both"/>
        <w:rPr>
          <w:rFonts w:asciiTheme="minorHAnsi" w:hAnsiTheme="minorHAnsi" w:cs="Arial"/>
          <w:b/>
          <w:sz w:val="24"/>
          <w:szCs w:val="24"/>
        </w:rPr>
      </w:pPr>
    </w:p>
    <w:p w:rsidR="000D1EC7" w:rsidRDefault="000D1EC7" w:rsidP="000D1EC7">
      <w:pPr>
        <w:pStyle w:val="PlainText"/>
        <w:shd w:val="clear" w:color="auto" w:fill="F9D8CD" w:themeFill="accent1" w:themeFillTint="33"/>
        <w:ind w:left="360"/>
        <w:jc w:val="both"/>
        <w:rPr>
          <w:rFonts w:asciiTheme="minorHAnsi" w:hAnsiTheme="minorHAnsi" w:cs="Arial"/>
          <w:b/>
          <w:sz w:val="24"/>
          <w:szCs w:val="24"/>
        </w:rPr>
      </w:pPr>
      <w:r>
        <w:rPr>
          <w:rFonts w:asciiTheme="minorHAnsi" w:hAnsiTheme="minorHAnsi" w:cs="Arial"/>
          <w:b/>
          <w:sz w:val="24"/>
          <w:szCs w:val="24"/>
        </w:rPr>
        <w:t>8. DIREKTORAT ZA FINANSIRANJE I UGOVARANJE EU POMOĆI</w:t>
      </w:r>
    </w:p>
    <w:p w:rsidR="00B55665" w:rsidRPr="000D1EC7" w:rsidRDefault="000D1EC7" w:rsidP="00101664">
      <w:pPr>
        <w:spacing w:after="0" w:line="259" w:lineRule="auto"/>
        <w:ind w:firstLine="360"/>
        <w:rPr>
          <w:rFonts w:ascii="Calibri" w:eastAsia="Calibri" w:hAnsi="Calibri" w:cs="Calibri"/>
          <w:b/>
          <w:szCs w:val="24"/>
          <w:u w:val="single"/>
          <w:lang w:val="sr-Latn-RS"/>
        </w:rPr>
      </w:pPr>
      <w:r w:rsidRPr="000D1EC7">
        <w:rPr>
          <w:rFonts w:ascii="Calibri" w:eastAsia="Calibri" w:hAnsi="Calibri" w:cs="Calibri"/>
          <w:b/>
          <w:szCs w:val="24"/>
          <w:u w:val="single"/>
          <w:lang w:val="sr-Latn-RS"/>
        </w:rPr>
        <w:t>I - Direktorat za finansiranje i ugovaranje sredstava EU pomoći kao Ugovorno tijelo</w:t>
      </w:r>
    </w:p>
    <w:p w:rsidR="000D1EC7" w:rsidRPr="000D1EC7" w:rsidRDefault="000D1EC7" w:rsidP="000D1EC7">
      <w:pPr>
        <w:spacing w:before="0" w:after="0" w:line="240" w:lineRule="auto"/>
        <w:ind w:firstLine="360"/>
        <w:rPr>
          <w:rFonts w:ascii="Calibri" w:eastAsia="Calibri" w:hAnsi="Calibri" w:cs="Calibri"/>
          <w:noProof/>
          <w:szCs w:val="24"/>
          <w:lang w:val="sr-Latn-ME"/>
        </w:rPr>
      </w:pPr>
      <w:r w:rsidRPr="000D1EC7">
        <w:rPr>
          <w:rFonts w:ascii="Calibri" w:eastAsia="Calibri" w:hAnsi="Calibri" w:cs="Calibri"/>
          <w:noProof/>
          <w:szCs w:val="24"/>
          <w:lang w:val="sr-Latn-ME"/>
        </w:rPr>
        <w:t xml:space="preserve">Direktorat za finansiranje i ugovaranje sredstava EU pomoći (CFCU) </w:t>
      </w:r>
      <w:r w:rsidRPr="000D1EC7">
        <w:rPr>
          <w:rFonts w:ascii="Calibri" w:eastAsia="Calibri" w:hAnsi="Calibri" w:cs="Calibri"/>
          <w:noProof/>
          <w:szCs w:val="24"/>
          <w:lang w:val="sr-Cyrl-CS"/>
        </w:rPr>
        <w:t xml:space="preserve">vrši poslove koji se odnose na: sprovođenje postupaka javnih nabavki za projekte u okviru programa koji se finansiraju iz EU sredstava, a u skladu sa pravilima koja važe za ove programe; pripremanje i zaključivanje ugovora sa odabranim ponuđačima; praćenje sprovođenja i izmjena ugovora; sprovođenje administrativnih i provjera na licu mjesta radi kontrole izvještaja o implementaciji ugovora koje podnose ugovarači; </w:t>
      </w:r>
      <w:r w:rsidRPr="000D1EC7">
        <w:rPr>
          <w:rFonts w:ascii="Calibri" w:eastAsia="Calibri" w:hAnsi="Calibri" w:cs="Calibri"/>
          <w:noProof/>
          <w:szCs w:val="24"/>
          <w:lang w:val="sr-Cyrl-CS"/>
        </w:rPr>
        <w:lastRenderedPageBreak/>
        <w:t>planiranje potreba za finansijskim sredstvima i priprema budžetskog plana Direktorata; finansijsko upravljanje, kontrolu i računovodstvo u vezi sa ugovorima finansiranim od strane EU; praćenje ispunjenosti uslova za održavanje akreditacije za decentralizovano/indirektno upravlјanje EU fondovima na nivou Direktorata; učestvovanje u izradi zakona, podzakonskih akata, propisa, poslovnika, procedura, koji su neophodni za funkcionisanje decentralizovanog/indirektnog upravljanja EU fondovima; izvještavanje o nepravilnostima i potencijalnim rizicima i sprovođenje i praćenje korektivnih mjera; pripremu potrebnih analiza i izvještaja; vrši i sve druge poslove u skladu sa propisanim internim procedurama.</w:t>
      </w:r>
    </w:p>
    <w:p w:rsidR="000D1EC7" w:rsidRPr="00F121BE" w:rsidRDefault="000D1EC7" w:rsidP="00F121BE">
      <w:pPr>
        <w:spacing w:before="0" w:after="0" w:line="240" w:lineRule="auto"/>
        <w:ind w:firstLine="360"/>
        <w:rPr>
          <w:rFonts w:ascii="Calibri" w:eastAsia="Calibri" w:hAnsi="Calibri" w:cs="Calibri"/>
          <w:noProof/>
          <w:szCs w:val="24"/>
          <w:lang w:val="sr-Latn-ME"/>
        </w:rPr>
      </w:pPr>
      <w:r w:rsidRPr="000D1EC7">
        <w:rPr>
          <w:rFonts w:ascii="Calibri" w:eastAsia="Calibri" w:hAnsi="Calibri" w:cs="Calibri"/>
          <w:szCs w:val="24"/>
          <w:lang w:val="sr-Latn-RS"/>
        </w:rPr>
        <w:t>Direktorat za finansiranje i ugovaranje sredstava EU pomoći (CFCU) funkcioniše kao ugovorno tijelo za (trenutno) 8 programa koji se finansiraju iz IPA sredstava (Godišnji akcijski program IPA-e za Crnu Goru za 2014. godinu, Godišnji akcijski program IPA-e za Crnu Goru za 2016. godinu, Godišnji akcijski program IPA-e za Crnu Goru za 2017. godinu, Godišnji akcijski program IPA-e za Crnu Goru za 2018. godinu, Godišnji akcijski program IPA-e za Crnu Goru za 2020. godinu, Program prekogranične saradnje Crna Gora - Albanija 2014-2020, Program prekogranične saradnje Crna Gora - Kosovo 2014-2020 i Sektorski operativni program za zapošljavanje, obrazovanje i socijalne politike 2015-2017), koji se finansiraju iz sredstava Evropske unije i realizuju kroz sistem indirektnog upravljanja. Ovo podrazumijeva da je ovlašćenje za upravljanje EU sredstvima prenijeto na domaću administraciju, čemu je prethodilo dobijanje izjave o spremnosti (tzv. akreditacije) od strane Evropske komisije. Ukupna vrijednost pomenutih programa je 181,2 miliona eura, dok je CFCU zadužen za realizaciju oko 75 miliona eura.</w:t>
      </w:r>
    </w:p>
    <w:p w:rsidR="000D1EC7" w:rsidRPr="000D1EC7" w:rsidRDefault="000D1EC7" w:rsidP="000D1EC7">
      <w:pPr>
        <w:spacing w:before="0" w:after="0" w:line="259" w:lineRule="auto"/>
        <w:ind w:firstLine="360"/>
        <w:rPr>
          <w:rFonts w:ascii="Calibri" w:eastAsia="Calibri" w:hAnsi="Calibri" w:cs="Calibri"/>
          <w:b/>
          <w:szCs w:val="24"/>
          <w:u w:val="single"/>
          <w:lang w:val="sr-Latn-RS"/>
        </w:rPr>
      </w:pPr>
      <w:r w:rsidRPr="000D1EC7">
        <w:rPr>
          <w:rFonts w:ascii="Calibri" w:eastAsia="Calibri" w:hAnsi="Calibri" w:cs="Calibri"/>
          <w:b/>
          <w:szCs w:val="24"/>
          <w:u w:val="single"/>
          <w:lang w:val="sr-Latn-RS"/>
        </w:rPr>
        <w:t>Realizacija Godišnjeg akcijskog programa IPA-e za Crnu Goru za 2014. godinu (85-90% EU doprinos, 10-15% nacionalno ko-finansiranje):</w:t>
      </w:r>
    </w:p>
    <w:p w:rsidR="000D1EC7" w:rsidRPr="000D1EC7" w:rsidRDefault="000D1EC7" w:rsidP="000D1EC7">
      <w:pPr>
        <w:spacing w:before="0" w:after="0" w:line="240" w:lineRule="auto"/>
        <w:ind w:firstLine="360"/>
        <w:rPr>
          <w:rFonts w:ascii="Calibri" w:eastAsia="Calibri" w:hAnsi="Calibri" w:cs="Calibri"/>
          <w:szCs w:val="24"/>
          <w:lang w:val="sr-Latn-RS"/>
        </w:rPr>
      </w:pPr>
      <w:r w:rsidRPr="000D1EC7">
        <w:rPr>
          <w:rFonts w:ascii="Calibri" w:eastAsia="Calibri" w:hAnsi="Calibri" w:cs="Calibri"/>
          <w:szCs w:val="24"/>
          <w:lang w:val="sr-Latn-RS"/>
        </w:rPr>
        <w:t xml:space="preserve">Ukupna vrijednost ovog programa je oko </w:t>
      </w:r>
      <w:r w:rsidRPr="000D1EC7">
        <w:rPr>
          <w:rFonts w:ascii="Calibri" w:eastAsia="Calibri" w:hAnsi="Calibri" w:cs="Calibri"/>
          <w:b/>
          <w:szCs w:val="24"/>
          <w:lang w:val="sr-Latn-RS"/>
        </w:rPr>
        <w:t>39,2 miliona eura</w:t>
      </w:r>
      <w:r w:rsidRPr="000D1EC7">
        <w:rPr>
          <w:rFonts w:ascii="Calibri" w:eastAsia="Calibri" w:hAnsi="Calibri" w:cs="Calibri"/>
          <w:szCs w:val="24"/>
          <w:lang w:val="sr-Latn-RS"/>
        </w:rPr>
        <w:t xml:space="preserve">, od kojih </w:t>
      </w:r>
      <w:r w:rsidRPr="000D1EC7">
        <w:rPr>
          <w:rFonts w:ascii="Calibri" w:eastAsia="Calibri" w:hAnsi="Calibri" w:cs="Calibri"/>
          <w:szCs w:val="24"/>
          <w:u w:val="single"/>
          <w:lang w:val="sr-Latn-RS"/>
        </w:rPr>
        <w:t>CFCU kao ugovorno tijelo realizuje 18,26 miliona eura.</w:t>
      </w:r>
      <w:r w:rsidRPr="000D1EC7">
        <w:rPr>
          <w:rFonts w:ascii="Calibri" w:eastAsia="Calibri" w:hAnsi="Calibri" w:cs="Calibri"/>
          <w:szCs w:val="24"/>
          <w:lang w:val="sr-Latn-RS"/>
        </w:rPr>
        <w:t xml:space="preserve"> Finansijski sporazum je potpisan 10. decembra 2015. godine, a rok za ugovaranje je bio 10. decembar 2018. godine.</w:t>
      </w:r>
    </w:p>
    <w:p w:rsidR="000D1EC7" w:rsidRPr="000D1EC7" w:rsidRDefault="000D1EC7" w:rsidP="000D1EC7">
      <w:pPr>
        <w:spacing w:before="0" w:after="0" w:line="240" w:lineRule="auto"/>
        <w:ind w:firstLine="360"/>
        <w:rPr>
          <w:rFonts w:ascii="Calibri" w:eastAsia="Calibri" w:hAnsi="Calibri" w:cs="Calibri"/>
          <w:szCs w:val="24"/>
          <w:lang w:val="sr-Latn-RS"/>
        </w:rPr>
      </w:pPr>
      <w:r w:rsidRPr="000D1EC7">
        <w:rPr>
          <w:rFonts w:ascii="Calibri" w:eastAsia="Calibri" w:hAnsi="Calibri" w:cs="Calibri"/>
          <w:szCs w:val="24"/>
          <w:lang w:val="sr-Latn-RS"/>
        </w:rPr>
        <w:t>U okviru navedenog programa, CFCU je zadužen za sprovođenje 23 tenderske procedure, čije su korisničke institucije Ministarstvo finansija i socijalnog staranja (Sektor Demokratija i upravljanje), Ministarstvo ekologije, prostornog planiranja i urbanizma (Sektor Životna sredina i klimatske akcije), Ministarstvo kapitalnih investicija (Sektor Saobraćaj) i Ministarstvo ekonomskog razvoja (Sektor Konkurentnost i inovacije).</w:t>
      </w:r>
    </w:p>
    <w:p w:rsidR="000D1EC7" w:rsidRPr="000D1EC7" w:rsidRDefault="000D1EC7" w:rsidP="000D1EC7">
      <w:pPr>
        <w:spacing w:before="0" w:after="0" w:line="240" w:lineRule="auto"/>
        <w:ind w:firstLine="360"/>
        <w:rPr>
          <w:rFonts w:ascii="Calibri" w:eastAsia="Calibri" w:hAnsi="Calibri" w:cs="Calibri"/>
          <w:szCs w:val="24"/>
          <w:lang w:val="sr-Latn-RS"/>
        </w:rPr>
      </w:pPr>
      <w:r w:rsidRPr="000D1EC7">
        <w:rPr>
          <w:rFonts w:ascii="Calibri" w:eastAsia="Calibri" w:hAnsi="Calibri" w:cs="Calibri"/>
          <w:szCs w:val="24"/>
          <w:lang w:val="sr-Latn-RS"/>
        </w:rPr>
        <w:t xml:space="preserve">Imajući u vidu da je Godišnji akcijski program za Crnu Goru za 2014. godinu u potpunosti ugovoren krajem 2018. godine (u okviru predviđenog roka za ugovaranje), tokom 2019. i 2020. godine uslijedila je faza implementacije 23 ugovora. Do kraja 2020. godine, uspješno je završeno 13 ugovora, a tenderski postupak koji je pokrenut krajem 2019. godine (zbog nemogućnosti ugovarača da sprovede ugovorom preuzete obaveze raskinut, pa je bilo neophodno ponoviti tenderski postupak) je rezultirao potpisivanjem još jednog ugovora. Pandemija korona virusa je uticala na kašnjenje u realizaciji ugovornih obaveza i nemogućnost sprovođenja određenih aktivnosti na daljinu, zbog čega je produženje trajanja implementacije inicirano za 5 ugovora. Imajući u vidu da su u okviru ovog Programa ostvarene uštede u ukupnom iznosu od oko 0,93 miliona eura, tokom 2020. godine pokrenute su aktivnosti na planiranju adekvatne preraspodjele sredstava u skladu sa prioritetnim oblastima podrške koje su prepoznate na nacionalnom nivou. Obezbjeđivanje dodatnih sredstava za tehničku podršku korisničkim institucijama je predviđeno za projekte jačanja kapaciteta u oblasti državne pomoći i javnih nabavki, razvijanja elektronskog sistema javnih nabavki, unapređenja budžetskog sistema i višegodišnjeg budžetskog planiranja i  podrške za usklađivanje i sprovođenje pravne tekovine EU u oblasti unutrašnjeg tržišta. </w:t>
      </w:r>
    </w:p>
    <w:p w:rsidR="000D1EC7" w:rsidRPr="00F121BE" w:rsidRDefault="000D1EC7" w:rsidP="00F121BE">
      <w:pPr>
        <w:spacing w:before="0" w:after="0" w:line="240" w:lineRule="auto"/>
        <w:ind w:firstLine="360"/>
        <w:rPr>
          <w:rFonts w:ascii="Calibri" w:eastAsia="Calibri" w:hAnsi="Calibri" w:cs="Calibri"/>
          <w:szCs w:val="24"/>
          <w:lang w:val="sr-Latn-RS"/>
        </w:rPr>
      </w:pPr>
      <w:r w:rsidRPr="000D1EC7">
        <w:rPr>
          <w:rFonts w:ascii="Calibri" w:eastAsia="Calibri" w:hAnsi="Calibri" w:cs="Calibri"/>
          <w:szCs w:val="24"/>
          <w:lang w:val="sr-Latn-RS"/>
        </w:rPr>
        <w:t xml:space="preserve">Od ukupnog iznosa ugovorenih sredstava (17.311.703,21 eura), do kraja 2020. je isplaćeno 11.629.539,53 eura (67%). Tokom 2021. godine planirano je sprovođenje kontrola na licu mjesta, verifikacije izvještaja i izvršenje preostalih plaćanja po osnovu aktivnih ugovora. Takođe, očekuje se i okončavanje pregovora sa DEU u vezi preraspodjele sredstava ušteđenih kroz postupak ugovaranja </w:t>
      </w:r>
      <w:r w:rsidRPr="000D1EC7">
        <w:rPr>
          <w:rFonts w:ascii="Calibri" w:eastAsia="Calibri" w:hAnsi="Calibri" w:cs="Calibri"/>
          <w:szCs w:val="24"/>
          <w:lang w:val="sr-Latn-RS"/>
        </w:rPr>
        <w:lastRenderedPageBreak/>
        <w:t>ovog Programa. Do sada su pokrenute procedure izmjene za dva ugovora po ovom osnovu, dok se podnošenje preostala dva predloga</w:t>
      </w:r>
      <w:r w:rsidR="00F121BE">
        <w:rPr>
          <w:rFonts w:ascii="Calibri" w:eastAsia="Calibri" w:hAnsi="Calibri" w:cs="Calibri"/>
          <w:szCs w:val="24"/>
          <w:lang w:val="sr-Latn-RS"/>
        </w:rPr>
        <w:t xml:space="preserve"> očekuje u najskorijem periodu.</w:t>
      </w:r>
    </w:p>
    <w:p w:rsidR="000D1EC7" w:rsidRPr="000D1EC7" w:rsidRDefault="000D1EC7" w:rsidP="000D1EC7">
      <w:pPr>
        <w:spacing w:before="0" w:after="0" w:line="259" w:lineRule="auto"/>
        <w:ind w:firstLine="360"/>
        <w:rPr>
          <w:rFonts w:ascii="Calibri" w:eastAsia="Calibri" w:hAnsi="Calibri" w:cs="Calibri"/>
          <w:b/>
          <w:szCs w:val="24"/>
          <w:u w:val="single"/>
          <w:lang w:val="sr-Latn-RS"/>
        </w:rPr>
      </w:pPr>
      <w:r w:rsidRPr="000D1EC7">
        <w:rPr>
          <w:rFonts w:ascii="Calibri" w:eastAsia="Calibri" w:hAnsi="Calibri" w:cs="Calibri"/>
          <w:b/>
          <w:szCs w:val="24"/>
          <w:u w:val="single"/>
          <w:lang w:val="sr-Latn-RS"/>
        </w:rPr>
        <w:t>Realizacija Godišnjeg akcijskog programa IPA-e za Crnu Goru za 2016. godinu (90% EU doprinos, 10% nacionalno ko-finansiranje):</w:t>
      </w:r>
    </w:p>
    <w:p w:rsidR="000D1EC7" w:rsidRPr="000D1EC7" w:rsidRDefault="000D1EC7" w:rsidP="000D1EC7">
      <w:pPr>
        <w:spacing w:before="0" w:after="0" w:line="240" w:lineRule="auto"/>
        <w:ind w:firstLine="360"/>
        <w:rPr>
          <w:rFonts w:ascii="Calibri" w:eastAsia="Calibri" w:hAnsi="Calibri" w:cs="Calibri"/>
          <w:szCs w:val="24"/>
          <w:lang w:val="sr-Latn-RS"/>
        </w:rPr>
      </w:pPr>
      <w:r w:rsidRPr="000D1EC7">
        <w:rPr>
          <w:rFonts w:ascii="Calibri" w:eastAsia="Calibri" w:hAnsi="Calibri" w:cs="Calibri"/>
          <w:szCs w:val="24"/>
          <w:lang w:val="sr-Latn-RS"/>
        </w:rPr>
        <w:t xml:space="preserve">Ukupna vrijednost ovog programa je oko </w:t>
      </w:r>
      <w:r w:rsidRPr="000D1EC7">
        <w:rPr>
          <w:rFonts w:ascii="Calibri" w:eastAsia="Calibri" w:hAnsi="Calibri" w:cs="Calibri"/>
          <w:b/>
          <w:szCs w:val="24"/>
          <w:lang w:val="sr-Latn-RS"/>
        </w:rPr>
        <w:t>25 miliona eura</w:t>
      </w:r>
      <w:r w:rsidRPr="000D1EC7">
        <w:rPr>
          <w:rFonts w:ascii="Calibri" w:eastAsia="Calibri" w:hAnsi="Calibri" w:cs="Calibri"/>
          <w:szCs w:val="24"/>
          <w:lang w:val="sr-Latn-RS"/>
        </w:rPr>
        <w:t xml:space="preserve">, od kojih </w:t>
      </w:r>
      <w:r w:rsidRPr="000D1EC7">
        <w:rPr>
          <w:rFonts w:ascii="Calibri" w:eastAsia="Calibri" w:hAnsi="Calibri" w:cs="Calibri"/>
          <w:szCs w:val="24"/>
          <w:u w:val="single"/>
          <w:lang w:val="sr-Latn-RS"/>
        </w:rPr>
        <w:t>CFCU kao ugovorno tijelo realizuje preko 6,9 miliona eura.</w:t>
      </w:r>
      <w:r w:rsidRPr="000D1EC7">
        <w:rPr>
          <w:rFonts w:ascii="Calibri" w:eastAsia="Calibri" w:hAnsi="Calibri" w:cs="Calibri"/>
          <w:szCs w:val="24"/>
          <w:lang w:val="sr-Latn-RS"/>
        </w:rPr>
        <w:t xml:space="preserve"> Finansijski sporazum je potpisan 22. decembra 2017. godine, dok je rok za ugovaranje bio 22. decembar 2020. godine.</w:t>
      </w:r>
    </w:p>
    <w:p w:rsidR="000D1EC7" w:rsidRPr="000D1EC7" w:rsidRDefault="000D1EC7" w:rsidP="000D1EC7">
      <w:pPr>
        <w:spacing w:before="0" w:after="0" w:line="240" w:lineRule="auto"/>
        <w:ind w:firstLine="360"/>
        <w:rPr>
          <w:rFonts w:ascii="Calibri" w:eastAsia="Calibri" w:hAnsi="Calibri" w:cs="Calibri"/>
          <w:szCs w:val="24"/>
          <w:lang w:val="sr-Latn-RS"/>
        </w:rPr>
      </w:pPr>
      <w:r w:rsidRPr="000D1EC7">
        <w:rPr>
          <w:rFonts w:ascii="Calibri" w:eastAsia="Calibri" w:hAnsi="Calibri" w:cs="Calibri"/>
          <w:szCs w:val="24"/>
          <w:lang w:val="sr-Latn-RS"/>
        </w:rPr>
        <w:t xml:space="preserve">U okviru navedenog programa, CFCU je zadužen za sprovođenje 9 procedura čija je korisnička institucija Ministarstvo ekonomskog razvoja (Sektor Konkurentnosti i inovacija). </w:t>
      </w:r>
    </w:p>
    <w:p w:rsidR="000D1EC7" w:rsidRPr="000D1EC7" w:rsidRDefault="000D1EC7" w:rsidP="000D1EC7">
      <w:pPr>
        <w:spacing w:before="0" w:after="0" w:line="240" w:lineRule="auto"/>
        <w:ind w:firstLine="360"/>
        <w:rPr>
          <w:rFonts w:ascii="Calibri" w:eastAsia="Calibri" w:hAnsi="Calibri" w:cs="Calibri"/>
          <w:szCs w:val="24"/>
          <w:lang w:val="sr-Latn-RS"/>
        </w:rPr>
      </w:pPr>
      <w:r w:rsidRPr="000D1EC7">
        <w:rPr>
          <w:rFonts w:ascii="Calibri" w:eastAsia="Calibri" w:hAnsi="Calibri" w:cs="Calibri"/>
          <w:szCs w:val="24"/>
          <w:lang w:val="sr-Latn-RS"/>
        </w:rPr>
        <w:t xml:space="preserve">Imajući u vidu činjenicu da je 22. decembra 2020. godine isticao rok za ugovaranje svih projekata u okviru ovog Programa, tokom 2020. godine intenzivirane su aktivnosti kako bi se ubrzao proces ugovaranja. Do kraja godine potpisano je ukupno 10 ugovora: u okviru 2 tenderske procedure za nabavku opreme potpisano je 5 ugovora, a pored toga potpisana su još 3 ugovora o uslugama, 1 ugovor o direktnom grantu i 1 </w:t>
      </w:r>
      <w:r w:rsidRPr="000D1EC7">
        <w:rPr>
          <w:rFonts w:ascii="Calibri" w:eastAsia="Calibri" w:hAnsi="Calibri" w:cs="Calibri"/>
          <w:i/>
          <w:szCs w:val="24"/>
          <w:lang w:val="sr-Latn-RS"/>
        </w:rPr>
        <w:t>twinning</w:t>
      </w:r>
      <w:r w:rsidRPr="000D1EC7">
        <w:rPr>
          <w:rFonts w:ascii="Calibri" w:eastAsia="Calibri" w:hAnsi="Calibri" w:cs="Calibri"/>
          <w:szCs w:val="24"/>
          <w:lang w:val="sr-Latn-RS"/>
        </w:rPr>
        <w:t xml:space="preserve"> ugovor. Tenderska procedura za jedan ugovor o uslugama u iznosu od 1,3 miliona eura je otkazana zbog nepravilnosti u sprovođenju evaluacionog postupka. Takođe, sredstva predviđena za grant šemu za podršku malim i srednjim preduzećima u iznosu od 0,8 miliona eura su preusmjerena na direktnu budžetsku podršku za saniranje posljedica pandemije COVID-19. Do kraja 2020. godine uspješno su završena 2 ugovora o nabavci opreme. </w:t>
      </w:r>
    </w:p>
    <w:p w:rsidR="000D1EC7" w:rsidRPr="00F121BE" w:rsidRDefault="000D1EC7" w:rsidP="00F121BE">
      <w:pPr>
        <w:spacing w:before="0" w:after="0" w:line="240" w:lineRule="auto"/>
        <w:ind w:firstLine="709"/>
        <w:rPr>
          <w:rFonts w:ascii="Calibri" w:eastAsia="Calibri" w:hAnsi="Calibri" w:cs="Calibri"/>
          <w:szCs w:val="24"/>
          <w:lang w:val="sr-Latn-RS"/>
        </w:rPr>
      </w:pPr>
      <w:r w:rsidRPr="000D1EC7">
        <w:rPr>
          <w:rFonts w:ascii="Calibri" w:eastAsia="Calibri" w:hAnsi="Calibri" w:cs="Calibri"/>
          <w:szCs w:val="24"/>
          <w:lang w:val="sr-Latn-RS"/>
        </w:rPr>
        <w:t xml:space="preserve">Tokom 2021. godine planiran je nastavak praćenja implementacije ugovora. Od ukupnog iznosa ugovorenih sredstava (5.101.847,00 eura), do kraja 2020. je isplaćeno 2.868.807,15 eura (56%). </w:t>
      </w:r>
      <w:r>
        <w:rPr>
          <w:rFonts w:ascii="Calibri" w:eastAsia="Calibri" w:hAnsi="Calibri" w:cs="Calibri"/>
          <w:szCs w:val="24"/>
          <w:lang w:val="sr-Latn-RS"/>
        </w:rPr>
        <w:t>Tokom 2021. godine planirano je</w:t>
      </w:r>
      <w:r w:rsidRPr="000D1EC7">
        <w:rPr>
          <w:rFonts w:ascii="Calibri" w:eastAsia="Calibri" w:hAnsi="Calibri" w:cs="Calibri"/>
          <w:szCs w:val="24"/>
          <w:lang w:val="sr-Latn-RS"/>
        </w:rPr>
        <w:t xml:space="preserve"> sprovođenje kontrola na licu mjesta, verifikacije izvještaja i izvršenje plaća</w:t>
      </w:r>
      <w:r w:rsidR="00F121BE">
        <w:rPr>
          <w:rFonts w:ascii="Calibri" w:eastAsia="Calibri" w:hAnsi="Calibri" w:cs="Calibri"/>
          <w:szCs w:val="24"/>
          <w:lang w:val="sr-Latn-RS"/>
        </w:rPr>
        <w:t>nja po osnovu aktivnih ugovora.</w:t>
      </w:r>
    </w:p>
    <w:p w:rsidR="000D1EC7" w:rsidRPr="000D1EC7" w:rsidRDefault="000D1EC7" w:rsidP="000D1EC7">
      <w:pPr>
        <w:spacing w:before="0" w:after="0" w:line="240" w:lineRule="auto"/>
        <w:ind w:firstLine="709"/>
        <w:rPr>
          <w:rFonts w:ascii="Calibri" w:eastAsia="Calibri" w:hAnsi="Calibri" w:cs="Calibri"/>
          <w:b/>
          <w:szCs w:val="24"/>
          <w:u w:val="single"/>
          <w:lang w:val="sr-Latn-RS"/>
        </w:rPr>
      </w:pPr>
      <w:r w:rsidRPr="000D1EC7">
        <w:rPr>
          <w:rFonts w:ascii="Calibri" w:eastAsia="Calibri" w:hAnsi="Calibri" w:cs="Calibri"/>
          <w:b/>
          <w:szCs w:val="24"/>
          <w:u w:val="single"/>
          <w:lang w:val="sr-Latn-RS"/>
        </w:rPr>
        <w:t>Realizacija Godišnjeg akcijskog programa IPA-e za Crnu Goru za 2017. godinu (100% finansirano od strane EU)</w:t>
      </w:r>
    </w:p>
    <w:p w:rsidR="000D1EC7" w:rsidRPr="000D1EC7" w:rsidRDefault="000D1EC7" w:rsidP="000D1EC7">
      <w:pPr>
        <w:spacing w:before="0" w:after="0" w:line="240" w:lineRule="auto"/>
        <w:ind w:firstLine="709"/>
        <w:rPr>
          <w:rFonts w:ascii="Calibri" w:eastAsia="Calibri" w:hAnsi="Calibri" w:cs="Calibri"/>
          <w:szCs w:val="24"/>
          <w:lang w:val="sr-Latn-RS"/>
        </w:rPr>
      </w:pPr>
      <w:r w:rsidRPr="000D1EC7">
        <w:rPr>
          <w:rFonts w:ascii="Calibri" w:eastAsia="Calibri" w:hAnsi="Calibri" w:cs="Calibri"/>
          <w:szCs w:val="24"/>
          <w:lang w:val="sr-Latn-RS"/>
        </w:rPr>
        <w:t xml:space="preserve">Ukupna vrijednost ovog programa je oko 16 miliona eura, od kojih </w:t>
      </w:r>
      <w:r w:rsidRPr="000D1EC7">
        <w:rPr>
          <w:rFonts w:ascii="Calibri" w:eastAsia="Calibri" w:hAnsi="Calibri" w:cs="Calibri"/>
          <w:szCs w:val="24"/>
          <w:u w:val="single"/>
          <w:lang w:val="sr-Latn-RS"/>
        </w:rPr>
        <w:t>CFCU kao ugovorno tijelo realizuje 2,9 miliona eura</w:t>
      </w:r>
      <w:r w:rsidRPr="000D1EC7">
        <w:rPr>
          <w:rFonts w:ascii="Calibri" w:eastAsia="Calibri" w:hAnsi="Calibri" w:cs="Calibri"/>
          <w:szCs w:val="24"/>
          <w:lang w:val="sr-Latn-RS"/>
        </w:rPr>
        <w:t xml:space="preserve"> (trenutno 19 ugovora), koji se finansiraju iz Instrumenta za evropsku integraciju. Finansijski sporazum je potpisan 17. decembra 2018. godine, dok je rok za ugovaranje 17. decembar 2021. godine.</w:t>
      </w:r>
    </w:p>
    <w:p w:rsidR="000D1EC7" w:rsidRPr="000D1EC7" w:rsidRDefault="000D1EC7" w:rsidP="000D1EC7">
      <w:pPr>
        <w:spacing w:before="0" w:after="0" w:line="240" w:lineRule="auto"/>
        <w:ind w:firstLine="709"/>
        <w:rPr>
          <w:rFonts w:ascii="Calibri" w:eastAsia="Calibri" w:hAnsi="Calibri" w:cs="Calibri"/>
          <w:szCs w:val="24"/>
          <w:lang w:val="sr-Latn-RS"/>
        </w:rPr>
      </w:pPr>
      <w:r w:rsidRPr="000D1EC7">
        <w:rPr>
          <w:rFonts w:ascii="Calibri" w:eastAsia="Calibri" w:hAnsi="Calibri" w:cs="Calibri"/>
          <w:szCs w:val="24"/>
          <w:lang w:val="sr-Latn-RS"/>
        </w:rPr>
        <w:t>Tokom 2020. godine ukupno je potpisano 9 ugovora i otpočela je njihova implementacija. Takođe, pokrenut je i evaluacioni postupak za jedan od ugovora, dok je priveden kraju i proces usaglašavanja dokumentacije za 2 ugovora sa korisničkim institucijama. Pokretanje ovih tenderskih procedura je planirano za 2021. godinu. Za ugovor koji se odnosio na podršku za uspostavljanje prvog Naučno-tehnološkog parka u Crnoj Gori, u skladu sa sugestijom DEU, otkazano je finansiranje nakon što je 2 puta tenderski postupak bio neuspješan. Do kraja godine su završena 3 ugovora, pa se trenutno sprovodi 6 ugovora. Do sada je, po osnovu potpisanih ugovora u okviru ovog Programa, isplaćeno ukupno 275.950 eura (25% od ukupno ugovorenih sredstava – 1.086.239,00 eura).</w:t>
      </w:r>
    </w:p>
    <w:p w:rsidR="000D1EC7" w:rsidRPr="00F121BE" w:rsidRDefault="000D1EC7" w:rsidP="00F121BE">
      <w:pPr>
        <w:spacing w:before="0" w:after="0" w:line="240" w:lineRule="auto"/>
        <w:ind w:firstLine="709"/>
        <w:rPr>
          <w:rFonts w:ascii="Calibri" w:eastAsia="Calibri" w:hAnsi="Calibri" w:cs="Calibri"/>
          <w:szCs w:val="24"/>
          <w:lang w:val="sr-Latn-RS"/>
        </w:rPr>
      </w:pPr>
      <w:r w:rsidRPr="000D1EC7">
        <w:rPr>
          <w:rFonts w:ascii="Calibri" w:eastAsia="Calibri" w:hAnsi="Calibri" w:cs="Calibri"/>
          <w:szCs w:val="24"/>
          <w:lang w:val="sr-Latn-RS"/>
        </w:rPr>
        <w:t>Kako rok za ugovaranje po ovom Programu ističe 17. decembra 2021. godine, planirano je intenziviranje aktivnosti na pokretanju i finalizaciji pr</w:t>
      </w:r>
      <w:r w:rsidR="00F121BE">
        <w:rPr>
          <w:rFonts w:ascii="Calibri" w:eastAsia="Calibri" w:hAnsi="Calibri" w:cs="Calibri"/>
          <w:szCs w:val="24"/>
          <w:lang w:val="sr-Latn-RS"/>
        </w:rPr>
        <w:t xml:space="preserve">eostalih tenderskih procedura. </w:t>
      </w:r>
    </w:p>
    <w:p w:rsidR="000D1EC7" w:rsidRPr="000D1EC7" w:rsidRDefault="000D1EC7" w:rsidP="000D1EC7">
      <w:pPr>
        <w:spacing w:before="0" w:after="0" w:line="240" w:lineRule="auto"/>
        <w:ind w:firstLine="709"/>
        <w:rPr>
          <w:rFonts w:ascii="Calibri" w:eastAsia="Calibri" w:hAnsi="Calibri" w:cs="Calibri"/>
          <w:b/>
          <w:szCs w:val="24"/>
          <w:u w:val="single"/>
          <w:lang w:val="sr-Latn-RS"/>
        </w:rPr>
      </w:pPr>
      <w:r w:rsidRPr="000D1EC7">
        <w:rPr>
          <w:rFonts w:ascii="Calibri" w:eastAsia="Calibri" w:hAnsi="Calibri" w:cs="Calibri"/>
          <w:b/>
          <w:szCs w:val="24"/>
          <w:u w:val="single"/>
          <w:lang w:val="sr-Latn-RS"/>
        </w:rPr>
        <w:t>Realizacija Godišnjeg akcijskog programa IPA-e za Crnu Goru za 2018. godinu (100% finansirano od strane EU):</w:t>
      </w:r>
    </w:p>
    <w:p w:rsidR="000D1EC7" w:rsidRPr="000D1EC7" w:rsidRDefault="000D1EC7" w:rsidP="000D1EC7">
      <w:pPr>
        <w:spacing w:before="0" w:after="0" w:line="240" w:lineRule="auto"/>
        <w:ind w:firstLine="709"/>
        <w:rPr>
          <w:rFonts w:ascii="Calibri" w:eastAsia="Calibri" w:hAnsi="Calibri" w:cs="Calibri"/>
          <w:b/>
          <w:szCs w:val="24"/>
          <w:u w:val="single"/>
          <w:lang w:val="sr-Latn-RS"/>
        </w:rPr>
      </w:pPr>
      <w:r w:rsidRPr="000D1EC7">
        <w:rPr>
          <w:rFonts w:ascii="Calibri" w:eastAsia="Calibri" w:hAnsi="Calibri" w:cs="Calibri"/>
          <w:szCs w:val="24"/>
          <w:lang w:val="sr-Latn-RS"/>
        </w:rPr>
        <w:t xml:space="preserve">Ukupna vrijednost ovog programa je oko </w:t>
      </w:r>
      <w:r w:rsidRPr="000D1EC7">
        <w:rPr>
          <w:rFonts w:ascii="Calibri" w:eastAsia="Calibri" w:hAnsi="Calibri" w:cs="Calibri"/>
          <w:b/>
          <w:szCs w:val="24"/>
          <w:lang w:val="sr-Latn-RS"/>
        </w:rPr>
        <w:t>38,7 miliona eura</w:t>
      </w:r>
      <w:r w:rsidRPr="000D1EC7">
        <w:rPr>
          <w:rFonts w:ascii="Calibri" w:eastAsia="Calibri" w:hAnsi="Calibri" w:cs="Calibri"/>
          <w:szCs w:val="24"/>
          <w:lang w:val="sr-Latn-RS"/>
        </w:rPr>
        <w:t xml:space="preserve">, od kojih </w:t>
      </w:r>
      <w:r w:rsidRPr="000D1EC7">
        <w:rPr>
          <w:rFonts w:ascii="Calibri" w:eastAsia="Calibri" w:hAnsi="Calibri" w:cs="Calibri"/>
          <w:szCs w:val="24"/>
          <w:u w:val="single"/>
          <w:lang w:val="sr-Latn-RS"/>
        </w:rPr>
        <w:t>CFCU kao ugovorno tijelo realizuje oko 2 miliona eura</w:t>
      </w:r>
      <w:r w:rsidRPr="000D1EC7">
        <w:rPr>
          <w:rFonts w:ascii="Calibri" w:eastAsia="Calibri" w:hAnsi="Calibri" w:cs="Calibri"/>
          <w:szCs w:val="24"/>
          <w:lang w:val="sr-Latn-RS"/>
        </w:rPr>
        <w:t>. Finansijski sporazum je potpisan 2. decembra 2019. godine, dok je rok za ugovaranje 2. decembar 2022. godine.</w:t>
      </w:r>
    </w:p>
    <w:p w:rsidR="000D1EC7" w:rsidRPr="000D1EC7" w:rsidRDefault="000D1EC7" w:rsidP="000D1EC7">
      <w:pPr>
        <w:spacing w:before="0" w:after="0" w:line="240" w:lineRule="auto"/>
        <w:rPr>
          <w:rFonts w:ascii="Calibri" w:eastAsia="Calibri" w:hAnsi="Calibri" w:cs="Calibri"/>
          <w:szCs w:val="24"/>
          <w:lang w:val="sr-Latn-RS"/>
        </w:rPr>
      </w:pPr>
      <w:r w:rsidRPr="000D1EC7">
        <w:rPr>
          <w:rFonts w:ascii="Calibri" w:eastAsia="Calibri" w:hAnsi="Calibri" w:cs="Calibri"/>
          <w:szCs w:val="24"/>
          <w:lang w:val="sr-Latn-RS"/>
        </w:rPr>
        <w:t>U okviru ovog Programa, CFCU je zadužen za sprovođenje 7 ugovora čije su korisničke institucije Ministarstvo finansija i socijalnog staranja i Ministarstvo unutrašnjih poslova (Sektor Vladavina prava i temeljna prava). Sredstva koja su prvenstveno namijenjena za projekte Ministarstva poljoprivrede, šumarstva i vodoprivrede (Sektor Poljoprivreda i ruralni razvoj) su ustupljena za saniranje posljedica pandemije COVID-19.</w:t>
      </w:r>
    </w:p>
    <w:p w:rsidR="000D1EC7" w:rsidRPr="000D1EC7" w:rsidRDefault="000D1EC7" w:rsidP="000D1EC7">
      <w:pPr>
        <w:spacing w:before="0" w:after="0" w:line="240" w:lineRule="auto"/>
        <w:ind w:firstLine="709"/>
        <w:rPr>
          <w:rFonts w:ascii="Calibri" w:eastAsia="Calibri" w:hAnsi="Calibri" w:cs="Calibri"/>
          <w:szCs w:val="24"/>
          <w:lang w:val="sr-Latn-RS"/>
        </w:rPr>
      </w:pPr>
      <w:r w:rsidRPr="000D1EC7">
        <w:rPr>
          <w:rFonts w:ascii="Calibri" w:eastAsia="Calibri" w:hAnsi="Calibri" w:cs="Calibri"/>
          <w:szCs w:val="24"/>
          <w:lang w:val="sr-Latn-RS"/>
        </w:rPr>
        <w:lastRenderedPageBreak/>
        <w:t>Tokom 2020. godine nije potpisan nijedan ugovor, ali je pokrenut proces ugovaranja za 2 ugovora, a za 2 ugovora je otpočelo usaglašavanje tenderske dokumentacije sa korisničkim institucijama. Dodatno, pokrenute su aktivnosti na usaglašavanju izmjena Akcionog dokumenta između DEU i NIPAK kancelarije, od kojih zavisi otpočinjanje realizacije jedne od procedura u nadležnosti Uprave carina.</w:t>
      </w:r>
    </w:p>
    <w:p w:rsidR="000D1EC7" w:rsidRPr="00F121BE" w:rsidRDefault="000D1EC7" w:rsidP="00F121BE">
      <w:pPr>
        <w:spacing w:before="0" w:after="0" w:line="240" w:lineRule="auto"/>
        <w:ind w:firstLine="709"/>
        <w:rPr>
          <w:rFonts w:ascii="Calibri" w:eastAsia="Calibri" w:hAnsi="Calibri" w:cs="Calibri"/>
          <w:szCs w:val="24"/>
          <w:lang w:val="sr-Latn-RS"/>
        </w:rPr>
      </w:pPr>
      <w:r w:rsidRPr="000D1EC7">
        <w:rPr>
          <w:rFonts w:ascii="Calibri" w:eastAsia="Calibri" w:hAnsi="Calibri" w:cs="Calibri"/>
          <w:szCs w:val="24"/>
          <w:lang w:val="sr-Latn-RS"/>
        </w:rPr>
        <w:t>Imajući u vidu nezadovoljavajuću dinamiku realizacije tenderskih procedura u prethodnom periodu, potrebno je intenzivirati aktivnosti na usvajanju Akcionog dokumenta, a potom i pripremi i dostavljanju tenderske doku</w:t>
      </w:r>
      <w:r w:rsidR="00F121BE">
        <w:rPr>
          <w:rFonts w:ascii="Calibri" w:eastAsia="Calibri" w:hAnsi="Calibri" w:cs="Calibri"/>
          <w:szCs w:val="24"/>
          <w:lang w:val="sr-Latn-RS"/>
        </w:rPr>
        <w:t>mentacije za preostale ugovore.</w:t>
      </w:r>
    </w:p>
    <w:p w:rsidR="000D1EC7" w:rsidRPr="000D1EC7" w:rsidRDefault="000D1EC7" w:rsidP="000D1EC7">
      <w:pPr>
        <w:spacing w:before="0" w:after="0" w:line="240" w:lineRule="auto"/>
        <w:ind w:firstLine="709"/>
        <w:rPr>
          <w:rFonts w:ascii="Calibri" w:eastAsia="Calibri" w:hAnsi="Calibri" w:cs="Calibri"/>
          <w:b/>
          <w:szCs w:val="24"/>
          <w:u w:val="single"/>
          <w:lang w:val="sr-Latn-RS"/>
        </w:rPr>
      </w:pPr>
      <w:r w:rsidRPr="000D1EC7">
        <w:rPr>
          <w:rFonts w:ascii="Calibri" w:eastAsia="Calibri" w:hAnsi="Calibri" w:cs="Calibri"/>
          <w:b/>
          <w:szCs w:val="24"/>
          <w:u w:val="single"/>
          <w:lang w:val="sr-Latn-RS"/>
        </w:rPr>
        <w:t>Realizacija Godišnjeg akcijskog programa IPA-e za Crnu Goru za 2020. godinu (91,88% EU doprinos, 8,12% nacionalno ko-finansiranje):</w:t>
      </w:r>
    </w:p>
    <w:p w:rsidR="000D1EC7" w:rsidRPr="000D1EC7" w:rsidRDefault="000D1EC7" w:rsidP="000D1EC7">
      <w:pPr>
        <w:spacing w:before="0" w:after="0" w:line="240" w:lineRule="auto"/>
        <w:rPr>
          <w:rFonts w:ascii="Calibri" w:eastAsia="Calibri" w:hAnsi="Calibri" w:cs="Calibri"/>
          <w:szCs w:val="24"/>
          <w:lang w:val="sr-Latn-RS"/>
        </w:rPr>
      </w:pPr>
      <w:r w:rsidRPr="000D1EC7">
        <w:rPr>
          <w:rFonts w:ascii="Calibri" w:eastAsia="Calibri" w:hAnsi="Calibri" w:cs="Calibri"/>
          <w:szCs w:val="24"/>
          <w:lang w:val="sr-Latn-RS"/>
        </w:rPr>
        <w:t xml:space="preserve">Ukupna vrijednost ovog programa je oko </w:t>
      </w:r>
      <w:r w:rsidRPr="000D1EC7">
        <w:rPr>
          <w:rFonts w:ascii="Calibri" w:eastAsia="Calibri" w:hAnsi="Calibri" w:cs="Calibri"/>
          <w:b/>
          <w:szCs w:val="24"/>
          <w:lang w:val="sr-Latn-RS"/>
        </w:rPr>
        <w:t>24 miliona eura,</w:t>
      </w:r>
      <w:r w:rsidRPr="000D1EC7">
        <w:rPr>
          <w:rFonts w:ascii="Calibri" w:eastAsia="Calibri" w:hAnsi="Calibri" w:cs="Calibri"/>
          <w:szCs w:val="24"/>
          <w:lang w:val="sr-Latn-RS"/>
        </w:rPr>
        <w:t xml:space="preserve"> od kojih </w:t>
      </w:r>
      <w:r w:rsidRPr="000D1EC7">
        <w:rPr>
          <w:rFonts w:ascii="Calibri" w:eastAsia="Calibri" w:hAnsi="Calibri" w:cs="Calibri"/>
          <w:szCs w:val="24"/>
          <w:u w:val="single"/>
          <w:lang w:val="sr-Latn-RS"/>
        </w:rPr>
        <w:t>CFCU kao ugovorno tijelo realizuje 9,2 miliona eura</w:t>
      </w:r>
      <w:r w:rsidRPr="000D1EC7">
        <w:rPr>
          <w:rFonts w:ascii="Calibri" w:eastAsia="Calibri" w:hAnsi="Calibri" w:cs="Calibri"/>
          <w:szCs w:val="24"/>
          <w:lang w:val="sr-Latn-RS"/>
        </w:rPr>
        <w:t>. Finansijski sporazum za ovaj Program je potpisan 28. avgusta 2020. godine, dok je rok za ugovaranje 28. avgust 2023. godine.</w:t>
      </w:r>
    </w:p>
    <w:p w:rsidR="000D1EC7" w:rsidRPr="000D1EC7" w:rsidRDefault="000D1EC7" w:rsidP="000D1EC7">
      <w:pPr>
        <w:spacing w:before="0" w:after="0" w:line="240" w:lineRule="auto"/>
        <w:rPr>
          <w:rFonts w:ascii="Calibri" w:eastAsia="Calibri" w:hAnsi="Calibri" w:cs="Calibri"/>
          <w:szCs w:val="24"/>
          <w:lang w:val="sr-Latn-RS"/>
        </w:rPr>
      </w:pPr>
      <w:r w:rsidRPr="000D1EC7">
        <w:rPr>
          <w:rFonts w:ascii="Calibri" w:eastAsia="Calibri" w:hAnsi="Calibri" w:cs="Calibri"/>
          <w:szCs w:val="24"/>
          <w:lang w:val="sr-Latn-RS"/>
        </w:rPr>
        <w:t>U okviru ovog Programa CFCU će biti zadužen za sprovođenje 11 procedura čije su korisničke institucije Ministarstvo ekonomskog razvoja (Sektor Konkurentnost i inovacije i Sektor zapošljavanje) i Ministarstvo prosvjete, nauke, kulture i sporta (Sektor Nauka).</w:t>
      </w:r>
    </w:p>
    <w:p w:rsidR="000D1EC7" w:rsidRPr="000D1EC7" w:rsidRDefault="000D1EC7" w:rsidP="000D1EC7">
      <w:pPr>
        <w:spacing w:before="0" w:after="0" w:line="240" w:lineRule="auto"/>
        <w:rPr>
          <w:rFonts w:ascii="Calibri" w:eastAsia="Calibri" w:hAnsi="Calibri" w:cs="Calibri"/>
          <w:szCs w:val="24"/>
          <w:lang w:val="sr-Latn-RS"/>
        </w:rPr>
      </w:pPr>
      <w:r w:rsidRPr="000D1EC7">
        <w:rPr>
          <w:rFonts w:ascii="Calibri" w:eastAsia="Calibri" w:hAnsi="Calibri" w:cs="Calibri"/>
          <w:szCs w:val="24"/>
          <w:lang w:val="sr-Latn-RS"/>
        </w:rPr>
        <w:t>Krajem 2020. godine usaglašen je i poslat na ex-ante kontrolu DEU aplikacioni paket za jednu grant šemu koja je u nadležnosti Ministarstva prosvjete, nauke, kulture i sporta.</w:t>
      </w:r>
    </w:p>
    <w:p w:rsidR="000D1EC7" w:rsidRPr="00F121BE" w:rsidRDefault="000D1EC7" w:rsidP="00F121BE">
      <w:pPr>
        <w:spacing w:before="0" w:after="0" w:line="240" w:lineRule="auto"/>
        <w:ind w:firstLine="709"/>
        <w:rPr>
          <w:rFonts w:ascii="Calibri" w:eastAsia="Calibri" w:hAnsi="Calibri" w:cs="Calibri"/>
          <w:szCs w:val="24"/>
          <w:lang w:val="sr-Latn-RS"/>
        </w:rPr>
      </w:pPr>
      <w:r w:rsidRPr="000D1EC7">
        <w:rPr>
          <w:rFonts w:ascii="Calibri" w:eastAsia="Calibri" w:hAnsi="Calibri" w:cs="Calibri"/>
          <w:szCs w:val="24"/>
          <w:lang w:val="sr-Latn-RS"/>
        </w:rPr>
        <w:t>Tokom 2021. godine je planirano pokretanje 7 procedu</w:t>
      </w:r>
      <w:r w:rsidR="00F121BE">
        <w:rPr>
          <w:rFonts w:ascii="Calibri" w:eastAsia="Calibri" w:hAnsi="Calibri" w:cs="Calibri"/>
          <w:szCs w:val="24"/>
          <w:lang w:val="sr-Latn-RS"/>
        </w:rPr>
        <w:t>ra koje su planirane Programom.</w:t>
      </w:r>
    </w:p>
    <w:p w:rsidR="000D1EC7" w:rsidRPr="000D1EC7" w:rsidRDefault="000D1EC7" w:rsidP="000D1EC7">
      <w:pPr>
        <w:spacing w:before="0" w:after="0" w:line="259" w:lineRule="auto"/>
        <w:ind w:firstLine="709"/>
        <w:rPr>
          <w:rFonts w:ascii="Calibri" w:eastAsia="Calibri" w:hAnsi="Calibri" w:cs="Calibri"/>
          <w:b/>
          <w:szCs w:val="24"/>
          <w:u w:val="single"/>
          <w:lang w:val="sr-Latn-RS"/>
        </w:rPr>
      </w:pPr>
      <w:r w:rsidRPr="000D1EC7">
        <w:rPr>
          <w:rFonts w:ascii="Calibri" w:eastAsia="Calibri" w:hAnsi="Calibri" w:cs="Calibri"/>
          <w:b/>
          <w:szCs w:val="24"/>
          <w:u w:val="single"/>
          <w:lang w:val="sr-Latn-RS"/>
        </w:rPr>
        <w:t>Realizacija Sektorskog operativnog programa za zapošljavanje, obrazovanje i socijalne politike 2015-2017 (SOPEES) (85% EU doprinos, 15% nacionalno ko-finansiranje)</w:t>
      </w:r>
    </w:p>
    <w:p w:rsidR="000D1EC7" w:rsidRPr="00F121BE" w:rsidRDefault="000D1EC7" w:rsidP="00F121BE">
      <w:pPr>
        <w:spacing w:before="0" w:after="0" w:line="240" w:lineRule="auto"/>
        <w:ind w:firstLine="709"/>
        <w:rPr>
          <w:rFonts w:eastAsia="Calibri" w:cs="Calibri"/>
          <w:szCs w:val="24"/>
          <w:lang w:val="sr-Latn-RS"/>
        </w:rPr>
      </w:pPr>
      <w:r w:rsidRPr="00F121BE">
        <w:rPr>
          <w:rFonts w:eastAsia="Calibri" w:cs="Calibri"/>
          <w:szCs w:val="24"/>
          <w:lang w:val="sr-Latn-RS"/>
        </w:rPr>
        <w:t xml:space="preserve">Ukupna vrijednost Programa je </w:t>
      </w:r>
      <w:r w:rsidRPr="00F121BE">
        <w:rPr>
          <w:rFonts w:eastAsia="Calibri" w:cs="Calibri"/>
          <w:b/>
          <w:szCs w:val="24"/>
          <w:lang w:val="sr-Latn-RS"/>
        </w:rPr>
        <w:t>18 miliona eura</w:t>
      </w:r>
      <w:r w:rsidRPr="00F121BE">
        <w:rPr>
          <w:rFonts w:eastAsia="Calibri" w:cs="Calibri"/>
          <w:szCs w:val="24"/>
          <w:lang w:val="sr-Latn-RS"/>
        </w:rPr>
        <w:t xml:space="preserve">, od kojih je </w:t>
      </w:r>
      <w:r w:rsidRPr="00F121BE">
        <w:rPr>
          <w:rFonts w:eastAsia="Calibri" w:cs="Calibri"/>
          <w:szCs w:val="24"/>
          <w:u w:val="single"/>
          <w:lang w:val="sr-Latn-RS"/>
        </w:rPr>
        <w:t>CFCU zadužen za sprovođenje 17 miliona eura</w:t>
      </w:r>
      <w:r w:rsidRPr="00F121BE">
        <w:rPr>
          <w:rFonts w:eastAsia="Calibri" w:cs="Calibri"/>
          <w:szCs w:val="24"/>
          <w:lang w:val="sr-Latn-RS"/>
        </w:rPr>
        <w:t>.  Finansijski sporazum za ovaj Program je potpisan 12. jula 2018. godine, dok je aneks Sporazuma potpisan u avgustu 2020. godine.</w:t>
      </w:r>
    </w:p>
    <w:p w:rsidR="000D1EC7" w:rsidRPr="00F121BE" w:rsidRDefault="000D1EC7" w:rsidP="00F121BE">
      <w:pPr>
        <w:spacing w:before="0" w:after="0" w:line="240" w:lineRule="auto"/>
        <w:ind w:firstLine="709"/>
        <w:rPr>
          <w:rFonts w:eastAsia="Calibri" w:cs="Calibri"/>
          <w:szCs w:val="24"/>
          <w:lang w:val="sr-Latn-RS"/>
        </w:rPr>
      </w:pPr>
      <w:r w:rsidRPr="00F121BE">
        <w:rPr>
          <w:rFonts w:eastAsia="Calibri" w:cs="Calibri"/>
          <w:szCs w:val="24"/>
          <w:lang w:val="sr-Latn-RS"/>
        </w:rPr>
        <w:t>U okviru ovog programa CFCU sprovodi ukupno 21 proceduru, a čije su korisničke institucije Ministarstvo finansija i socijalnog staranja, Ministarstvo ekonomskog razvoja, Ministarstvo prosvjete, nauke, kulture i sporta i Ministarstvo pravde, ljudskih i manjinskih prava.</w:t>
      </w:r>
    </w:p>
    <w:p w:rsidR="000D1EC7" w:rsidRPr="00F121BE" w:rsidRDefault="000D1EC7" w:rsidP="00F121BE">
      <w:pPr>
        <w:spacing w:before="0" w:after="0" w:line="240" w:lineRule="auto"/>
        <w:rPr>
          <w:rFonts w:eastAsia="Calibri" w:cs="Calibri"/>
          <w:szCs w:val="24"/>
          <w:lang w:val="sr-Latn-RS"/>
        </w:rPr>
      </w:pPr>
      <w:r w:rsidRPr="00F121BE">
        <w:rPr>
          <w:rFonts w:eastAsia="Calibri" w:cs="Calibri"/>
          <w:szCs w:val="24"/>
          <w:lang w:val="sr-Latn-RS"/>
        </w:rPr>
        <w:t xml:space="preserve">U prethodnom periodu, potpisano je 55 ugovora, a tokom 2020. godine nastavljeno je praćenje implementacije već potpisanih ugovora. </w:t>
      </w:r>
    </w:p>
    <w:p w:rsidR="000D1EC7" w:rsidRPr="00F121BE" w:rsidRDefault="000D1EC7" w:rsidP="00F121BE">
      <w:pPr>
        <w:spacing w:before="0" w:after="0" w:line="240" w:lineRule="auto"/>
        <w:ind w:firstLine="709"/>
        <w:rPr>
          <w:rFonts w:eastAsia="Calibri" w:cs="Calibri"/>
          <w:szCs w:val="24"/>
          <w:lang w:val="sr-Latn-RS"/>
        </w:rPr>
      </w:pPr>
      <w:r w:rsidRPr="00F121BE">
        <w:rPr>
          <w:rFonts w:eastAsia="Calibri" w:cs="Calibri"/>
          <w:szCs w:val="24"/>
          <w:lang w:val="sr-Latn-RS"/>
        </w:rPr>
        <w:t xml:space="preserve">Pokrenuta je procedura za grant šemu „Podrška zapošljavanju u manje razvijenim opštinama u Crnoj Gori“, 2 ugovora o nabavci opreme i 2 ugovora o uslugama. Važno je napomenuti i da su, na osnovu ušteda ostvarenih prilikom potpisivanja ugovora, obezbijeđena sredstva za još jednu grant šemu za sprovođenje obuka i zapošljavanje u oblasti deficitarnih zanimanja (ponovljeni poziv u iznosu od 0,7 miliona eura). Priprema aplikacionog paketa za ovu grant šemu otpočela je krajem 2020. godine. </w:t>
      </w:r>
    </w:p>
    <w:p w:rsidR="000D1EC7" w:rsidRPr="00F121BE" w:rsidRDefault="000D1EC7" w:rsidP="00F121BE">
      <w:pPr>
        <w:spacing w:before="0" w:after="0" w:line="240" w:lineRule="auto"/>
        <w:ind w:firstLine="709"/>
        <w:rPr>
          <w:rFonts w:eastAsia="Calibri" w:cs="Calibri"/>
          <w:b/>
          <w:szCs w:val="24"/>
          <w:lang w:val="sr-Latn-RS"/>
        </w:rPr>
      </w:pPr>
      <w:r w:rsidRPr="00F121BE">
        <w:rPr>
          <w:rFonts w:eastAsia="Calibri" w:cs="Calibri"/>
          <w:szCs w:val="24"/>
          <w:lang w:val="sr-Latn-RS"/>
        </w:rPr>
        <w:t xml:space="preserve">Kada je u pitanju sprovođenje ugovora iz navedenog Programa, pandemija korona virusa je takođe uticala na kašnjenje u realizaciji ugovornih obaveza i nemogućnost sprovođenja određenih aktivnosti na terenu, zbog čega je u prethodnom periodu inicirana suspenzija aktivnosti ili produženje implementacije za 12 aktivnih ugovora. </w:t>
      </w:r>
    </w:p>
    <w:p w:rsidR="000D1EC7" w:rsidRPr="00F121BE" w:rsidRDefault="000D1EC7" w:rsidP="00F121BE">
      <w:pPr>
        <w:spacing w:before="0" w:after="0" w:line="240" w:lineRule="auto"/>
        <w:ind w:firstLine="709"/>
        <w:rPr>
          <w:rFonts w:eastAsia="Calibri" w:cs="Calibri"/>
          <w:szCs w:val="24"/>
          <w:lang w:val="sr-Latn-RS"/>
        </w:rPr>
      </w:pPr>
      <w:r w:rsidRPr="00F121BE">
        <w:rPr>
          <w:rFonts w:eastAsia="Calibri" w:cs="Calibri"/>
          <w:szCs w:val="24"/>
          <w:lang w:val="sr-Latn-RS"/>
        </w:rPr>
        <w:t xml:space="preserve">Do sada je isplaćeno 6.222.058,26 eura, odnosno 49% ukupno ugovorenih sredstava (12.593.317,77 eura). </w:t>
      </w:r>
    </w:p>
    <w:p w:rsidR="000D1EC7" w:rsidRPr="00F121BE" w:rsidRDefault="000D1EC7" w:rsidP="00F121BE">
      <w:pPr>
        <w:spacing w:before="0" w:after="0" w:line="240" w:lineRule="auto"/>
        <w:ind w:firstLine="709"/>
        <w:rPr>
          <w:rFonts w:eastAsia="Calibri" w:cs="Calibri"/>
          <w:szCs w:val="24"/>
          <w:lang w:val="sr-Latn-RS"/>
        </w:rPr>
      </w:pPr>
      <w:r w:rsidRPr="00F121BE">
        <w:rPr>
          <w:rFonts w:eastAsia="Calibri" w:cs="Calibri"/>
          <w:szCs w:val="24"/>
          <w:lang w:val="sr-Latn-RS"/>
        </w:rPr>
        <w:t>Za 2021. godinu planirano je raspisivanje i ugovaranje preostale 2 procedure, privođenje kraju već pokrenutih procedura, kao i redovni monitoring potpisanih ugovora. Pripremljen je plan kontrola na licu mjesta, a planirane su aktivnosti na provjeri zahtjeva za plaćanje za 49 ugovora u okviru ovog Programa. Takođe, očekuje se dostavljanje zahtjeva za aneksiranje ugovora za većinu preostalih projekata čija je realizaci</w:t>
      </w:r>
      <w:r w:rsidR="00F121BE">
        <w:rPr>
          <w:rFonts w:eastAsia="Calibri" w:cs="Calibri"/>
          <w:szCs w:val="24"/>
          <w:lang w:val="sr-Latn-RS"/>
        </w:rPr>
        <w:t>ja otpočela tokom 2020. godine.</w:t>
      </w:r>
    </w:p>
    <w:p w:rsidR="000D1EC7" w:rsidRPr="000D1EC7" w:rsidRDefault="000D1EC7" w:rsidP="00F121BE">
      <w:pPr>
        <w:spacing w:before="0" w:after="0" w:line="240" w:lineRule="auto"/>
        <w:ind w:firstLine="709"/>
        <w:rPr>
          <w:rFonts w:ascii="Calibri" w:eastAsia="Calibri" w:hAnsi="Calibri" w:cs="Calibri"/>
          <w:b/>
          <w:szCs w:val="24"/>
          <w:u w:val="single"/>
          <w:lang w:val="sr-Latn-RS"/>
        </w:rPr>
      </w:pPr>
      <w:r w:rsidRPr="000D1EC7">
        <w:rPr>
          <w:rFonts w:ascii="Calibri" w:eastAsia="Calibri" w:hAnsi="Calibri" w:cs="Calibri"/>
          <w:b/>
          <w:szCs w:val="24"/>
          <w:u w:val="single"/>
          <w:lang w:val="sr-Latn-RS"/>
        </w:rPr>
        <w:t>Realizacija Programa prekogranične saradnje Crna Gora – Albanija 2014-2020. godine</w:t>
      </w:r>
    </w:p>
    <w:p w:rsidR="000D1EC7" w:rsidRPr="000D1EC7" w:rsidRDefault="000D1EC7" w:rsidP="00F121BE">
      <w:pPr>
        <w:spacing w:before="0" w:after="0" w:line="240" w:lineRule="auto"/>
        <w:ind w:firstLine="709"/>
        <w:rPr>
          <w:rFonts w:ascii="Calibri" w:eastAsia="Calibri" w:hAnsi="Calibri" w:cs="Calibri"/>
          <w:szCs w:val="24"/>
          <w:lang w:val="sr-Latn-RS"/>
        </w:rPr>
      </w:pPr>
      <w:r w:rsidRPr="000D1EC7">
        <w:rPr>
          <w:rFonts w:ascii="Calibri" w:eastAsia="Calibri" w:hAnsi="Calibri" w:cs="Calibri"/>
          <w:szCs w:val="24"/>
          <w:lang w:val="sr-Latn-RS"/>
        </w:rPr>
        <w:lastRenderedPageBreak/>
        <w:t xml:space="preserve">Program prekogranične saradnje Crna Gora-Albanija je usvojen u decembru 2014. godine, ukupne vrijednosti 11,9 miliona eura, od čega je </w:t>
      </w:r>
      <w:r w:rsidRPr="000D1EC7">
        <w:rPr>
          <w:rFonts w:ascii="Calibri" w:eastAsia="Calibri" w:hAnsi="Calibri" w:cs="Calibri"/>
          <w:szCs w:val="24"/>
          <w:u w:val="single"/>
          <w:lang w:val="sr-Latn-RS"/>
        </w:rPr>
        <w:t>10,7 miliona eura namijenjeno finansiranju projekata u nadležnosti CFCU</w:t>
      </w:r>
      <w:r w:rsidRPr="000D1EC7">
        <w:rPr>
          <w:rFonts w:ascii="Calibri" w:eastAsia="Calibri" w:hAnsi="Calibri" w:cs="Calibri"/>
          <w:szCs w:val="24"/>
          <w:lang w:val="sr-Latn-RS"/>
        </w:rPr>
        <w:t>.</w:t>
      </w:r>
    </w:p>
    <w:p w:rsidR="000D1EC7" w:rsidRPr="000D1EC7" w:rsidRDefault="000D1EC7" w:rsidP="00F121BE">
      <w:pPr>
        <w:spacing w:before="0" w:after="0" w:line="240" w:lineRule="auto"/>
        <w:ind w:firstLine="709"/>
        <w:rPr>
          <w:rFonts w:ascii="Calibri" w:eastAsia="Calibri" w:hAnsi="Calibri" w:cs="Calibri"/>
          <w:szCs w:val="24"/>
          <w:lang w:val="sr-Latn-RS"/>
        </w:rPr>
      </w:pPr>
      <w:r w:rsidRPr="000D1EC7">
        <w:rPr>
          <w:rFonts w:ascii="Calibri" w:eastAsia="Calibri" w:hAnsi="Calibri" w:cs="Calibri"/>
          <w:szCs w:val="24"/>
          <w:lang w:val="sr-Latn-RS"/>
        </w:rPr>
        <w:t xml:space="preserve">U okviru prvog poziva za dostavljanje projekata, od 8 ugovora sa uspješnim aplikantima u iznosu od 2,75 miliona eura, do kraja 2020. godine je završena implementacija za 5 ugovora, dok je sprovođenje 3 ugovora i dalje u toku. </w:t>
      </w:r>
    </w:p>
    <w:p w:rsidR="000D1EC7" w:rsidRPr="000D1EC7" w:rsidRDefault="000D1EC7" w:rsidP="00F121BE">
      <w:pPr>
        <w:spacing w:before="0" w:after="0" w:line="240" w:lineRule="auto"/>
        <w:ind w:firstLine="709"/>
        <w:rPr>
          <w:rFonts w:ascii="Calibri" w:eastAsia="Calibri" w:hAnsi="Calibri" w:cs="Calibri"/>
          <w:szCs w:val="24"/>
          <w:lang w:val="sr-Latn-RS"/>
        </w:rPr>
      </w:pPr>
      <w:r w:rsidRPr="000D1EC7">
        <w:rPr>
          <w:rFonts w:ascii="Calibri" w:eastAsia="Calibri" w:hAnsi="Calibri" w:cs="Calibri"/>
          <w:szCs w:val="24"/>
          <w:lang w:val="sr-Latn-RS"/>
        </w:rPr>
        <w:t xml:space="preserve">Drugi poziv za dostavljanje projektnih aplikacija je uspješno okončan 2020. godine potpisivanjem novih 7 ugovora u vrijednosti od 2,66 miliona eura. </w:t>
      </w:r>
    </w:p>
    <w:p w:rsidR="000D1EC7" w:rsidRPr="00F121BE" w:rsidRDefault="000D1EC7" w:rsidP="00F121BE">
      <w:pPr>
        <w:spacing w:before="0" w:after="0" w:line="240" w:lineRule="auto"/>
        <w:ind w:firstLine="709"/>
        <w:rPr>
          <w:rFonts w:ascii="Calibri" w:eastAsia="Calibri" w:hAnsi="Calibri" w:cs="Calibri"/>
          <w:szCs w:val="24"/>
          <w:lang w:val="sr-Latn-RS"/>
        </w:rPr>
      </w:pPr>
      <w:r w:rsidRPr="000D1EC7">
        <w:rPr>
          <w:rFonts w:ascii="Calibri" w:eastAsia="Calibri" w:hAnsi="Calibri" w:cs="Calibri"/>
          <w:szCs w:val="24"/>
          <w:lang w:val="sr-Latn-RS"/>
        </w:rPr>
        <w:t>Trenutno se sprovodi 10 ugovora potpisanih u okviru prvog i drugog poziva. Do sada je po osnovu ovog Programa isplaćeno 2.477.139,64 eura, tj. 90% od ukupno ugovorenih sredstava za prvi poziv (2.752.377,38 eura) i 1.490.403,70€ odnosno 56% od ukupno ugovorenih sredstava za drugi poziv (2.656.620,34 eura). Pored redovnih aktivnosti na praćenju već potpisanih ugovora i okončanju pregleda finalnih izvještaja za one koji su privedeni kraju, planirana je i priprema aplikacionog paketa za 3. poziv u iznosu od 4,9 miliona e</w:t>
      </w:r>
      <w:r w:rsidR="00F121BE">
        <w:rPr>
          <w:rFonts w:ascii="Calibri" w:eastAsia="Calibri" w:hAnsi="Calibri" w:cs="Calibri"/>
          <w:szCs w:val="24"/>
          <w:lang w:val="sr-Latn-RS"/>
        </w:rPr>
        <w:t xml:space="preserve">ura. </w:t>
      </w:r>
    </w:p>
    <w:p w:rsidR="000D1EC7" w:rsidRPr="000D1EC7" w:rsidRDefault="000D1EC7" w:rsidP="00F121BE">
      <w:pPr>
        <w:spacing w:before="0" w:after="0" w:line="240" w:lineRule="auto"/>
        <w:ind w:firstLine="709"/>
        <w:rPr>
          <w:rFonts w:ascii="Calibri" w:eastAsia="Calibri" w:hAnsi="Calibri" w:cs="Calibri"/>
          <w:b/>
          <w:szCs w:val="24"/>
          <w:u w:val="single"/>
          <w:lang w:val="sr-Latn-RS"/>
        </w:rPr>
      </w:pPr>
      <w:r w:rsidRPr="000D1EC7">
        <w:rPr>
          <w:rFonts w:ascii="Calibri" w:eastAsia="Calibri" w:hAnsi="Calibri" w:cs="Calibri"/>
          <w:b/>
          <w:szCs w:val="24"/>
          <w:u w:val="single"/>
          <w:lang w:val="sr-Latn-RS"/>
        </w:rPr>
        <w:t>Realizacija Programa prekogranične saradnje Crna Gora – Kosovo 2014-2020. godine</w:t>
      </w:r>
    </w:p>
    <w:p w:rsidR="000D1EC7" w:rsidRPr="000D1EC7" w:rsidRDefault="000D1EC7" w:rsidP="00F121BE">
      <w:pPr>
        <w:spacing w:before="0" w:after="0" w:line="240" w:lineRule="auto"/>
        <w:ind w:firstLine="709"/>
        <w:rPr>
          <w:rFonts w:ascii="Calibri" w:eastAsia="Calibri" w:hAnsi="Calibri" w:cs="Calibri"/>
          <w:szCs w:val="24"/>
          <w:lang w:val="sr-Latn-RS"/>
        </w:rPr>
      </w:pPr>
      <w:r w:rsidRPr="000D1EC7">
        <w:rPr>
          <w:rFonts w:ascii="Calibri" w:eastAsia="Calibri" w:hAnsi="Calibri" w:cs="Calibri"/>
          <w:szCs w:val="24"/>
          <w:lang w:val="sr-Latn-RS"/>
        </w:rPr>
        <w:t xml:space="preserve">Program prekogranične saradnje Crna Gora-Kosovo je usvojen u decembru 2014. godine, ukupne vrijednosti 8,4 miliona eura, od čega je </w:t>
      </w:r>
      <w:r w:rsidRPr="000D1EC7">
        <w:rPr>
          <w:rFonts w:ascii="Calibri" w:eastAsia="Calibri" w:hAnsi="Calibri" w:cs="Calibri"/>
          <w:szCs w:val="24"/>
          <w:u w:val="single"/>
          <w:lang w:val="sr-Latn-RS"/>
        </w:rPr>
        <w:t>7,6 miliona eura namijenjeno finansiranju projekata u nadležnosti CFCU</w:t>
      </w:r>
      <w:r w:rsidRPr="000D1EC7">
        <w:rPr>
          <w:rFonts w:ascii="Calibri" w:eastAsia="Calibri" w:hAnsi="Calibri" w:cs="Calibri"/>
          <w:szCs w:val="24"/>
          <w:lang w:val="sr-Latn-RS"/>
        </w:rPr>
        <w:t>.</w:t>
      </w:r>
    </w:p>
    <w:p w:rsidR="000D1EC7" w:rsidRPr="000D1EC7" w:rsidRDefault="000D1EC7" w:rsidP="00F121BE">
      <w:pPr>
        <w:spacing w:before="0" w:after="0" w:line="240" w:lineRule="auto"/>
        <w:ind w:firstLine="709"/>
        <w:rPr>
          <w:rFonts w:ascii="Calibri" w:eastAsia="Calibri" w:hAnsi="Calibri" w:cs="Calibri"/>
          <w:b/>
          <w:szCs w:val="24"/>
          <w:u w:val="single"/>
          <w:lang w:val="sr-Latn-RS"/>
        </w:rPr>
      </w:pPr>
      <w:r w:rsidRPr="000D1EC7">
        <w:rPr>
          <w:rFonts w:ascii="Calibri" w:eastAsia="Calibri" w:hAnsi="Calibri" w:cs="Calibri"/>
          <w:szCs w:val="24"/>
          <w:lang w:val="sr-Latn-RS"/>
        </w:rPr>
        <w:t>U okviru prvog poziva za dostavljanje projektnih predloga, potpisano je ukupno 7 ugovora sa uspješnim aplikantima u vrijednosti od 2,02 miliona eura, od kojih je sprovođenje 2 ugovora završeno tokom 2020. godine.</w:t>
      </w:r>
    </w:p>
    <w:p w:rsidR="000D1EC7" w:rsidRPr="000D1EC7" w:rsidRDefault="000D1EC7" w:rsidP="00F121BE">
      <w:pPr>
        <w:spacing w:before="0" w:after="0" w:line="240" w:lineRule="auto"/>
        <w:ind w:firstLine="709"/>
        <w:rPr>
          <w:rFonts w:ascii="Calibri" w:eastAsia="Calibri" w:hAnsi="Calibri" w:cs="Calibri"/>
          <w:szCs w:val="24"/>
          <w:lang w:val="sr-Latn-RS"/>
        </w:rPr>
      </w:pPr>
      <w:r w:rsidRPr="000D1EC7">
        <w:rPr>
          <w:rFonts w:ascii="Calibri" w:eastAsia="Calibri" w:hAnsi="Calibri" w:cs="Calibri"/>
          <w:szCs w:val="24"/>
          <w:lang w:val="sr-Latn-RS"/>
        </w:rPr>
        <w:t>Pored redovnog sprovođenja ugovornih obaveza za već potpisane ugovore, okončana je procedura ugovaranja za drugi poziv za dostavljanje projektnih predloga. Potpisano je 6 ugovora ukupne vrijednosti od 2 miliona eura.</w:t>
      </w:r>
    </w:p>
    <w:p w:rsidR="000D1EC7" w:rsidRPr="000D1EC7" w:rsidRDefault="000D1EC7" w:rsidP="00F121BE">
      <w:pPr>
        <w:spacing w:before="0" w:after="0" w:line="240" w:lineRule="auto"/>
        <w:ind w:firstLine="360"/>
        <w:rPr>
          <w:rFonts w:ascii="Calibri" w:eastAsia="Calibri" w:hAnsi="Calibri" w:cs="Calibri"/>
          <w:szCs w:val="24"/>
          <w:lang w:val="sr-Latn-RS"/>
        </w:rPr>
      </w:pPr>
      <w:r w:rsidRPr="000D1EC7">
        <w:rPr>
          <w:rFonts w:ascii="Calibri" w:eastAsia="Calibri" w:hAnsi="Calibri" w:cs="Calibri"/>
          <w:szCs w:val="24"/>
          <w:lang w:val="sr-Latn-RS"/>
        </w:rPr>
        <w:t>Trenutno se sprovodi 11 ugovora. U okviru ovog Programa ukupno je isplaćeno 1.677.039,66 eura, tj. 83% od ukupno ugovorenih sredstava za prvi poziv (2.019.993,38 eura) i 1.203.393,35€ odnosno 59,67% od ukupno ugovorenih sredstava za drugi poziv (2.016.678,23 eura). Tokom 2021. godine planirane su redovne aktivnosti na praćenju potpisanih ugovora i njihovom privođenju kraju, kao i aktivnosti na pokretanju trećeg poziva za dostavljanje projektnih predloga u v</w:t>
      </w:r>
      <w:r w:rsidR="00F121BE">
        <w:rPr>
          <w:rFonts w:ascii="Calibri" w:eastAsia="Calibri" w:hAnsi="Calibri" w:cs="Calibri"/>
          <w:szCs w:val="24"/>
          <w:lang w:val="sr-Latn-RS"/>
        </w:rPr>
        <w:t>rijednosti od 3,4 miliona eura.</w:t>
      </w:r>
    </w:p>
    <w:p w:rsidR="000D1EC7" w:rsidRPr="000D1EC7" w:rsidRDefault="000D1EC7" w:rsidP="000D1EC7">
      <w:pPr>
        <w:shd w:val="clear" w:color="auto" w:fill="FFFFFF"/>
        <w:spacing w:before="0" w:after="0" w:line="240" w:lineRule="auto"/>
        <w:ind w:left="360"/>
        <w:rPr>
          <w:rFonts w:ascii="Calibri" w:eastAsia="Calibri" w:hAnsi="Calibri" w:cs="Calibri"/>
          <w:szCs w:val="24"/>
          <w:u w:val="single"/>
          <w:lang w:val="sr-Latn-RS"/>
        </w:rPr>
      </w:pPr>
      <w:r w:rsidRPr="000D1EC7">
        <w:rPr>
          <w:rFonts w:ascii="Calibri" w:eastAsia="Calibri" w:hAnsi="Calibri" w:cs="Calibri"/>
          <w:b/>
          <w:szCs w:val="24"/>
          <w:u w:val="single"/>
          <w:lang w:val="sr-Latn-RS"/>
        </w:rPr>
        <w:t xml:space="preserve">II - Direktorat za finansiranje i ugovaranje sredstava EU pomoći u ulozi Kontrolnog tijela </w:t>
      </w:r>
    </w:p>
    <w:p w:rsidR="000D1EC7" w:rsidRPr="000D1EC7" w:rsidRDefault="000D1EC7" w:rsidP="000D1EC7">
      <w:pPr>
        <w:shd w:val="clear" w:color="auto" w:fill="FFFFFF"/>
        <w:spacing w:before="0" w:after="0" w:line="240" w:lineRule="auto"/>
        <w:ind w:firstLine="360"/>
        <w:rPr>
          <w:rFonts w:ascii="Calibri" w:eastAsia="Calibri" w:hAnsi="Calibri" w:cs="Calibri"/>
          <w:szCs w:val="24"/>
          <w:lang w:val="sr-Latn-RS"/>
        </w:rPr>
      </w:pPr>
      <w:r w:rsidRPr="000D1EC7">
        <w:rPr>
          <w:rFonts w:ascii="Calibri" w:eastAsia="Calibri" w:hAnsi="Calibri" w:cs="Calibri"/>
          <w:szCs w:val="24"/>
          <w:lang w:val="sr-Latn-RS"/>
        </w:rPr>
        <w:t xml:space="preserve">Direktorat za finansiranje i ugovaranje sredstava EU pomoći vrši funkciju Kontrolnog tijela za </w:t>
      </w:r>
      <w:r w:rsidRPr="000D1EC7">
        <w:rPr>
          <w:rFonts w:ascii="Calibri" w:eastAsia="Calibri" w:hAnsi="Calibri" w:cs="Calibri"/>
          <w:b/>
          <w:szCs w:val="24"/>
          <w:u w:val="single"/>
          <w:lang w:val="sr-Latn-RS"/>
        </w:rPr>
        <w:t>Program prekogranične saradnje Crna Gora – Srbija 2014-2020. godine</w:t>
      </w:r>
      <w:r w:rsidRPr="000D1EC7">
        <w:rPr>
          <w:rFonts w:ascii="Calibri" w:eastAsia="Calibri" w:hAnsi="Calibri" w:cs="Calibri"/>
          <w:szCs w:val="24"/>
          <w:lang w:val="sr-Latn-RS"/>
        </w:rPr>
        <w:t>. Uloga Kontrolnog tijela se odnosi na obavezu praćenja implementacije ugovora i verifikacije troškova prijavljenih od strane korisnika iz Crne Gore.</w:t>
      </w:r>
    </w:p>
    <w:p w:rsidR="000D1EC7" w:rsidRPr="000D1EC7" w:rsidRDefault="000D1EC7" w:rsidP="00F121BE">
      <w:pPr>
        <w:shd w:val="clear" w:color="auto" w:fill="FFFFFF"/>
        <w:spacing w:before="0" w:after="0" w:line="240" w:lineRule="auto"/>
        <w:ind w:firstLine="360"/>
        <w:rPr>
          <w:rFonts w:ascii="Calibri" w:eastAsia="Calibri" w:hAnsi="Calibri" w:cs="Calibri"/>
          <w:szCs w:val="24"/>
          <w:lang w:val="sr-Latn-RS"/>
        </w:rPr>
      </w:pPr>
      <w:r w:rsidRPr="000D1EC7">
        <w:rPr>
          <w:rFonts w:ascii="Calibri" w:eastAsia="Calibri" w:hAnsi="Calibri" w:cs="Calibri"/>
          <w:szCs w:val="24"/>
          <w:lang w:val="sr-Latn-RS"/>
        </w:rPr>
        <w:t>Ugovorno tijelo po ovom prekograničnom programu je Ministarstvo finansija Republike Srbije. Po prvom pozivu objavljenom u okviru programa potpisano je 9 ugovora krajem 2018. godine, od kojih se 8 i dalje implementira, dok je jedan raskinut. Takođe, tokom 2019 i 2020. godine sprovođene su aktivnosti i na pripremi i pokretanju drugog poziva. Do kraja 2020. god</w:t>
      </w:r>
      <w:r w:rsidR="00F121BE">
        <w:rPr>
          <w:rFonts w:ascii="Calibri" w:eastAsia="Calibri" w:hAnsi="Calibri" w:cs="Calibri"/>
          <w:szCs w:val="24"/>
          <w:lang w:val="sr-Latn-RS"/>
        </w:rPr>
        <w:t>ine potpisano je još 9 ugovora.</w:t>
      </w:r>
    </w:p>
    <w:p w:rsidR="000D1EC7" w:rsidRPr="000D1EC7" w:rsidRDefault="000D1EC7" w:rsidP="000D1EC7">
      <w:pPr>
        <w:spacing w:before="0" w:after="0" w:line="240" w:lineRule="auto"/>
        <w:ind w:firstLine="360"/>
        <w:rPr>
          <w:rFonts w:ascii="Calibri" w:eastAsia="Calibri" w:hAnsi="Calibri" w:cs="Times New Roman"/>
          <w:b/>
          <w:szCs w:val="24"/>
          <w:u w:val="single"/>
          <w:lang w:val="pl-PL"/>
        </w:rPr>
      </w:pPr>
      <w:r w:rsidRPr="000D1EC7">
        <w:rPr>
          <w:rFonts w:ascii="Calibri" w:eastAsia="Calibri" w:hAnsi="Calibri" w:cs="Calibri"/>
          <w:b/>
          <w:szCs w:val="24"/>
          <w:u w:val="single"/>
          <w:lang w:val="sr-Latn-RS"/>
        </w:rPr>
        <w:t xml:space="preserve">III - </w:t>
      </w:r>
      <w:r w:rsidRPr="000D1EC7">
        <w:rPr>
          <w:rFonts w:ascii="Calibri" w:eastAsia="Calibri" w:hAnsi="Calibri" w:cs="Times New Roman"/>
          <w:b/>
          <w:szCs w:val="24"/>
          <w:u w:val="single"/>
          <w:lang w:val="pl-PL"/>
        </w:rPr>
        <w:t>Prvi nivo kontrole za projekte u okviru trilateralnih programa</w:t>
      </w:r>
    </w:p>
    <w:p w:rsidR="000D1EC7" w:rsidRPr="000D1EC7" w:rsidRDefault="000D1EC7" w:rsidP="000D1EC7">
      <w:pPr>
        <w:shd w:val="clear" w:color="auto" w:fill="FFFFFF"/>
        <w:spacing w:before="0" w:after="0" w:line="240" w:lineRule="auto"/>
        <w:ind w:firstLine="360"/>
        <w:rPr>
          <w:rFonts w:ascii="Calibri" w:eastAsia="Times New Roman" w:hAnsi="Calibri" w:cs="Calibri"/>
          <w:color w:val="000000"/>
          <w:szCs w:val="24"/>
          <w:lang w:val="sr-Latn-RS"/>
        </w:rPr>
      </w:pPr>
      <w:r w:rsidRPr="000D1EC7">
        <w:rPr>
          <w:rFonts w:ascii="Calibri" w:eastAsia="Calibri" w:hAnsi="Calibri" w:cs="Calibri"/>
          <w:szCs w:val="24"/>
          <w:lang w:val="sr-Latn-RS"/>
        </w:rPr>
        <w:t xml:space="preserve">Direktorat za finansiranje i ugovaranje sredstava EU pomoći </w:t>
      </w:r>
      <w:r w:rsidRPr="000D1EC7">
        <w:rPr>
          <w:rFonts w:ascii="Calibri" w:eastAsia="Times New Roman" w:hAnsi="Calibri" w:cs="Calibri"/>
          <w:color w:val="000000"/>
          <w:szCs w:val="24"/>
          <w:lang w:val="sr-Latn-RS"/>
        </w:rPr>
        <w:t>takođe sprovodi i aktivnosti prvog nivoa kontrole u okviru pet programa, i to tri transnacionalna (Adrion, Dunavski i Mediteranski) i dva trilateralna (Italija-Albanija-Crna Gora i Hrvatska-Bosna i Hercegovina-Crna Gora).</w:t>
      </w:r>
    </w:p>
    <w:p w:rsidR="000D1EC7" w:rsidRPr="000D1EC7" w:rsidRDefault="000D1EC7" w:rsidP="000D1EC7">
      <w:pPr>
        <w:spacing w:before="0" w:after="0" w:line="240" w:lineRule="auto"/>
        <w:ind w:firstLine="360"/>
        <w:rPr>
          <w:rFonts w:ascii="Calibri" w:eastAsia="Calibri" w:hAnsi="Calibri" w:cs="Calibri"/>
          <w:szCs w:val="24"/>
          <w:lang w:val="sr-Latn-RS"/>
        </w:rPr>
      </w:pPr>
      <w:r w:rsidRPr="000D1EC7">
        <w:rPr>
          <w:rFonts w:ascii="Calibri" w:eastAsia="Calibri" w:hAnsi="Calibri" w:cs="Calibri"/>
          <w:szCs w:val="24"/>
          <w:lang w:val="sr-Latn-RS"/>
        </w:rPr>
        <w:t xml:space="preserve">Tokom 2020. godine ukupno je prijavljeno 787.621,50 eura po osnovu projekata u okviru Adrion Transnacionalog programa od kojih je odobreno 787.262,36 eura (99,95%). U okviru Dunavskog transnacionalnog programa prijavljeno je 101.505,39 eura, od kojih je odobreno 98.122,70 eura (96,66%), dok je u okviru Mediteranskog programa prijavljeno 486.087,37 eura, a odobreno </w:t>
      </w:r>
      <w:r w:rsidRPr="000D1EC7">
        <w:rPr>
          <w:rFonts w:ascii="Calibri" w:eastAsia="Calibri" w:hAnsi="Calibri" w:cs="Calibri"/>
          <w:szCs w:val="24"/>
          <w:lang w:val="sr-Latn-RS"/>
        </w:rPr>
        <w:lastRenderedPageBreak/>
        <w:t>485.250,04 eura (99,82). U okviru Mediteranskog programa sprovedena je i jedna provjera na licu mjesta.</w:t>
      </w:r>
    </w:p>
    <w:p w:rsidR="000D1EC7" w:rsidRPr="000D1EC7" w:rsidRDefault="000D1EC7" w:rsidP="000D1EC7">
      <w:pPr>
        <w:spacing w:before="0" w:after="0" w:line="240" w:lineRule="auto"/>
        <w:ind w:firstLine="360"/>
        <w:rPr>
          <w:rFonts w:ascii="Calibri" w:eastAsia="Calibri" w:hAnsi="Calibri" w:cs="Calibri"/>
          <w:szCs w:val="24"/>
          <w:lang w:val="sr-Latn-RS"/>
        </w:rPr>
      </w:pPr>
      <w:r w:rsidRPr="000D1EC7">
        <w:rPr>
          <w:rFonts w:ascii="Calibri" w:eastAsia="Calibri" w:hAnsi="Calibri" w:cs="Calibri"/>
          <w:szCs w:val="24"/>
          <w:lang w:val="sr-Latn-RS"/>
        </w:rPr>
        <w:t xml:space="preserve">Kada govorimo o trilateralnom programu sa Hrvatskom i </w:t>
      </w:r>
      <w:r w:rsidRPr="000D1EC7">
        <w:rPr>
          <w:rFonts w:ascii="Calibri" w:eastAsia="Times New Roman" w:hAnsi="Calibri" w:cs="Calibri"/>
          <w:color w:val="000000"/>
          <w:szCs w:val="24"/>
          <w:lang w:val="sr-Latn-RS"/>
        </w:rPr>
        <w:t>Bosnom i Hercegovinom</w:t>
      </w:r>
      <w:r w:rsidRPr="000D1EC7">
        <w:rPr>
          <w:rFonts w:ascii="Calibri" w:eastAsia="Calibri" w:hAnsi="Calibri" w:cs="Calibri"/>
          <w:szCs w:val="24"/>
          <w:lang w:val="sr-Latn-RS"/>
        </w:rPr>
        <w:t>, ukupno je prijavljeno 907.044,50 eura, od kojih je odobreno 907.044,50 (100%). U okviru ovog programa sprovedene su 2 provjere na licu mjesta. U okviru trilateralnog programa sa Italijom i Albanijom, ukupno je prijavljeno 4.464.030,99 eura, od kojih je odobreno 4.440.203,77 eura (99,46%). Sprovedeno je 7 provjera na licu mjesta.</w:t>
      </w:r>
    </w:p>
    <w:p w:rsidR="000D1EC7" w:rsidRPr="000D1EC7" w:rsidRDefault="000D1EC7" w:rsidP="00F121BE">
      <w:pPr>
        <w:spacing w:before="0" w:after="0" w:line="259" w:lineRule="auto"/>
        <w:ind w:firstLine="360"/>
        <w:rPr>
          <w:rFonts w:ascii="Calibri" w:eastAsia="Calibri" w:hAnsi="Calibri" w:cs="Calibri"/>
          <w:szCs w:val="24"/>
          <w:lang w:val="sr-Latn-RS"/>
        </w:rPr>
      </w:pPr>
      <w:r w:rsidRPr="000D1EC7">
        <w:rPr>
          <w:rFonts w:ascii="Calibri" w:eastAsia="Calibri" w:hAnsi="Calibri" w:cs="Calibri"/>
          <w:szCs w:val="24"/>
          <w:lang w:val="sr-Latn-RS"/>
        </w:rPr>
        <w:t>Direktorat nastavlja sprovođenje prvog nivoa kontrole u svim navedenim programima, a shodno programskoj dinamici. Korisnici svih transnacionalnih i trilateralnih programa svoje izvještaje dostavljaju 2 puta godišnje. Provjere na licu mjesta će se sprovoditi za one korisnike koji do sada nijesu bili predmet istih, biće planirane u skladu sa razvojem zdra</w:t>
      </w:r>
      <w:r w:rsidR="00F121BE">
        <w:rPr>
          <w:rFonts w:ascii="Calibri" w:eastAsia="Calibri" w:hAnsi="Calibri" w:cs="Calibri"/>
          <w:szCs w:val="24"/>
          <w:lang w:val="sr-Latn-RS"/>
        </w:rPr>
        <w:t>vstvene situacije u Crnoj Gori.</w:t>
      </w:r>
    </w:p>
    <w:p w:rsidR="000D1EC7" w:rsidRPr="000D1EC7" w:rsidRDefault="000D1EC7" w:rsidP="000D1EC7">
      <w:pPr>
        <w:spacing w:before="0" w:after="0" w:line="240" w:lineRule="auto"/>
        <w:ind w:firstLine="360"/>
        <w:rPr>
          <w:rFonts w:ascii="Calibri" w:eastAsia="Calibri" w:hAnsi="Calibri" w:cs="Times New Roman"/>
          <w:b/>
          <w:szCs w:val="24"/>
          <w:u w:val="single"/>
          <w:lang w:val="pl-PL"/>
        </w:rPr>
      </w:pPr>
      <w:r w:rsidRPr="000D1EC7">
        <w:rPr>
          <w:rFonts w:ascii="Calibri" w:eastAsia="Calibri" w:hAnsi="Calibri" w:cs="Calibri"/>
          <w:b/>
          <w:szCs w:val="24"/>
          <w:u w:val="single"/>
          <w:lang w:val="sr-Latn-RS"/>
        </w:rPr>
        <w:t xml:space="preserve">IV – </w:t>
      </w:r>
      <w:r w:rsidRPr="000D1EC7">
        <w:rPr>
          <w:rFonts w:ascii="Calibri" w:eastAsia="Calibri" w:hAnsi="Calibri" w:cs="Times New Roman"/>
          <w:b/>
          <w:szCs w:val="24"/>
          <w:u w:val="single"/>
          <w:lang w:val="pl-PL"/>
        </w:rPr>
        <w:t>Realizacija zaključaka Vlade Crne Gore</w:t>
      </w:r>
    </w:p>
    <w:p w:rsidR="000D1EC7" w:rsidRDefault="000D1EC7" w:rsidP="000D1EC7">
      <w:pPr>
        <w:spacing w:before="0" w:after="0" w:line="259" w:lineRule="auto"/>
        <w:ind w:firstLine="360"/>
        <w:rPr>
          <w:rFonts w:ascii="Calibri" w:eastAsia="Verdana" w:hAnsi="Calibri" w:cs="Times New Roman"/>
          <w:color w:val="000000"/>
          <w:szCs w:val="24"/>
          <w:lang w:val="en-GB"/>
        </w:rPr>
      </w:pPr>
      <w:r w:rsidRPr="000D1EC7">
        <w:rPr>
          <w:rFonts w:ascii="Calibri" w:eastAsia="Calibri" w:hAnsi="Calibri" w:cs="Calibri"/>
          <w:szCs w:val="24"/>
          <w:lang w:val="sr-Latn-RS"/>
        </w:rPr>
        <w:t xml:space="preserve">Tokom 2020. godine, CFCU je bio zadužen za realizaciju 7 zaključaka koji su usvojeni na sjednici Vlade Crne Gore od 27. februara 2020. godine, vezano za potpisivanje ugovora o prenosu svojinskih ovlašćenja nad opremom, u skladu sa usvojenom </w:t>
      </w:r>
      <w:r w:rsidRPr="000D1EC7">
        <w:rPr>
          <w:rFonts w:ascii="Calibri" w:eastAsia="Calibri" w:hAnsi="Calibri" w:cs="Calibri"/>
          <w:i/>
          <w:szCs w:val="24"/>
          <w:lang w:val="sr-Latn-RS"/>
        </w:rPr>
        <w:t>In</w:t>
      </w:r>
      <w:r w:rsidRPr="000D1EC7">
        <w:rPr>
          <w:rFonts w:ascii="Calibri" w:eastAsia="Verdana" w:hAnsi="Calibri" w:cs="Times New Roman"/>
          <w:i/>
          <w:color w:val="000000"/>
          <w:szCs w:val="24"/>
          <w:lang w:val="en-GB"/>
        </w:rPr>
        <w:t>formacijom o prenosu svojinskih ovlašćenja nad pokretnim stvarima stečenim iz pretpristupnih fondova Evropske unije (IPA fondovi)</w:t>
      </w:r>
      <w:r w:rsidRPr="000D1EC7">
        <w:rPr>
          <w:rFonts w:ascii="Calibri" w:eastAsia="Verdana" w:hAnsi="Calibri" w:cs="Times New Roman"/>
          <w:color w:val="000000"/>
          <w:szCs w:val="24"/>
          <w:lang w:val="en-GB"/>
        </w:rPr>
        <w:t>. Svi navedeni zaključci su realizovani.</w:t>
      </w:r>
    </w:p>
    <w:p w:rsidR="000D1EC7" w:rsidRPr="000D1EC7" w:rsidRDefault="000D1EC7" w:rsidP="000D1EC7">
      <w:pPr>
        <w:spacing w:before="0" w:after="0" w:line="259" w:lineRule="auto"/>
        <w:ind w:firstLine="360"/>
        <w:rPr>
          <w:rFonts w:ascii="Calibri" w:eastAsia="Verdana" w:hAnsi="Calibri" w:cs="Times New Roman"/>
          <w:color w:val="000000"/>
          <w:szCs w:val="24"/>
          <w:lang w:val="en-GB"/>
        </w:rPr>
      </w:pPr>
      <w:r w:rsidRPr="000D1EC7">
        <w:rPr>
          <w:rFonts w:ascii="Calibri" w:eastAsia="Verdana" w:hAnsi="Calibri" w:cs="Times New Roman"/>
          <w:color w:val="000000"/>
          <w:szCs w:val="24"/>
          <w:lang w:val="en-GB"/>
        </w:rPr>
        <w:t xml:space="preserve">Takođe, na sjednici Vlade Crne Gore od 22. oktobra 2020. godine, usvojena je </w:t>
      </w:r>
      <w:r w:rsidRPr="000D1EC7">
        <w:rPr>
          <w:rFonts w:ascii="Calibri" w:eastAsia="Verdana" w:hAnsi="Calibri" w:cs="Times New Roman"/>
          <w:i/>
          <w:color w:val="000000"/>
          <w:szCs w:val="24"/>
          <w:lang w:val="en-GB"/>
        </w:rPr>
        <w:t>Informacija o dinamici sprovođenja ugovora iz programa IPA 2016 u sektorima Životna sredina i klimatska akcija i Konkurentnost i inovacije</w:t>
      </w:r>
      <w:r w:rsidRPr="000D1EC7">
        <w:rPr>
          <w:rFonts w:ascii="Calibri" w:eastAsia="Verdana" w:hAnsi="Calibri" w:cs="Times New Roman"/>
          <w:color w:val="000000"/>
          <w:szCs w:val="24"/>
          <w:lang w:val="en-GB"/>
        </w:rPr>
        <w:t>. CFCU je zaključkom zadužen da preduzme sve aktivnosti kako bi preostala sredstva bila ugovorena u skladu sa rokom preciziranim Finansijskim sporazumom. Navedeni zaključak je u potpunosti realizovan.</w:t>
      </w:r>
    </w:p>
    <w:p w:rsidR="000D1EC7" w:rsidRDefault="000D1EC7" w:rsidP="008F659F">
      <w:pPr>
        <w:pStyle w:val="PlainText"/>
        <w:jc w:val="both"/>
        <w:rPr>
          <w:rFonts w:asciiTheme="minorHAnsi" w:hAnsiTheme="minorHAnsi" w:cs="Arial"/>
          <w:b/>
          <w:sz w:val="24"/>
          <w:szCs w:val="24"/>
        </w:rPr>
      </w:pPr>
    </w:p>
    <w:p w:rsidR="00B55665" w:rsidRDefault="00FF17C9" w:rsidP="00C770C1">
      <w:pPr>
        <w:pStyle w:val="PlainText"/>
        <w:shd w:val="clear" w:color="auto" w:fill="F9D8CD" w:themeFill="accent1" w:themeFillTint="33"/>
        <w:ind w:firstLine="360"/>
        <w:jc w:val="both"/>
        <w:rPr>
          <w:rFonts w:asciiTheme="minorHAnsi" w:hAnsiTheme="minorHAnsi" w:cs="Arial"/>
          <w:b/>
          <w:sz w:val="24"/>
          <w:szCs w:val="24"/>
        </w:rPr>
      </w:pPr>
      <w:r>
        <w:rPr>
          <w:rFonts w:asciiTheme="minorHAnsi" w:hAnsiTheme="minorHAnsi" w:cs="Arial"/>
          <w:b/>
          <w:sz w:val="24"/>
          <w:szCs w:val="24"/>
        </w:rPr>
        <w:t>9. DIREKTORAT ZA UPRAVLJAČKU STRUKTURU</w:t>
      </w:r>
    </w:p>
    <w:p w:rsidR="00C770C1" w:rsidRDefault="00C770C1" w:rsidP="00C770C1">
      <w:pPr>
        <w:pStyle w:val="PlainText"/>
        <w:jc w:val="both"/>
        <w:rPr>
          <w:rFonts w:asciiTheme="minorHAnsi" w:hAnsiTheme="minorHAnsi" w:cs="Arial"/>
          <w:b/>
          <w:sz w:val="24"/>
          <w:szCs w:val="24"/>
        </w:rPr>
      </w:pPr>
    </w:p>
    <w:p w:rsidR="00C770C1" w:rsidRPr="00C770C1" w:rsidRDefault="00C770C1" w:rsidP="00C770C1">
      <w:pPr>
        <w:spacing w:before="0" w:after="0" w:line="240" w:lineRule="auto"/>
        <w:ind w:firstLine="360"/>
        <w:contextualSpacing/>
        <w:jc w:val="left"/>
        <w:rPr>
          <w:rFonts w:ascii="Calibri" w:eastAsia="Calibri" w:hAnsi="Calibri" w:cs="Times New Roman"/>
          <w:b/>
          <w:szCs w:val="24"/>
          <w:lang w:val="sr-Latn-ME"/>
        </w:rPr>
      </w:pPr>
      <w:r w:rsidRPr="00C770C1">
        <w:rPr>
          <w:rFonts w:ascii="Calibri" w:eastAsia="Calibri" w:hAnsi="Calibri" w:cs="Times New Roman"/>
          <w:b/>
          <w:szCs w:val="24"/>
          <w:lang w:val="sr-Latn-ME"/>
        </w:rPr>
        <w:t>Realizacija programa rada Vlade CG za 2020. godinu</w:t>
      </w:r>
    </w:p>
    <w:p w:rsidR="00C770C1" w:rsidRPr="00C770C1" w:rsidRDefault="00C770C1" w:rsidP="00C770C1">
      <w:pPr>
        <w:spacing w:before="0" w:after="0" w:line="240" w:lineRule="auto"/>
        <w:ind w:firstLine="360"/>
        <w:rPr>
          <w:rFonts w:ascii="Calibri" w:eastAsia="Calibri" w:hAnsi="Calibri" w:cs="Times New Roman"/>
          <w:szCs w:val="24"/>
          <w:lang w:val="sr-Latn-ME"/>
        </w:rPr>
      </w:pPr>
      <w:r w:rsidRPr="00C770C1">
        <w:rPr>
          <w:rFonts w:ascii="Calibri" w:eastAsia="Calibri" w:hAnsi="Calibri" w:cs="Times New Roman"/>
          <w:szCs w:val="24"/>
          <w:lang w:val="sr-Latn-ME"/>
        </w:rPr>
        <w:t xml:space="preserve">Direktorat za upravljačka struktura je imao obavezu pripreme i dostavljanja, na polugodišnjem nivou, Vladi Crne Gore Informacije o realizaciji aktivnosti i projektima koji se realizuju kroz sistem indirektnog upravljanja IPA fondovima. Informacije su pripremane od strane Upravljačke strukture i Nacionalnog službenika za ovjeravanje u dijelu odgovornosti implementacije pretpristupne pomoći EU (IPA). Prva polugodišnja Informacija o realizaciji aktivnosti i projektima koji se realizuju kroz sistem indirektnog upravljanja IPA fondovima za 2020 godinu je dostavljenja Vladi Crne Gore 19. juna 2020, dok je za drugu polovinu 2020. godine Informacija pripremljena ali nije dostavljena iz razloga formiranja nove Vlade Crne Gore i promjene Programa rada. Informacije prikazuju glavne aktivnosti koje su se sprovodile na polugodišnjem nivou, a koje mogu imati uticaja na efikasnost korišćenja pretpristupnih sredstava podrške. Na osnovu aktivnosti koje sprovode odgovarajuće IPA institucije za pojedinačne IPA programe, Upravljačka stuktura priprema sveobuhvatan pregled i naglašava ključne rizike u sistemu koji treba tretirati u narednom periodu. </w:t>
      </w:r>
    </w:p>
    <w:p w:rsidR="00C770C1" w:rsidRPr="00C770C1" w:rsidRDefault="00C770C1" w:rsidP="00C770C1">
      <w:pPr>
        <w:spacing w:before="0" w:after="0" w:line="240" w:lineRule="auto"/>
        <w:ind w:firstLine="360"/>
        <w:contextualSpacing/>
        <w:jc w:val="left"/>
        <w:rPr>
          <w:rFonts w:ascii="Calibri" w:eastAsia="Calibri" w:hAnsi="Calibri" w:cs="Times New Roman"/>
          <w:b/>
          <w:szCs w:val="24"/>
          <w:lang w:val="sr-Latn-ME"/>
        </w:rPr>
      </w:pPr>
      <w:r w:rsidRPr="00C770C1">
        <w:rPr>
          <w:rFonts w:ascii="Calibri" w:eastAsia="Calibri" w:hAnsi="Calibri" w:cs="Times New Roman"/>
          <w:b/>
          <w:szCs w:val="24"/>
          <w:lang w:val="sr-Latn-ME"/>
        </w:rPr>
        <w:t>Realizaciju obaveza po programu pristupanja CG u EU</w:t>
      </w:r>
    </w:p>
    <w:p w:rsidR="00C770C1" w:rsidRPr="00C770C1" w:rsidRDefault="00C770C1" w:rsidP="00C770C1">
      <w:pPr>
        <w:spacing w:before="0" w:after="0" w:line="240" w:lineRule="auto"/>
        <w:ind w:firstLine="360"/>
        <w:contextualSpacing/>
        <w:jc w:val="left"/>
        <w:rPr>
          <w:rFonts w:ascii="Calibri" w:eastAsia="Calibri" w:hAnsi="Calibri" w:cs="Times New Roman"/>
          <w:b/>
          <w:szCs w:val="24"/>
          <w:lang w:val="sr-Latn-ME"/>
        </w:rPr>
      </w:pPr>
      <w:r w:rsidRPr="00C770C1">
        <w:rPr>
          <w:rFonts w:ascii="Calibri" w:eastAsia="Calibri" w:hAnsi="Calibri" w:cs="Times New Roman"/>
          <w:b/>
          <w:szCs w:val="24"/>
          <w:lang w:val="sr-Latn-ME"/>
        </w:rPr>
        <w:t>Realizaciju programa rada Ministarstva za 2020. godinu (nadležnosti Direktorata)</w:t>
      </w:r>
    </w:p>
    <w:p w:rsidR="00C770C1" w:rsidRPr="00C770C1" w:rsidRDefault="00C770C1" w:rsidP="00C770C1">
      <w:pPr>
        <w:spacing w:before="0" w:after="0" w:line="240" w:lineRule="auto"/>
        <w:ind w:firstLine="360"/>
        <w:rPr>
          <w:rFonts w:ascii="Calibri" w:eastAsia="Calibri" w:hAnsi="Calibri" w:cs="Times New Roman"/>
          <w:b/>
          <w:i/>
          <w:szCs w:val="24"/>
          <w:lang w:val="sr-Latn-ME"/>
        </w:rPr>
      </w:pPr>
      <w:r w:rsidRPr="00C770C1">
        <w:rPr>
          <w:rFonts w:ascii="Calibri" w:eastAsia="Calibri" w:hAnsi="Calibri" w:cs="Times New Roman"/>
          <w:b/>
          <w:i/>
          <w:szCs w:val="24"/>
          <w:lang w:val="sr-Latn-ME"/>
        </w:rPr>
        <w:t>Redovne aktivnosti u dijelu praćenja funksionisanja sistema u procesu upravljanja fondovima EU u domenu politike pristupanja kroz mjerila pregovaračkih poglavlja 11 i 22</w:t>
      </w:r>
    </w:p>
    <w:p w:rsidR="00C770C1" w:rsidRPr="00C770C1" w:rsidRDefault="00C770C1" w:rsidP="00C770C1">
      <w:pPr>
        <w:spacing w:before="0" w:after="0" w:line="240" w:lineRule="auto"/>
        <w:ind w:firstLine="360"/>
        <w:rPr>
          <w:rFonts w:ascii="Calibri" w:eastAsia="Calibri" w:hAnsi="Calibri" w:cs="Times New Roman"/>
          <w:szCs w:val="24"/>
          <w:lang w:val="sr-Latn-ME"/>
        </w:rPr>
      </w:pPr>
      <w:r w:rsidRPr="00C770C1">
        <w:rPr>
          <w:rFonts w:ascii="Calibri" w:eastAsia="Calibri" w:hAnsi="Calibri" w:cs="Times New Roman"/>
          <w:szCs w:val="24"/>
          <w:lang w:val="sr-Latn-ME"/>
        </w:rPr>
        <w:t xml:space="preserve">Tokom 2020. godine Nacionalni službenik za ovjeravanje (NAO) i Direktorat za upravljačku strukturu (DUS) sprovodili su redovne aktivnosti u dijelu samostalnog upravljanja programima pretpristupne pomoći Evropske unije (tzv. IPA programi). U svojoj ulozi lica/tijela zaduženog za uspostavljanje i praćenje funkcionisanja sistema, te finansijsko upravljanje IPA programima i finansijsko izještavanje, nije bilo odstupanja od propisanih rokova i procedura, pa je konačna ocjena </w:t>
      </w:r>
      <w:r w:rsidRPr="00C770C1">
        <w:rPr>
          <w:rFonts w:ascii="Calibri" w:eastAsia="Calibri" w:hAnsi="Calibri" w:cs="Times New Roman"/>
          <w:szCs w:val="24"/>
          <w:lang w:val="sr-Latn-ME"/>
        </w:rPr>
        <w:lastRenderedPageBreak/>
        <w:t xml:space="preserve">da su sve aktivnosti tokom prethodne godine sprovođene nesmetano, sa ostvarenim značajnim rezultatima. </w:t>
      </w:r>
    </w:p>
    <w:p w:rsidR="00C770C1" w:rsidRPr="00C770C1" w:rsidRDefault="00C770C1" w:rsidP="00C770C1">
      <w:pPr>
        <w:spacing w:before="0" w:after="0" w:line="240" w:lineRule="auto"/>
        <w:ind w:firstLine="360"/>
        <w:rPr>
          <w:rFonts w:ascii="Calibri" w:eastAsia="Calibri" w:hAnsi="Calibri" w:cs="Times New Roman"/>
          <w:szCs w:val="24"/>
          <w:lang w:val="sr-Latn-ME"/>
        </w:rPr>
      </w:pPr>
      <w:r w:rsidRPr="00C770C1">
        <w:rPr>
          <w:rFonts w:ascii="Calibri" w:eastAsia="Calibri" w:hAnsi="Calibri" w:cs="Times New Roman"/>
          <w:szCs w:val="24"/>
          <w:lang w:val="sr-Latn-ME"/>
        </w:rPr>
        <w:t xml:space="preserve">Direktorat za upravljačku strukturu je tokom 2020. godine radio na izmjenama Priručnika o procedurama za sva tijela OS. Usljed izbijanja pandemije u I kvartalu 2020. a u saradnji sa Evropskom komisijom Direktorat je pripremio set kratkoročnih akcija i odstupanja od procedura, kako bi se prilagodilo sprovođenje programa i kako bi se smanjili negativni uticaji pandemije COVID-19. </w:t>
      </w:r>
    </w:p>
    <w:p w:rsidR="00C770C1" w:rsidRPr="00C770C1" w:rsidRDefault="00C770C1" w:rsidP="00C770C1">
      <w:pPr>
        <w:spacing w:before="0" w:after="0" w:line="240" w:lineRule="auto"/>
        <w:ind w:firstLine="360"/>
        <w:rPr>
          <w:rFonts w:ascii="Calibri" w:eastAsia="Calibri" w:hAnsi="Calibri" w:cs="Times New Roman"/>
          <w:szCs w:val="24"/>
          <w:lang w:val="sr-Latn-ME"/>
        </w:rPr>
      </w:pPr>
      <w:r w:rsidRPr="00C770C1">
        <w:rPr>
          <w:rFonts w:ascii="Calibri" w:eastAsia="Calibri" w:hAnsi="Calibri" w:cs="Times New Roman"/>
          <w:szCs w:val="24"/>
          <w:lang w:val="sr-Latn-ME"/>
        </w:rPr>
        <w:t xml:space="preserve">Na ovaj način podstaknuta je dinamika sprovođenja pojedinačnih programa, kako bi se što brže ugovarala i koristila sredstva EU i spriječio rizik od gubitka istih. </w:t>
      </w:r>
    </w:p>
    <w:p w:rsidR="00C770C1" w:rsidRPr="00C770C1" w:rsidRDefault="00C770C1" w:rsidP="00C770C1">
      <w:pPr>
        <w:spacing w:before="0" w:after="0" w:line="240" w:lineRule="auto"/>
        <w:ind w:firstLine="360"/>
        <w:rPr>
          <w:rFonts w:ascii="Calibri" w:eastAsia="Calibri" w:hAnsi="Calibri" w:cs="Times New Roman"/>
          <w:szCs w:val="24"/>
          <w:lang w:val="sr-Latn-ME"/>
        </w:rPr>
      </w:pPr>
      <w:r w:rsidRPr="00C770C1">
        <w:rPr>
          <w:rFonts w:ascii="Calibri" w:eastAsia="Calibri" w:hAnsi="Calibri" w:cs="Times New Roman"/>
          <w:szCs w:val="24"/>
          <w:lang w:val="sr-Latn-ME"/>
        </w:rPr>
        <w:t>Tokom posljednjeg kvartala 2020. godine, zvanično je izmijenjen sadržaj Sektorskog sporazuma u dijelu implementacije IPARD II programa.</w:t>
      </w:r>
    </w:p>
    <w:p w:rsidR="00C770C1" w:rsidRPr="00C770C1" w:rsidRDefault="00C770C1" w:rsidP="00C770C1">
      <w:pPr>
        <w:spacing w:before="0" w:after="0" w:line="240" w:lineRule="auto"/>
        <w:ind w:firstLine="360"/>
        <w:rPr>
          <w:rFonts w:ascii="Calibri" w:eastAsia="Calibri" w:hAnsi="Calibri" w:cs="Times New Roman"/>
          <w:szCs w:val="24"/>
          <w:lang w:val="sr-Latn-ME"/>
        </w:rPr>
      </w:pPr>
      <w:r w:rsidRPr="00C770C1">
        <w:rPr>
          <w:rFonts w:ascii="Calibri" w:eastAsia="Calibri" w:hAnsi="Calibri" w:cs="Times New Roman"/>
          <w:szCs w:val="24"/>
          <w:lang w:val="sr-Latn-ME"/>
        </w:rPr>
        <w:t xml:space="preserve">Revizorske jedinice EK nastavile su saradnju sa Direktoratom u pogledu nalaza i preporuka za unapređenje sistema. U vezi sa ovim uslovima i preporukama važno je istaći da je Direktorat već preduzeo neophodne korake po preporukama u vidu kreiranja relevantnih Akcionih planova i </w:t>
      </w:r>
      <w:r w:rsidR="00F97B87">
        <w:rPr>
          <w:rFonts w:ascii="Calibri" w:eastAsia="Calibri" w:hAnsi="Calibri" w:cs="Times New Roman"/>
          <w:szCs w:val="24"/>
          <w:lang w:val="sr-Latn-ME"/>
        </w:rPr>
        <w:t>praćenja mjera za otklanjanje uo</w:t>
      </w:r>
      <w:r w:rsidRPr="00C770C1">
        <w:rPr>
          <w:rFonts w:ascii="Calibri" w:eastAsia="Calibri" w:hAnsi="Calibri" w:cs="Times New Roman"/>
          <w:szCs w:val="24"/>
          <w:lang w:val="sr-Latn-ME"/>
        </w:rPr>
        <w:t xml:space="preserve">čenih nedostataka. </w:t>
      </w:r>
    </w:p>
    <w:p w:rsidR="00C770C1" w:rsidRPr="00C770C1" w:rsidRDefault="00C770C1" w:rsidP="00C770C1">
      <w:pPr>
        <w:spacing w:before="0" w:after="0" w:line="240" w:lineRule="auto"/>
        <w:ind w:firstLine="360"/>
        <w:rPr>
          <w:rFonts w:ascii="Calibri" w:eastAsia="Calibri" w:hAnsi="Calibri" w:cs="Times New Roman"/>
          <w:szCs w:val="24"/>
          <w:lang w:val="sr-Latn-ME"/>
        </w:rPr>
      </w:pPr>
      <w:r w:rsidRPr="00C770C1">
        <w:rPr>
          <w:rFonts w:ascii="Calibri" w:eastAsia="Calibri" w:hAnsi="Calibri" w:cs="Times New Roman"/>
          <w:szCs w:val="24"/>
          <w:lang w:val="sr-Latn-ME"/>
        </w:rPr>
        <w:t>Tokom 2020. godine, institucije koje učestvuju u sprovođenju IPA programa su revidirane od strane Revizorskog tijela. Finalni izveštaj za referentne programe Revizorsko tijelo je izdavalo u četvrtom kvartalu 2020. godine. Rad svih IPA jedinica je takođe kontrolisan i od strane Direktorata za upravljačku strukturu provjerama na licu mjesta 2020. godine i relevantni finalni izvještaji sa navedenih kontrola su izdati i dostavljeni institucijama sa sadržanim nalazima i preporukama.</w:t>
      </w:r>
    </w:p>
    <w:p w:rsidR="00C770C1" w:rsidRPr="00C770C1" w:rsidRDefault="00C770C1" w:rsidP="00C770C1">
      <w:pPr>
        <w:spacing w:before="0" w:after="0" w:line="240" w:lineRule="auto"/>
        <w:ind w:firstLine="360"/>
        <w:rPr>
          <w:rFonts w:ascii="Calibri" w:eastAsia="Calibri" w:hAnsi="Calibri" w:cs="Times New Roman"/>
          <w:szCs w:val="24"/>
          <w:lang w:val="sr-Latn-ME"/>
        </w:rPr>
      </w:pPr>
      <w:r w:rsidRPr="00C770C1">
        <w:rPr>
          <w:rFonts w:ascii="Calibri" w:eastAsia="Calibri" w:hAnsi="Calibri" w:cs="Times New Roman"/>
          <w:szCs w:val="24"/>
          <w:lang w:val="sr-Latn-ME"/>
        </w:rPr>
        <w:t xml:space="preserve">U februaru 2020. godine, Upravljačka struktura pripremila je i dostavila Izjavu o upravljanju za sve IPA programe za 2019. godinu, u skladu sa obavezom propisanom Zakonom o potvrđivanju okvirnog sporazuma. Detaljan izveštaj o procjeni Nacionalnog službenika za ovjeravanje pripremljen je na osnovu procjene odgovarajućih kontrolnih okvira unutrašnje kontrole sistema. Dokument je dostavljen EK u paketu sa Izjavom o upravljanju za 2019. godinu. </w:t>
      </w:r>
    </w:p>
    <w:p w:rsidR="00C770C1" w:rsidRPr="00C770C1" w:rsidRDefault="00C770C1" w:rsidP="00C770C1">
      <w:pPr>
        <w:spacing w:before="0" w:after="0" w:line="240" w:lineRule="auto"/>
        <w:ind w:firstLine="360"/>
        <w:rPr>
          <w:rFonts w:ascii="Calibri" w:eastAsia="Calibri" w:hAnsi="Calibri" w:cs="Times New Roman"/>
          <w:szCs w:val="24"/>
          <w:lang w:val="sr-Latn-ME"/>
        </w:rPr>
      </w:pPr>
      <w:r w:rsidRPr="00C770C1">
        <w:rPr>
          <w:rFonts w:ascii="Calibri" w:eastAsia="Calibri" w:hAnsi="Calibri" w:cs="Times New Roman"/>
          <w:szCs w:val="24"/>
          <w:lang w:val="sr-Latn-ME"/>
        </w:rPr>
        <w:t>Upravljačka struktura je u prvoj polovini 2020. godine pripremila ključne indikatore uspješnosti i ključne indikatore rizika koji su u julu 2020. godine dostavljeni tijelima Operativne strukture na polugodišnje informisanje o rezultatima i dalje obavještavanje NAO-a. Ovi indikatori značajno doprinose eliminaciji identifikovanih rizika i omogućavaju Upravljačkoj strukturi da pravovremeno reaguje kroz podršku i preduzete korektivne mjere do konačnog uklanjanja rizika. Ključni indikatori uspješnosti izmjereni su u julu 2020. Dodatno, Direktorat za upravljačku strukturu je pripremio godišnje indikatore uspješnosti i rizika i uputio ih tijelima u okviru procesa izdavanja Godišnje izjave o upravljanju za 2020. godinu koja je u toku.</w:t>
      </w:r>
    </w:p>
    <w:p w:rsidR="00C770C1" w:rsidRPr="00C770C1" w:rsidRDefault="00C770C1" w:rsidP="00C770C1">
      <w:pPr>
        <w:spacing w:before="0" w:after="0" w:line="240" w:lineRule="auto"/>
        <w:ind w:firstLine="360"/>
        <w:rPr>
          <w:rFonts w:ascii="Calibri" w:eastAsia="Calibri" w:hAnsi="Calibri" w:cs="Times New Roman"/>
          <w:szCs w:val="24"/>
          <w:lang w:val="sr-Latn-ME"/>
        </w:rPr>
      </w:pPr>
      <w:r w:rsidRPr="00C770C1">
        <w:rPr>
          <w:rFonts w:ascii="Calibri" w:eastAsia="Calibri" w:hAnsi="Calibri" w:cs="Times New Roman"/>
          <w:szCs w:val="24"/>
          <w:lang w:val="sr-Latn-ME"/>
        </w:rPr>
        <w:t>U martu 2020. godine, Upravljačka struktura je u komunikaciji s Ministarstvom javne uprave finalizovala Akcioni plan ISO 27002 o politici informacione sigurnosti, čija je implementacija predviđena za period 2021 - 2023, sa aktivnostima koje zahtjevaju uključivanje nezavisne konsultantske institucije sa specifičnim iskustvom u ovoj oblasti. Pripremljeni Akcioni plan ISO 27002 je nakon konačnog usklađivanja od strane Ministarstva javne uprave dostavljen usvojen na sjednici Vlade Crne Gore 19. marta 2020. Inicijalna aktivnost za praćenje akcionog plana je obrazovanje Odbora za praćenje realizacije Akcionog plana o upravljanju politikom Informacione bezbjednosti na osnovu ISO 27002 2020-2022 za institucije uključene u upravljanje fondovima pretpristupne pomoći (IPA). Ovaj Odbor je obrazovan relevantnim Rješenjem Ministarstva javne uprave od 17. novembra 2020. godine. Rješenjem o obrazovanju Odbora za praćenje realizacije Akcionog plana o upravljanju politikom Informacione bezbjednosti na osnovu ISO 27002 2020-2022 za institucije uključene u upravljanje fondovima pretpristupne pomoći (IPA) su utvrđeni zadaci Odbora a kao prva aktivnost je predviđeno formiranje Operativnog tima.</w:t>
      </w:r>
    </w:p>
    <w:p w:rsidR="00C770C1" w:rsidRPr="00C770C1" w:rsidRDefault="00C770C1" w:rsidP="00C770C1">
      <w:pPr>
        <w:spacing w:before="0" w:after="0" w:line="240" w:lineRule="auto"/>
        <w:ind w:firstLine="360"/>
        <w:rPr>
          <w:rFonts w:ascii="Calibri" w:eastAsia="Calibri" w:hAnsi="Calibri" w:cs="Times New Roman"/>
          <w:szCs w:val="24"/>
          <w:lang w:val="sr-Latn-ME"/>
        </w:rPr>
      </w:pPr>
      <w:r w:rsidRPr="00C770C1">
        <w:rPr>
          <w:rFonts w:ascii="Calibri" w:eastAsia="Calibri" w:hAnsi="Calibri" w:cs="Times New Roman"/>
          <w:szCs w:val="24"/>
          <w:lang w:val="sr-Latn-ME"/>
        </w:rPr>
        <w:t xml:space="preserve">U izvještajnom periodu tokom 2020. godine, službenici Direktorata radili su sa službenicima AFCOS kancelarije na realizaciji aktivnosti definisanih Strategijom za borbu protiv prevara i upravljanje nepravilnostima u cilju zaštite finansijskih interesa Evropske unije za period 2019-2022 godine i pratećim Akcionim planom. Svrha donošenja Strategije jeste obezbjeđivanje kvalitetne i </w:t>
      </w:r>
      <w:r w:rsidRPr="00C770C1">
        <w:rPr>
          <w:rFonts w:ascii="Calibri" w:eastAsia="Calibri" w:hAnsi="Calibri" w:cs="Times New Roman"/>
          <w:szCs w:val="24"/>
          <w:lang w:val="sr-Latn-ME"/>
        </w:rPr>
        <w:lastRenderedPageBreak/>
        <w:t xml:space="preserve">efikasne zaštite finansijskih interesa EU u jednakoj mjeri kao i kada je riječ o sopstvenim sredstvima, što će se ostvariti koordinacijom aktivnosti na uspostavljanju normativnog, institucionalnog i operativnog okvira, kao i definisanjem rizika, ciljeva i mjera koji će doprinijeti efektivnijoj i efikasnijoj borbi protiv prevara i korupcije, kroz unapređenje saradnje između nadležnih institucija, na nacionalnom i na međunarodnom nivou. </w:t>
      </w:r>
    </w:p>
    <w:p w:rsidR="00C770C1" w:rsidRPr="00C770C1" w:rsidRDefault="00C770C1" w:rsidP="00C770C1">
      <w:pPr>
        <w:spacing w:before="0" w:after="0" w:line="240" w:lineRule="auto"/>
        <w:ind w:firstLine="360"/>
        <w:rPr>
          <w:rFonts w:ascii="Calibri" w:eastAsia="Calibri" w:hAnsi="Calibri" w:cs="Times New Roman"/>
          <w:szCs w:val="24"/>
          <w:lang w:val="sr-Latn-ME"/>
        </w:rPr>
      </w:pPr>
      <w:r w:rsidRPr="00C770C1">
        <w:rPr>
          <w:rFonts w:ascii="Calibri" w:eastAsia="Calibri" w:hAnsi="Calibri" w:cs="Times New Roman"/>
          <w:szCs w:val="24"/>
          <w:lang w:val="sr-Latn-ME"/>
        </w:rPr>
        <w:t>Sva tijela Operativne strukture imenovala su menadžere rizika koji su zaduženi za identifikaciju i registraciju rizika, kao i razvoj Akcionog plana za preduzimanje korektivnih mjera u cilju smanjenja ili otklanjanja rizika. Prema propisanim procedurama, održavanje panela za upravljanje rizicima je planirano dva puta godišnje u cilju okupljanja svih predstavnika institucija koji čine operativnu strukturu kroz sprovođenje IPA II programa. Panel za upravljanje rizicima ima za cilj da obuhvati sva pitanja koja se odnose na politiku upravljanja rizicima, kao i da predloži mjere za smanjenje rizika i razmotri praćenje rizika u vezi sa ranije planiranim korektivnim mjerama. Tokom 2020. godine, paneli za upravljanje rizicima nijesu održani u skladu sa aktuelnim mjerama na suzbijanju pandemije koronavirusa, ali rizici su mjereni i u eletronskoj formi komunicirani na dnevnoj bazi sa IPA tijelima.</w:t>
      </w:r>
    </w:p>
    <w:p w:rsidR="00C770C1" w:rsidRPr="00C770C1" w:rsidRDefault="00C770C1" w:rsidP="00C770C1">
      <w:pPr>
        <w:spacing w:before="0" w:after="0" w:line="240" w:lineRule="auto"/>
        <w:ind w:firstLine="360"/>
        <w:rPr>
          <w:rFonts w:ascii="Calibri" w:eastAsia="Calibri" w:hAnsi="Calibri" w:cs="Times New Roman"/>
          <w:szCs w:val="24"/>
          <w:lang w:val="sr-Latn-ME"/>
        </w:rPr>
      </w:pPr>
      <w:r w:rsidRPr="00C770C1">
        <w:rPr>
          <w:rFonts w:ascii="Calibri" w:eastAsia="Calibri" w:hAnsi="Calibri" w:cs="Times New Roman"/>
          <w:szCs w:val="24"/>
          <w:lang w:val="sr-Latn-ME"/>
        </w:rPr>
        <w:t>U toku 2020. godine, podnijeti su i odobreni izuzeci od postojećih procedura sa ciljem da se izmjene procedure za poboljšanje funkcionisanja sistema</w:t>
      </w:r>
      <w:r>
        <w:rPr>
          <w:rFonts w:ascii="Calibri" w:eastAsia="Calibri" w:hAnsi="Calibri" w:cs="Times New Roman"/>
          <w:szCs w:val="24"/>
          <w:lang w:val="sr-Latn-ME"/>
        </w:rPr>
        <w:t>.</w:t>
      </w:r>
    </w:p>
    <w:p w:rsidR="00C770C1" w:rsidRPr="00C770C1" w:rsidRDefault="00C770C1" w:rsidP="00C770C1">
      <w:pPr>
        <w:spacing w:before="0" w:after="0" w:line="240" w:lineRule="auto"/>
        <w:ind w:firstLine="360"/>
        <w:rPr>
          <w:rFonts w:ascii="Calibri" w:eastAsia="Calibri" w:hAnsi="Calibri" w:cs="Times New Roman"/>
          <w:szCs w:val="24"/>
          <w:lang w:val="sr-Latn-ME"/>
        </w:rPr>
      </w:pPr>
      <w:r w:rsidRPr="00C770C1">
        <w:rPr>
          <w:rFonts w:ascii="Calibri" w:eastAsia="Calibri" w:hAnsi="Calibri" w:cs="Times New Roman"/>
          <w:szCs w:val="24"/>
          <w:lang w:val="sr-Latn-ME"/>
        </w:rPr>
        <w:t>Tokom 2020. godine Evropskoj komisiji i nadležnim direktoratima dostavlejni su detaljni polugodišnji izvještaji o napretku u implementaciji IPA podrške za programe koji se sprovode kroz indirektno upravljanje.</w:t>
      </w:r>
    </w:p>
    <w:p w:rsidR="00C770C1" w:rsidRPr="00C770C1" w:rsidRDefault="00C770C1" w:rsidP="00C770C1">
      <w:pPr>
        <w:spacing w:before="0" w:after="0" w:line="240" w:lineRule="auto"/>
        <w:ind w:firstLine="360"/>
        <w:rPr>
          <w:rFonts w:ascii="Calibri" w:eastAsia="Calibri" w:hAnsi="Calibri" w:cs="Times New Roman"/>
          <w:b/>
          <w:i/>
          <w:szCs w:val="24"/>
          <w:lang w:val="sr-Latn-ME"/>
        </w:rPr>
      </w:pPr>
      <w:r w:rsidRPr="00C770C1">
        <w:rPr>
          <w:rFonts w:ascii="Calibri" w:eastAsia="Calibri" w:hAnsi="Calibri" w:cs="Times New Roman"/>
          <w:b/>
          <w:i/>
          <w:szCs w:val="24"/>
          <w:lang w:val="sr-Latn-ME"/>
        </w:rPr>
        <w:t>Redovne aktivnosti u dijelu finansijskog upravljanja</w:t>
      </w:r>
    </w:p>
    <w:p w:rsidR="00C770C1" w:rsidRPr="00C770C1" w:rsidRDefault="00C770C1" w:rsidP="00C770C1">
      <w:pPr>
        <w:spacing w:before="0" w:after="0" w:line="240" w:lineRule="auto"/>
        <w:ind w:firstLine="360"/>
        <w:rPr>
          <w:rFonts w:ascii="Calibri" w:eastAsia="Calibri" w:hAnsi="Calibri" w:cs="Times New Roman"/>
          <w:szCs w:val="24"/>
          <w:lang w:val="sr-Latn-ME"/>
        </w:rPr>
      </w:pPr>
      <w:r w:rsidRPr="00C770C1">
        <w:rPr>
          <w:rFonts w:ascii="Calibri" w:eastAsia="Calibri" w:hAnsi="Calibri" w:cs="Times New Roman"/>
          <w:szCs w:val="24"/>
          <w:lang w:val="sr-Latn-ME"/>
        </w:rPr>
        <w:t>Direktorat za upravljačku strukturu je, u saradnji sa nadležnim IPA tijelima, kontinuirano tokom 2020. godine obavljao redovne aktivnosti u vezi sa finansijskim upravljanjem i finansijskim izvještavanjem, a sve u cilju efikasnog korišćenja fondova EU i što veće absorpcije dostupnih sredstava. U tom pogledu, aktivnosti u oblasti finansijskog upravljanja IPA fondovima, uključujući izradu finansijskih projekcija, analizu likvidnosti, unos i evidentiranje podataka, vođenje računovodstvene evidencije, usaglašavanje podataka, finansijsko izvještavanje, prenos sredstava isl., redovno su se obavljale i u propisanim rokovima.</w:t>
      </w:r>
    </w:p>
    <w:p w:rsidR="00C770C1" w:rsidRPr="00C770C1" w:rsidRDefault="00C770C1" w:rsidP="00C770C1">
      <w:pPr>
        <w:spacing w:before="0" w:after="0" w:line="240" w:lineRule="auto"/>
        <w:ind w:firstLine="360"/>
        <w:rPr>
          <w:rFonts w:ascii="Calibri" w:eastAsia="Calibri" w:hAnsi="Calibri" w:cs="Times New Roman"/>
          <w:szCs w:val="24"/>
          <w:lang w:val="sr-Latn-ME"/>
        </w:rPr>
      </w:pPr>
      <w:r w:rsidRPr="00C770C1">
        <w:rPr>
          <w:rFonts w:ascii="Calibri" w:eastAsia="Calibri" w:hAnsi="Calibri" w:cs="Times New Roman"/>
          <w:szCs w:val="24"/>
          <w:lang w:val="sr-Latn-ME"/>
        </w:rPr>
        <w:t>S tim u vezi, svi relevantni izveštaji, kako godišnji (za 2019. godinu), tako i kvartalni (za prva tri kvartala 2020. godine) su pripremljeni, za sve programe koji se sprovode u okviru modela indirektnog upravljanja IPA sredstvima.</w:t>
      </w:r>
    </w:p>
    <w:p w:rsidR="00C770C1" w:rsidRPr="00C770C1" w:rsidRDefault="00C770C1" w:rsidP="00C770C1">
      <w:pPr>
        <w:spacing w:before="0" w:after="0" w:line="240" w:lineRule="auto"/>
        <w:ind w:firstLine="360"/>
        <w:rPr>
          <w:rFonts w:ascii="Calibri" w:eastAsia="Calibri" w:hAnsi="Calibri" w:cs="Times New Roman"/>
          <w:szCs w:val="24"/>
          <w:lang w:val="sr-Latn-ME"/>
        </w:rPr>
      </w:pPr>
      <w:r w:rsidRPr="00C770C1">
        <w:rPr>
          <w:rFonts w:ascii="Calibri" w:eastAsia="Calibri" w:hAnsi="Calibri" w:cs="Times New Roman"/>
          <w:szCs w:val="24"/>
          <w:lang w:val="sr-Latn-ME"/>
        </w:rPr>
        <w:t>Rezultat aktivnosti u dijelu finansijskog upravljanja jeste da je tokom 2020. godine od Evropske komisije dobijeno ukupno cca. 8,8 miliona € podrške. Naime, imajući u vidu da sredstva dostupna kroz IPA programe formalno postaju rasploživa potpisivanjem Finansijskih sporazuma, povlačenje sredstava, odnosno uplate od strane Evropske komisije se vrše u tranšama, a na bazi stvarnih potreba, pa je povučeni iznos tokom 2020. godine pokazatelj intenzivnih aktivnosti u dijelu sprovođenja ugovora i realizacije plaćanja. S tim u vezi, važno je istaći i da je tokom 2020. godine, za ugovore koji se finansiraju iz IPA programa, realizovano ukupno cca. 21,7 miliona plaćanja prema ugovaračima/krajnjim korisnicima, kako u dijelu jačanja sistema u oblastima poput vladavine prava, obrazovanja, zapošljavanja, konkurentnosti i inovacija, zaštite životne sredine, isl., tako i u oblastima jačanja prekogranične saradnje sa Albanijom i Kosovom, te u oblasti unapređenja poljoprivrede.</w:t>
      </w:r>
    </w:p>
    <w:p w:rsidR="00C770C1" w:rsidRPr="00C770C1" w:rsidRDefault="00C770C1" w:rsidP="00C770C1">
      <w:pPr>
        <w:spacing w:before="0" w:after="0" w:line="240" w:lineRule="auto"/>
        <w:rPr>
          <w:rFonts w:ascii="Calibri" w:eastAsia="Calibri" w:hAnsi="Calibri" w:cs="Times New Roman"/>
          <w:szCs w:val="24"/>
          <w:lang w:val="sr-Latn-ME"/>
        </w:rPr>
      </w:pPr>
      <w:r w:rsidRPr="00C770C1">
        <w:rPr>
          <w:rFonts w:ascii="Calibri" w:eastAsia="Calibri" w:hAnsi="Calibri" w:cs="Times New Roman"/>
          <w:szCs w:val="24"/>
          <w:lang w:val="sr-Latn-ME"/>
        </w:rPr>
        <w:t>Može se zaključiti da su se tokom 2020. godine redovno i u rokovima sprovodile sve aktivnosti u dijelu finansijskog upravljanja: finansijsko izveštavanje, izrada i ažuriranje finansijskih projekcija, priprema, verifikacija i odobravanje izveštaja o napretku ugovora i plaćanja za sve programe kojima se upravlja pod indirektnim upravljanjem, mjesečnom usaglašavanje podataka, prenosi EU dijlea sredstava i plaćanja ugovaračima/krajnjim korisnicima. Uprkos manjim odlaganjima aktivnosti u dijelu sprovođenja ugovora, te promjenama u svakodnevnom funkcionisanju poslovanja izazvanim pandemijom COVID-19, sve aktivnosti su realizovane na zadovoljavajući način, poštujući pravila i procedure.</w:t>
      </w:r>
    </w:p>
    <w:p w:rsidR="00C770C1" w:rsidRPr="00C770C1" w:rsidRDefault="00C770C1" w:rsidP="00C770C1">
      <w:pPr>
        <w:spacing w:before="0" w:after="0" w:line="240" w:lineRule="auto"/>
        <w:ind w:firstLine="709"/>
        <w:rPr>
          <w:rFonts w:ascii="Calibri" w:eastAsia="Calibri" w:hAnsi="Calibri" w:cs="Times New Roman"/>
          <w:szCs w:val="24"/>
          <w:lang w:val="sr-Latn-ME"/>
        </w:rPr>
      </w:pPr>
      <w:r w:rsidRPr="00C770C1">
        <w:rPr>
          <w:rFonts w:ascii="Calibri" w:eastAsia="Calibri" w:hAnsi="Calibri" w:cs="Times New Roman"/>
          <w:szCs w:val="24"/>
          <w:lang w:val="sr-Latn-ME"/>
        </w:rPr>
        <w:lastRenderedPageBreak/>
        <w:t>Pored redovnih aktivnosti u dijelu finansijskog upravljanja, a u cilju vođenja evidencije, tokom 2020. godine je dio aktivnosti bio usmjeren na izradu novog informacionog sistema za potrebe praćenja IPA programa.</w:t>
      </w:r>
    </w:p>
    <w:p w:rsidR="00C770C1" w:rsidRPr="00C770C1" w:rsidRDefault="00C770C1" w:rsidP="00C770C1">
      <w:pPr>
        <w:spacing w:before="0" w:after="0" w:line="240" w:lineRule="auto"/>
        <w:ind w:firstLine="709"/>
        <w:rPr>
          <w:rFonts w:ascii="Calibri" w:eastAsia="Calibri" w:hAnsi="Calibri" w:cs="Times New Roman"/>
          <w:b/>
          <w:i/>
          <w:szCs w:val="24"/>
          <w:lang w:val="sr-Latn-ME"/>
        </w:rPr>
      </w:pPr>
      <w:r w:rsidRPr="00C770C1">
        <w:rPr>
          <w:rFonts w:ascii="Calibri" w:eastAsia="Calibri" w:hAnsi="Calibri" w:cs="Times New Roman"/>
          <w:b/>
          <w:i/>
          <w:szCs w:val="24"/>
          <w:lang w:val="sr-Latn-ME"/>
        </w:rPr>
        <w:t>Promjene u strukturi</w:t>
      </w:r>
    </w:p>
    <w:p w:rsidR="00C770C1" w:rsidRPr="00C770C1" w:rsidRDefault="00C770C1" w:rsidP="00C770C1">
      <w:pPr>
        <w:spacing w:before="0" w:after="0" w:line="240" w:lineRule="auto"/>
        <w:ind w:firstLine="360"/>
        <w:rPr>
          <w:rFonts w:ascii="Calibri" w:eastAsia="Calibri" w:hAnsi="Calibri" w:cs="Times New Roman"/>
          <w:szCs w:val="24"/>
          <w:lang w:val="sr-Latn-ME"/>
        </w:rPr>
      </w:pPr>
      <w:r w:rsidRPr="00C770C1">
        <w:rPr>
          <w:rFonts w:ascii="Calibri" w:eastAsia="Calibri" w:hAnsi="Calibri" w:cs="Times New Roman"/>
          <w:szCs w:val="24"/>
          <w:lang w:val="sr-Latn-ME"/>
        </w:rPr>
        <w:t>Imajući u vidu da je početkom decembra 2020. godine formirana nova Vlada Crne Gore, došlo je organizacionih promjena na nivou državne uprave, koje su uticale i na uspostavljeni sistem i strukture za upravljanje IPA programima. U prvom redu, Ministarstvo finansija je preuzelo aktivnostu u dijelu politike socijalnog staranja i sada funkcioniše kao Ministarstvo finansija i socijalnog staranja. Dodatno, reorganizacijom je došlo da spajanja nekoliko ministarstva, ili pak formiranja novih. U skladu sa navedenim promjenama, najavljeno je i donošenje novih Pravilnika u unutrašnjoj organizaciji i sistematizaciji radnih mjesta u svim ministarstvima, pa se tokom 2021. godine očekuje tranzicioni period. Važno je istaći da će Direktorat za upravljačku strukturu, po ustaljenoj praksi i imajući u vidu nadležnosti kada je upitanju upravljanje IPA programima, pratiti funkcionisanje sistema i implementaciju aktivnosti, pored redovnih aktivnosti, kako bi se osiguralo da opisi poslova i struktura organizacionih jedinica koje su uključene u model indirektnog upravljanja pretpristupnom pomoći EU budu u skladu sa pravilima i obavezama propisanim od strane Evropske komisije.</w:t>
      </w:r>
    </w:p>
    <w:p w:rsidR="00C770C1" w:rsidRPr="00C770C1" w:rsidRDefault="00C770C1" w:rsidP="00C770C1">
      <w:pPr>
        <w:spacing w:before="0" w:after="0" w:line="240" w:lineRule="auto"/>
        <w:ind w:firstLine="360"/>
        <w:contextualSpacing/>
        <w:jc w:val="left"/>
        <w:rPr>
          <w:rFonts w:ascii="Calibri" w:eastAsia="Calibri" w:hAnsi="Calibri" w:cs="Times New Roman"/>
          <w:b/>
          <w:szCs w:val="24"/>
          <w:lang w:val="sr-Latn-ME"/>
        </w:rPr>
      </w:pPr>
      <w:r w:rsidRPr="00C770C1">
        <w:rPr>
          <w:rFonts w:ascii="Calibri" w:eastAsia="Calibri" w:hAnsi="Calibri" w:cs="Times New Roman"/>
          <w:b/>
          <w:szCs w:val="24"/>
          <w:lang w:val="sr-Latn-ME"/>
        </w:rPr>
        <w:t>Realizovanje zaključaka Vlade Crne Gore</w:t>
      </w:r>
    </w:p>
    <w:p w:rsidR="00C770C1" w:rsidRPr="00C770C1" w:rsidRDefault="00C770C1" w:rsidP="00C770C1">
      <w:pPr>
        <w:spacing w:before="0" w:after="0" w:line="240" w:lineRule="auto"/>
        <w:ind w:firstLine="360"/>
        <w:rPr>
          <w:rFonts w:ascii="Calibri" w:eastAsia="Calibri" w:hAnsi="Calibri" w:cs="Times New Roman"/>
          <w:szCs w:val="24"/>
          <w:lang w:val="sr-Latn-ME"/>
        </w:rPr>
      </w:pPr>
      <w:r w:rsidRPr="00C770C1">
        <w:rPr>
          <w:rFonts w:ascii="Calibri" w:eastAsia="Calibri" w:hAnsi="Calibri" w:cs="Times New Roman"/>
          <w:szCs w:val="24"/>
          <w:lang w:val="sr-Latn-ME"/>
        </w:rPr>
        <w:t>Shodno potebama prepoznatim kroz Analizu opterećenosti poslom za 2020. godinu, koja predviđa 5 radnih mjesta i dalje je evidentan manjak kadrovskih kapaciteta u Odjeljenju za evropske integracije u Ministarstvu finansija. U odjeljenju je angažovana jedna osoba na poziciji rukovodioca odjeljenja. S tim u vezi, na temelju razvijenog plana i dinamike zapošljavanja, preduzimaju se dalji koraci u cilju neophodnog jačanja kadrovskih kapaciteta ove jedinice.</w:t>
      </w:r>
    </w:p>
    <w:p w:rsidR="00C770C1" w:rsidRPr="00C770C1" w:rsidRDefault="00C770C1" w:rsidP="00C770C1">
      <w:pPr>
        <w:spacing w:before="0" w:after="0" w:line="240" w:lineRule="auto"/>
        <w:ind w:firstLine="360"/>
        <w:rPr>
          <w:rFonts w:ascii="Calibri" w:eastAsia="Calibri" w:hAnsi="Calibri" w:cs="Times New Roman"/>
          <w:szCs w:val="24"/>
          <w:lang w:val="sr-Latn-ME"/>
        </w:rPr>
      </w:pPr>
      <w:r w:rsidRPr="00C770C1">
        <w:rPr>
          <w:rFonts w:ascii="Calibri" w:eastAsia="Calibri" w:hAnsi="Calibri" w:cs="Times New Roman"/>
          <w:szCs w:val="24"/>
          <w:lang w:val="sr-Latn-ME"/>
        </w:rPr>
        <w:t xml:space="preserve">U skladu sa zaključkom Vlade Crne Gore 07-3271 od 2. jula 2020. godine, Agencija za zaštitu konkurencije je izvršila detaljnu analizu administrativnih kapaciteta – Sektora za kontrolu državne pomoći u Agenciji za zaštitu konkurencije, i o tome uredno obavijestila Nacionalnog službenika za ovjeravanje. </w:t>
      </w:r>
    </w:p>
    <w:p w:rsidR="00C770C1" w:rsidRPr="00C770C1" w:rsidRDefault="00C770C1" w:rsidP="00C770C1">
      <w:pPr>
        <w:spacing w:before="0" w:after="0" w:line="240" w:lineRule="auto"/>
        <w:ind w:firstLine="360"/>
        <w:rPr>
          <w:rFonts w:ascii="Calibri" w:eastAsia="Calibri" w:hAnsi="Calibri" w:cs="Times New Roman"/>
          <w:szCs w:val="24"/>
          <w:lang w:val="sr-Latn-ME"/>
        </w:rPr>
      </w:pPr>
      <w:r w:rsidRPr="00C770C1">
        <w:rPr>
          <w:rFonts w:ascii="Calibri" w:eastAsia="Calibri" w:hAnsi="Calibri" w:cs="Times New Roman"/>
          <w:szCs w:val="24"/>
          <w:lang w:val="sr-Latn-ME"/>
        </w:rPr>
        <w:t>S tim u vezi, Agencija je, postupajući po zaključcima, učinila sve napore da poveća apsorbcione kapacitete, tako da je broj zaposlenih u Sektoru za kontrolu državne pomoći uvećan.</w:t>
      </w:r>
    </w:p>
    <w:p w:rsidR="00C770C1" w:rsidRPr="00C770C1" w:rsidRDefault="00C770C1" w:rsidP="00F97B87">
      <w:pPr>
        <w:spacing w:before="0" w:after="0" w:line="240" w:lineRule="auto"/>
        <w:ind w:firstLine="360"/>
        <w:rPr>
          <w:rFonts w:ascii="Calibri" w:eastAsia="Calibri" w:hAnsi="Calibri" w:cs="Times New Roman"/>
          <w:szCs w:val="24"/>
          <w:lang w:val="sr-Latn-ME"/>
        </w:rPr>
      </w:pPr>
      <w:r w:rsidRPr="00C770C1">
        <w:rPr>
          <w:rFonts w:ascii="Calibri" w:eastAsia="Calibri" w:hAnsi="Calibri" w:cs="Times New Roman"/>
          <w:szCs w:val="24"/>
          <w:lang w:val="sr-Latn-ME"/>
        </w:rPr>
        <w:t xml:space="preserve">U okviru realizacije aktivnosti i projekata koji se realizuju kroz sistem indirektnog upravljanja fondovima pretpristupne podrške (IPA), a u skladu sa nadležnostima Direktorata za upravljačku strukturu, evidentno je ažurno praćenje redosljeda aktivnosti, rokova za realizaciju kao i nadgledanje postupanja po obavezama svih nadležnih IPA institucija. </w:t>
      </w:r>
    </w:p>
    <w:p w:rsidR="00C770C1" w:rsidRPr="00C770C1" w:rsidRDefault="00C770C1" w:rsidP="00C770C1">
      <w:pPr>
        <w:spacing w:before="0" w:after="0" w:line="240" w:lineRule="auto"/>
        <w:ind w:firstLine="709"/>
        <w:rPr>
          <w:rFonts w:ascii="Calibri" w:eastAsia="Calibri" w:hAnsi="Calibri" w:cs="Times New Roman"/>
          <w:szCs w:val="24"/>
          <w:lang w:val="sr-Latn-ME"/>
        </w:rPr>
      </w:pPr>
      <w:r w:rsidRPr="00C770C1">
        <w:rPr>
          <w:rFonts w:ascii="Calibri" w:eastAsia="Calibri" w:hAnsi="Calibri" w:cs="Times New Roman"/>
          <w:szCs w:val="24"/>
          <w:lang w:val="sr-Latn-ME"/>
        </w:rPr>
        <w:t xml:space="preserve">Imajući u vidu utvrđenu potrebu za urgentnim postupanjem u dijelu kadrovske problematike određenih IPA institucija, posebno u okviru Jedinice za implementaciju projekata Ministarstva finansija i socijalnog staranja, Nacionalni službenik za ovjeravanje vrši nadzor nad pokrenutim procesima u ovom smislu. Dalje, kako bi se što prije obezbijedilo nesmetano funkcionisanje sistema upravljanja IPA sredstvima i spram izdatih preporuka eksternih i internih revizija, došlo je do jačanja kadrovskih kapaciteta u okviru implementacionih agencija UJR i CFCU. Dodatno, Direktorat za plaćanja (IPARD agencija) je izvijestio Nacionalnog službenika za ovjeravanje o aktivnostima preduzetim u dijelu pokrenutih postupaka za zapošljavanje. Evidentno je angažovanje dodatnog kadra u cilju kvalitetnog ispunjavanja delegiranih obaveza u zadatim rokovima. </w:t>
      </w:r>
    </w:p>
    <w:p w:rsidR="00C770C1" w:rsidRPr="00C770C1" w:rsidRDefault="00C770C1" w:rsidP="00C770C1">
      <w:pPr>
        <w:spacing w:before="0" w:after="0" w:line="240" w:lineRule="auto"/>
        <w:ind w:firstLine="360"/>
        <w:rPr>
          <w:rFonts w:ascii="Calibri" w:eastAsia="Calibri" w:hAnsi="Calibri" w:cs="Times New Roman"/>
          <w:szCs w:val="24"/>
          <w:lang w:val="sr-Latn-ME"/>
        </w:rPr>
      </w:pPr>
      <w:r w:rsidRPr="00C770C1">
        <w:rPr>
          <w:rFonts w:ascii="Calibri" w:eastAsia="Calibri" w:hAnsi="Calibri" w:cs="Times New Roman"/>
          <w:szCs w:val="24"/>
          <w:lang w:val="sr-Latn-ME"/>
        </w:rPr>
        <w:t xml:space="preserve">Ustaljena praksa informisanja Nacionalnog službenika za ovjeravanje, na mjesečnom nivou, u vezi sa pripremom Dinamičkih planova za sprovođenje i praćenje aktivnosti u vezi postupka ugovaranja projekata u okviru CAP-a 2014, kao i radom na pripremi projektne dokumentacije neophodne za CAP 2016 i SOPEES (2015-2017), je i dalje ustaljena dostavljanjem ažuriranih informacija i tokom prve polovine 2020. godine. Dinamički planovi realizacije aktivnosti u dijelu implementacije ugovora sadrže informacije o svim preduzetim radnjama u okviru pojedinačnih </w:t>
      </w:r>
      <w:r w:rsidRPr="00C770C1">
        <w:rPr>
          <w:rFonts w:ascii="Calibri" w:eastAsia="Calibri" w:hAnsi="Calibri" w:cs="Times New Roman"/>
          <w:szCs w:val="24"/>
          <w:lang w:val="sr-Latn-ME"/>
        </w:rPr>
        <w:lastRenderedPageBreak/>
        <w:t>projekata po fazama i preostalim fazama tenderske proceudre, visini utrošenih sredstava, uočenim rizicima kao i definisanje odgovornih institucija za realiz</w:t>
      </w:r>
      <w:r>
        <w:rPr>
          <w:rFonts w:ascii="Calibri" w:eastAsia="Calibri" w:hAnsi="Calibri" w:cs="Times New Roman"/>
          <w:szCs w:val="24"/>
          <w:lang w:val="sr-Latn-ME"/>
        </w:rPr>
        <w:t>aciju odgovarajućih aktivnosti.</w:t>
      </w:r>
    </w:p>
    <w:p w:rsidR="00B55665" w:rsidRDefault="00B55665" w:rsidP="008F659F">
      <w:pPr>
        <w:pStyle w:val="PlainText"/>
        <w:jc w:val="both"/>
        <w:rPr>
          <w:rFonts w:asciiTheme="minorHAnsi" w:hAnsiTheme="minorHAnsi" w:cs="Arial"/>
          <w:b/>
          <w:sz w:val="24"/>
          <w:szCs w:val="24"/>
        </w:rPr>
      </w:pPr>
    </w:p>
    <w:p w:rsidR="00137B97" w:rsidRDefault="00137B97" w:rsidP="00C81D2D">
      <w:pPr>
        <w:pStyle w:val="PlainText"/>
        <w:shd w:val="clear" w:color="auto" w:fill="F9D8CD" w:themeFill="accent1" w:themeFillTint="33"/>
        <w:jc w:val="both"/>
        <w:rPr>
          <w:rFonts w:asciiTheme="minorHAnsi" w:hAnsiTheme="minorHAnsi" w:cs="Arial"/>
          <w:b/>
          <w:sz w:val="24"/>
          <w:szCs w:val="24"/>
        </w:rPr>
      </w:pPr>
      <w:r>
        <w:rPr>
          <w:rFonts w:asciiTheme="minorHAnsi" w:hAnsiTheme="minorHAnsi" w:cs="Arial"/>
          <w:b/>
          <w:sz w:val="24"/>
          <w:szCs w:val="24"/>
        </w:rPr>
        <w:tab/>
        <w:t xml:space="preserve">10. DIREKTORAT ZA IMOVINSKO PRAVNE POSLOVE </w:t>
      </w:r>
    </w:p>
    <w:p w:rsidR="00C81D2D" w:rsidRDefault="00C81D2D" w:rsidP="00C81D2D">
      <w:pPr>
        <w:suppressAutoHyphens/>
        <w:autoSpaceDN w:val="0"/>
        <w:spacing w:before="0" w:after="0" w:line="240" w:lineRule="auto"/>
        <w:jc w:val="left"/>
        <w:textAlignment w:val="baseline"/>
        <w:rPr>
          <w:rFonts w:eastAsia="Calibri" w:cs="Arial"/>
          <w:b/>
          <w:szCs w:val="24"/>
          <w:lang w:val="en-US"/>
        </w:rPr>
      </w:pPr>
    </w:p>
    <w:p w:rsidR="00C81D2D" w:rsidRPr="002423BC" w:rsidRDefault="00C81D2D" w:rsidP="002423BC">
      <w:pPr>
        <w:suppressAutoHyphens/>
        <w:autoSpaceDN w:val="0"/>
        <w:spacing w:before="0" w:after="0" w:line="240" w:lineRule="auto"/>
        <w:ind w:firstLine="709"/>
        <w:textAlignment w:val="baseline"/>
        <w:rPr>
          <w:rFonts w:eastAsia="Calibri" w:cs="Times New Roman"/>
          <w:szCs w:val="24"/>
          <w:lang w:val="en-US"/>
        </w:rPr>
      </w:pPr>
      <w:r w:rsidRPr="002423BC">
        <w:rPr>
          <w:rFonts w:eastAsia="Calibri" w:cs="Times New Roman"/>
          <w:szCs w:val="24"/>
          <w:lang w:val="en-US"/>
        </w:rPr>
        <w:t xml:space="preserve">U periodu od 10.01. – 25.12.2020. godine, u Direktoratu za imovinsko pravne poslove ukupno je: </w:t>
      </w:r>
    </w:p>
    <w:p w:rsidR="00C81D2D" w:rsidRPr="00C81D2D" w:rsidRDefault="00C81D2D" w:rsidP="00C81D2D">
      <w:pPr>
        <w:suppressAutoHyphens/>
        <w:autoSpaceDN w:val="0"/>
        <w:spacing w:before="0" w:after="0" w:line="240" w:lineRule="auto"/>
        <w:textAlignment w:val="baseline"/>
        <w:rPr>
          <w:rFonts w:eastAsia="Calibri" w:cs="Times New Roman"/>
          <w:szCs w:val="24"/>
          <w:lang w:val="en-US"/>
        </w:rPr>
      </w:pPr>
      <w:r w:rsidRPr="002423BC">
        <w:rPr>
          <w:rFonts w:eastAsia="Calibri" w:cs="Times New Roman"/>
          <w:szCs w:val="24"/>
          <w:lang w:val="en-US"/>
        </w:rPr>
        <w:t>Zaprimljeno predmeta</w:t>
      </w:r>
      <w:r w:rsidRPr="00C81D2D">
        <w:rPr>
          <w:rFonts w:eastAsia="Calibri" w:cs="Times New Roman"/>
          <w:b/>
          <w:szCs w:val="24"/>
          <w:lang w:val="en-US"/>
        </w:rPr>
        <w:t xml:space="preserve"> 3646</w:t>
      </w:r>
    </w:p>
    <w:p w:rsidR="00C81D2D" w:rsidRPr="00C81D2D" w:rsidRDefault="00C81D2D" w:rsidP="00C81D2D">
      <w:pPr>
        <w:suppressAutoHyphens/>
        <w:autoSpaceDN w:val="0"/>
        <w:spacing w:before="0" w:after="0" w:line="240" w:lineRule="auto"/>
        <w:textAlignment w:val="baseline"/>
        <w:rPr>
          <w:rFonts w:eastAsia="Calibri" w:cs="Times New Roman"/>
          <w:szCs w:val="24"/>
          <w:lang w:val="en-US"/>
        </w:rPr>
      </w:pPr>
      <w:r w:rsidRPr="002423BC">
        <w:rPr>
          <w:rFonts w:eastAsia="Calibri" w:cs="Times New Roman"/>
          <w:szCs w:val="24"/>
          <w:lang w:val="en-US"/>
        </w:rPr>
        <w:t>Realizovano predmeta</w:t>
      </w:r>
      <w:r w:rsidRPr="00C81D2D">
        <w:rPr>
          <w:rFonts w:eastAsia="Calibri" w:cs="Times New Roman"/>
          <w:b/>
          <w:szCs w:val="24"/>
          <w:lang w:val="en-US"/>
        </w:rPr>
        <w:t xml:space="preserve"> 3428</w:t>
      </w:r>
    </w:p>
    <w:p w:rsidR="00C81D2D" w:rsidRPr="00C81D2D" w:rsidRDefault="00C81D2D" w:rsidP="00C81D2D">
      <w:pPr>
        <w:suppressAutoHyphens/>
        <w:autoSpaceDN w:val="0"/>
        <w:spacing w:before="0" w:after="0" w:line="240" w:lineRule="auto"/>
        <w:textAlignment w:val="baseline"/>
        <w:rPr>
          <w:rFonts w:eastAsia="Calibri" w:cs="Times New Roman"/>
          <w:b/>
          <w:szCs w:val="24"/>
          <w:lang w:val="en-US"/>
        </w:rPr>
      </w:pPr>
      <w:r w:rsidRPr="002423BC">
        <w:rPr>
          <w:rFonts w:eastAsia="Calibri" w:cs="Times New Roman"/>
          <w:szCs w:val="24"/>
          <w:lang w:val="en-US"/>
        </w:rPr>
        <w:t>u radu</w:t>
      </w:r>
      <w:r w:rsidRPr="00C81D2D">
        <w:rPr>
          <w:rFonts w:eastAsia="Calibri" w:cs="Times New Roman"/>
          <w:b/>
          <w:szCs w:val="24"/>
          <w:lang w:val="en-US"/>
        </w:rPr>
        <w:t xml:space="preserve"> 218 predmeta.</w:t>
      </w:r>
    </w:p>
    <w:p w:rsidR="00C81D2D" w:rsidRPr="00C81D2D" w:rsidRDefault="00C81D2D" w:rsidP="00C81D2D">
      <w:pPr>
        <w:suppressAutoHyphens/>
        <w:autoSpaceDN w:val="0"/>
        <w:spacing w:before="0" w:after="0" w:line="240" w:lineRule="auto"/>
        <w:textAlignment w:val="baseline"/>
        <w:rPr>
          <w:rFonts w:eastAsia="Calibri" w:cs="Times New Roman"/>
          <w:szCs w:val="24"/>
          <w:lang w:val="en-US"/>
        </w:rPr>
      </w:pPr>
    </w:p>
    <w:p w:rsidR="00C81D2D" w:rsidRPr="00C81D2D" w:rsidRDefault="00C81D2D" w:rsidP="00BD646F">
      <w:pPr>
        <w:suppressAutoHyphens/>
        <w:autoSpaceDN w:val="0"/>
        <w:spacing w:before="0" w:after="0" w:line="240" w:lineRule="auto"/>
        <w:textAlignment w:val="baseline"/>
        <w:rPr>
          <w:rFonts w:eastAsia="Calibri" w:cs="Times New Roman"/>
          <w:szCs w:val="24"/>
          <w:lang w:val="en-US"/>
        </w:rPr>
      </w:pPr>
      <w:r w:rsidRPr="00C81D2D">
        <w:rPr>
          <w:rFonts w:eastAsia="Calibri" w:cs="Times New Roman"/>
          <w:b/>
          <w:szCs w:val="24"/>
          <w:u w:val="single"/>
          <w:lang w:val="en-US"/>
        </w:rPr>
        <w:t xml:space="preserve">Direkcija za državnu imovinu </w:t>
      </w:r>
    </w:p>
    <w:p w:rsidR="00C81D2D" w:rsidRPr="00BD646F" w:rsidRDefault="00C81D2D" w:rsidP="00BD646F">
      <w:pPr>
        <w:suppressAutoHyphens/>
        <w:autoSpaceDN w:val="0"/>
        <w:spacing w:before="0" w:after="0" w:line="240" w:lineRule="auto"/>
        <w:textAlignment w:val="baseline"/>
        <w:rPr>
          <w:rFonts w:eastAsia="Calibri" w:cs="Times New Roman"/>
          <w:szCs w:val="24"/>
          <w:lang w:val="en-US"/>
        </w:rPr>
      </w:pPr>
      <w:r w:rsidRPr="00BD646F">
        <w:rPr>
          <w:rFonts w:eastAsia="Calibri" w:cs="Times New Roman"/>
          <w:szCs w:val="24"/>
          <w:u w:val="single"/>
          <w:lang w:val="en-US"/>
        </w:rPr>
        <w:t xml:space="preserve">Normativni dio:    </w:t>
      </w:r>
    </w:p>
    <w:p w:rsidR="00C81D2D" w:rsidRPr="00202A1E" w:rsidRDefault="00C81D2D" w:rsidP="00C81D2D">
      <w:pPr>
        <w:suppressAutoHyphens/>
        <w:autoSpaceDN w:val="0"/>
        <w:spacing w:before="0" w:after="0" w:line="240" w:lineRule="auto"/>
        <w:ind w:firstLine="709"/>
        <w:textAlignment w:val="baseline"/>
        <w:rPr>
          <w:rFonts w:eastAsia="Calibri" w:cs="Times New Roman"/>
          <w:szCs w:val="24"/>
          <w:lang w:val="en-US"/>
        </w:rPr>
      </w:pPr>
      <w:r w:rsidRPr="00C81D2D">
        <w:rPr>
          <w:rFonts w:eastAsia="Calibri" w:cs="Calibri"/>
          <w:szCs w:val="24"/>
          <w:lang w:val="en-US"/>
        </w:rPr>
        <w:t xml:space="preserve">Vlada Crne Gore u 2020. godini donijela je </w:t>
      </w:r>
      <w:r w:rsidRPr="00C81D2D">
        <w:rPr>
          <w:rFonts w:eastAsia="Calibri" w:cs="Calibri"/>
          <w:b/>
          <w:szCs w:val="24"/>
          <w:lang w:val="en-US"/>
        </w:rPr>
        <w:t xml:space="preserve">Uredbu o utvrđivanju isplate obeštećenja bivšim vlasnicima oduzetih imovinskih prava u novčanim sredstvima za 2020. godinu </w:t>
      </w:r>
      <w:r w:rsidRPr="00202A1E">
        <w:rPr>
          <w:rFonts w:eastAsia="Calibri" w:cs="Calibri"/>
          <w:szCs w:val="24"/>
          <w:lang w:val="en-US"/>
        </w:rPr>
        <w:t>("Službeni List Crne Gore", br. 68/2 od 08.07.2020.</w:t>
      </w:r>
      <w:r w:rsidR="00BD646F" w:rsidRPr="00202A1E">
        <w:rPr>
          <w:rFonts w:eastAsia="Calibri" w:cs="Calibri"/>
          <w:szCs w:val="24"/>
          <w:lang w:val="en-US"/>
        </w:rPr>
        <w:t xml:space="preserve"> </w:t>
      </w:r>
      <w:r w:rsidRPr="00202A1E">
        <w:rPr>
          <w:rFonts w:eastAsia="Calibri" w:cs="Calibri"/>
          <w:szCs w:val="24"/>
          <w:lang w:val="en-US"/>
        </w:rPr>
        <w:t>godine).</w:t>
      </w:r>
    </w:p>
    <w:p w:rsidR="00C81D2D" w:rsidRPr="00C81D2D" w:rsidRDefault="00C81D2D" w:rsidP="00C81D2D">
      <w:pPr>
        <w:tabs>
          <w:tab w:val="left" w:pos="6521"/>
        </w:tabs>
        <w:suppressAutoHyphens/>
        <w:autoSpaceDE w:val="0"/>
        <w:autoSpaceDN w:val="0"/>
        <w:spacing w:before="0" w:after="0" w:line="240" w:lineRule="auto"/>
        <w:textAlignment w:val="baseline"/>
        <w:rPr>
          <w:rFonts w:eastAsia="Times New Roman" w:cs="Times New Roman"/>
          <w:szCs w:val="24"/>
          <w:lang w:val="en-US"/>
        </w:rPr>
      </w:pPr>
      <w:r w:rsidRPr="00CE19E8">
        <w:rPr>
          <w:rFonts w:eastAsia="Calibri" w:cs="Calibri"/>
          <w:color w:val="000000"/>
          <w:szCs w:val="24"/>
          <w:lang w:val="en-US"/>
        </w:rPr>
        <w:t xml:space="preserve">            </w:t>
      </w:r>
      <w:r w:rsidRPr="00C81D2D">
        <w:rPr>
          <w:rFonts w:eastAsia="Calibri" w:cs="Calibri"/>
          <w:color w:val="000000"/>
          <w:szCs w:val="24"/>
          <w:lang w:val="en-US"/>
        </w:rPr>
        <w:t>Ovom uredbom propisuje se način isplate godišnje rate obeštećenja bivšim vlasnicima oduzetih imovinskih prava u novčanim sredstvima za 2020. godinu, a koji su to pravo stekli na osnovu izvršnih rješenja komisija za povraćaj oduzetih imovinskih prava i obeštećenje, koja su dostavljena Fondu za obeštećenje do 31. decembra 2019. godine.</w:t>
      </w:r>
    </w:p>
    <w:p w:rsidR="00C81D2D" w:rsidRPr="00C81D2D" w:rsidRDefault="00C81D2D" w:rsidP="00C81D2D">
      <w:pPr>
        <w:suppressAutoHyphens/>
        <w:autoSpaceDN w:val="0"/>
        <w:spacing w:before="0" w:after="0" w:line="240" w:lineRule="auto"/>
        <w:textAlignment w:val="baseline"/>
        <w:rPr>
          <w:rFonts w:eastAsia="Calibri" w:cs="Times New Roman"/>
          <w:color w:val="000000"/>
          <w:szCs w:val="24"/>
          <w:lang w:val="en-US"/>
        </w:rPr>
      </w:pPr>
    </w:p>
    <w:p w:rsidR="00C81D2D" w:rsidRPr="00BD646F" w:rsidRDefault="00C81D2D" w:rsidP="00BD646F">
      <w:pPr>
        <w:suppressAutoHyphens/>
        <w:autoSpaceDN w:val="0"/>
        <w:spacing w:before="0" w:after="0" w:line="240" w:lineRule="auto"/>
        <w:textAlignment w:val="baseline"/>
        <w:rPr>
          <w:rFonts w:eastAsia="Calibri" w:cs="Times New Roman"/>
          <w:szCs w:val="24"/>
          <w:lang w:val="en-US"/>
        </w:rPr>
      </w:pPr>
      <w:r w:rsidRPr="00BD646F">
        <w:rPr>
          <w:rFonts w:eastAsia="Calibri" w:cs="Times New Roman"/>
          <w:color w:val="000000"/>
          <w:szCs w:val="24"/>
          <w:u w:val="single"/>
          <w:lang w:val="en-US"/>
        </w:rPr>
        <w:t>Tekuće aktivnosti:</w:t>
      </w:r>
    </w:p>
    <w:p w:rsidR="00C81D2D" w:rsidRPr="00C81D2D" w:rsidRDefault="00C81D2D" w:rsidP="00C81D2D">
      <w:pPr>
        <w:suppressAutoHyphens/>
        <w:autoSpaceDN w:val="0"/>
        <w:spacing w:before="0" w:after="0" w:line="240" w:lineRule="auto"/>
        <w:ind w:firstLine="360"/>
        <w:textAlignment w:val="baseline"/>
        <w:rPr>
          <w:rFonts w:eastAsia="Calibri" w:cs="Times New Roman"/>
          <w:szCs w:val="24"/>
          <w:lang w:val="en-US"/>
        </w:rPr>
      </w:pPr>
      <w:r w:rsidRPr="00C81D2D">
        <w:rPr>
          <w:rFonts w:eastAsia="Calibri" w:cs="Times New Roman"/>
          <w:color w:val="000000"/>
          <w:szCs w:val="24"/>
          <w:lang w:val="en-US"/>
        </w:rPr>
        <w:t xml:space="preserve">U toku izvještajnog perioda, u Direkciji </w:t>
      </w:r>
      <w:r w:rsidR="00BD646F">
        <w:rPr>
          <w:rFonts w:eastAsia="Calibri" w:cs="Times New Roman"/>
          <w:color w:val="000000"/>
          <w:szCs w:val="24"/>
          <w:lang w:val="en-US"/>
        </w:rPr>
        <w:t>za državnu imovinu postupano je</w:t>
      </w:r>
      <w:r w:rsidRPr="00C81D2D">
        <w:rPr>
          <w:rFonts w:eastAsia="Calibri" w:cs="Times New Roman"/>
          <w:color w:val="000000"/>
          <w:szCs w:val="24"/>
          <w:lang w:val="en-US"/>
        </w:rPr>
        <w:t xml:space="preserve"> </w:t>
      </w:r>
      <w:r w:rsidRPr="00C81D2D">
        <w:rPr>
          <w:rFonts w:eastAsia="Calibri" w:cs="Times New Roman"/>
          <w:szCs w:val="24"/>
          <w:lang w:val="en-US"/>
        </w:rPr>
        <w:t xml:space="preserve">po zahtjevima državnih organa, lokalnih samouprava, javnih službi, fizičkih i pravnih lica, pa je po tom osnovu </w:t>
      </w:r>
      <w:r w:rsidR="00BD646F">
        <w:rPr>
          <w:rFonts w:eastAsia="Calibri" w:cs="Times New Roman"/>
          <w:color w:val="000000"/>
          <w:szCs w:val="24"/>
          <w:lang w:val="en-US"/>
        </w:rPr>
        <w:t xml:space="preserve">zaprimljeno </w:t>
      </w:r>
      <w:r w:rsidRPr="00C81D2D">
        <w:rPr>
          <w:rFonts w:eastAsia="Calibri" w:cs="Times New Roman"/>
          <w:color w:val="000000"/>
          <w:szCs w:val="24"/>
          <w:lang w:val="en-US"/>
        </w:rPr>
        <w:t>ukupno</w:t>
      </w:r>
      <w:r w:rsidR="00BD646F">
        <w:rPr>
          <w:rFonts w:eastAsia="Calibri" w:cs="Times New Roman"/>
          <w:b/>
          <w:color w:val="000000"/>
          <w:szCs w:val="24"/>
          <w:lang w:val="en-US"/>
        </w:rPr>
        <w:t xml:space="preserve"> 829 </w:t>
      </w:r>
      <w:r w:rsidRPr="00C81D2D">
        <w:rPr>
          <w:rFonts w:eastAsia="Calibri" w:cs="Times New Roman"/>
          <w:b/>
          <w:color w:val="000000"/>
          <w:szCs w:val="24"/>
          <w:lang w:val="en-US"/>
        </w:rPr>
        <w:t>predmeta</w:t>
      </w:r>
      <w:r w:rsidRPr="00C81D2D">
        <w:rPr>
          <w:rFonts w:eastAsia="Calibri" w:cs="Times New Roman"/>
          <w:szCs w:val="24"/>
          <w:lang w:val="sl-SI"/>
        </w:rPr>
        <w:t xml:space="preserve">, od čega je realizovano </w:t>
      </w:r>
      <w:r w:rsidRPr="00C81D2D">
        <w:rPr>
          <w:rFonts w:eastAsia="Calibri" w:cs="Times New Roman"/>
          <w:b/>
          <w:szCs w:val="24"/>
          <w:lang w:val="sl-SI"/>
        </w:rPr>
        <w:t>694</w:t>
      </w:r>
      <w:r w:rsidRPr="00C81D2D">
        <w:rPr>
          <w:rFonts w:eastAsia="Calibri" w:cs="Times New Roman"/>
          <w:szCs w:val="24"/>
          <w:lang w:val="sl-SI"/>
        </w:rPr>
        <w:t xml:space="preserve"> predmeta, dok je u radu </w:t>
      </w:r>
      <w:r w:rsidRPr="00C81D2D">
        <w:rPr>
          <w:rFonts w:eastAsia="Calibri" w:cs="Times New Roman"/>
          <w:b/>
          <w:szCs w:val="24"/>
          <w:lang w:val="sl-SI"/>
        </w:rPr>
        <w:t>135</w:t>
      </w:r>
      <w:r w:rsidRPr="00C81D2D">
        <w:rPr>
          <w:rFonts w:eastAsia="Calibri" w:cs="Times New Roman"/>
          <w:szCs w:val="24"/>
          <w:lang w:val="sl-SI"/>
        </w:rPr>
        <w:t xml:space="preserve"> i to:</w:t>
      </w:r>
    </w:p>
    <w:p w:rsidR="00C81D2D" w:rsidRPr="00C81D2D" w:rsidRDefault="00C81D2D" w:rsidP="00146EBE">
      <w:pPr>
        <w:numPr>
          <w:ilvl w:val="0"/>
          <w:numId w:val="47"/>
        </w:numPr>
        <w:suppressAutoHyphens/>
        <w:autoSpaceDN w:val="0"/>
        <w:spacing w:before="0" w:after="0" w:line="240" w:lineRule="auto"/>
        <w:jc w:val="left"/>
        <w:textAlignment w:val="baseline"/>
        <w:rPr>
          <w:rFonts w:eastAsia="Calibri" w:cs="Times New Roman"/>
          <w:szCs w:val="24"/>
          <w:lang w:val="en-US"/>
        </w:rPr>
      </w:pPr>
      <w:r w:rsidRPr="00C81D2D">
        <w:rPr>
          <w:rFonts w:eastAsia="Calibri" w:cs="Times New Roman"/>
          <w:szCs w:val="24"/>
          <w:lang w:val="en-US"/>
        </w:rPr>
        <w:t>Zahtjevi za prodaju nepokretnosti</w:t>
      </w:r>
      <w:r w:rsidRPr="00C81D2D">
        <w:rPr>
          <w:rFonts w:eastAsia="Calibri" w:cs="Times New Roman"/>
          <w:b/>
          <w:szCs w:val="24"/>
          <w:lang w:val="en-US"/>
        </w:rPr>
        <w:t>:                                      realizovano 80, u radu 73,</w:t>
      </w:r>
    </w:p>
    <w:p w:rsidR="00C81D2D" w:rsidRPr="00C81D2D" w:rsidRDefault="00C81D2D" w:rsidP="00146EBE">
      <w:pPr>
        <w:numPr>
          <w:ilvl w:val="0"/>
          <w:numId w:val="47"/>
        </w:numPr>
        <w:suppressAutoHyphens/>
        <w:autoSpaceDN w:val="0"/>
        <w:spacing w:before="0" w:after="0" w:line="240" w:lineRule="auto"/>
        <w:jc w:val="left"/>
        <w:textAlignment w:val="baseline"/>
        <w:rPr>
          <w:rFonts w:eastAsia="Calibri" w:cs="Times New Roman"/>
          <w:szCs w:val="24"/>
          <w:lang w:val="en-US"/>
        </w:rPr>
      </w:pPr>
      <w:r w:rsidRPr="00C81D2D">
        <w:rPr>
          <w:rFonts w:eastAsia="Calibri" w:cs="Times New Roman"/>
          <w:szCs w:val="24"/>
          <w:lang w:val="en-US"/>
        </w:rPr>
        <w:t xml:space="preserve"> Zahtjevi za zakup nepokretnosti</w:t>
      </w:r>
      <w:r w:rsidRPr="00C81D2D">
        <w:rPr>
          <w:rFonts w:eastAsia="Calibri" w:cs="Times New Roman"/>
          <w:b/>
          <w:szCs w:val="24"/>
          <w:lang w:val="en-US"/>
        </w:rPr>
        <w:t xml:space="preserve">:                                         realizovano 5, u radu 12, </w:t>
      </w:r>
    </w:p>
    <w:p w:rsidR="00C81D2D" w:rsidRPr="00C81D2D" w:rsidRDefault="00C81D2D" w:rsidP="00146EBE">
      <w:pPr>
        <w:numPr>
          <w:ilvl w:val="0"/>
          <w:numId w:val="47"/>
        </w:numPr>
        <w:suppressAutoHyphens/>
        <w:autoSpaceDN w:val="0"/>
        <w:spacing w:before="0" w:after="0" w:line="240" w:lineRule="auto"/>
        <w:jc w:val="left"/>
        <w:textAlignment w:val="baseline"/>
        <w:rPr>
          <w:rFonts w:eastAsia="Calibri" w:cs="Times New Roman"/>
          <w:szCs w:val="24"/>
          <w:lang w:val="en-US"/>
        </w:rPr>
      </w:pPr>
      <w:r w:rsidRPr="00C81D2D">
        <w:rPr>
          <w:rFonts w:eastAsia="Calibri" w:cs="Times New Roman"/>
          <w:szCs w:val="24"/>
          <w:lang w:val="en-US"/>
        </w:rPr>
        <w:t xml:space="preserve">Zahtjevi za ustanovljenje službenosti:                                </w:t>
      </w:r>
      <w:r w:rsidRPr="00CE19E8">
        <w:rPr>
          <w:rFonts w:eastAsia="Calibri" w:cs="Times New Roman"/>
          <w:szCs w:val="24"/>
          <w:lang w:val="en-US"/>
        </w:rPr>
        <w:t xml:space="preserve"> </w:t>
      </w:r>
      <w:r w:rsidRPr="00C81D2D">
        <w:rPr>
          <w:rFonts w:eastAsia="Calibri" w:cs="Times New Roman"/>
          <w:szCs w:val="24"/>
          <w:lang w:val="en-US"/>
        </w:rPr>
        <w:t xml:space="preserve"> </w:t>
      </w:r>
      <w:r w:rsidRPr="00C81D2D">
        <w:rPr>
          <w:rFonts w:eastAsia="Calibri" w:cs="Times New Roman"/>
          <w:b/>
          <w:szCs w:val="24"/>
          <w:lang w:val="en-US"/>
        </w:rPr>
        <w:t xml:space="preserve">realizovano 12, u radu 19, </w:t>
      </w:r>
    </w:p>
    <w:p w:rsidR="00C81D2D" w:rsidRPr="00C81D2D" w:rsidRDefault="00C81D2D" w:rsidP="00146EBE">
      <w:pPr>
        <w:numPr>
          <w:ilvl w:val="0"/>
          <w:numId w:val="47"/>
        </w:numPr>
        <w:suppressAutoHyphens/>
        <w:autoSpaceDN w:val="0"/>
        <w:spacing w:before="0" w:after="0" w:line="240" w:lineRule="auto"/>
        <w:jc w:val="left"/>
        <w:textAlignment w:val="baseline"/>
        <w:rPr>
          <w:rFonts w:eastAsia="Calibri" w:cs="Times New Roman"/>
          <w:szCs w:val="24"/>
          <w:lang w:val="en-US"/>
        </w:rPr>
      </w:pPr>
      <w:r w:rsidRPr="00C81D2D">
        <w:rPr>
          <w:rFonts w:eastAsia="Calibri" w:cs="Times New Roman"/>
          <w:szCs w:val="24"/>
          <w:lang w:val="en-US"/>
        </w:rPr>
        <w:t xml:space="preserve">Zahtjevi za razmjenu nepokretnosti:      </w:t>
      </w:r>
      <w:r w:rsidRPr="00C81D2D">
        <w:rPr>
          <w:rFonts w:eastAsia="Calibri" w:cs="Times New Roman"/>
          <w:b/>
          <w:szCs w:val="24"/>
          <w:lang w:val="en-US"/>
        </w:rPr>
        <w:t xml:space="preserve">                             </w:t>
      </w:r>
      <w:r w:rsidRPr="00CE19E8">
        <w:rPr>
          <w:rFonts w:eastAsia="Calibri" w:cs="Times New Roman"/>
          <w:b/>
          <w:szCs w:val="24"/>
          <w:lang w:val="en-US"/>
        </w:rPr>
        <w:t xml:space="preserve"> </w:t>
      </w:r>
      <w:r w:rsidRPr="00C81D2D">
        <w:rPr>
          <w:rFonts w:eastAsia="Calibri" w:cs="Times New Roman"/>
          <w:b/>
          <w:szCs w:val="24"/>
          <w:lang w:val="en-US"/>
        </w:rPr>
        <w:t>realizovano 2, u radu 2</w:t>
      </w:r>
    </w:p>
    <w:p w:rsidR="00C81D2D" w:rsidRPr="00C81D2D" w:rsidRDefault="00C81D2D" w:rsidP="00146EBE">
      <w:pPr>
        <w:numPr>
          <w:ilvl w:val="0"/>
          <w:numId w:val="47"/>
        </w:numPr>
        <w:suppressAutoHyphens/>
        <w:autoSpaceDN w:val="0"/>
        <w:spacing w:before="0" w:after="0" w:line="240" w:lineRule="auto"/>
        <w:jc w:val="left"/>
        <w:textAlignment w:val="baseline"/>
        <w:rPr>
          <w:rFonts w:eastAsia="Calibri" w:cs="Times New Roman"/>
          <w:szCs w:val="24"/>
          <w:lang w:val="en-US"/>
        </w:rPr>
      </w:pPr>
      <w:r w:rsidRPr="00C81D2D">
        <w:rPr>
          <w:rFonts w:eastAsia="Calibri" w:cs="Arial"/>
          <w:szCs w:val="24"/>
          <w:lang w:val="en-US"/>
        </w:rPr>
        <w:t xml:space="preserve">Zahtjevi opština za davanje prethodne                                </w:t>
      </w:r>
      <w:r w:rsidRPr="00C81D2D">
        <w:rPr>
          <w:rFonts w:eastAsia="Calibri" w:cs="Times New Roman"/>
          <w:b/>
          <w:szCs w:val="24"/>
          <w:lang w:val="en-US"/>
        </w:rPr>
        <w:t xml:space="preserve">realizovano 66, u radu 26, </w:t>
      </w:r>
    </w:p>
    <w:p w:rsidR="00C81D2D" w:rsidRPr="00C81D2D" w:rsidRDefault="00C81D2D" w:rsidP="00C81D2D">
      <w:pPr>
        <w:suppressAutoHyphens/>
        <w:autoSpaceDN w:val="0"/>
        <w:spacing w:before="0" w:after="0" w:line="240" w:lineRule="auto"/>
        <w:ind w:left="720"/>
        <w:textAlignment w:val="baseline"/>
        <w:rPr>
          <w:rFonts w:eastAsia="Calibri" w:cs="Times New Roman"/>
          <w:szCs w:val="24"/>
          <w:lang w:val="en-US"/>
        </w:rPr>
      </w:pPr>
      <w:r w:rsidRPr="00C81D2D">
        <w:rPr>
          <w:rFonts w:eastAsia="Calibri" w:cs="Arial"/>
          <w:szCs w:val="24"/>
          <w:lang w:val="en-US"/>
        </w:rPr>
        <w:t>saglasnosti za prodaju, davanje na raspolaganje</w:t>
      </w:r>
      <w:r w:rsidRPr="00C81D2D">
        <w:rPr>
          <w:rFonts w:eastAsia="Calibri" w:cs="Times New Roman"/>
          <w:szCs w:val="24"/>
          <w:lang w:val="en-US"/>
        </w:rPr>
        <w:t xml:space="preserve">  </w:t>
      </w:r>
    </w:p>
    <w:p w:rsidR="00C81D2D" w:rsidRPr="00C81D2D" w:rsidRDefault="00C81D2D" w:rsidP="00C81D2D">
      <w:pPr>
        <w:suppressAutoHyphens/>
        <w:autoSpaceDN w:val="0"/>
        <w:spacing w:before="0" w:after="0" w:line="240" w:lineRule="auto"/>
        <w:ind w:left="720"/>
        <w:textAlignment w:val="baseline"/>
        <w:rPr>
          <w:rFonts w:eastAsia="Calibri" w:cs="Times New Roman"/>
          <w:szCs w:val="24"/>
          <w:lang w:val="en-US"/>
        </w:rPr>
      </w:pPr>
      <w:r w:rsidRPr="00C81D2D">
        <w:rPr>
          <w:rFonts w:eastAsia="Calibri" w:cs="Times New Roman"/>
          <w:szCs w:val="24"/>
          <w:lang w:val="en-US"/>
        </w:rPr>
        <w:t xml:space="preserve">i korišćenje:                                                           </w:t>
      </w:r>
      <w:r w:rsidRPr="00C81D2D">
        <w:rPr>
          <w:rFonts w:eastAsia="Calibri" w:cs="Times New Roman"/>
          <w:b/>
          <w:szCs w:val="24"/>
          <w:lang w:val="en-US"/>
        </w:rPr>
        <w:t xml:space="preserve">  </w:t>
      </w:r>
    </w:p>
    <w:p w:rsidR="00C81D2D" w:rsidRPr="00C81D2D" w:rsidRDefault="00C81D2D" w:rsidP="00146EBE">
      <w:pPr>
        <w:numPr>
          <w:ilvl w:val="0"/>
          <w:numId w:val="47"/>
        </w:numPr>
        <w:suppressAutoHyphens/>
        <w:autoSpaceDN w:val="0"/>
        <w:spacing w:before="0" w:after="0" w:line="240" w:lineRule="auto"/>
        <w:jc w:val="left"/>
        <w:textAlignment w:val="baseline"/>
        <w:rPr>
          <w:rFonts w:eastAsia="Calibri" w:cs="Times New Roman"/>
          <w:szCs w:val="24"/>
          <w:lang w:val="en-US"/>
        </w:rPr>
      </w:pPr>
      <w:r w:rsidRPr="00C81D2D">
        <w:rPr>
          <w:rFonts w:eastAsia="Calibri" w:cs="Times New Roman"/>
          <w:szCs w:val="24"/>
          <w:lang w:val="en-US"/>
        </w:rPr>
        <w:t xml:space="preserve">Zahtjevi državnih organa za mišljenja i saglasnosti:        </w:t>
      </w:r>
      <w:r w:rsidRPr="00CE19E8">
        <w:rPr>
          <w:rFonts w:eastAsia="Calibri" w:cs="Times New Roman"/>
          <w:b/>
          <w:szCs w:val="24"/>
          <w:lang w:val="en-US"/>
        </w:rPr>
        <w:t>realizovano 358</w:t>
      </w:r>
      <w:r w:rsidRPr="00C81D2D">
        <w:rPr>
          <w:rFonts w:eastAsia="Calibri" w:cs="Times New Roman"/>
          <w:b/>
          <w:szCs w:val="24"/>
          <w:lang w:val="en-US"/>
        </w:rPr>
        <w:t>, u radu –</w:t>
      </w:r>
    </w:p>
    <w:p w:rsidR="00C81D2D" w:rsidRPr="00C81D2D" w:rsidRDefault="00C81D2D" w:rsidP="00146EBE">
      <w:pPr>
        <w:numPr>
          <w:ilvl w:val="0"/>
          <w:numId w:val="47"/>
        </w:numPr>
        <w:suppressAutoHyphens/>
        <w:autoSpaceDN w:val="0"/>
        <w:spacing w:before="0" w:after="0" w:line="240" w:lineRule="auto"/>
        <w:jc w:val="left"/>
        <w:textAlignment w:val="baseline"/>
        <w:rPr>
          <w:rFonts w:eastAsia="Times New Roman" w:cs="Times New Roman"/>
          <w:szCs w:val="24"/>
          <w:lang w:val="en-US"/>
        </w:rPr>
      </w:pPr>
      <w:r w:rsidRPr="00C81D2D">
        <w:rPr>
          <w:rFonts w:eastAsia="Times New Roman" w:cs="Arial"/>
          <w:szCs w:val="24"/>
          <w:lang w:val="en-US"/>
        </w:rPr>
        <w:t xml:space="preserve">Zahtjevi za donošenje odluka Vlade CG o utvrđivanju     </w:t>
      </w:r>
      <w:r w:rsidRPr="00C81D2D">
        <w:rPr>
          <w:rFonts w:eastAsia="Times New Roman" w:cs="Arial"/>
          <w:b/>
          <w:szCs w:val="24"/>
          <w:lang w:val="en-US"/>
        </w:rPr>
        <w:t>realizovano 39, u radu 1</w:t>
      </w:r>
    </w:p>
    <w:p w:rsidR="00C81D2D" w:rsidRPr="00C81D2D" w:rsidRDefault="00C81D2D" w:rsidP="00C81D2D">
      <w:pPr>
        <w:suppressAutoHyphens/>
        <w:autoSpaceDN w:val="0"/>
        <w:spacing w:before="0" w:after="0" w:line="240" w:lineRule="auto"/>
        <w:ind w:left="720"/>
        <w:textAlignment w:val="baseline"/>
        <w:rPr>
          <w:rFonts w:eastAsia="Times New Roman" w:cs="Times New Roman"/>
          <w:szCs w:val="24"/>
          <w:lang w:val="en-US"/>
        </w:rPr>
      </w:pPr>
      <w:r w:rsidRPr="00C81D2D">
        <w:rPr>
          <w:rFonts w:eastAsia="Times New Roman" w:cs="Arial"/>
          <w:szCs w:val="24"/>
          <w:lang w:val="en-US"/>
        </w:rPr>
        <w:t xml:space="preserve"> javnog interesa za eksproprijaciju nepokretnosti:             </w:t>
      </w:r>
    </w:p>
    <w:p w:rsidR="00C81D2D" w:rsidRPr="00C81D2D" w:rsidRDefault="00C81D2D" w:rsidP="00146EBE">
      <w:pPr>
        <w:numPr>
          <w:ilvl w:val="0"/>
          <w:numId w:val="47"/>
        </w:numPr>
        <w:suppressAutoHyphens/>
        <w:autoSpaceDN w:val="0"/>
        <w:spacing w:before="0" w:after="0" w:line="240" w:lineRule="auto"/>
        <w:jc w:val="left"/>
        <w:textAlignment w:val="baseline"/>
        <w:rPr>
          <w:rFonts w:eastAsia="Times New Roman" w:cs="Times New Roman"/>
          <w:szCs w:val="24"/>
          <w:lang w:val="en-US"/>
        </w:rPr>
      </w:pPr>
      <w:r w:rsidRPr="00C81D2D">
        <w:rPr>
          <w:rFonts w:eastAsia="Times New Roman" w:cs="Times New Roman"/>
          <w:szCs w:val="24"/>
          <w:lang w:val="en-US"/>
        </w:rPr>
        <w:t>Ponude za pravo preče kupovine podnijete Ministarstvu finansija i socijalnog staranja</w:t>
      </w:r>
      <w:r w:rsidRPr="00C81D2D">
        <w:rPr>
          <w:rFonts w:eastAsia="Times New Roman" w:cs="Times New Roman"/>
          <w:b/>
          <w:szCs w:val="24"/>
          <w:lang w:val="en-US"/>
        </w:rPr>
        <w:t xml:space="preserve">:                                                                                        </w:t>
      </w:r>
      <w:r w:rsidRPr="00C81D2D">
        <w:rPr>
          <w:rFonts w:eastAsia="Times New Roman" w:cs="Times New Roman"/>
          <w:szCs w:val="24"/>
          <w:lang w:val="en-US"/>
        </w:rPr>
        <w:t xml:space="preserve"> </w:t>
      </w:r>
      <w:r w:rsidRPr="00CE19E8">
        <w:rPr>
          <w:rFonts w:eastAsia="Times New Roman" w:cs="Times New Roman"/>
          <w:b/>
          <w:szCs w:val="24"/>
          <w:lang w:val="en-US"/>
        </w:rPr>
        <w:t>realizovano 1</w:t>
      </w:r>
      <w:r w:rsidRPr="00C81D2D">
        <w:rPr>
          <w:rFonts w:eastAsia="Times New Roman" w:cs="Times New Roman"/>
          <w:b/>
          <w:szCs w:val="24"/>
          <w:lang w:val="en-US"/>
        </w:rPr>
        <w:t>, u radu 3</w:t>
      </w:r>
    </w:p>
    <w:p w:rsidR="00C81D2D" w:rsidRPr="00C81D2D" w:rsidRDefault="00C81D2D" w:rsidP="00146EBE">
      <w:pPr>
        <w:numPr>
          <w:ilvl w:val="0"/>
          <w:numId w:val="47"/>
        </w:numPr>
        <w:suppressAutoHyphens/>
        <w:autoSpaceDN w:val="0"/>
        <w:spacing w:before="0" w:after="0" w:line="240" w:lineRule="auto"/>
        <w:jc w:val="left"/>
        <w:textAlignment w:val="baseline"/>
        <w:rPr>
          <w:rFonts w:eastAsia="Calibri" w:cs="Times New Roman"/>
          <w:szCs w:val="24"/>
          <w:lang w:val="en-US"/>
        </w:rPr>
      </w:pPr>
      <w:r w:rsidRPr="00C81D2D">
        <w:rPr>
          <w:rFonts w:eastAsia="Calibri" w:cs="Times New Roman"/>
          <w:szCs w:val="24"/>
          <w:lang w:val="en-US"/>
        </w:rPr>
        <w:t>Odgovori na zahtjeve fizičkih i pravnih lica koji se odnos</w:t>
      </w:r>
      <w:r w:rsidRPr="00CE19E8">
        <w:rPr>
          <w:rFonts w:eastAsia="Calibri" w:cs="Times New Roman"/>
          <w:szCs w:val="24"/>
          <w:lang w:val="en-US"/>
        </w:rPr>
        <w:t xml:space="preserve">e na kupovinu, davanje u zakup </w:t>
      </w:r>
      <w:r w:rsidRPr="00C81D2D">
        <w:rPr>
          <w:rFonts w:eastAsia="Calibri" w:cs="Times New Roman"/>
          <w:szCs w:val="24"/>
          <w:lang w:val="en-US"/>
        </w:rPr>
        <w:t xml:space="preserve">ustanovljenje prava službenosti:                             </w:t>
      </w:r>
      <w:r w:rsidRPr="00CE19E8">
        <w:rPr>
          <w:rFonts w:eastAsia="Calibri" w:cs="Times New Roman"/>
          <w:szCs w:val="24"/>
          <w:lang w:val="en-US"/>
        </w:rPr>
        <w:t xml:space="preserve">              </w:t>
      </w:r>
      <w:r w:rsidRPr="00C81D2D">
        <w:rPr>
          <w:rFonts w:eastAsia="Calibri" w:cs="Times New Roman"/>
          <w:b/>
          <w:szCs w:val="24"/>
          <w:lang w:val="en-US"/>
        </w:rPr>
        <w:t>realizovano 57</w:t>
      </w:r>
    </w:p>
    <w:p w:rsidR="00C81D2D" w:rsidRPr="00C81D2D" w:rsidRDefault="00C81D2D" w:rsidP="00146EBE">
      <w:pPr>
        <w:numPr>
          <w:ilvl w:val="0"/>
          <w:numId w:val="47"/>
        </w:numPr>
        <w:suppressAutoHyphens/>
        <w:autoSpaceDE w:val="0"/>
        <w:autoSpaceDN w:val="0"/>
        <w:spacing w:before="0" w:after="0" w:line="240" w:lineRule="auto"/>
        <w:jc w:val="left"/>
        <w:textAlignment w:val="baseline"/>
        <w:rPr>
          <w:rFonts w:eastAsia="Times New Roman" w:cs="Times New Roman"/>
          <w:szCs w:val="24"/>
          <w:lang w:val="en-US"/>
        </w:rPr>
      </w:pPr>
      <w:r w:rsidRPr="00C81D2D">
        <w:rPr>
          <w:rFonts w:eastAsia="Times New Roman" w:cs="Times New Roman"/>
          <w:color w:val="000000"/>
          <w:szCs w:val="24"/>
          <w:lang w:val="en-US"/>
        </w:rPr>
        <w:t xml:space="preserve">Zahtjevi za legalizaciju                                                             </w:t>
      </w:r>
      <w:r w:rsidRPr="00C81D2D">
        <w:rPr>
          <w:rFonts w:eastAsia="Times New Roman" w:cs="Times New Roman"/>
          <w:b/>
          <w:color w:val="000000"/>
          <w:szCs w:val="24"/>
          <w:lang w:val="en-US"/>
        </w:rPr>
        <w:t>zaprimljeno/realizovano 10</w:t>
      </w:r>
      <w:r w:rsidRPr="00C81D2D">
        <w:rPr>
          <w:rFonts w:eastAsia="Times New Roman" w:cs="Times New Roman"/>
          <w:color w:val="000000"/>
          <w:szCs w:val="24"/>
          <w:lang w:val="en-US"/>
        </w:rPr>
        <w:t xml:space="preserve">   </w:t>
      </w:r>
    </w:p>
    <w:p w:rsidR="00C81D2D" w:rsidRPr="00C81D2D" w:rsidRDefault="00C81D2D" w:rsidP="00C81D2D">
      <w:pPr>
        <w:suppressAutoHyphens/>
        <w:autoSpaceDE w:val="0"/>
        <w:autoSpaceDN w:val="0"/>
        <w:spacing w:before="0" w:after="0" w:line="240" w:lineRule="auto"/>
        <w:ind w:left="720"/>
        <w:jc w:val="left"/>
        <w:textAlignment w:val="baseline"/>
        <w:rPr>
          <w:rFonts w:eastAsia="Times New Roman" w:cs="Times New Roman"/>
          <w:szCs w:val="24"/>
          <w:lang w:val="en-US"/>
        </w:rPr>
      </w:pPr>
      <w:r w:rsidRPr="00C81D2D">
        <w:rPr>
          <w:rFonts w:eastAsia="Times New Roman" w:cs="Times New Roman"/>
          <w:color w:val="000000"/>
          <w:szCs w:val="24"/>
          <w:lang w:val="en-US"/>
        </w:rPr>
        <w:t xml:space="preserve">(Zahtjevi su realizovani na način što su proslijeđeni Upravi za imovinu koja je nadležan organ u skladu sa Zakonom </w:t>
      </w:r>
      <w:r w:rsidRPr="00C81D2D">
        <w:rPr>
          <w:rFonts w:eastAsia="Calibri" w:cs="Calibri"/>
          <w:color w:val="000000"/>
          <w:szCs w:val="24"/>
          <w:lang w:val="en-US"/>
        </w:rPr>
        <w:t>o planiranju prostora i izgradnji objekata, "Službeni list Crne Gore", br. 64/17 44/18 63/18 11/19 82/20).</w:t>
      </w:r>
    </w:p>
    <w:p w:rsidR="00C81D2D" w:rsidRPr="00C81D2D" w:rsidRDefault="00C81D2D" w:rsidP="00146EBE">
      <w:pPr>
        <w:numPr>
          <w:ilvl w:val="0"/>
          <w:numId w:val="47"/>
        </w:numPr>
        <w:suppressAutoHyphens/>
        <w:autoSpaceDN w:val="0"/>
        <w:spacing w:before="0" w:after="0" w:line="240" w:lineRule="auto"/>
        <w:jc w:val="left"/>
        <w:textAlignment w:val="baseline"/>
        <w:rPr>
          <w:rFonts w:eastAsia="Calibri" w:cs="Times New Roman"/>
          <w:szCs w:val="24"/>
          <w:lang w:val="en-US"/>
        </w:rPr>
      </w:pPr>
      <w:r w:rsidRPr="00C81D2D">
        <w:rPr>
          <w:rFonts w:eastAsia="Calibri" w:cs="Times New Roman"/>
          <w:szCs w:val="24"/>
          <w:lang w:val="en-US"/>
        </w:rPr>
        <w:t>Zahtjevi za slobodan pristup informacijama</w:t>
      </w:r>
      <w:r w:rsidRPr="00C81D2D">
        <w:rPr>
          <w:rFonts w:eastAsia="Calibri" w:cs="Times New Roman"/>
          <w:b/>
          <w:szCs w:val="24"/>
          <w:lang w:val="en-US"/>
        </w:rPr>
        <w:t xml:space="preserve">                   zaprimljeno 8, realizovano 8</w:t>
      </w:r>
    </w:p>
    <w:p w:rsidR="00C81D2D" w:rsidRPr="00C81D2D" w:rsidRDefault="00C81D2D" w:rsidP="00146EBE">
      <w:pPr>
        <w:numPr>
          <w:ilvl w:val="0"/>
          <w:numId w:val="47"/>
        </w:numPr>
        <w:suppressAutoHyphens/>
        <w:autoSpaceDN w:val="0"/>
        <w:spacing w:before="0" w:after="0" w:line="240" w:lineRule="auto"/>
        <w:jc w:val="left"/>
        <w:textAlignment w:val="baseline"/>
        <w:rPr>
          <w:rFonts w:eastAsia="Calibri" w:cs="Times New Roman"/>
          <w:szCs w:val="24"/>
          <w:lang w:val="en-US"/>
        </w:rPr>
      </w:pPr>
      <w:r w:rsidRPr="00C81D2D">
        <w:rPr>
          <w:rFonts w:eastAsia="Calibri" w:cs="Times New Roman"/>
          <w:szCs w:val="24"/>
          <w:lang w:val="en-US"/>
        </w:rPr>
        <w:t xml:space="preserve">Odgovori po zahtjevu Kabineta Vlade Crne Gore         </w:t>
      </w:r>
      <w:r w:rsidRPr="00CE19E8">
        <w:rPr>
          <w:rFonts w:eastAsia="Calibri" w:cs="Times New Roman"/>
          <w:szCs w:val="24"/>
          <w:lang w:val="en-US"/>
        </w:rPr>
        <w:t xml:space="preserve"> </w:t>
      </w:r>
      <w:r w:rsidRPr="00C81D2D">
        <w:rPr>
          <w:rFonts w:eastAsia="Calibri" w:cs="Times New Roman"/>
          <w:b/>
          <w:szCs w:val="24"/>
          <w:lang w:val="en-US"/>
        </w:rPr>
        <w:t>zaprimljeno14/realizovano 14</w:t>
      </w:r>
    </w:p>
    <w:p w:rsidR="00C81D2D" w:rsidRPr="00C81D2D" w:rsidRDefault="00C81D2D" w:rsidP="00C81D2D">
      <w:pPr>
        <w:suppressAutoHyphens/>
        <w:autoSpaceDN w:val="0"/>
        <w:spacing w:before="0" w:after="0" w:line="240" w:lineRule="auto"/>
        <w:textAlignment w:val="baseline"/>
        <w:rPr>
          <w:rFonts w:eastAsia="Calibri" w:cs="Times New Roman"/>
          <w:szCs w:val="24"/>
          <w:lang w:val="en-US"/>
        </w:rPr>
      </w:pPr>
      <w:r w:rsidRPr="00C81D2D">
        <w:rPr>
          <w:rFonts w:eastAsia="Calibri" w:cs="Times New Roman"/>
          <w:b/>
          <w:szCs w:val="24"/>
          <w:lang w:val="en-US"/>
        </w:rPr>
        <w:t xml:space="preserve">       -     </w:t>
      </w:r>
      <w:r w:rsidRPr="00C81D2D">
        <w:rPr>
          <w:rFonts w:eastAsia="Calibri" w:cs="Times New Roman"/>
          <w:szCs w:val="24"/>
          <w:lang w:val="en-US"/>
        </w:rPr>
        <w:t xml:space="preserve">Alimentacije                                            </w:t>
      </w:r>
      <w:r w:rsidRPr="00CE19E8">
        <w:rPr>
          <w:rFonts w:eastAsia="Calibri" w:cs="Times New Roman"/>
          <w:szCs w:val="24"/>
          <w:lang w:val="en-US"/>
        </w:rPr>
        <w:t xml:space="preserve">                              </w:t>
      </w:r>
      <w:r w:rsidRPr="00C81D2D">
        <w:rPr>
          <w:rFonts w:eastAsia="Calibri" w:cs="Times New Roman"/>
          <w:b/>
          <w:szCs w:val="24"/>
          <w:lang w:val="en-US"/>
        </w:rPr>
        <w:t>zaprimljeno 2, u radu 14</w:t>
      </w:r>
      <w:r w:rsidRPr="00C81D2D">
        <w:rPr>
          <w:rFonts w:eastAsia="Calibri" w:cs="Times New Roman"/>
          <w:szCs w:val="24"/>
          <w:lang w:val="en-US"/>
        </w:rPr>
        <w:t xml:space="preserve">     </w:t>
      </w:r>
      <w:r w:rsidRPr="00C81D2D">
        <w:rPr>
          <w:rFonts w:eastAsia="Calibri" w:cs="Times New Roman"/>
          <w:b/>
          <w:szCs w:val="24"/>
          <w:lang w:val="en-US"/>
        </w:rPr>
        <w:t xml:space="preserve"> </w:t>
      </w:r>
    </w:p>
    <w:p w:rsidR="00C81D2D" w:rsidRPr="00C81D2D" w:rsidRDefault="00C81D2D" w:rsidP="00C81D2D">
      <w:pPr>
        <w:suppressAutoHyphens/>
        <w:autoSpaceDN w:val="0"/>
        <w:spacing w:before="0" w:after="0" w:line="240" w:lineRule="auto"/>
        <w:textAlignment w:val="baseline"/>
        <w:rPr>
          <w:rFonts w:eastAsia="Calibri" w:cs="Times New Roman"/>
          <w:szCs w:val="24"/>
          <w:lang w:val="en-US"/>
        </w:rPr>
      </w:pPr>
      <w:r w:rsidRPr="00C81D2D">
        <w:rPr>
          <w:rFonts w:eastAsia="Calibri" w:cs="Times New Roman"/>
          <w:b/>
          <w:szCs w:val="24"/>
          <w:lang w:val="en-US"/>
        </w:rPr>
        <w:t xml:space="preserve">             (u radu su 2 ali</w:t>
      </w:r>
      <w:r w:rsidRPr="00CE19E8">
        <w:rPr>
          <w:rFonts w:eastAsia="Calibri" w:cs="Times New Roman"/>
          <w:b/>
          <w:szCs w:val="24"/>
          <w:lang w:val="en-US"/>
        </w:rPr>
        <w:t xml:space="preserve">mentacije iz 2020. godine, dok </w:t>
      </w:r>
      <w:r w:rsidRPr="00C81D2D">
        <w:rPr>
          <w:rFonts w:eastAsia="Calibri" w:cs="Times New Roman"/>
          <w:b/>
          <w:szCs w:val="24"/>
          <w:lang w:val="en-US"/>
        </w:rPr>
        <w:t xml:space="preserve">je iz prethodnih godina prenijeto 14 alimentacija) </w:t>
      </w:r>
    </w:p>
    <w:p w:rsidR="00C81D2D" w:rsidRPr="00C81D2D" w:rsidRDefault="00C81D2D" w:rsidP="00C81D2D">
      <w:pPr>
        <w:suppressAutoHyphens/>
        <w:autoSpaceDN w:val="0"/>
        <w:spacing w:before="0" w:after="0" w:line="240" w:lineRule="auto"/>
        <w:ind w:firstLine="709"/>
        <w:textAlignment w:val="baseline"/>
        <w:rPr>
          <w:rFonts w:eastAsia="Calibri" w:cs="Times New Roman"/>
          <w:szCs w:val="24"/>
          <w:lang w:val="en-US"/>
        </w:rPr>
      </w:pPr>
      <w:r w:rsidRPr="00C81D2D">
        <w:rPr>
          <w:rFonts w:eastAsia="Calibri" w:cs="Times New Roman"/>
          <w:iCs/>
          <w:szCs w:val="24"/>
          <w:lang w:val="en-GB"/>
        </w:rPr>
        <w:lastRenderedPageBreak/>
        <w:t xml:space="preserve">Materijali Uprave za imovinu koji su dostavljeni Ministarstvu </w:t>
      </w:r>
      <w:r w:rsidRPr="00C81D2D">
        <w:rPr>
          <w:rFonts w:eastAsia="Calibri" w:cs="Times New Roman"/>
          <w:iCs/>
          <w:szCs w:val="24"/>
          <w:lang w:val="en-US"/>
        </w:rPr>
        <w:t>radi daljeg procesuiranja prema radnim tijelima Vlade Crne Gore na razmatranje i usvajanje i to:</w:t>
      </w:r>
    </w:p>
    <w:p w:rsidR="00C81D2D" w:rsidRPr="00C81D2D" w:rsidRDefault="00C81D2D" w:rsidP="00C81D2D">
      <w:pPr>
        <w:suppressAutoHyphens/>
        <w:autoSpaceDN w:val="0"/>
        <w:spacing w:before="0" w:after="0" w:line="240" w:lineRule="auto"/>
        <w:textAlignment w:val="baseline"/>
        <w:rPr>
          <w:rFonts w:eastAsia="Times New Roman" w:cs="Times New Roman"/>
          <w:bCs/>
          <w:iCs/>
          <w:szCs w:val="24"/>
          <w:lang w:val="en-GB"/>
        </w:rPr>
      </w:pPr>
      <w:r w:rsidRPr="00C81D2D">
        <w:rPr>
          <w:rFonts w:eastAsia="Times New Roman" w:cs="Times New Roman"/>
          <w:bCs/>
          <w:iCs/>
          <w:szCs w:val="24"/>
          <w:lang w:val="en-GB"/>
        </w:rPr>
        <w:t xml:space="preserve"> - Prijedlozi za prodaju nepokretnosti: 20</w:t>
      </w:r>
    </w:p>
    <w:p w:rsidR="00C81D2D" w:rsidRPr="00C81D2D" w:rsidRDefault="00C81D2D" w:rsidP="00C81D2D">
      <w:pPr>
        <w:suppressAutoHyphens/>
        <w:autoSpaceDN w:val="0"/>
        <w:spacing w:before="0" w:after="0" w:line="240" w:lineRule="auto"/>
        <w:textAlignment w:val="baseline"/>
        <w:rPr>
          <w:rFonts w:eastAsia="Times New Roman" w:cs="Times New Roman"/>
          <w:bCs/>
          <w:iCs/>
          <w:szCs w:val="24"/>
          <w:lang w:val="en-GB"/>
        </w:rPr>
      </w:pPr>
      <w:r w:rsidRPr="00C81D2D">
        <w:rPr>
          <w:rFonts w:eastAsia="Times New Roman" w:cs="Times New Roman"/>
          <w:bCs/>
          <w:iCs/>
          <w:szCs w:val="24"/>
          <w:lang w:val="en-GB"/>
        </w:rPr>
        <w:t xml:space="preserve"> - Informacije za pravo preče kupovine: 15</w:t>
      </w:r>
    </w:p>
    <w:p w:rsidR="00C81D2D" w:rsidRPr="00C81D2D" w:rsidRDefault="00C81D2D" w:rsidP="00C81D2D">
      <w:pPr>
        <w:suppressAutoHyphens/>
        <w:autoSpaceDN w:val="0"/>
        <w:spacing w:before="0" w:after="0" w:line="240" w:lineRule="auto"/>
        <w:textAlignment w:val="baseline"/>
        <w:rPr>
          <w:rFonts w:eastAsia="Times New Roman" w:cs="Times New Roman"/>
          <w:bCs/>
          <w:iCs/>
          <w:szCs w:val="24"/>
          <w:lang w:val="en-GB"/>
        </w:rPr>
      </w:pPr>
      <w:r w:rsidRPr="00C81D2D">
        <w:rPr>
          <w:rFonts w:eastAsia="Times New Roman" w:cs="Times New Roman"/>
          <w:bCs/>
          <w:iCs/>
          <w:szCs w:val="24"/>
          <w:lang w:val="en-GB"/>
        </w:rPr>
        <w:t xml:space="preserve"> - Informacije na ustupanje i korišćenje bez nadoknade: 2</w:t>
      </w:r>
    </w:p>
    <w:p w:rsidR="00C81D2D" w:rsidRPr="00C81D2D" w:rsidRDefault="00C81D2D" w:rsidP="00C81D2D">
      <w:pPr>
        <w:suppressAutoHyphens/>
        <w:autoSpaceDN w:val="0"/>
        <w:spacing w:before="0" w:after="0" w:line="240" w:lineRule="auto"/>
        <w:textAlignment w:val="baseline"/>
        <w:rPr>
          <w:rFonts w:eastAsia="Times New Roman" w:cs="Times New Roman"/>
          <w:bCs/>
          <w:iCs/>
          <w:szCs w:val="24"/>
          <w:lang w:val="en-GB"/>
        </w:rPr>
      </w:pPr>
      <w:r w:rsidRPr="00C81D2D">
        <w:rPr>
          <w:rFonts w:eastAsia="Times New Roman" w:cs="Times New Roman"/>
          <w:bCs/>
          <w:iCs/>
          <w:szCs w:val="24"/>
          <w:lang w:val="en-GB"/>
        </w:rPr>
        <w:t xml:space="preserve"> - Informacije o poklonu: 1</w:t>
      </w:r>
    </w:p>
    <w:p w:rsidR="00C81D2D" w:rsidRPr="00C81D2D" w:rsidRDefault="00C81D2D" w:rsidP="00C81D2D">
      <w:pPr>
        <w:suppressAutoHyphens/>
        <w:autoSpaceDN w:val="0"/>
        <w:spacing w:before="0" w:after="0" w:line="240" w:lineRule="auto"/>
        <w:textAlignment w:val="baseline"/>
        <w:rPr>
          <w:rFonts w:eastAsia="Times New Roman" w:cs="Times New Roman"/>
          <w:szCs w:val="24"/>
          <w:lang w:val="en-US"/>
        </w:rPr>
      </w:pPr>
      <w:r w:rsidRPr="00C81D2D">
        <w:rPr>
          <w:rFonts w:eastAsia="Times New Roman" w:cs="Times New Roman"/>
          <w:bCs/>
          <w:iCs/>
          <w:szCs w:val="24"/>
          <w:lang w:val="en-GB"/>
        </w:rPr>
        <w:t xml:space="preserve">-  Prenos prava raspolaganja na nepokretnostima: </w:t>
      </w:r>
      <w:r w:rsidRPr="00C81D2D">
        <w:rPr>
          <w:rFonts w:eastAsia="Times New Roman" w:cs="Times New Roman"/>
          <w:iCs/>
          <w:szCs w:val="24"/>
          <w:lang w:val="en-US"/>
        </w:rPr>
        <w:t>2</w:t>
      </w:r>
    </w:p>
    <w:p w:rsidR="00C81D2D" w:rsidRPr="00C81D2D" w:rsidRDefault="00C81D2D" w:rsidP="00C81D2D">
      <w:pPr>
        <w:suppressAutoHyphens/>
        <w:autoSpaceDN w:val="0"/>
        <w:spacing w:before="0" w:after="0" w:line="240" w:lineRule="auto"/>
        <w:textAlignment w:val="baseline"/>
        <w:rPr>
          <w:rFonts w:eastAsia="Times New Roman" w:cs="Times New Roman"/>
          <w:szCs w:val="24"/>
          <w:lang w:val="en-US"/>
        </w:rPr>
      </w:pPr>
      <w:r w:rsidRPr="00C81D2D">
        <w:rPr>
          <w:rFonts w:eastAsia="Times New Roman" w:cs="Times New Roman"/>
          <w:iCs/>
          <w:szCs w:val="24"/>
          <w:lang w:val="en-US"/>
        </w:rPr>
        <w:t xml:space="preserve">Prijedlog Odluke o prenosu prava raspolaganja na nepokretnosti Opštini Danilovgrad, radi ostvarivanja javnog interesa - rekonstrukcije i adaptacije objekta, koji je Ministarstvu finansija dostavila Uprava za imovinu, objavljena u Službenom listu Crne Gore, </w:t>
      </w:r>
      <w:r w:rsidRPr="00C81D2D">
        <w:rPr>
          <w:rFonts w:eastAsia="Times New Roman" w:cs="Times New Roman"/>
          <w:szCs w:val="24"/>
          <w:lang w:val="en-US"/>
        </w:rPr>
        <w:t>broj 92/20 od 09.09.2020.</w:t>
      </w:r>
      <w:r w:rsidRPr="00CE19E8">
        <w:rPr>
          <w:rFonts w:eastAsia="Times New Roman" w:cs="Times New Roman"/>
          <w:szCs w:val="24"/>
          <w:lang w:val="en-US"/>
        </w:rPr>
        <w:t xml:space="preserve"> godine.</w:t>
      </w:r>
    </w:p>
    <w:p w:rsidR="00C81D2D" w:rsidRPr="00C81D2D" w:rsidRDefault="00C81D2D" w:rsidP="00C81D2D">
      <w:pPr>
        <w:suppressAutoHyphens/>
        <w:autoSpaceDN w:val="0"/>
        <w:spacing w:before="0" w:after="0" w:line="240" w:lineRule="auto"/>
        <w:textAlignment w:val="baseline"/>
        <w:rPr>
          <w:rFonts w:eastAsia="Times New Roman" w:cs="Times New Roman"/>
          <w:szCs w:val="24"/>
          <w:lang w:val="en-US"/>
        </w:rPr>
      </w:pPr>
      <w:r w:rsidRPr="00C81D2D">
        <w:rPr>
          <w:rFonts w:eastAsia="Times New Roman" w:cs="Times New Roman"/>
          <w:iCs/>
          <w:szCs w:val="24"/>
          <w:lang w:val="en-US"/>
        </w:rPr>
        <w:t xml:space="preserve">Prijedlog Odluke o prenosu prava raspolaganja na nepokretnosti Glavnom gradu Podgorica, radi ostvarivanja javnog interesa – razvoja kulture u Glavnom gradu Podgorica, koji je Ministarstvu finansija dostavila Uprava za imovinu, objavljena u </w:t>
      </w:r>
      <w:r w:rsidRPr="00C81D2D">
        <w:rPr>
          <w:rFonts w:eastAsia="Times New Roman" w:cs="Times New Roman"/>
          <w:szCs w:val="24"/>
          <w:lang w:val="en-US"/>
        </w:rPr>
        <w:t>Službenom listu Crne Gore", br. 58/20 od 19.06.2020.</w:t>
      </w:r>
      <w:r w:rsidRPr="00CE19E8">
        <w:rPr>
          <w:rFonts w:eastAsia="Times New Roman" w:cs="Times New Roman"/>
          <w:szCs w:val="24"/>
          <w:lang w:val="en-US"/>
        </w:rPr>
        <w:t xml:space="preserve"> </w:t>
      </w:r>
      <w:r w:rsidRPr="00C81D2D">
        <w:rPr>
          <w:rFonts w:eastAsia="Times New Roman" w:cs="Times New Roman"/>
          <w:szCs w:val="24"/>
          <w:lang w:val="en-US"/>
        </w:rPr>
        <w:t>godine</w:t>
      </w:r>
      <w:r w:rsidRPr="00C81D2D">
        <w:rPr>
          <w:rFonts w:eastAsia="Times New Roman" w:cs="Times New Roman"/>
          <w:iCs/>
          <w:szCs w:val="24"/>
          <w:lang w:val="en-US"/>
        </w:rPr>
        <w:t>)</w:t>
      </w:r>
      <w:r w:rsidRPr="00CE19E8">
        <w:rPr>
          <w:rFonts w:eastAsia="Times New Roman" w:cs="Times New Roman"/>
          <w:iCs/>
          <w:szCs w:val="24"/>
          <w:lang w:val="en-US"/>
        </w:rPr>
        <w:t>.</w:t>
      </w:r>
    </w:p>
    <w:p w:rsidR="00C81D2D" w:rsidRPr="00C81D2D" w:rsidRDefault="00C81D2D" w:rsidP="00C81D2D">
      <w:pPr>
        <w:suppressAutoHyphens/>
        <w:autoSpaceDN w:val="0"/>
        <w:spacing w:before="0" w:after="0" w:line="240" w:lineRule="auto"/>
        <w:textAlignment w:val="baseline"/>
        <w:rPr>
          <w:rFonts w:ascii="Calibri" w:eastAsia="Calibri" w:hAnsi="Calibri" w:cs="Times New Roman"/>
          <w:szCs w:val="24"/>
          <w:lang w:val="en-US"/>
        </w:rPr>
      </w:pPr>
    </w:p>
    <w:tbl>
      <w:tblPr>
        <w:tblW w:w="10354" w:type="dxa"/>
        <w:tblInd w:w="-431" w:type="dxa"/>
        <w:tblCellMar>
          <w:left w:w="10" w:type="dxa"/>
          <w:right w:w="10" w:type="dxa"/>
        </w:tblCellMar>
        <w:tblLook w:val="04A0" w:firstRow="1" w:lastRow="0" w:firstColumn="1" w:lastColumn="0" w:noHBand="0" w:noVBand="1"/>
      </w:tblPr>
      <w:tblGrid>
        <w:gridCol w:w="4112"/>
        <w:gridCol w:w="1559"/>
        <w:gridCol w:w="1265"/>
        <w:gridCol w:w="1912"/>
        <w:gridCol w:w="1506"/>
      </w:tblGrid>
      <w:tr w:rsidR="00FF74FD" w:rsidRPr="00C81D2D" w:rsidTr="00FF74FD">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suppressAutoHyphens/>
              <w:autoSpaceDN w:val="0"/>
              <w:spacing w:before="0" w:after="0" w:line="240" w:lineRule="auto"/>
              <w:textAlignment w:val="baseline"/>
              <w:rPr>
                <w:rFonts w:ascii="Calibri" w:eastAsia="Calibri" w:hAnsi="Calibri" w:cs="Times New Roman"/>
                <w:sz w:val="22"/>
                <w:lang w:val="en-US"/>
              </w:rPr>
            </w:pPr>
            <w:r w:rsidRPr="00C81D2D">
              <w:rPr>
                <w:rFonts w:ascii="Calibri" w:eastAsia="Calibri" w:hAnsi="Calibri" w:cs="Times New Roman"/>
                <w:sz w:val="22"/>
                <w:lang w:val="en-US"/>
              </w:rPr>
              <w:t>Vrsta predmeta</w:t>
            </w:r>
          </w:p>
          <w:p w:rsidR="00C81D2D" w:rsidRPr="00C81D2D" w:rsidRDefault="00C81D2D" w:rsidP="00C81D2D">
            <w:pPr>
              <w:suppressAutoHyphens/>
              <w:autoSpaceDN w:val="0"/>
              <w:spacing w:before="0" w:after="0" w:line="240" w:lineRule="auto"/>
              <w:textAlignment w:val="baseline"/>
              <w:rPr>
                <w:rFonts w:ascii="Calibri" w:eastAsia="Calibri" w:hAnsi="Calibri" w:cs="Times New Roman"/>
                <w:sz w:val="22"/>
                <w:lang w:val="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suppressAutoHyphens/>
              <w:autoSpaceDN w:val="0"/>
              <w:spacing w:before="0" w:after="0" w:line="240" w:lineRule="auto"/>
              <w:textAlignment w:val="baseline"/>
              <w:rPr>
                <w:rFonts w:ascii="Calibri" w:eastAsia="Calibri" w:hAnsi="Calibri" w:cs="Times New Roman"/>
                <w:sz w:val="22"/>
                <w:lang w:val="en-US"/>
              </w:rPr>
            </w:pPr>
            <w:r w:rsidRPr="00C81D2D">
              <w:rPr>
                <w:rFonts w:ascii="Calibri" w:eastAsia="Calibri" w:hAnsi="Calibri" w:cs="Times New Roman"/>
                <w:sz w:val="22"/>
                <w:lang w:val="en-US"/>
              </w:rPr>
              <w:t>Primljeno</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suppressAutoHyphens/>
              <w:autoSpaceDN w:val="0"/>
              <w:spacing w:before="0" w:after="0" w:line="240" w:lineRule="auto"/>
              <w:textAlignment w:val="baseline"/>
              <w:rPr>
                <w:rFonts w:ascii="Calibri" w:eastAsia="Calibri" w:hAnsi="Calibri" w:cs="Times New Roman"/>
                <w:sz w:val="22"/>
                <w:lang w:val="en-US"/>
              </w:rPr>
            </w:pPr>
          </w:p>
        </w:tc>
        <w:tc>
          <w:tcPr>
            <w:tcW w:w="1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suppressAutoHyphens/>
              <w:autoSpaceDN w:val="0"/>
              <w:spacing w:before="0" w:after="0" w:line="240" w:lineRule="auto"/>
              <w:textAlignment w:val="baseline"/>
              <w:rPr>
                <w:rFonts w:ascii="Calibri" w:eastAsia="Calibri" w:hAnsi="Calibri" w:cs="Times New Roman"/>
                <w:sz w:val="22"/>
                <w:lang w:val="en-US"/>
              </w:rPr>
            </w:pPr>
            <w:r w:rsidRPr="00C81D2D">
              <w:rPr>
                <w:rFonts w:ascii="Calibri" w:eastAsia="Calibri" w:hAnsi="Calibri" w:cs="Times New Roman"/>
                <w:sz w:val="22"/>
                <w:lang w:val="en-US"/>
              </w:rPr>
              <w:t>Riješeno</w:t>
            </w:r>
          </w:p>
        </w:tc>
        <w:tc>
          <w:tcPr>
            <w:tcW w:w="1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suppressAutoHyphens/>
              <w:autoSpaceDN w:val="0"/>
              <w:spacing w:before="0" w:after="0" w:line="240" w:lineRule="auto"/>
              <w:textAlignment w:val="baseline"/>
              <w:rPr>
                <w:rFonts w:ascii="Calibri" w:eastAsia="Calibri" w:hAnsi="Calibri" w:cs="Times New Roman"/>
                <w:sz w:val="22"/>
                <w:lang w:val="en-US"/>
              </w:rPr>
            </w:pPr>
            <w:r w:rsidRPr="00C81D2D">
              <w:rPr>
                <w:rFonts w:ascii="Calibri" w:eastAsia="Calibri" w:hAnsi="Calibri" w:cs="Times New Roman"/>
                <w:sz w:val="22"/>
                <w:lang w:val="en-US"/>
              </w:rPr>
              <w:t>Isplaćeno</w:t>
            </w:r>
          </w:p>
        </w:tc>
      </w:tr>
      <w:tr w:rsidR="00FF74FD" w:rsidRPr="00C81D2D" w:rsidTr="00FF74FD">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suppressAutoHyphens/>
              <w:autoSpaceDN w:val="0"/>
              <w:spacing w:before="0" w:after="0" w:line="240" w:lineRule="auto"/>
              <w:textAlignment w:val="baseline"/>
              <w:rPr>
                <w:rFonts w:ascii="Calibri" w:eastAsia="Calibri" w:hAnsi="Calibri" w:cs="Times New Roman"/>
                <w:sz w:val="22"/>
                <w:lang w:val="en-US"/>
              </w:rPr>
            </w:pPr>
            <w:r w:rsidRPr="00C81D2D">
              <w:rPr>
                <w:rFonts w:ascii="Calibri" w:eastAsia="Calibri" w:hAnsi="Calibri" w:cs="Times New Roman"/>
                <w:sz w:val="22"/>
                <w:lang w:val="en-US"/>
              </w:rPr>
              <w:t xml:space="preserve">Isplaćena sredstva po sporazumima sa bivšim vlasnicima za ekspropisanu imovinu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suppressAutoHyphens/>
              <w:autoSpaceDN w:val="0"/>
              <w:spacing w:before="0" w:after="0" w:line="240" w:lineRule="auto"/>
              <w:textAlignment w:val="baseline"/>
              <w:rPr>
                <w:rFonts w:ascii="Calibri" w:eastAsia="Calibri" w:hAnsi="Calibri" w:cs="Times New Roman"/>
                <w:b/>
                <w:sz w:val="22"/>
                <w:lang w:val="en-US"/>
              </w:rPr>
            </w:pPr>
            <w:r w:rsidRPr="00C81D2D">
              <w:rPr>
                <w:rFonts w:ascii="Calibri" w:eastAsia="Calibri" w:hAnsi="Calibri" w:cs="Times New Roman"/>
                <w:b/>
                <w:sz w:val="22"/>
                <w:lang w:val="en-US"/>
              </w:rPr>
              <w:t>824</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suppressAutoHyphens/>
              <w:autoSpaceDN w:val="0"/>
              <w:spacing w:before="0" w:after="0" w:line="240" w:lineRule="auto"/>
              <w:textAlignment w:val="baseline"/>
              <w:rPr>
                <w:rFonts w:ascii="Calibri" w:eastAsia="Calibri" w:hAnsi="Calibri" w:cs="Times New Roman"/>
                <w:sz w:val="22"/>
                <w:lang w:val="en-US"/>
              </w:rPr>
            </w:pPr>
          </w:p>
        </w:tc>
        <w:tc>
          <w:tcPr>
            <w:tcW w:w="1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suppressAutoHyphens/>
              <w:autoSpaceDN w:val="0"/>
              <w:spacing w:before="0" w:after="0" w:line="240" w:lineRule="auto"/>
              <w:textAlignment w:val="baseline"/>
              <w:rPr>
                <w:rFonts w:ascii="Calibri" w:eastAsia="Calibri" w:hAnsi="Calibri" w:cs="Times New Roman"/>
                <w:b/>
                <w:sz w:val="22"/>
                <w:lang w:val="en-US"/>
              </w:rPr>
            </w:pPr>
            <w:r w:rsidRPr="00C81D2D">
              <w:rPr>
                <w:rFonts w:ascii="Calibri" w:eastAsia="Calibri" w:hAnsi="Calibri" w:cs="Times New Roman"/>
                <w:b/>
                <w:sz w:val="22"/>
                <w:lang w:val="en-US"/>
              </w:rPr>
              <w:t xml:space="preserve"> 824</w:t>
            </w:r>
          </w:p>
        </w:tc>
        <w:tc>
          <w:tcPr>
            <w:tcW w:w="1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suppressAutoHyphens/>
              <w:autoSpaceDN w:val="0"/>
              <w:spacing w:before="0" w:after="0" w:line="240" w:lineRule="auto"/>
              <w:textAlignment w:val="baseline"/>
              <w:rPr>
                <w:rFonts w:ascii="Calibri" w:eastAsia="Calibri" w:hAnsi="Calibri" w:cs="Times New Roman"/>
                <w:sz w:val="22"/>
                <w:lang w:val="en-US"/>
              </w:rPr>
            </w:pPr>
          </w:p>
          <w:p w:rsidR="00C81D2D" w:rsidRPr="00C81D2D" w:rsidRDefault="00C81D2D" w:rsidP="00C81D2D">
            <w:pPr>
              <w:suppressAutoHyphens/>
              <w:autoSpaceDN w:val="0"/>
              <w:spacing w:before="0" w:after="0" w:line="240" w:lineRule="auto"/>
              <w:textAlignment w:val="baseline"/>
              <w:rPr>
                <w:rFonts w:ascii="Calibri" w:eastAsia="Calibri" w:hAnsi="Calibri" w:cs="Times New Roman"/>
                <w:b/>
                <w:sz w:val="22"/>
                <w:lang w:val="en-US"/>
              </w:rPr>
            </w:pPr>
            <w:r w:rsidRPr="00C81D2D">
              <w:rPr>
                <w:rFonts w:ascii="Calibri" w:eastAsia="Calibri" w:hAnsi="Calibri" w:cs="Times New Roman"/>
                <w:b/>
                <w:sz w:val="22"/>
                <w:lang w:val="en-US"/>
              </w:rPr>
              <w:t>10.343.222,25</w:t>
            </w:r>
          </w:p>
        </w:tc>
      </w:tr>
      <w:tr w:rsidR="00FF74FD" w:rsidRPr="00C81D2D" w:rsidTr="00FF74FD">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suppressAutoHyphens/>
              <w:autoSpaceDN w:val="0"/>
              <w:spacing w:before="0" w:after="0" w:line="240" w:lineRule="auto"/>
              <w:textAlignment w:val="baseline"/>
              <w:rPr>
                <w:rFonts w:ascii="Calibri" w:eastAsia="Calibri" w:hAnsi="Calibri" w:cs="Times New Roman"/>
                <w:sz w:val="22"/>
                <w:lang w:val="en-US"/>
              </w:rPr>
            </w:pPr>
            <w:r w:rsidRPr="00C81D2D">
              <w:rPr>
                <w:rFonts w:ascii="Calibri" w:eastAsia="Calibri" w:hAnsi="Calibri" w:cs="Times New Roman"/>
                <w:color w:val="000000"/>
                <w:sz w:val="22"/>
                <w:lang w:val="en-US"/>
              </w:rPr>
              <w:t>Plaćanje carinske dažbine i izmirenje carinskog duga obveznicama bivših vlasnika po osnovu obeštećenja za oduzeta imovinska prava koja posjeduje na osnovu potvrda Fonda za obeštećenje, a u skladu sa članom 25 Zakona o povraćaju oduzetih</w:t>
            </w:r>
            <w:r w:rsidRPr="00C81D2D">
              <w:rPr>
                <w:rFonts w:ascii="Calibri" w:eastAsia="Calibri" w:hAnsi="Calibri" w:cs="Arial"/>
                <w:color w:val="000000"/>
                <w:sz w:val="22"/>
                <w:lang w:val="en-US"/>
              </w:rPr>
              <w:t xml:space="preserve"> oduzetih imovinskih prava i obeštećenju</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suppressAutoHyphens/>
              <w:autoSpaceDN w:val="0"/>
              <w:spacing w:before="0" w:after="0" w:line="240" w:lineRule="auto"/>
              <w:textAlignment w:val="baseline"/>
              <w:rPr>
                <w:rFonts w:ascii="Calibri" w:eastAsia="Calibri" w:hAnsi="Calibri" w:cs="Times New Roman"/>
                <w:b/>
                <w:sz w:val="22"/>
                <w:lang w:val="en-US"/>
              </w:rPr>
            </w:pPr>
            <w:r w:rsidRPr="00C81D2D">
              <w:rPr>
                <w:rFonts w:ascii="Calibri" w:eastAsia="Calibri" w:hAnsi="Calibri" w:cs="Times New Roman"/>
                <w:b/>
                <w:sz w:val="22"/>
                <w:lang w:val="en-US"/>
              </w:rPr>
              <w:t>538</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suppressAutoHyphens/>
              <w:autoSpaceDN w:val="0"/>
              <w:spacing w:before="0" w:after="0" w:line="240" w:lineRule="auto"/>
              <w:textAlignment w:val="baseline"/>
              <w:rPr>
                <w:rFonts w:ascii="Calibri" w:eastAsia="Calibri" w:hAnsi="Calibri" w:cs="Times New Roman"/>
                <w:sz w:val="22"/>
                <w:lang w:val="en-US"/>
              </w:rPr>
            </w:pPr>
          </w:p>
        </w:tc>
        <w:tc>
          <w:tcPr>
            <w:tcW w:w="1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suppressAutoHyphens/>
              <w:autoSpaceDN w:val="0"/>
              <w:spacing w:before="0" w:after="0" w:line="240" w:lineRule="auto"/>
              <w:textAlignment w:val="baseline"/>
              <w:rPr>
                <w:rFonts w:ascii="Calibri" w:eastAsia="Calibri" w:hAnsi="Calibri" w:cs="Times New Roman"/>
                <w:b/>
                <w:sz w:val="22"/>
                <w:lang w:val="en-US"/>
              </w:rPr>
            </w:pPr>
            <w:r w:rsidRPr="00C81D2D">
              <w:rPr>
                <w:rFonts w:ascii="Calibri" w:eastAsia="Calibri" w:hAnsi="Calibri" w:cs="Times New Roman"/>
                <w:b/>
                <w:sz w:val="22"/>
                <w:lang w:val="en-US"/>
              </w:rPr>
              <w:t>538</w:t>
            </w:r>
          </w:p>
        </w:tc>
        <w:tc>
          <w:tcPr>
            <w:tcW w:w="1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suppressAutoHyphens/>
              <w:autoSpaceDN w:val="0"/>
              <w:spacing w:before="0" w:after="0" w:line="240" w:lineRule="auto"/>
              <w:textAlignment w:val="baseline"/>
              <w:rPr>
                <w:rFonts w:ascii="Calibri" w:eastAsia="Calibri" w:hAnsi="Calibri" w:cs="Times New Roman"/>
                <w:sz w:val="22"/>
                <w:lang w:val="en-US"/>
              </w:rPr>
            </w:pPr>
          </w:p>
          <w:p w:rsidR="00C81D2D" w:rsidRPr="00C81D2D" w:rsidRDefault="00C81D2D" w:rsidP="00C81D2D">
            <w:pPr>
              <w:suppressAutoHyphens/>
              <w:autoSpaceDN w:val="0"/>
              <w:spacing w:before="0" w:after="0" w:line="240" w:lineRule="auto"/>
              <w:textAlignment w:val="baseline"/>
              <w:rPr>
                <w:rFonts w:ascii="Calibri" w:eastAsia="Calibri" w:hAnsi="Calibri" w:cs="Times New Roman"/>
                <w:sz w:val="22"/>
                <w:lang w:val="en-US"/>
              </w:rPr>
            </w:pPr>
            <w:r w:rsidRPr="00C81D2D">
              <w:rPr>
                <w:rFonts w:ascii="Calibri" w:eastAsia="Calibri" w:hAnsi="Calibri" w:cs="Times New Roman"/>
                <w:b/>
                <w:sz w:val="22"/>
                <w:lang w:val="en-US"/>
              </w:rPr>
              <w:t>1.516,123,00€</w:t>
            </w:r>
          </w:p>
        </w:tc>
      </w:tr>
      <w:tr w:rsidR="00FF74FD" w:rsidRPr="00C81D2D" w:rsidTr="00FF74FD">
        <w:tc>
          <w:tcPr>
            <w:tcW w:w="4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suppressAutoHyphens/>
              <w:autoSpaceDN w:val="0"/>
              <w:spacing w:before="0" w:after="0" w:line="240" w:lineRule="auto"/>
              <w:textAlignment w:val="baseline"/>
              <w:rPr>
                <w:rFonts w:ascii="Calibri" w:eastAsia="Calibri" w:hAnsi="Calibri" w:cs="Times New Roman"/>
                <w:b/>
                <w:sz w:val="22"/>
                <w:lang w:val="en-US"/>
              </w:rPr>
            </w:pPr>
            <w:r w:rsidRPr="00C81D2D">
              <w:rPr>
                <w:rFonts w:ascii="Calibri" w:eastAsia="Calibri" w:hAnsi="Calibri" w:cs="Times New Roman"/>
                <w:b/>
                <w:sz w:val="22"/>
                <w:lang w:val="en-US"/>
              </w:rPr>
              <w:t>Ukupno</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suppressAutoHyphens/>
              <w:autoSpaceDN w:val="0"/>
              <w:spacing w:before="0" w:after="0" w:line="240" w:lineRule="auto"/>
              <w:textAlignment w:val="baseline"/>
              <w:rPr>
                <w:rFonts w:ascii="Calibri" w:eastAsia="Calibri" w:hAnsi="Calibri" w:cs="Times New Roman"/>
                <w:b/>
                <w:sz w:val="22"/>
                <w:lang w:val="en-US"/>
              </w:rPr>
            </w:pPr>
            <w:r w:rsidRPr="00C81D2D">
              <w:rPr>
                <w:rFonts w:ascii="Calibri" w:eastAsia="Calibri" w:hAnsi="Calibri" w:cs="Times New Roman"/>
                <w:b/>
                <w:sz w:val="22"/>
                <w:lang w:val="en-US"/>
              </w:rPr>
              <w:t>1362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suppressAutoHyphens/>
              <w:autoSpaceDN w:val="0"/>
              <w:spacing w:before="0" w:after="0" w:line="240" w:lineRule="auto"/>
              <w:textAlignment w:val="baseline"/>
              <w:rPr>
                <w:rFonts w:ascii="Calibri" w:eastAsia="Calibri" w:hAnsi="Calibri" w:cs="Times New Roman"/>
                <w:b/>
                <w:sz w:val="22"/>
                <w:lang w:val="en-US"/>
              </w:rPr>
            </w:pPr>
          </w:p>
        </w:tc>
        <w:tc>
          <w:tcPr>
            <w:tcW w:w="1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suppressAutoHyphens/>
              <w:autoSpaceDN w:val="0"/>
              <w:spacing w:before="0" w:after="0" w:line="240" w:lineRule="auto"/>
              <w:textAlignment w:val="baseline"/>
              <w:rPr>
                <w:rFonts w:ascii="Calibri" w:eastAsia="Calibri" w:hAnsi="Calibri" w:cs="Times New Roman"/>
                <w:b/>
                <w:sz w:val="22"/>
                <w:lang w:val="en-US"/>
              </w:rPr>
            </w:pPr>
            <w:r w:rsidRPr="00C81D2D">
              <w:rPr>
                <w:rFonts w:ascii="Calibri" w:eastAsia="Calibri" w:hAnsi="Calibri" w:cs="Times New Roman"/>
                <w:b/>
                <w:sz w:val="22"/>
                <w:lang w:val="en-US"/>
              </w:rPr>
              <w:t>1362</w:t>
            </w:r>
          </w:p>
        </w:tc>
        <w:tc>
          <w:tcPr>
            <w:tcW w:w="1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suppressAutoHyphens/>
              <w:autoSpaceDN w:val="0"/>
              <w:spacing w:before="0" w:after="0" w:line="240" w:lineRule="auto"/>
              <w:textAlignment w:val="baseline"/>
              <w:rPr>
                <w:rFonts w:ascii="Calibri" w:eastAsia="Calibri" w:hAnsi="Calibri" w:cs="Times New Roman"/>
                <w:b/>
                <w:sz w:val="22"/>
                <w:lang w:val="en-US"/>
              </w:rPr>
            </w:pPr>
            <w:r w:rsidRPr="00C81D2D">
              <w:rPr>
                <w:rFonts w:ascii="Calibri" w:eastAsia="Calibri" w:hAnsi="Calibri" w:cs="Times New Roman"/>
                <w:b/>
                <w:sz w:val="22"/>
                <w:lang w:val="en-US"/>
              </w:rPr>
              <w:t>11.859.345,25</w:t>
            </w:r>
          </w:p>
        </w:tc>
      </w:tr>
    </w:tbl>
    <w:p w:rsidR="00FF74FD" w:rsidRDefault="00FF74FD" w:rsidP="00C81D2D">
      <w:pPr>
        <w:tabs>
          <w:tab w:val="left" w:pos="426"/>
        </w:tabs>
        <w:suppressAutoHyphens/>
        <w:autoSpaceDN w:val="0"/>
        <w:spacing w:before="0" w:after="0" w:line="240" w:lineRule="auto"/>
        <w:textAlignment w:val="baseline"/>
        <w:rPr>
          <w:rFonts w:ascii="Calibri" w:eastAsia="Calibri" w:hAnsi="Calibri" w:cs="Times New Roman"/>
          <w:szCs w:val="24"/>
          <w:lang w:val="en-US"/>
        </w:rPr>
      </w:pPr>
    </w:p>
    <w:p w:rsidR="00C81D2D" w:rsidRPr="002423BC" w:rsidRDefault="00C81D2D" w:rsidP="002423BC">
      <w:pPr>
        <w:tabs>
          <w:tab w:val="left" w:pos="426"/>
        </w:tabs>
        <w:suppressAutoHyphens/>
        <w:autoSpaceDN w:val="0"/>
        <w:spacing w:before="0" w:after="0" w:line="240" w:lineRule="auto"/>
        <w:textAlignment w:val="baseline"/>
        <w:rPr>
          <w:rFonts w:eastAsia="Calibri" w:cs="Times New Roman"/>
          <w:b/>
          <w:szCs w:val="24"/>
          <w:lang w:val="en-US"/>
        </w:rPr>
      </w:pPr>
      <w:r w:rsidRPr="00C81D2D">
        <w:rPr>
          <w:rFonts w:eastAsia="Calibri" w:cs="Times New Roman"/>
          <w:b/>
          <w:szCs w:val="24"/>
          <w:lang w:val="en-US"/>
        </w:rPr>
        <w:t>Investicioni razvojni projekti - prati se implementacija i realizacija investicionih ugovora, koji se većim   dijelom tiču turističke valorizacije pojedini</w:t>
      </w:r>
      <w:r w:rsidR="002423BC">
        <w:rPr>
          <w:rFonts w:eastAsia="Calibri" w:cs="Times New Roman"/>
          <w:b/>
          <w:szCs w:val="24"/>
          <w:lang w:val="en-US"/>
        </w:rPr>
        <w:t>h lokaliteta u Crnoj Gori i to:</w:t>
      </w:r>
    </w:p>
    <w:p w:rsidR="00C81D2D" w:rsidRPr="00C81D2D" w:rsidRDefault="00FF74FD" w:rsidP="00FF74FD">
      <w:pPr>
        <w:suppressAutoHyphens/>
        <w:autoSpaceDE w:val="0"/>
        <w:autoSpaceDN w:val="0"/>
        <w:spacing w:before="0" w:after="0" w:line="240" w:lineRule="auto"/>
        <w:ind w:firstLine="709"/>
        <w:jc w:val="left"/>
        <w:textAlignment w:val="baseline"/>
        <w:rPr>
          <w:rFonts w:eastAsia="Times New Roman" w:cs="Arial"/>
          <w:b/>
          <w:szCs w:val="24"/>
          <w:lang w:val="en-US"/>
        </w:rPr>
      </w:pPr>
      <w:r w:rsidRPr="00CE19E8">
        <w:rPr>
          <w:rFonts w:eastAsia="Times New Roman" w:cs="Arial"/>
          <w:b/>
          <w:szCs w:val="24"/>
          <w:lang w:val="en-US"/>
        </w:rPr>
        <w:t>1.</w:t>
      </w:r>
      <w:r w:rsidR="00C81D2D" w:rsidRPr="00C81D2D">
        <w:rPr>
          <w:rFonts w:eastAsia="Times New Roman" w:cs="Arial"/>
          <w:b/>
          <w:szCs w:val="24"/>
          <w:lang w:val="en-US"/>
        </w:rPr>
        <w:t>Projekat “Luštica Bay”</w:t>
      </w:r>
    </w:p>
    <w:p w:rsidR="00C81D2D" w:rsidRPr="00C81D2D" w:rsidRDefault="00C81D2D" w:rsidP="00FF74FD">
      <w:pPr>
        <w:suppressAutoHyphens/>
        <w:autoSpaceDN w:val="0"/>
        <w:spacing w:before="0" w:after="0" w:line="240" w:lineRule="auto"/>
        <w:ind w:firstLine="709"/>
        <w:textAlignment w:val="baseline"/>
        <w:rPr>
          <w:rFonts w:eastAsia="Times New Roman" w:cs="Times New Roman"/>
          <w:szCs w:val="24"/>
          <w:lang w:val="en-US"/>
        </w:rPr>
      </w:pPr>
      <w:r w:rsidRPr="00C81D2D">
        <w:rPr>
          <w:rFonts w:eastAsia="Times New Roman" w:cs="Times New Roman"/>
          <w:szCs w:val="24"/>
          <w:lang w:val="en-US"/>
        </w:rPr>
        <w:t xml:space="preserve">Vlada Crne Gore, Opština Tivat i Luštica Development AD Tivat su 23.10.2009. godine zaključili Ugovor o zakupu i izgradnji, Ov. Br. 32672, za razvoj integrisanog turističkog naselja na poluostrvu Luštica. </w:t>
      </w:r>
    </w:p>
    <w:p w:rsidR="00C81D2D" w:rsidRPr="00C81D2D" w:rsidRDefault="00C81D2D" w:rsidP="00FF74FD">
      <w:pPr>
        <w:suppressAutoHyphens/>
        <w:autoSpaceDN w:val="0"/>
        <w:spacing w:before="0" w:after="0" w:line="240" w:lineRule="auto"/>
        <w:ind w:firstLine="709"/>
        <w:textAlignment w:val="baseline"/>
        <w:rPr>
          <w:rFonts w:eastAsia="Times New Roman" w:cs="Times New Roman"/>
          <w:szCs w:val="24"/>
          <w:lang w:val="en-US"/>
        </w:rPr>
      </w:pPr>
      <w:r w:rsidRPr="00C81D2D">
        <w:rPr>
          <w:rFonts w:eastAsia="Times New Roman" w:cs="Times New Roman"/>
          <w:szCs w:val="24"/>
          <w:lang w:val="en-US"/>
        </w:rPr>
        <w:t xml:space="preserve">S tim u vezi, Vlada Crne Gore je formirala Operativni tim, čiji je zadatak praćenje realizacije ugovornih odredbi, vezano za projekat </w:t>
      </w:r>
      <w:r w:rsidR="008C484C">
        <w:rPr>
          <w:rFonts w:eastAsia="Times New Roman" w:cs="Times New Roman"/>
          <w:szCs w:val="24"/>
          <w:lang w:val="en-US"/>
        </w:rPr>
        <w:t>“Luštica Bay”, koji tim povodom</w:t>
      </w:r>
      <w:r w:rsidRPr="00C81D2D">
        <w:rPr>
          <w:rFonts w:eastAsia="Times New Roman" w:cs="Times New Roman"/>
          <w:szCs w:val="24"/>
          <w:lang w:val="en-US"/>
        </w:rPr>
        <w:t xml:space="preserve"> organizuje sastanke u kontinuitetu.</w:t>
      </w:r>
    </w:p>
    <w:p w:rsidR="00C81D2D" w:rsidRPr="00C81D2D" w:rsidRDefault="00C81D2D" w:rsidP="00FF74FD">
      <w:pPr>
        <w:suppressAutoHyphens/>
        <w:autoSpaceDN w:val="0"/>
        <w:spacing w:before="0" w:after="0" w:line="240" w:lineRule="auto"/>
        <w:ind w:firstLine="709"/>
        <w:textAlignment w:val="baseline"/>
        <w:rPr>
          <w:rFonts w:eastAsia="Times New Roman" w:cs="Arial"/>
          <w:szCs w:val="24"/>
          <w:lang w:val="nl-NL"/>
        </w:rPr>
      </w:pPr>
      <w:r w:rsidRPr="00C81D2D">
        <w:rPr>
          <w:rFonts w:eastAsia="Times New Roman" w:cs="Arial"/>
          <w:szCs w:val="24"/>
          <w:lang w:val="nl-NL"/>
        </w:rPr>
        <w:t>Nadalje, Vlada Crne Gore je, na sjednici od 7. decembra 2017. godine, donijela zaključke, broj: 07-3770, kojima je usvojila Informaciju o realizaciji aktivnosti na projektu Luštica Bay, u skladu s Ugovorom o zakupu i izgradnji, Ov.br. 32672 od 23.10.2009. godine.</w:t>
      </w:r>
    </w:p>
    <w:p w:rsidR="00C81D2D" w:rsidRPr="00C81D2D" w:rsidRDefault="00C81D2D" w:rsidP="00FF74FD">
      <w:pPr>
        <w:suppressAutoHyphens/>
        <w:autoSpaceDN w:val="0"/>
        <w:spacing w:before="0" w:after="0" w:line="240" w:lineRule="auto"/>
        <w:ind w:firstLine="709"/>
        <w:textAlignment w:val="baseline"/>
        <w:rPr>
          <w:rFonts w:eastAsia="Times New Roman" w:cs="Arial"/>
          <w:szCs w:val="24"/>
          <w:lang w:val="nl-NL"/>
        </w:rPr>
      </w:pPr>
      <w:r w:rsidRPr="00C81D2D">
        <w:rPr>
          <w:rFonts w:eastAsia="Times New Roman" w:cs="Arial"/>
          <w:szCs w:val="24"/>
          <w:lang w:val="nl-NL"/>
        </w:rPr>
        <w:t xml:space="preserve">U odnosu na tačku 2 navedenih zaključaka Ministarstvo finansija je nastavilo sa realizacijom aktivnosti koje se odnose na eksproprijaciju nepokretnosti. </w:t>
      </w:r>
    </w:p>
    <w:p w:rsidR="00C81D2D" w:rsidRPr="00C81D2D" w:rsidRDefault="00C81D2D" w:rsidP="00FF74FD">
      <w:pPr>
        <w:suppressAutoHyphens/>
        <w:autoSpaceDN w:val="0"/>
        <w:spacing w:before="0" w:after="0" w:line="240" w:lineRule="auto"/>
        <w:ind w:firstLine="709"/>
        <w:textAlignment w:val="baseline"/>
        <w:rPr>
          <w:rFonts w:eastAsia="Times New Roman" w:cs="Times New Roman"/>
          <w:szCs w:val="24"/>
          <w:lang w:val="en-US"/>
        </w:rPr>
      </w:pPr>
      <w:r w:rsidRPr="00C81D2D">
        <w:rPr>
          <w:rFonts w:eastAsia="Times New Roman" w:cs="Arial"/>
          <w:szCs w:val="24"/>
          <w:lang w:val="nl-NL"/>
        </w:rPr>
        <w:t>Ta</w:t>
      </w:r>
      <w:r w:rsidRPr="00C81D2D">
        <w:rPr>
          <w:rFonts w:eastAsia="Times New Roman" w:cs="Arial"/>
          <w:szCs w:val="24"/>
          <w:lang w:val="en-US"/>
        </w:rPr>
        <w:t>čkom 3 istih zaključaka, Vlada Crne Gore je zadužila Upravu za imovinu da, u saradnji sa Ministarstvom odbrane formira komisiju koja će izvršiti primopredaju nepokretnosti na lokaciji Petrovići, u skladu sa Ugovorom o zakupu i izgradnji Ov. br. 32672 od 23.10.2009. godine. S t</w:t>
      </w:r>
      <w:r w:rsidR="008C484C">
        <w:rPr>
          <w:rFonts w:eastAsia="Times New Roman" w:cs="Arial"/>
          <w:szCs w:val="24"/>
          <w:lang w:val="en-US"/>
        </w:rPr>
        <w:t>im u vezi, Uprava za imovinu je</w:t>
      </w:r>
      <w:r w:rsidRPr="00C81D2D">
        <w:rPr>
          <w:rFonts w:eastAsia="Times New Roman" w:cs="Arial"/>
          <w:szCs w:val="24"/>
          <w:lang w:val="en-US"/>
        </w:rPr>
        <w:t xml:space="preserve"> formirala Komisiju, čiji je zadatak primopredaja nepokretnosti na lokaciji Petrovići, sačinjenu od predstavnika Uprave za imovinu i Ministarstva odbrane. Naime, Vladi Crne Gore je na usvajanje dostavljen Prijedlog Clausule intabulandi, na osnovu koje bi privredn</w:t>
      </w:r>
      <w:r w:rsidR="008C484C">
        <w:rPr>
          <w:rFonts w:eastAsia="Times New Roman" w:cs="Arial"/>
          <w:szCs w:val="24"/>
          <w:lang w:val="en-US"/>
        </w:rPr>
        <w:t xml:space="preserve">o društvo „Luštica Development“ </w:t>
      </w:r>
      <w:r w:rsidRPr="00C81D2D">
        <w:rPr>
          <w:rFonts w:eastAsia="Times New Roman" w:cs="Arial"/>
          <w:szCs w:val="24"/>
          <w:lang w:val="en-US"/>
        </w:rPr>
        <w:t>A</w:t>
      </w:r>
      <w:r w:rsidR="008C484C">
        <w:rPr>
          <w:rFonts w:eastAsia="Times New Roman" w:cs="Arial"/>
          <w:szCs w:val="24"/>
          <w:lang w:val="en-US"/>
        </w:rPr>
        <w:t>.</w:t>
      </w:r>
      <w:r w:rsidRPr="00C81D2D">
        <w:rPr>
          <w:rFonts w:eastAsia="Times New Roman" w:cs="Arial"/>
          <w:szCs w:val="24"/>
          <w:lang w:val="en-US"/>
        </w:rPr>
        <w:t xml:space="preserve">D Tivat, u „G“ listu listova nepokretnosti broj 816, KO Krašići i broj 1198, </w:t>
      </w:r>
      <w:r w:rsidRPr="00C81D2D">
        <w:rPr>
          <w:rFonts w:eastAsia="Times New Roman" w:cs="Arial"/>
          <w:szCs w:val="24"/>
          <w:lang w:val="en-US"/>
        </w:rPr>
        <w:lastRenderedPageBreak/>
        <w:t>KO Krašići, Opština Tivat, evidentiralo neograničeno, prenosivo i samostalno pravo korišćenja katastarskih parcela, na osnovu Ugovora o zakupu i izgradnji Ov. br. 32672 od 23.10.2009. godine, koje uključuje korišćenje, razvoj, preparcelisanje, kao i njihov dalji prenos ili ustupanje, bez prethodne ili naknadne saglasnosti njihovog vlasnika, putem ugovora, potvrde o prenosu ili nasljeđa prava korišćenja nad predmetnim parcelama (izgrađenim ili neizgrađenim), uknjiženih kao svojina Crne Gore, upisano za period do 11. oktobra 2013. godine.</w:t>
      </w:r>
    </w:p>
    <w:p w:rsidR="00C81D2D" w:rsidRPr="00C81D2D" w:rsidRDefault="00C81D2D" w:rsidP="00FF74FD">
      <w:pPr>
        <w:suppressAutoHyphens/>
        <w:autoSpaceDN w:val="0"/>
        <w:spacing w:before="0" w:after="0" w:line="240" w:lineRule="auto"/>
        <w:ind w:firstLine="709"/>
        <w:textAlignment w:val="baseline"/>
        <w:rPr>
          <w:rFonts w:eastAsia="Times New Roman" w:cs="Arial"/>
          <w:szCs w:val="24"/>
          <w:lang w:val="en-US"/>
        </w:rPr>
      </w:pPr>
      <w:r w:rsidRPr="00C81D2D">
        <w:rPr>
          <w:rFonts w:eastAsia="Times New Roman" w:cs="Arial"/>
          <w:szCs w:val="24"/>
          <w:lang w:val="en-US"/>
        </w:rPr>
        <w:t>Vlada Crne Gore je zaključcima broj: 07-769, sa sjednice od 08.03.2018. godine, u skladu sa članom 29 stav 1 Zakona o državnoj imovini, a u vezi sa članom 78 Zakona o državnom premjeru i katastru nepokretnosti, dala saglasnost za izdavanje Clausule intabulandi u korist privrednog društva „Luštica Development“ AD Tivat, dok je tačkom 3 ovih zaključaka ovlašćen Blažo Šaranović, direktor Uprave za imovinu, da u ime Vlade potpiše Clausulu intabulandi.</w:t>
      </w:r>
    </w:p>
    <w:p w:rsidR="00C81D2D" w:rsidRPr="00C81D2D" w:rsidRDefault="00C81D2D" w:rsidP="00FF74FD">
      <w:pPr>
        <w:suppressAutoHyphens/>
        <w:autoSpaceDN w:val="0"/>
        <w:spacing w:before="0" w:after="0" w:line="240" w:lineRule="auto"/>
        <w:ind w:firstLine="709"/>
        <w:textAlignment w:val="baseline"/>
        <w:rPr>
          <w:rFonts w:eastAsia="Times New Roman" w:cs="Arial"/>
          <w:szCs w:val="24"/>
          <w:lang w:val="en-US"/>
        </w:rPr>
      </w:pPr>
      <w:r w:rsidRPr="00C81D2D">
        <w:rPr>
          <w:rFonts w:eastAsia="Times New Roman" w:cs="Arial"/>
          <w:szCs w:val="24"/>
          <w:lang w:val="en-US"/>
        </w:rPr>
        <w:t>S tim u vezi, primopredaja predmetnih nepokretnosti izvršena je dana 01.10.2018. godine, dok je potpisivanje Clausule intabulandi obavljeno dana 09.10.2018. godine, kod notarke Milice Moštrokol u Kotoru.</w:t>
      </w:r>
    </w:p>
    <w:p w:rsidR="00C81D2D" w:rsidRPr="00C81D2D" w:rsidRDefault="00C81D2D" w:rsidP="00FF74FD">
      <w:pPr>
        <w:suppressAutoHyphens/>
        <w:autoSpaceDE w:val="0"/>
        <w:autoSpaceDN w:val="0"/>
        <w:spacing w:before="0" w:after="0" w:line="240" w:lineRule="auto"/>
        <w:ind w:firstLine="709"/>
        <w:textAlignment w:val="baseline"/>
        <w:rPr>
          <w:rFonts w:eastAsia="Times New Roman" w:cs="Times New Roman"/>
          <w:szCs w:val="24"/>
          <w:lang w:val="en-US"/>
        </w:rPr>
      </w:pPr>
      <w:r w:rsidRPr="00C81D2D">
        <w:rPr>
          <w:rFonts w:eastAsia="Times New Roman" w:cs="Arial"/>
          <w:szCs w:val="24"/>
          <w:lang w:val="en-US"/>
        </w:rPr>
        <w:t xml:space="preserve">Nadalje, tačkom 4 predmetnih zaključaka zaduženi su Ministarstvo finansija, Ministarstvo održivog razvoja i turizma i Zaštitnik imovinsko pravnih interesa Crne Gore da intenziviraju aktivnosti po pitanju odobravanja zalaganja prava iz Ugovora </w:t>
      </w:r>
      <w:r w:rsidRPr="00C81D2D">
        <w:rPr>
          <w:rFonts w:eastAsia="Times New Roman" w:cs="Arial"/>
          <w:szCs w:val="24"/>
          <w:lang w:val="nl-NL"/>
        </w:rPr>
        <w:t>o zakupu i izgradnji, Ov.br. 32672 od 23.10.2009. godine. S tim u vezi,</w:t>
      </w:r>
      <w:r w:rsidRPr="00C81D2D">
        <w:rPr>
          <w:rFonts w:eastAsia="Times New Roman" w:cs="Arial"/>
          <w:szCs w:val="24"/>
          <w:lang w:val="en-US"/>
        </w:rPr>
        <w:t xml:space="preserve"> Vlade Crne Gore je donijela Zaključke broj: 07-2767 od 27.06.2019. godine, kojima je usvojila Informaciju o statusu realizacije Zaključaka Vlade Crne Gore, broj: 07-3770, sa sjednice od 7.12.2017. godine i prihvatila Ugovor o zalaganju računa, Ugovor o zalaganju pokretne imovine, Ugovor o zalaganju potraživanja, Ugovor o hipoteci (hipoteka se može uspostaviti isključivo na objektima) i Ugovor o zalaganju akcija, koje je dostavila kompanija “Luštica Development” A.D. Tivat.</w:t>
      </w:r>
    </w:p>
    <w:p w:rsidR="00C81D2D" w:rsidRPr="00C81D2D" w:rsidRDefault="008C484C" w:rsidP="00FF74FD">
      <w:pPr>
        <w:suppressAutoHyphens/>
        <w:autoSpaceDN w:val="0"/>
        <w:spacing w:before="0" w:after="0" w:line="240" w:lineRule="auto"/>
        <w:ind w:firstLine="709"/>
        <w:textAlignment w:val="baseline"/>
        <w:rPr>
          <w:rFonts w:eastAsia="Times New Roman" w:cs="Arial"/>
          <w:szCs w:val="24"/>
          <w:lang w:val="nl-NL"/>
        </w:rPr>
      </w:pPr>
      <w:r>
        <w:rPr>
          <w:rFonts w:eastAsia="Times New Roman" w:cs="Arial"/>
          <w:szCs w:val="24"/>
          <w:lang w:val="nl-NL"/>
        </w:rPr>
        <w:t>Tačke 5, 6 i 7</w:t>
      </w:r>
      <w:r w:rsidR="00C81D2D" w:rsidRPr="00C81D2D">
        <w:rPr>
          <w:rFonts w:eastAsia="Times New Roman" w:cs="Arial"/>
          <w:szCs w:val="24"/>
          <w:lang w:val="nl-NL"/>
        </w:rPr>
        <w:t xml:space="preserve"> zaključaka Vlade Crne Gore broj: 07-3770, sa sjednice od 07.12.2017. godine su realizovane na način što je otvoren poseban račun kod Societe Generale Montenegro banke na koji je Luštica Development AD Tivat prenijela sredstva u iznosu od 1.505.011,00 €, na ime avansa po osnovu uplate kupoprodajne cijene za raspolaganje placem, nakon čega su sredstva prenijeta Opštini Tivat za potrebe izgradnje putne infrastrukture MR1.</w:t>
      </w:r>
    </w:p>
    <w:p w:rsidR="00C81D2D" w:rsidRPr="00C81D2D" w:rsidRDefault="00C81D2D" w:rsidP="00FF74FD">
      <w:pPr>
        <w:suppressAutoHyphens/>
        <w:autoSpaceDN w:val="0"/>
        <w:spacing w:before="0" w:after="0" w:line="240" w:lineRule="auto"/>
        <w:ind w:firstLine="709"/>
        <w:textAlignment w:val="baseline"/>
        <w:rPr>
          <w:rFonts w:eastAsia="Times New Roman" w:cs="Times New Roman"/>
          <w:szCs w:val="24"/>
          <w:lang w:val="en-US"/>
        </w:rPr>
      </w:pPr>
      <w:r w:rsidRPr="00C81D2D">
        <w:rPr>
          <w:rFonts w:eastAsia="Times New Roman" w:cs="Arial"/>
          <w:szCs w:val="24"/>
          <w:lang w:val="nl-NL"/>
        </w:rPr>
        <w:t xml:space="preserve">Takođe, realizacija tačaka 8 i 9 navedenih zaključaka je u toku, te je Ministarstvo finansija preuzelo određene aktivnosti i sa društvom za reviziju “Racio-Mont” d.o.o. Kolašin zaključilo Ugovor o javnoj nabavci, sa zadatkom </w:t>
      </w:r>
      <w:r w:rsidRPr="00C81D2D">
        <w:rPr>
          <w:rFonts w:eastAsia="Times New Roman" w:cs="Times New Roman"/>
          <w:szCs w:val="24"/>
          <w:lang w:val="en-US"/>
        </w:rPr>
        <w:t>revizije i vještačenje zarad utvrđivanja visine bruto primitaka u odnosu na cjelokupno poslovanje „Luštica Development“ AD Tivat i definisanja ukupne obaveze za plaćanje Vladi Crne Gore u skladu sa Ugovorom o zakupu i izgradnji Ov. br. 32672 od 23.10.2009. godine, shodno članu 17.1.4 i članu 17.1.5 Ugovora o zakupu i izgradnji Ov. br. 32672 od 23.10.2009. godine.</w:t>
      </w:r>
    </w:p>
    <w:p w:rsidR="00C81D2D" w:rsidRPr="00C81D2D" w:rsidRDefault="00C81D2D" w:rsidP="00FF74FD">
      <w:pPr>
        <w:suppressAutoHyphens/>
        <w:autoSpaceDN w:val="0"/>
        <w:spacing w:before="0" w:after="0" w:line="240" w:lineRule="auto"/>
        <w:ind w:firstLine="709"/>
        <w:textAlignment w:val="baseline"/>
        <w:rPr>
          <w:rFonts w:eastAsia="Times New Roman" w:cs="Arial"/>
          <w:szCs w:val="24"/>
          <w:lang w:val="nl-NL"/>
        </w:rPr>
      </w:pPr>
      <w:r w:rsidRPr="00C81D2D">
        <w:rPr>
          <w:rFonts w:eastAsia="Times New Roman" w:cs="Arial"/>
          <w:szCs w:val="24"/>
          <w:lang w:val="nl-NL"/>
        </w:rPr>
        <w:t>S tim u vezi, društvo za reviziju “Racio-Mont” d.o.o. Kolašin je dana 31.10.2018. godine Ministarstvu finansija dostavilo Izvještaj kojim je utvrđena obaveza Projektne kompanije, po osnovu “bruto primitaka” iz Ugovora o zakupu i izgradnji Ov.br. 32672 od 23.10.2009. godine, u ukupnom iznosu od 1.373.135.21 €.</w:t>
      </w:r>
    </w:p>
    <w:p w:rsidR="00C81D2D" w:rsidRPr="00C81D2D" w:rsidRDefault="00C81D2D" w:rsidP="00FF74FD">
      <w:pPr>
        <w:suppressAutoHyphens/>
        <w:autoSpaceDN w:val="0"/>
        <w:spacing w:before="0" w:after="0" w:line="240" w:lineRule="auto"/>
        <w:ind w:firstLine="709"/>
        <w:textAlignment w:val="baseline"/>
        <w:rPr>
          <w:rFonts w:eastAsia="Times New Roman" w:cs="Times New Roman"/>
          <w:szCs w:val="24"/>
          <w:lang w:val="en-US"/>
        </w:rPr>
      </w:pPr>
      <w:r w:rsidRPr="00C81D2D">
        <w:rPr>
          <w:rFonts w:eastAsia="Times New Roman" w:cs="Calibri"/>
          <w:szCs w:val="24"/>
          <w:lang w:val="en-US"/>
        </w:rPr>
        <w:t xml:space="preserve">Vlada Crne Gore Zaključcima, broj: </w:t>
      </w:r>
      <w:r w:rsidRPr="00C81D2D">
        <w:rPr>
          <w:rFonts w:eastAsia="Times New Roman" w:cs="Arial"/>
          <w:szCs w:val="24"/>
          <w:lang w:val="nl-NL"/>
        </w:rPr>
        <w:t>07-6186 sa sjednice od 27. decembra 2018. godine, usvojila Informaciju o realizaciji Zaključaka Vlade Crne Gore, broj: 07-3770 sa sjednice od 7. decembra 2017. godine i zadužila Ministarstvo finansija da Projektnoj kompaniji dostavi Instrukcije za plaćanje obaveze utvrđene po osnovu “bruto primitaka” iz Ugovora o zakupu i izgradnji Ov. br. 32672, od 23.10.2009. godine, shodno Izvještaju društva za reviziju “Racio-Mont” doo Kolašin, od 31.10.2018. godine, u ukupnom iznosu od 1.373.135,21 €, po čemu je Ministarstvo finansija i postupilo i dostavilo navedene instrukcije za plaćanje.</w:t>
      </w:r>
    </w:p>
    <w:p w:rsidR="00C81D2D" w:rsidRPr="00C81D2D" w:rsidRDefault="00C81D2D" w:rsidP="00FF74FD">
      <w:pPr>
        <w:suppressAutoHyphens/>
        <w:autoSpaceDN w:val="0"/>
        <w:spacing w:before="0" w:after="0" w:line="240" w:lineRule="auto"/>
        <w:ind w:firstLine="709"/>
        <w:textAlignment w:val="baseline"/>
        <w:rPr>
          <w:rFonts w:eastAsia="Times New Roman" w:cs="Times New Roman"/>
          <w:szCs w:val="24"/>
          <w:lang w:val="en-US"/>
        </w:rPr>
      </w:pPr>
      <w:r w:rsidRPr="00C81D2D">
        <w:rPr>
          <w:rFonts w:eastAsia="Times New Roman" w:cs="Arial"/>
          <w:szCs w:val="24"/>
          <w:lang w:val="nl-NL"/>
        </w:rPr>
        <w:t xml:space="preserve">Nadalje, u Ministarstvu finansija je dana 24.12.2018. godine održan sastanak na kome su razmatrani prigovori Projektne kompanije na pomenuti Izvještaj, obzirom da su predstavnici Projektne kompanije naveli da u bruto primitke ne treba da uđe obračunati porez na dodatu vrijednost, već samo obračunati prihodi, kao i to da obračunata naknada u iznosu od 3%,  koja </w:t>
      </w:r>
      <w:r w:rsidRPr="00C81D2D">
        <w:rPr>
          <w:rFonts w:eastAsia="Times New Roman" w:cs="Arial"/>
          <w:szCs w:val="24"/>
          <w:lang w:val="nl-NL"/>
        </w:rPr>
        <w:lastRenderedPageBreak/>
        <w:t xml:space="preserve">pripada Opštini Tivat, treba da se računa  na razliku u cijeni, a ne na ukupno fakturisan iznos, ali kako “bruto primici” shodno članu 1.36 Ugovora o zakupu i izgradnji, predstavljaju </w:t>
      </w:r>
      <w:r w:rsidRPr="00C81D2D">
        <w:rPr>
          <w:rFonts w:eastAsia="Times New Roman" w:cs="Times New Roman"/>
          <w:szCs w:val="24"/>
          <w:lang w:val="en-US"/>
        </w:rPr>
        <w:t>sve operativne prihode i sredstva od zakupa i prodaja svih vrsta, koje dobija projektna kompanija, a koja se računaju na službenoj osnovi od strane voljnog prodavca voljnom kupcu, uključujući i bruto sredstva od prodaje koje dobije Projektna kompanija od svojih povezanih lica u pogledu prodaje vila i prodaje, prenosa ili dodjele slobodnog vlasništva ili prava korišćenja investitoru treće strane od strane Projektne kompanije</w:t>
      </w:r>
      <w:r w:rsidRPr="00C81D2D">
        <w:rPr>
          <w:rFonts w:eastAsia="Times New Roman" w:cs="Arial"/>
          <w:szCs w:val="24"/>
          <w:lang w:val="nl-NL"/>
        </w:rPr>
        <w:t xml:space="preserve">, ovo ministarstvo je istaknute prigovore cijenilo neosnovanim. </w:t>
      </w:r>
    </w:p>
    <w:p w:rsidR="00C81D2D" w:rsidRPr="00C81D2D" w:rsidRDefault="00C81D2D" w:rsidP="00FF74FD">
      <w:pPr>
        <w:suppressAutoHyphens/>
        <w:autoSpaceDN w:val="0"/>
        <w:spacing w:before="0" w:after="0" w:line="240" w:lineRule="auto"/>
        <w:ind w:firstLine="709"/>
        <w:textAlignment w:val="baseline"/>
        <w:rPr>
          <w:rFonts w:eastAsia="Times New Roman" w:cs="Arial"/>
          <w:szCs w:val="24"/>
          <w:lang w:val="nl-NL"/>
        </w:rPr>
      </w:pPr>
      <w:r w:rsidRPr="00C81D2D">
        <w:rPr>
          <w:rFonts w:eastAsia="Times New Roman" w:cs="Arial"/>
          <w:szCs w:val="24"/>
          <w:lang w:val="nl-NL"/>
        </w:rPr>
        <w:t>Postupajući po navedenom zaduženju Vlade Crne Gore, Ministarstvo finansija je aktom, broj: 01-21494/2 od 14.01.2019. godine, pomenute Instrukcije dostavilo Projektnoj kompaniji, koja je aktom, broj: 94/2019 od 27.02.2019. godine, obavijestila ovo ministarstvo da zadržava ranije iznešen stav, ukazujući da predmetni Izvještaj nije adekvatno primijenio ugovorene finansijske standarde iz Ugovora o zakupu i izgradnji Ov.br. 32672 od 23.10.2009. godine, te da je u tom pogledu iznos zakupnine na osnovu prometa pogrešno utvrđen i obračunat. Takođe, uz navedeno, dostavili su i pravno mišljenje renomiranog pravnog savjetnika na međunarodnom nivou “Amereller Legal Consultants”, kojeg je Projektna kompanija za ovu potrebu angažovala kao eksternog pravnog konsultanta i zatražili održavanje još jednog sastanka na ovu temu.</w:t>
      </w:r>
    </w:p>
    <w:p w:rsidR="00C81D2D" w:rsidRPr="00C81D2D" w:rsidRDefault="00C81D2D" w:rsidP="00FF74FD">
      <w:pPr>
        <w:suppressAutoHyphens/>
        <w:autoSpaceDN w:val="0"/>
        <w:spacing w:before="0" w:after="0" w:line="240" w:lineRule="auto"/>
        <w:ind w:firstLine="709"/>
        <w:textAlignment w:val="baseline"/>
        <w:rPr>
          <w:rFonts w:eastAsia="Times New Roman" w:cs="Arial"/>
          <w:szCs w:val="24"/>
          <w:lang w:val="nl-NL"/>
        </w:rPr>
      </w:pPr>
      <w:r w:rsidRPr="00C81D2D">
        <w:rPr>
          <w:rFonts w:eastAsia="Times New Roman" w:cs="Arial"/>
          <w:szCs w:val="24"/>
          <w:lang w:val="nl-NL"/>
        </w:rPr>
        <w:t>Obzirom na navedeno, u Ministarstvu finansija je dana 11.03.2019. godine u cilju rješavanja nastale situacije održan sastanak, kojem su pored predstavnika ovog ministarstva prisustvovali i predstavnici Projektne kompanije, Vlade Crne Gore i ovlašćeni revizori koji su sačinili predmetni Izvještaj, pa je ovo ministarstvo u cilju pripreme za pomenuti sastanak zatražilo izjašnjenje Društva za reviziju “Racio Mont” d.o.o. Kolašin u odnosu na gore navedene prigovore Projektne kompanije, koje je traženo izjašnjenje i dostavilo zvanično na pomenutom sastanku.</w:t>
      </w:r>
    </w:p>
    <w:p w:rsidR="00C81D2D" w:rsidRPr="00C81D2D" w:rsidRDefault="00C81D2D" w:rsidP="00FF74FD">
      <w:pPr>
        <w:suppressAutoHyphens/>
        <w:autoSpaceDN w:val="0"/>
        <w:spacing w:before="0" w:after="0" w:line="240" w:lineRule="auto"/>
        <w:ind w:firstLine="709"/>
        <w:textAlignment w:val="baseline"/>
        <w:rPr>
          <w:rFonts w:eastAsia="Times New Roman" w:cs="Times New Roman"/>
          <w:szCs w:val="24"/>
          <w:lang w:val="en-US"/>
        </w:rPr>
      </w:pPr>
      <w:r w:rsidRPr="00C81D2D">
        <w:rPr>
          <w:rFonts w:eastAsia="Times New Roman" w:cs="Arial"/>
          <w:szCs w:val="24"/>
          <w:lang w:val="nl-NL"/>
        </w:rPr>
        <w:t xml:space="preserve">S tim u vezi, a imajući u vidu sve naprijed navedeno, </w:t>
      </w:r>
      <w:r w:rsidRPr="00C81D2D">
        <w:rPr>
          <w:rFonts w:eastAsia="Times New Roman" w:cs="Calibri"/>
          <w:szCs w:val="24"/>
          <w:lang w:val="en-US"/>
        </w:rPr>
        <w:t xml:space="preserve">te obzirom na oprečna tumačenja odredbi </w:t>
      </w:r>
      <w:r w:rsidRPr="00C81D2D">
        <w:rPr>
          <w:rFonts w:eastAsia="Times New Roman" w:cs="Arial"/>
          <w:szCs w:val="24"/>
          <w:lang w:val="nl-NL"/>
        </w:rPr>
        <w:t>Ugovora o zakupu i izgradnji, Ov. br. 32672 od 23.10.2009. godine</w:t>
      </w:r>
      <w:r w:rsidRPr="00C81D2D">
        <w:rPr>
          <w:rFonts w:eastAsia="Times New Roman" w:cs="Calibri"/>
          <w:szCs w:val="24"/>
          <w:lang w:val="en-US"/>
        </w:rPr>
        <w:t xml:space="preserve"> Ministarstva finansija, Društva za reviziju „Racio Mont“ d.o.o. Kolašin i Projektne kompanije i odbijanja Projektne kompanije da izvrši plaćanje obaveza utvrđenih po ovom osnovu, to je ovo  ministarstvo u skladu sa članom 56 Zakona o državnoj imovini („Službeni list Crne Gore“, br. 21/09 i 40/11) tražilo mišljenje Zaštitnika imovinsko pravnih interesa Crne Gore, sa aspekta njihovih nadležnosti, kao i mišljenje Savjeta za privatizaciju i kapitalne projekte – Tenderske komisije za valorizaciju turističkih lokaliteta, kako bismo se u konačnom saglasili oko iznosa koji je Projektna kompanija u obavezi da izmiri po osnovu „bruto primitaka“ iz</w:t>
      </w:r>
      <w:r w:rsidRPr="00C81D2D">
        <w:rPr>
          <w:rFonts w:eastAsia="Times New Roman" w:cs="Arial"/>
          <w:szCs w:val="24"/>
          <w:lang w:val="nl-NL"/>
        </w:rPr>
        <w:t xml:space="preserve"> predmetnog Ugovora o zakupu i izgradnji.</w:t>
      </w:r>
    </w:p>
    <w:p w:rsidR="00C81D2D" w:rsidRPr="00C81D2D" w:rsidRDefault="00C81D2D" w:rsidP="00FF74FD">
      <w:pPr>
        <w:suppressAutoHyphens/>
        <w:autoSpaceDN w:val="0"/>
        <w:spacing w:before="0" w:after="0" w:line="240" w:lineRule="auto"/>
        <w:ind w:firstLine="709"/>
        <w:textAlignment w:val="baseline"/>
        <w:rPr>
          <w:rFonts w:eastAsia="Times New Roman" w:cs="Times New Roman"/>
          <w:szCs w:val="24"/>
          <w:lang w:val="en-US"/>
        </w:rPr>
      </w:pPr>
      <w:r w:rsidRPr="00C81D2D">
        <w:rPr>
          <w:rFonts w:eastAsia="Times New Roman" w:cs="Arial"/>
          <w:szCs w:val="24"/>
          <w:lang w:val="nl-NL"/>
        </w:rPr>
        <w:t xml:space="preserve">U dostavljenom izjašnjenju Zaštitnika imovinsko pravnih interesa Crne Gore, akt M.br. 9/19 od 27.03.2019. godine, navedeno je da predmetno pitanje nije u nadležnosti Zaštitnika. Takođe, </w:t>
      </w:r>
      <w:r w:rsidRPr="00C81D2D">
        <w:rPr>
          <w:rFonts w:eastAsia="Times New Roman" w:cs="Calibri"/>
          <w:szCs w:val="24"/>
          <w:lang w:val="en-US"/>
        </w:rPr>
        <w:t>Savjet za privatizaciju i kapitalne projekte – Tenderska komisija za valorizaciju turističkih lokaliteta je aktom br. 02-98/2 od 20.03.2019. godine, obavijestila ovo ministarstvo da nijesu nadležni za davanje traženog mišljenja.</w:t>
      </w:r>
    </w:p>
    <w:p w:rsidR="00C81D2D" w:rsidRPr="00C81D2D" w:rsidRDefault="00C81D2D" w:rsidP="00FF74FD">
      <w:pPr>
        <w:shd w:val="clear" w:color="auto" w:fill="FFFFFF"/>
        <w:suppressAutoHyphens/>
        <w:autoSpaceDN w:val="0"/>
        <w:spacing w:before="0" w:after="0" w:line="240" w:lineRule="auto"/>
        <w:ind w:firstLine="709"/>
        <w:textAlignment w:val="baseline"/>
        <w:rPr>
          <w:rFonts w:eastAsia="Times New Roman" w:cs="Arial"/>
          <w:color w:val="000000"/>
          <w:szCs w:val="24"/>
          <w:lang w:val="en-US"/>
        </w:rPr>
      </w:pPr>
      <w:r w:rsidRPr="00C81D2D">
        <w:rPr>
          <w:rFonts w:eastAsia="Times New Roman" w:cs="Arial"/>
          <w:color w:val="000000"/>
          <w:szCs w:val="24"/>
          <w:lang w:val="en-US"/>
        </w:rPr>
        <w:t xml:space="preserve">Nadalje, Opština Tivat je Ministarstvu finansija dostavila akt broj: 0101-402-828 od 03.10.2019. godine, kojim je traženo da shodno tački 2 zaključaka Vlade Crne Gore, broj: 07-6186, sa sjednice od 27.12.2018. godine, kojom se Ministarstvo finansija zadužuje da Projektnoj kompaniji dostavi Instrukcije za plaćanje obaveze utvrđene po osnovu “bruto primitaka” iz Ugovora o zakupu i izgradnji Ov. br. 32672, od 23. oktobra 2009. godine, shodno Izvještaju Društva za reviziju “Racio-Mont” d.o.o. Kolašin, od 31. oktobra 2018. godine, u ukupnom iznosu od 1.373.135,21 €, a koje pripadaju Opštini Tivat, prema članu 1.36 Ugovora o zakupu i izgradnji Ov. br. 32672, od 23. oktobra 2009. godine, te obzirom da je Projektna kompanija stava da u bruto primitke ne treba da uđe obračunati porez na dodatu vrijednost, već samo obračunati prihodi, kao i to da obračunata naknada u iznosu od 3%, koja pripada Opštini Tivat, treba da se računa na razliku u cijeni, a ne na ukupno fakturisan iznos i to da ista odbija da plati iznos od 222.815,85 €, da Ministarstvo finansija razmotri mogućnost i preduzme neophodne radnje i aktivnosti iz domena svojih nadležnosti, da se nesporni dio iznosa, tj. 1.156.319,35 €, prenese na žiro račun Opštine Tivat: 535-5775-20, koji se vodi kod </w:t>
      </w:r>
      <w:r w:rsidRPr="00C81D2D">
        <w:rPr>
          <w:rFonts w:eastAsia="Times New Roman" w:cs="Arial"/>
          <w:color w:val="000000"/>
          <w:szCs w:val="24"/>
          <w:lang w:val="en-US"/>
        </w:rPr>
        <w:lastRenderedPageBreak/>
        <w:t>Prve banke, dok je očekivanje da se ostatak duga naknadno riješi. Takođe su naveli da je u kapitalnom budžetu Opštine Tivat za 2019. godinu predviđena izgradnja putne infrastrukture MR2, za koju je planirano 1.500.000,00 €, te kako bi pokrenuli procedure raspisivanja tendera, neophodna im je uplata pomenutih novčanih sredstava.</w:t>
      </w:r>
    </w:p>
    <w:p w:rsidR="00C81D2D" w:rsidRPr="00C81D2D" w:rsidRDefault="00C81D2D" w:rsidP="00FF74FD">
      <w:pPr>
        <w:suppressAutoHyphens/>
        <w:autoSpaceDN w:val="0"/>
        <w:spacing w:before="0" w:after="0" w:line="240" w:lineRule="auto"/>
        <w:ind w:firstLine="709"/>
        <w:textAlignment w:val="baseline"/>
        <w:rPr>
          <w:rFonts w:eastAsia="Times New Roman" w:cs="Times New Roman"/>
          <w:szCs w:val="24"/>
          <w:lang w:val="en-US"/>
        </w:rPr>
      </w:pPr>
      <w:r w:rsidRPr="00C81D2D">
        <w:rPr>
          <w:rFonts w:eastAsia="Times New Roman" w:cs="Arial"/>
          <w:color w:val="000000"/>
          <w:szCs w:val="24"/>
          <w:lang w:val="en-US"/>
        </w:rPr>
        <w:t>Obzirom na navedeno, u Ministarstvu finansija je na ovu temu održan sastanak, dana 05.11.2019. godine, na kojem takođe nije postignuto saglasje u odnos</w:t>
      </w:r>
      <w:r w:rsidR="008C484C">
        <w:rPr>
          <w:rFonts w:eastAsia="Times New Roman" w:cs="Arial"/>
          <w:color w:val="000000"/>
          <w:szCs w:val="24"/>
          <w:lang w:val="en-US"/>
        </w:rPr>
        <w:t>u na sporno pitanje i na kom je</w:t>
      </w:r>
      <w:r w:rsidRPr="00C81D2D">
        <w:rPr>
          <w:rFonts w:eastAsia="Times New Roman" w:cs="Arial"/>
          <w:color w:val="000000"/>
          <w:szCs w:val="24"/>
          <w:lang w:val="en-US"/>
        </w:rPr>
        <w:t xml:space="preserve"> </w:t>
      </w:r>
      <w:r w:rsidRPr="00C81D2D">
        <w:rPr>
          <w:rFonts w:eastAsia="Times New Roman" w:cs="Calibri"/>
          <w:szCs w:val="24"/>
          <w:lang w:val="en-US"/>
        </w:rPr>
        <w:t>Projektna kompanija u krajnjem iskazala spremnost da nastavi sa njihovim obračunom za plaćanje za 2018. godinu isto kao avans, po njihovim kriterijumima za obračun, kao nešto do konačnog rješavanja ovog pitanja, na koji način bi Opštini Tivat uveliko doprinijeli da završi infrastrukturne radove. Nadalje, s t</w:t>
      </w:r>
      <w:r w:rsidR="008C484C">
        <w:rPr>
          <w:rFonts w:eastAsia="Times New Roman" w:cs="Calibri"/>
          <w:szCs w:val="24"/>
          <w:lang w:val="en-US"/>
        </w:rPr>
        <w:t xml:space="preserve">im u vezi „Luštica Development“ </w:t>
      </w:r>
      <w:r w:rsidRPr="00C81D2D">
        <w:rPr>
          <w:rFonts w:eastAsia="Times New Roman" w:cs="Calibri"/>
          <w:szCs w:val="24"/>
          <w:lang w:val="en-US"/>
        </w:rPr>
        <w:t>AD Tivat je aktom broj: 562/2019 od 19.11.2019. godine dostavila Ministarstvu finansija predlog obrtne rente, koja na dan 31.12.2018. godine iznosi 665.665,00 €, a u odnosu na kupoprodajnu cijenu za raspolaganje placem, predlog plative nabavne cijene na dan 31.12.2018. godine, koja iznosi 902.217,00 €.</w:t>
      </w:r>
    </w:p>
    <w:p w:rsidR="00C81D2D" w:rsidRPr="00C81D2D" w:rsidRDefault="00FF74FD" w:rsidP="00FF74FD">
      <w:pPr>
        <w:tabs>
          <w:tab w:val="left" w:pos="0"/>
          <w:tab w:val="left" w:pos="540"/>
        </w:tabs>
        <w:suppressAutoHyphens/>
        <w:autoSpaceDN w:val="0"/>
        <w:spacing w:before="0" w:after="0" w:line="240" w:lineRule="auto"/>
        <w:textAlignment w:val="baseline"/>
        <w:rPr>
          <w:rFonts w:eastAsia="Times New Roman" w:cs="Times New Roman"/>
          <w:szCs w:val="24"/>
          <w:lang w:val="en-US"/>
        </w:rPr>
      </w:pPr>
      <w:r w:rsidRPr="00CE19E8">
        <w:rPr>
          <w:rFonts w:eastAsia="Times New Roman" w:cs="Arial"/>
          <w:szCs w:val="24"/>
          <w:lang w:val="nl-NL"/>
        </w:rPr>
        <w:tab/>
      </w:r>
      <w:r w:rsidR="00C81D2D" w:rsidRPr="00C81D2D">
        <w:rPr>
          <w:rFonts w:eastAsia="Times New Roman" w:cs="Arial"/>
          <w:szCs w:val="24"/>
          <w:lang w:val="nl-NL"/>
        </w:rPr>
        <w:t>Nakon toga, privredno društvo “Luštica Development” AD Tivat, dostavilo je Ministarstvu finansija i akt broj</w:t>
      </w:r>
      <w:r w:rsidR="00C81D2D" w:rsidRPr="00C81D2D">
        <w:rPr>
          <w:rFonts w:eastAsia="Times New Roman" w:cs="Arial"/>
          <w:szCs w:val="24"/>
          <w:lang w:val="en-US"/>
        </w:rPr>
        <w:t>:</w:t>
      </w:r>
      <w:r w:rsidR="00C81D2D" w:rsidRPr="00C81D2D">
        <w:rPr>
          <w:rFonts w:eastAsia="Times New Roman" w:cs="Arial"/>
          <w:szCs w:val="24"/>
          <w:lang w:val="nl-NL"/>
        </w:rPr>
        <w:t xml:space="preserve"> 641/2019 od 20.12.2019. godine, kojim je predloženo avansno plaćanje iznosa od 902.217,00 €, po osnovu kupoprodajne cijene za raspolaganje placem, shodno obračunu koji je kompanija “Luštica Development” AD Tivat  izradila i dostavila, sve do izrade novog izvještaja revizora i potvrde konačnog iznosa plaćanja po ovom osnovu i obzirom na navedene uplatilo pomenuti iznos na na žiro račun Ministarstva finansija broj 550-18092-30, kod Podgoričke banke, otvoren za plaćanje obaveza iz projekta Luštica Bay.</w:t>
      </w:r>
    </w:p>
    <w:p w:rsidR="00C81D2D" w:rsidRPr="00C81D2D" w:rsidRDefault="00C81D2D" w:rsidP="00FF74FD">
      <w:pPr>
        <w:suppressAutoHyphens/>
        <w:autoSpaceDN w:val="0"/>
        <w:spacing w:before="0" w:after="0" w:line="240" w:lineRule="auto"/>
        <w:ind w:firstLine="709"/>
        <w:textAlignment w:val="baseline"/>
        <w:rPr>
          <w:rFonts w:eastAsia="Times New Roman" w:cs="Arial"/>
          <w:szCs w:val="24"/>
          <w:lang w:val="nl-NL"/>
        </w:rPr>
      </w:pPr>
      <w:r w:rsidRPr="00C81D2D">
        <w:rPr>
          <w:rFonts w:eastAsia="Times New Roman" w:cs="Arial"/>
          <w:szCs w:val="24"/>
          <w:lang w:val="nl-NL"/>
        </w:rPr>
        <w:t>Nadalje, Opština Tivat je Ministarstvu finansija aktom broj: 0101-402-1081 od 23.12.2019. godine, dostavila predlog za prenos sredstava, u kom je traženo da ovo ministarstvo razmotri mogućnost prenosa sredstava u iznosu od 902.217,00 €, shodno obračunu koji je kompanija “Luštica Development” AD Tivat, obradila, dosatvila i uplatila kao avans, a po osnovu kupoprodajne cijene za raspolaganje placem, sve do izrade izvještaja revizije i potvrde konačnog iznosa za uplatu po ovom osnovu.</w:t>
      </w:r>
    </w:p>
    <w:p w:rsidR="00C81D2D" w:rsidRPr="00C81D2D" w:rsidRDefault="00C81D2D" w:rsidP="00FF74FD">
      <w:pPr>
        <w:suppressAutoHyphens/>
        <w:autoSpaceDN w:val="0"/>
        <w:spacing w:before="0" w:after="0" w:line="240" w:lineRule="auto"/>
        <w:ind w:firstLine="709"/>
        <w:textAlignment w:val="baseline"/>
        <w:rPr>
          <w:rFonts w:eastAsia="Times New Roman" w:cs="Times New Roman"/>
          <w:szCs w:val="24"/>
          <w:lang w:val="en-US"/>
        </w:rPr>
      </w:pPr>
      <w:r w:rsidRPr="00C81D2D">
        <w:rPr>
          <w:rFonts w:eastAsia="Times New Roman" w:cs="Arial"/>
          <w:szCs w:val="24"/>
          <w:lang w:val="nl-NL"/>
        </w:rPr>
        <w:t xml:space="preserve">U krajnjem su predložili da se uplaćeni iznos od 902.217,00 € prenese na glavni račun trezora Opštine Tivat, broj: 510-7814-72 kod CKB, u cilju završetka izgradnje saobraćajnice MR2 – Luštica, pa je s tim u vezi Vlada Crne Gore donijela zaključke broj: 07-8021, sa sjednice od 26.12.2019. godine, kojima je tačkom 2 </w:t>
      </w:r>
      <w:r w:rsidRPr="00C81D2D">
        <w:rPr>
          <w:rFonts w:eastAsia="Times New Roman" w:cs="Arial"/>
          <w:bCs/>
          <w:szCs w:val="24"/>
          <w:lang w:val="en-US"/>
        </w:rPr>
        <w:t xml:space="preserve">zadužila Ministarstvo finansija da avansna sredstva u iznosu od 902.217,00 €, uplaćena od strane kompanije “Luštica Development” AD Tivat na </w:t>
      </w:r>
      <w:r w:rsidRPr="00C81D2D">
        <w:rPr>
          <w:rFonts w:eastAsia="Times New Roman" w:cs="Arial"/>
          <w:szCs w:val="24"/>
          <w:lang w:val="nl-NL"/>
        </w:rPr>
        <w:t>račun Ministarstva finansija, broj 550-18092-30, kod Podgoričke banke, otvoren za plaćanje obaveza iz projekta Luštica Bay, preusmjeri na glavni račun trezora Opštine Tivat, broj: 510-7814-72 kod CKB, u cilju završetka izgradnje saobraćajnice MR2 – Luštica, što je i realizovano.</w:t>
      </w:r>
    </w:p>
    <w:p w:rsidR="00C81D2D" w:rsidRPr="00C81D2D" w:rsidRDefault="00C81D2D" w:rsidP="00CE19E8">
      <w:pPr>
        <w:suppressAutoHyphens/>
        <w:autoSpaceDN w:val="0"/>
        <w:spacing w:before="0" w:after="0" w:line="240" w:lineRule="auto"/>
        <w:ind w:firstLine="709"/>
        <w:textAlignment w:val="baseline"/>
        <w:rPr>
          <w:rFonts w:eastAsia="Times New Roman" w:cs="Calibri"/>
          <w:szCs w:val="24"/>
          <w:lang w:val="en-US"/>
        </w:rPr>
      </w:pPr>
      <w:r w:rsidRPr="00C81D2D">
        <w:rPr>
          <w:rFonts w:eastAsia="Times New Roman" w:cs="Calibri"/>
          <w:szCs w:val="24"/>
          <w:lang w:val="en-US"/>
        </w:rPr>
        <w:t>Imajući u vidu sve naprijed navedeno i uzimajući u obzir cjelokupnu situaciju u kojoj posle ovoliko pokušaja nije postignuto saglasje, Ministarstvo finansija je dana 10.12.2019. godine angažovalo revizorku Ilinku Vuković, tj. pravno lice „MV Konsalt“ d.o.o. Podgorica, koje se bavi revizijom finansijskih iskaza i konsaltingom, čiji je zadatak bio da izrši supervještačenje.</w:t>
      </w:r>
    </w:p>
    <w:p w:rsidR="00C81D2D" w:rsidRPr="00C81D2D" w:rsidRDefault="00C81D2D" w:rsidP="00CE19E8">
      <w:pPr>
        <w:suppressAutoHyphens/>
        <w:autoSpaceDN w:val="0"/>
        <w:spacing w:before="0" w:after="0" w:line="240" w:lineRule="auto"/>
        <w:ind w:firstLine="709"/>
        <w:textAlignment w:val="baseline"/>
        <w:rPr>
          <w:rFonts w:eastAsia="Times New Roman" w:cs="Calibri"/>
          <w:szCs w:val="24"/>
          <w:lang w:val="en-US"/>
        </w:rPr>
      </w:pPr>
      <w:r w:rsidRPr="00C81D2D">
        <w:rPr>
          <w:rFonts w:eastAsia="Times New Roman" w:cs="Calibri"/>
          <w:szCs w:val="24"/>
          <w:lang w:val="en-US"/>
        </w:rPr>
        <w:t>Pravno lice „MV Konsalt“ d.o.o. Podgorica je sačinilo Izvještaj o utvrđivanju visine bruto primitaka u odnosu na cjelokupno poslovanje kompanije „Luštica Development“ AD Tivat i definisanje ukupne obaveze za plaćanje Vladi Crne Gore – Ministarstvu finansija u skladu sa Ugovorom o zakupu i izgradnji Ov. br. 32672 od 23.10.2009. godine od 02.03.2020. godine, u kom je navedeno da je kompanija „Luštica Development“ AD Tivat, izvršila sljedeća plaćanja prema Vladi Crne Gore – Ministarstvu finansija, u ukupnom iznosu od 2.407.228,00 € (ukupan iznos do dana izrade predmetnog Izvještaja) i to:</w:t>
      </w:r>
    </w:p>
    <w:p w:rsidR="00C81D2D" w:rsidRPr="00C81D2D" w:rsidRDefault="00C81D2D" w:rsidP="00CE19E8">
      <w:pPr>
        <w:suppressAutoHyphens/>
        <w:autoSpaceDN w:val="0"/>
        <w:spacing w:before="0" w:after="0" w:line="240" w:lineRule="auto"/>
        <w:textAlignment w:val="baseline"/>
        <w:rPr>
          <w:rFonts w:eastAsia="Times New Roman" w:cs="Calibri"/>
          <w:szCs w:val="24"/>
          <w:lang w:val="en-US"/>
        </w:rPr>
      </w:pPr>
      <w:r w:rsidRPr="00C81D2D">
        <w:rPr>
          <w:rFonts w:eastAsia="Times New Roman" w:cs="Calibri"/>
          <w:szCs w:val="24"/>
          <w:lang w:val="en-US"/>
        </w:rPr>
        <w:t>- dana 28.12.2017. godine – 1.505.011,00 € (USB Switzerland AG Cirih, devizni račun Luštica Development AD Tivat IBAN: CH65 0023 0230 5664 4660 G) i</w:t>
      </w:r>
    </w:p>
    <w:p w:rsidR="00C81D2D" w:rsidRPr="00C81D2D" w:rsidRDefault="00C81D2D" w:rsidP="00CE19E8">
      <w:pPr>
        <w:suppressAutoHyphens/>
        <w:autoSpaceDN w:val="0"/>
        <w:spacing w:before="0" w:after="0" w:line="240" w:lineRule="auto"/>
        <w:textAlignment w:val="baseline"/>
        <w:rPr>
          <w:rFonts w:eastAsia="Times New Roman" w:cs="Calibri"/>
          <w:szCs w:val="24"/>
          <w:lang w:val="en-US"/>
        </w:rPr>
      </w:pPr>
      <w:r w:rsidRPr="00C81D2D">
        <w:rPr>
          <w:rFonts w:eastAsia="Times New Roman" w:cs="Calibri"/>
          <w:szCs w:val="24"/>
          <w:lang w:val="en-US"/>
        </w:rPr>
        <w:t>- dana 20.12.2019. godine – 902.217,00 € (izvod broj 32 Zapad banka AD Podgorica: 570-1110007136-94, Luštica Development AD Tivat).</w:t>
      </w:r>
    </w:p>
    <w:p w:rsidR="00C81D2D" w:rsidRPr="00C81D2D" w:rsidRDefault="00C81D2D" w:rsidP="00CE19E8">
      <w:pPr>
        <w:suppressAutoHyphens/>
        <w:autoSpaceDN w:val="0"/>
        <w:spacing w:before="0" w:after="0" w:line="240" w:lineRule="auto"/>
        <w:ind w:firstLine="709"/>
        <w:textAlignment w:val="baseline"/>
        <w:rPr>
          <w:rFonts w:eastAsia="Times New Roman" w:cs="Calibri"/>
          <w:szCs w:val="24"/>
          <w:lang w:val="en-US"/>
        </w:rPr>
      </w:pPr>
      <w:r w:rsidRPr="00C81D2D">
        <w:rPr>
          <w:rFonts w:eastAsia="Times New Roman" w:cs="Calibri"/>
          <w:szCs w:val="24"/>
          <w:lang w:val="en-US"/>
        </w:rPr>
        <w:lastRenderedPageBreak/>
        <w:t>Naveli su i da ukupna obaveza kompanije „Luštica Development“ AD Tivat po osnovu Land transfera – kupoprodajna cijena za raspolaganje placem iznosi:</w:t>
      </w:r>
    </w:p>
    <w:p w:rsidR="00C81D2D" w:rsidRPr="00C81D2D" w:rsidRDefault="00C81D2D" w:rsidP="00CE19E8">
      <w:pPr>
        <w:suppressAutoHyphens/>
        <w:autoSpaceDN w:val="0"/>
        <w:spacing w:before="0" w:after="0" w:line="240" w:lineRule="auto"/>
        <w:textAlignment w:val="baseline"/>
        <w:rPr>
          <w:rFonts w:eastAsia="Times New Roman" w:cs="Calibri"/>
          <w:szCs w:val="24"/>
          <w:lang w:val="en-US"/>
        </w:rPr>
      </w:pPr>
      <w:r w:rsidRPr="00C81D2D">
        <w:rPr>
          <w:rFonts w:eastAsia="Times New Roman" w:cs="Calibri"/>
          <w:szCs w:val="24"/>
          <w:lang w:val="en-US"/>
        </w:rPr>
        <w:t>-na dan 31.12.2018. godine, revidovani podaci: 1.650.679,00 € (stambene zgrade u iznosu 1.339.999,00 € i vile u iznosu 310.680,00 €),</w:t>
      </w:r>
    </w:p>
    <w:p w:rsidR="00C81D2D" w:rsidRPr="00C81D2D" w:rsidRDefault="00C81D2D" w:rsidP="00CE19E8">
      <w:pPr>
        <w:suppressAutoHyphens/>
        <w:autoSpaceDN w:val="0"/>
        <w:spacing w:before="0" w:after="0" w:line="240" w:lineRule="auto"/>
        <w:textAlignment w:val="baseline"/>
        <w:rPr>
          <w:rFonts w:eastAsia="Times New Roman" w:cs="Calibri"/>
          <w:szCs w:val="24"/>
          <w:lang w:val="en-US"/>
        </w:rPr>
      </w:pPr>
      <w:r w:rsidRPr="00C81D2D">
        <w:rPr>
          <w:rFonts w:eastAsia="Times New Roman" w:cs="Calibri"/>
          <w:szCs w:val="24"/>
          <w:lang w:val="en-US"/>
        </w:rPr>
        <w:t>- na dan 31.12.2019. godine, preliminarni podaci, nerevidirani: 1.437.319 €,</w:t>
      </w:r>
    </w:p>
    <w:p w:rsidR="00C81D2D" w:rsidRPr="00C81D2D" w:rsidRDefault="00C81D2D" w:rsidP="00CE19E8">
      <w:pPr>
        <w:suppressAutoHyphens/>
        <w:autoSpaceDN w:val="0"/>
        <w:spacing w:before="0" w:after="0" w:line="240" w:lineRule="auto"/>
        <w:textAlignment w:val="baseline"/>
        <w:rPr>
          <w:rFonts w:eastAsia="Times New Roman" w:cs="Calibri"/>
          <w:szCs w:val="24"/>
          <w:lang w:val="en-US"/>
        </w:rPr>
      </w:pPr>
      <w:r w:rsidRPr="00C81D2D">
        <w:rPr>
          <w:rFonts w:eastAsia="Times New Roman" w:cs="Calibri"/>
          <w:szCs w:val="24"/>
          <w:lang w:val="en-US"/>
        </w:rPr>
        <w:t>odnosno, ukupna obaveza po osnovu Land transfera za period od 2009. do 2019. godine, iznosi 3.087.998,00 €.</w:t>
      </w:r>
    </w:p>
    <w:p w:rsidR="00C81D2D" w:rsidRPr="00C81D2D" w:rsidRDefault="00C81D2D" w:rsidP="00CE19E8">
      <w:pPr>
        <w:suppressAutoHyphens/>
        <w:autoSpaceDN w:val="0"/>
        <w:spacing w:before="0" w:after="0" w:line="240" w:lineRule="auto"/>
        <w:ind w:firstLine="709"/>
        <w:textAlignment w:val="baseline"/>
        <w:rPr>
          <w:rFonts w:eastAsia="Times New Roman" w:cs="Calibri"/>
          <w:szCs w:val="24"/>
          <w:lang w:val="en-US"/>
        </w:rPr>
      </w:pPr>
      <w:r w:rsidRPr="00C81D2D">
        <w:rPr>
          <w:rFonts w:eastAsia="Times New Roman" w:cs="Calibri"/>
          <w:szCs w:val="24"/>
          <w:lang w:val="en-US"/>
        </w:rPr>
        <w:t>Od navedene obaveze, kompanija „Luštica Development“ AD Tivat je izmirila ukupno 1.650.679,00 €, zaključno sa 31.12.2018. godine (dio uplate u iznosu 748.462,00 € od 1.505.011,00 €, kao i uplata od 902.217,00 €), a ostatak obaveze na dan 31.12.2019. godine iznosi 1.437.319,00 € i navedena obaveza je prikazana u poslovnim knjigama kompanije „Luštica Development“ AD Tivat – preliminarni podaci za 2019. godinu.</w:t>
      </w:r>
    </w:p>
    <w:p w:rsidR="00C81D2D" w:rsidRPr="00C81D2D" w:rsidRDefault="00C81D2D" w:rsidP="00CE19E8">
      <w:pPr>
        <w:suppressAutoHyphens/>
        <w:autoSpaceDN w:val="0"/>
        <w:spacing w:before="0" w:after="0" w:line="240" w:lineRule="auto"/>
        <w:ind w:firstLine="709"/>
        <w:textAlignment w:val="baseline"/>
        <w:rPr>
          <w:rFonts w:eastAsia="Times New Roman" w:cs="Calibri"/>
          <w:b/>
          <w:szCs w:val="24"/>
          <w:lang w:val="en-US"/>
        </w:rPr>
      </w:pPr>
      <w:r w:rsidRPr="00C81D2D">
        <w:rPr>
          <w:rFonts w:eastAsia="Times New Roman" w:cs="Calibri"/>
          <w:b/>
          <w:szCs w:val="24"/>
          <w:lang w:val="en-US"/>
        </w:rPr>
        <w:t>U krajnjem je navedeno da uvidom u poslovne knjige kompanije „Luštica Develo</w:t>
      </w:r>
      <w:r w:rsidR="00CE19E8" w:rsidRPr="00CE19E8">
        <w:rPr>
          <w:rFonts w:eastAsia="Times New Roman" w:cs="Calibri"/>
          <w:b/>
          <w:szCs w:val="24"/>
          <w:lang w:val="en-US"/>
        </w:rPr>
        <w:t xml:space="preserve">pment“ </w:t>
      </w:r>
      <w:r w:rsidRPr="00C81D2D">
        <w:rPr>
          <w:rFonts w:eastAsia="Times New Roman" w:cs="Calibri"/>
          <w:b/>
          <w:szCs w:val="24"/>
          <w:lang w:val="en-US"/>
        </w:rPr>
        <w:t>AD Tivat, kao i u poslovne knjige svih povezanih lica na dan 31.12.2019. godine, a za period od 2009. godine do i sa 2019. godinom, ukupne neizmirene obaveze prema Vladi Crne Gore – Ministarstvu finansija, u skladu sa Ugovorom o zakupu i izgradnji, Ov. br. 32672 od 23.10.2009. godine iznose:</w:t>
      </w:r>
    </w:p>
    <w:p w:rsidR="00C81D2D" w:rsidRPr="00C81D2D" w:rsidRDefault="00CE19E8" w:rsidP="00CE19E8">
      <w:pPr>
        <w:suppressAutoHyphens/>
        <w:autoSpaceDN w:val="0"/>
        <w:spacing w:before="0" w:after="0" w:line="240" w:lineRule="auto"/>
        <w:jc w:val="left"/>
        <w:textAlignment w:val="baseline"/>
        <w:rPr>
          <w:rFonts w:eastAsia="Times New Roman" w:cs="Calibri"/>
          <w:b/>
          <w:szCs w:val="24"/>
          <w:lang w:val="en-US"/>
        </w:rPr>
      </w:pPr>
      <w:r w:rsidRPr="00CE19E8">
        <w:rPr>
          <w:rFonts w:eastAsia="Times New Roman" w:cs="Calibri"/>
          <w:b/>
          <w:szCs w:val="24"/>
          <w:lang w:val="en-US"/>
        </w:rPr>
        <w:t xml:space="preserve">1. </w:t>
      </w:r>
      <w:r w:rsidR="00C81D2D" w:rsidRPr="00C81D2D">
        <w:rPr>
          <w:rFonts w:eastAsia="Times New Roman" w:cs="Calibri"/>
          <w:b/>
          <w:szCs w:val="24"/>
          <w:lang w:val="en-US"/>
        </w:rPr>
        <w:t>Prema Opštini Tivat 13.180,00 €, na ime 3% od prefakturisanih troškova vode i kanalizaciije i</w:t>
      </w:r>
    </w:p>
    <w:p w:rsidR="00C81D2D" w:rsidRPr="00C81D2D" w:rsidRDefault="00CE19E8" w:rsidP="00CE19E8">
      <w:pPr>
        <w:suppressAutoHyphens/>
        <w:autoSpaceDN w:val="0"/>
        <w:spacing w:before="0" w:after="0" w:line="240" w:lineRule="auto"/>
        <w:jc w:val="left"/>
        <w:textAlignment w:val="baseline"/>
        <w:rPr>
          <w:rFonts w:eastAsia="Times New Roman" w:cs="Calibri"/>
          <w:b/>
          <w:szCs w:val="24"/>
          <w:lang w:val="en-US"/>
        </w:rPr>
      </w:pPr>
      <w:r w:rsidRPr="00CE19E8">
        <w:rPr>
          <w:rFonts w:eastAsia="Times New Roman" w:cs="Calibri"/>
          <w:b/>
          <w:szCs w:val="24"/>
          <w:lang w:val="en-US"/>
        </w:rPr>
        <w:t xml:space="preserve">2. </w:t>
      </w:r>
      <w:r w:rsidR="00C81D2D" w:rsidRPr="00C81D2D">
        <w:rPr>
          <w:rFonts w:eastAsia="Times New Roman" w:cs="Calibri"/>
          <w:b/>
          <w:szCs w:val="24"/>
          <w:lang w:val="en-US"/>
        </w:rPr>
        <w:t>Prema Vladi Crne Gore – Ministarstvu finansija, 2.629.816,00 € po osnovu:</w:t>
      </w:r>
    </w:p>
    <w:p w:rsidR="00C81D2D" w:rsidRPr="00C81D2D" w:rsidRDefault="00CE19E8" w:rsidP="00CE19E8">
      <w:pPr>
        <w:suppressAutoHyphens/>
        <w:autoSpaceDN w:val="0"/>
        <w:spacing w:before="0" w:after="0" w:line="240" w:lineRule="auto"/>
        <w:textAlignment w:val="baseline"/>
        <w:rPr>
          <w:rFonts w:eastAsia="Times New Roman" w:cs="Calibri"/>
          <w:b/>
          <w:szCs w:val="24"/>
          <w:lang w:val="en-US"/>
        </w:rPr>
      </w:pPr>
      <w:r w:rsidRPr="00CE19E8">
        <w:rPr>
          <w:rFonts w:eastAsia="Times New Roman" w:cs="Calibri"/>
          <w:b/>
          <w:szCs w:val="24"/>
          <w:lang w:val="en-US"/>
        </w:rPr>
        <w:t xml:space="preserve">- </w:t>
      </w:r>
      <w:r w:rsidR="00C81D2D" w:rsidRPr="00C81D2D">
        <w:rPr>
          <w:rFonts w:eastAsia="Times New Roman" w:cs="Calibri"/>
          <w:b/>
          <w:szCs w:val="24"/>
          <w:lang w:val="en-US"/>
        </w:rPr>
        <w:t>Land transfer – kupoprodajna cijena za raspolaganje placem, u ukupnom iznosu 1.437.319,00 €</w:t>
      </w:r>
    </w:p>
    <w:p w:rsidR="00C81D2D" w:rsidRPr="00C81D2D" w:rsidRDefault="00CE19E8" w:rsidP="00CE19E8">
      <w:pPr>
        <w:suppressAutoHyphens/>
        <w:autoSpaceDN w:val="0"/>
        <w:spacing w:before="0" w:after="0" w:line="240" w:lineRule="auto"/>
        <w:textAlignment w:val="baseline"/>
        <w:rPr>
          <w:rFonts w:eastAsia="Times New Roman" w:cs="Calibri"/>
          <w:b/>
          <w:szCs w:val="24"/>
          <w:lang w:val="en-US"/>
        </w:rPr>
      </w:pPr>
      <w:r w:rsidRPr="00CE19E8">
        <w:rPr>
          <w:rFonts w:eastAsia="Times New Roman" w:cs="Calibri"/>
          <w:b/>
          <w:szCs w:val="24"/>
          <w:lang w:val="en-US"/>
        </w:rPr>
        <w:t xml:space="preserve">- </w:t>
      </w:r>
      <w:r w:rsidR="00C81D2D" w:rsidRPr="00C81D2D">
        <w:rPr>
          <w:rFonts w:eastAsia="Times New Roman" w:cs="Calibri"/>
          <w:b/>
          <w:szCs w:val="24"/>
          <w:lang w:val="en-US"/>
        </w:rPr>
        <w:t>2% od bruto primitaka u iznosu 1.192.497,00 €.</w:t>
      </w:r>
    </w:p>
    <w:p w:rsidR="00C81D2D" w:rsidRPr="002423BC" w:rsidRDefault="00C81D2D" w:rsidP="002423BC">
      <w:pPr>
        <w:suppressAutoHyphens/>
        <w:autoSpaceDN w:val="0"/>
        <w:spacing w:before="0" w:after="0" w:line="240" w:lineRule="auto"/>
        <w:ind w:firstLine="360"/>
        <w:textAlignment w:val="baseline"/>
        <w:rPr>
          <w:rFonts w:eastAsia="Times New Roman" w:cs="Times New Roman"/>
          <w:szCs w:val="24"/>
          <w:lang w:val="en-US"/>
        </w:rPr>
      </w:pPr>
      <w:r w:rsidRPr="00C81D2D">
        <w:rPr>
          <w:rFonts w:eastAsia="Times New Roman" w:cs="Arial"/>
          <w:szCs w:val="24"/>
          <w:lang w:val="nl-NL"/>
        </w:rPr>
        <w:t xml:space="preserve">Do danas nije postignuto saglasje oko naprijed navedenih iznosa obaveza Projektne kompanije, ali je stav ovog ministarstva da treba prihvatiti obračun po pomenutom Izvještaju pravnog lica “MV Konsalt” d.o.o. Podgorica </w:t>
      </w:r>
      <w:r w:rsidRPr="00C81D2D">
        <w:rPr>
          <w:rFonts w:eastAsia="Times New Roman" w:cs="Calibri"/>
          <w:szCs w:val="24"/>
          <w:lang w:val="en-US"/>
        </w:rPr>
        <w:t>o utvrđivanju visine bruto primitaka u odnosu na cjelokupno poslovanje kompanije „Luštica Development“ AD Tivat i definisanje ukupne obaveze za plaćanje Vladi Crne Gore – Ministarstvu finansija u skladu sa Ugovorom o zakupu i izgradnji Ov. br. 32672 od 23.10.2009. godine od 02.03.2020. godine.</w:t>
      </w:r>
    </w:p>
    <w:p w:rsidR="00C81D2D" w:rsidRPr="00C81D2D" w:rsidRDefault="00CE19E8" w:rsidP="00CE19E8">
      <w:pPr>
        <w:suppressAutoHyphens/>
        <w:autoSpaceDE w:val="0"/>
        <w:autoSpaceDN w:val="0"/>
        <w:spacing w:before="0" w:after="0" w:line="240" w:lineRule="auto"/>
        <w:ind w:firstLine="360"/>
        <w:jc w:val="left"/>
        <w:textAlignment w:val="baseline"/>
        <w:rPr>
          <w:rFonts w:eastAsia="Times New Roman" w:cs="Arial"/>
          <w:b/>
          <w:szCs w:val="24"/>
          <w:lang w:val="en-US"/>
        </w:rPr>
      </w:pPr>
      <w:r w:rsidRPr="00CE19E8">
        <w:rPr>
          <w:rFonts w:eastAsia="Times New Roman" w:cs="Arial"/>
          <w:b/>
          <w:szCs w:val="24"/>
          <w:lang w:val="en-US"/>
        </w:rPr>
        <w:t xml:space="preserve">2. </w:t>
      </w:r>
      <w:r w:rsidR="00C81D2D" w:rsidRPr="00C81D2D">
        <w:rPr>
          <w:rFonts w:eastAsia="Times New Roman" w:cs="Arial"/>
          <w:b/>
          <w:szCs w:val="24"/>
          <w:lang w:val="en-US"/>
        </w:rPr>
        <w:t>Projekat “Montrose” (sada projekat “Ritz Carlton Montenegro”)</w:t>
      </w:r>
    </w:p>
    <w:p w:rsidR="00C81D2D" w:rsidRPr="00C81D2D" w:rsidRDefault="00CE19E8" w:rsidP="00CE19E8">
      <w:pPr>
        <w:tabs>
          <w:tab w:val="left" w:pos="540"/>
        </w:tabs>
        <w:suppressAutoHyphens/>
        <w:autoSpaceDN w:val="0"/>
        <w:spacing w:before="0" w:after="0" w:line="240" w:lineRule="auto"/>
        <w:textAlignment w:val="baseline"/>
        <w:rPr>
          <w:rFonts w:eastAsia="Times New Roman" w:cs="Times New Roman"/>
          <w:szCs w:val="24"/>
          <w:lang w:val="en-US"/>
        </w:rPr>
      </w:pPr>
      <w:r w:rsidRPr="00CE19E8">
        <w:rPr>
          <w:rFonts w:eastAsia="Times New Roman" w:cs="Calibri"/>
          <w:szCs w:val="24"/>
          <w:lang w:val="en-US"/>
        </w:rPr>
        <w:tab/>
      </w:r>
      <w:r w:rsidR="00C81D2D" w:rsidRPr="00C81D2D">
        <w:rPr>
          <w:rFonts w:eastAsia="Times New Roman" w:cs="Calibri"/>
          <w:szCs w:val="24"/>
          <w:lang w:val="en-US"/>
        </w:rPr>
        <w:t>Ugovor o dugoročnom zakupu, zaključenen između Vlade Crne Gore i Konzorcijuma Northstar d.o.o. i Equest Capital Limited, da</w:t>
      </w:r>
      <w:r w:rsidR="008C484C">
        <w:rPr>
          <w:rFonts w:eastAsia="Times New Roman" w:cs="Calibri"/>
          <w:szCs w:val="24"/>
          <w:lang w:val="en-US"/>
        </w:rPr>
        <w:t xml:space="preserve">na </w:t>
      </w:r>
      <w:r w:rsidR="00C81D2D" w:rsidRPr="00C81D2D">
        <w:rPr>
          <w:rFonts w:eastAsia="Times New Roman" w:cs="Calibri"/>
          <w:szCs w:val="24"/>
          <w:lang w:val="en-US"/>
        </w:rPr>
        <w:t>11.09.2009. godine, a zatim dana 01.02.2019. godine zaključen je Anex-a II Ugovora o dugoročnom zakupu, zaključenog između Vlade Crne Gore i Konzorcijuma Northstar d.o.o. i Equest Capital Limited, od 11.09.2009. godine.</w:t>
      </w:r>
    </w:p>
    <w:p w:rsidR="00C81D2D" w:rsidRPr="00C81D2D" w:rsidRDefault="00CE19E8" w:rsidP="00CE19E8">
      <w:pPr>
        <w:tabs>
          <w:tab w:val="left" w:pos="450"/>
        </w:tabs>
        <w:suppressAutoHyphens/>
        <w:autoSpaceDN w:val="0"/>
        <w:spacing w:before="0" w:after="0" w:line="240" w:lineRule="auto"/>
        <w:textAlignment w:val="baseline"/>
        <w:rPr>
          <w:rFonts w:eastAsia="Times New Roman" w:cs="Calibri"/>
          <w:szCs w:val="24"/>
          <w:lang w:val="en-US"/>
        </w:rPr>
      </w:pPr>
      <w:r w:rsidRPr="00CE19E8">
        <w:rPr>
          <w:rFonts w:eastAsia="Times New Roman" w:cs="Calibri"/>
          <w:szCs w:val="24"/>
          <w:lang w:val="en-US"/>
        </w:rPr>
        <w:tab/>
      </w:r>
      <w:r w:rsidR="00C81D2D" w:rsidRPr="00C81D2D">
        <w:rPr>
          <w:rFonts w:eastAsia="Times New Roman" w:cs="Calibri"/>
          <w:szCs w:val="24"/>
          <w:lang w:val="en-US"/>
        </w:rPr>
        <w:t>Otvoren račun u zemlji za potrebe plaćanja obaveza Konzorcijuma „Northstar“ d.o.o.  i „Equest Capital Limited“ Jersey, UK, prema Vladi Crne Gore, a po osnovu Anexa II, dana 07.02.2018. godine, te s tim u vezi Konzorcijum izvršio uplatu prvog dijela avansne zakupnine u iznosu od 1.000.000 eura, dana 09.02.2018. godine.</w:t>
      </w:r>
    </w:p>
    <w:p w:rsidR="00C81D2D" w:rsidRPr="00C81D2D" w:rsidRDefault="00CE19E8" w:rsidP="00CE19E8">
      <w:pPr>
        <w:tabs>
          <w:tab w:val="left" w:pos="450"/>
        </w:tabs>
        <w:suppressAutoHyphens/>
        <w:autoSpaceDN w:val="0"/>
        <w:spacing w:before="0" w:after="0" w:line="240" w:lineRule="auto"/>
        <w:textAlignment w:val="baseline"/>
        <w:rPr>
          <w:rFonts w:eastAsia="Times New Roman" w:cs="Calibri"/>
          <w:szCs w:val="24"/>
          <w:lang w:val="en-US"/>
        </w:rPr>
      </w:pPr>
      <w:r w:rsidRPr="00CE19E8">
        <w:rPr>
          <w:rFonts w:eastAsia="Times New Roman" w:cs="Calibri"/>
          <w:szCs w:val="24"/>
          <w:lang w:val="en-US"/>
        </w:rPr>
        <w:tab/>
      </w:r>
      <w:r w:rsidR="00C81D2D" w:rsidRPr="00C81D2D">
        <w:rPr>
          <w:rFonts w:eastAsia="Times New Roman" w:cs="Calibri"/>
          <w:szCs w:val="24"/>
          <w:lang w:val="en-US"/>
        </w:rPr>
        <w:t xml:space="preserve">Sekretarijat za razvojne projekte (sada Agencija za investicije Crne Gore) formirao Koordinacioni tim vezano za definisanje dinamike i aktivnosti realizacije obaveza iz Anexa II Ugovora o dugoročnom zakupu, čiji se sastanci održavaju u kontinuitetu. </w:t>
      </w:r>
    </w:p>
    <w:p w:rsidR="00C81D2D" w:rsidRPr="00C81D2D" w:rsidRDefault="00CE19E8" w:rsidP="00CE19E8">
      <w:pPr>
        <w:tabs>
          <w:tab w:val="left" w:pos="450"/>
        </w:tabs>
        <w:suppressAutoHyphens/>
        <w:autoSpaceDN w:val="0"/>
        <w:spacing w:before="0" w:after="0" w:line="240" w:lineRule="auto"/>
        <w:textAlignment w:val="baseline"/>
        <w:rPr>
          <w:rFonts w:eastAsia="Times New Roman" w:cs="Calibri"/>
          <w:szCs w:val="24"/>
          <w:lang w:val="en-US"/>
        </w:rPr>
      </w:pPr>
      <w:r w:rsidRPr="00CE19E8">
        <w:rPr>
          <w:rFonts w:eastAsia="Times New Roman" w:cs="Calibri"/>
          <w:szCs w:val="24"/>
          <w:lang w:val="en-US"/>
        </w:rPr>
        <w:tab/>
      </w:r>
      <w:r w:rsidR="00C81D2D" w:rsidRPr="00C81D2D">
        <w:rPr>
          <w:rFonts w:eastAsia="Times New Roman" w:cs="Calibri"/>
          <w:szCs w:val="24"/>
          <w:lang w:val="en-US"/>
        </w:rPr>
        <w:t xml:space="preserve">S tim u vezi, prvi sastanak Koordinacionog tima održan dana 23.02.2018. godine i na istom akcenat stavljen na usvajanje prostorno-planskih dokumenata i projektovanje infrastrukture. </w:t>
      </w:r>
    </w:p>
    <w:p w:rsidR="00C81D2D" w:rsidRPr="00C81D2D" w:rsidRDefault="00CE19E8" w:rsidP="00CE19E8">
      <w:pPr>
        <w:tabs>
          <w:tab w:val="left" w:pos="450"/>
        </w:tabs>
        <w:suppressAutoHyphens/>
        <w:autoSpaceDN w:val="0"/>
        <w:spacing w:before="0" w:after="0" w:line="240" w:lineRule="auto"/>
        <w:textAlignment w:val="baseline"/>
        <w:rPr>
          <w:rFonts w:eastAsia="Times New Roman" w:cs="Calibri"/>
          <w:szCs w:val="24"/>
          <w:lang w:val="en-US"/>
        </w:rPr>
      </w:pPr>
      <w:r w:rsidRPr="00CE19E8">
        <w:rPr>
          <w:rFonts w:eastAsia="Times New Roman" w:cs="Calibri"/>
          <w:szCs w:val="24"/>
          <w:lang w:val="en-US"/>
        </w:rPr>
        <w:tab/>
      </w:r>
      <w:r w:rsidR="00C81D2D" w:rsidRPr="00C81D2D">
        <w:rPr>
          <w:rFonts w:eastAsia="Times New Roman" w:cs="Calibri"/>
          <w:szCs w:val="24"/>
          <w:lang w:val="en-US"/>
        </w:rPr>
        <w:t xml:space="preserve">Nadalje, naredni sastanak održan je dana 23.03.2018. godine u kabinetu predsjednika Opštine Herceg Novi i glavna teme istog su bile prostorno-planska dokumentacija i projektovanje infrastrukture, shodno sredstvima opredijeljenim kapitalnim budžetom za tekuću godinu, predviđenim za tu namjenu. </w:t>
      </w:r>
    </w:p>
    <w:p w:rsidR="00C81D2D" w:rsidRPr="00C81D2D" w:rsidRDefault="00CE19E8" w:rsidP="00CE19E8">
      <w:pPr>
        <w:tabs>
          <w:tab w:val="left" w:pos="450"/>
        </w:tabs>
        <w:suppressAutoHyphens/>
        <w:autoSpaceDN w:val="0"/>
        <w:spacing w:before="0" w:after="0" w:line="240" w:lineRule="auto"/>
        <w:textAlignment w:val="baseline"/>
        <w:rPr>
          <w:rFonts w:eastAsia="Times New Roman" w:cs="Calibri"/>
          <w:szCs w:val="24"/>
          <w:lang w:val="en-US"/>
        </w:rPr>
      </w:pPr>
      <w:r w:rsidRPr="00CE19E8">
        <w:rPr>
          <w:rFonts w:eastAsia="Times New Roman" w:cs="Calibri"/>
          <w:szCs w:val="24"/>
          <w:lang w:val="en-US"/>
        </w:rPr>
        <w:tab/>
      </w:r>
      <w:r w:rsidR="00C81D2D" w:rsidRPr="00C81D2D">
        <w:rPr>
          <w:rFonts w:eastAsia="Times New Roman" w:cs="Calibri"/>
          <w:szCs w:val="24"/>
          <w:lang w:val="en-US"/>
        </w:rPr>
        <w:t>Takođe, treći sastanak Koordinacionog tima je održan dana 20.04.2018. godine u prostorijama Ministarstva održivog razvoja i turizma, na kojem su dominantno razmatrana pitanja iz oblasti infrastrukture, pri čemu su zauzimani stavovi i definisana zaduženja u odnosu na pojedine segmente infrastrukture.</w:t>
      </w:r>
    </w:p>
    <w:p w:rsidR="00C81D2D" w:rsidRPr="00C81D2D" w:rsidRDefault="00C81D2D" w:rsidP="00CE19E8">
      <w:pPr>
        <w:suppressAutoHyphens/>
        <w:autoSpaceDN w:val="0"/>
        <w:spacing w:before="0" w:after="0" w:line="240" w:lineRule="auto"/>
        <w:ind w:firstLine="709"/>
        <w:textAlignment w:val="baseline"/>
        <w:rPr>
          <w:rFonts w:eastAsia="Times New Roman" w:cs="Times New Roman"/>
          <w:szCs w:val="24"/>
          <w:lang w:val="en-US"/>
        </w:rPr>
      </w:pPr>
      <w:r w:rsidRPr="00C81D2D">
        <w:rPr>
          <w:rFonts w:eastAsia="Times New Roman" w:cs="Times New Roman"/>
          <w:szCs w:val="24"/>
          <w:lang w:val="en-US"/>
        </w:rPr>
        <w:lastRenderedPageBreak/>
        <w:t>Naime, na inicijativu investitora, Sekretarijat za razvojne projekte se obratio Ministarstvu finansija aktom broj: 02/2-13/29 od 29.05.2018. godine, a sve u pravcu implementacije obaveza preuzetih Anex-om II Ugovora zaključenog između Vlade Crne Gore i Konzorcijuma koji čine „Northstar“ d.o.o. Podgorica i „Equest Capital Limited“ Jersey, UK broj 01-8193/1 od 14.09.2009. godine, te kako je Opština Herceg Novi bila u završnoj fazi za raspisivanje tendera za odabir projektanta za izradu projekta puta i vodovoda do lokacije na kojoj će se razvijati projekat „Montrose“, a nisu raspolagali sredstvima za dalje aktivnosti po ovom pitanju, zatraženo je da se shodno članu 23 Zakona o državnoj imovini („Sl. list Crne Gore“ br. 21/09 i 40/11) Opštini Herceg Novi isplati 30% iznosa zakupnine koji je investitor dužan da uplati, za potrebe gradnje infrastrukturnih objekata.</w:t>
      </w:r>
    </w:p>
    <w:p w:rsidR="00C81D2D" w:rsidRPr="00C81D2D" w:rsidRDefault="00C81D2D" w:rsidP="00CE19E8">
      <w:pPr>
        <w:suppressAutoHyphens/>
        <w:autoSpaceDN w:val="0"/>
        <w:spacing w:before="0" w:after="0" w:line="240" w:lineRule="auto"/>
        <w:ind w:firstLine="709"/>
        <w:textAlignment w:val="baseline"/>
        <w:rPr>
          <w:rFonts w:eastAsia="Times New Roman" w:cs="Times New Roman"/>
          <w:szCs w:val="24"/>
          <w:lang w:val="en-US"/>
        </w:rPr>
      </w:pPr>
      <w:r w:rsidRPr="00C81D2D">
        <w:rPr>
          <w:rFonts w:eastAsia="Times New Roman" w:cs="Times New Roman"/>
          <w:szCs w:val="24"/>
          <w:lang w:val="en-US"/>
        </w:rPr>
        <w:t>Obzirom na navedeno, a takođe na inicijativu Sekretarijata za razvojne projekte, u prostorijama Opštine Herceg Novi je dana 18.06.2018. godine održan sastanak na temu rješavanja infrastrukturnih pitanja na poluostrvu Luštica, kojem su prisustvovali predstavnici lokalne uprave, Ministarstva finansija, Seretarijata za razvojne projekte, Ministarstva održivog razvoja i turizma, Opštine Tivat i kompanije „Northstar“ i na kojem je dogovoreno potpisivanje Protokola o saradnji na rješavanju infrastrukturnih pitanja.</w:t>
      </w:r>
    </w:p>
    <w:p w:rsidR="00C81D2D" w:rsidRPr="00C81D2D" w:rsidRDefault="00C81D2D" w:rsidP="00CE19E8">
      <w:pPr>
        <w:suppressAutoHyphens/>
        <w:autoSpaceDN w:val="0"/>
        <w:spacing w:before="0" w:after="0" w:line="240" w:lineRule="auto"/>
        <w:ind w:firstLine="709"/>
        <w:textAlignment w:val="baseline"/>
        <w:rPr>
          <w:rFonts w:eastAsia="Times New Roman" w:cs="Times New Roman"/>
          <w:szCs w:val="24"/>
          <w:lang w:val="en-US"/>
        </w:rPr>
      </w:pPr>
      <w:r w:rsidRPr="00C81D2D">
        <w:rPr>
          <w:rFonts w:eastAsia="Times New Roman" w:cs="Times New Roman"/>
          <w:szCs w:val="24"/>
          <w:lang w:val="en-US"/>
        </w:rPr>
        <w:t>S tim u vezi, investitor je dana 19.06.2018. godine, shodno zaključcima sa pomenutog sastanka i članu 3.1 Anexa II predmetnog ugovora uplatio drugi dio avansne zakupnine u iznosu od 1.000.000 eura, o čemu je kao dokaz Ministarstvu finansija dostavio dokaz o uplati, iako je krajnji rok za plaćanje navedenog iznosa bio 29.06.2018. godine, a sve u cilju da se Opštini Herceg Novi što prije stvore uslovi za otpočinjanje realizacije obaveza u dijelu izgradnje infrastrukture na lokalitetu Luštica.</w:t>
      </w:r>
    </w:p>
    <w:p w:rsidR="00C81D2D" w:rsidRPr="00C81D2D" w:rsidRDefault="00C81D2D" w:rsidP="00CE19E8">
      <w:pPr>
        <w:suppressAutoHyphens/>
        <w:autoSpaceDN w:val="0"/>
        <w:spacing w:before="0" w:after="0" w:line="240" w:lineRule="auto"/>
        <w:ind w:firstLine="709"/>
        <w:textAlignment w:val="baseline"/>
        <w:rPr>
          <w:rFonts w:eastAsia="Times New Roman" w:cs="Calibri"/>
          <w:szCs w:val="24"/>
          <w:lang w:val="en-US"/>
        </w:rPr>
      </w:pPr>
      <w:r w:rsidRPr="00C81D2D">
        <w:rPr>
          <w:rFonts w:eastAsia="Times New Roman" w:cs="Calibri"/>
          <w:szCs w:val="24"/>
          <w:lang w:val="en-US"/>
        </w:rPr>
        <w:t xml:space="preserve">Vlada Crne Gore je na sjednici od 26. jula 2018. godine donijela Zaključke broj: 07-3747 kojima je usvojila Informaciju o implementaciji obaveza preuzetih Anex-om II Ugovora o dugoročnom zakupu zaključenog između Vlade Crne Gore i Konzorcijuma koji čine „Northstar“ d.o.o. Podgorica i „Equest Capital Limited“ Jersey, UK broj: 01-8193/1, od 14.09.2009. godine, dok je tačkom 3 predmetnih Zaključaka prihvatila Protokol o saradnji na rješavanju infrastrukturnih pitanja između Vlade Crne Gore – Ministarstva finansija i Opštine Herceg Novi, a tačkom 3 istih Zaključaka ovlastila Darka Radunovića, ministra finansija da, u ime Vlade, potpiše Protokol iz tačke 2 ovih Zaključaka. </w:t>
      </w:r>
    </w:p>
    <w:p w:rsidR="00C81D2D" w:rsidRPr="00C81D2D" w:rsidRDefault="00C81D2D" w:rsidP="00CE19E8">
      <w:pPr>
        <w:suppressAutoHyphens/>
        <w:autoSpaceDN w:val="0"/>
        <w:spacing w:before="0" w:after="0" w:line="240" w:lineRule="auto"/>
        <w:ind w:firstLine="709"/>
        <w:textAlignment w:val="baseline"/>
        <w:rPr>
          <w:rFonts w:eastAsia="Times New Roman" w:cs="Times New Roman"/>
          <w:szCs w:val="24"/>
          <w:lang w:val="en-US"/>
        </w:rPr>
      </w:pPr>
      <w:r w:rsidRPr="00C81D2D">
        <w:rPr>
          <w:rFonts w:eastAsia="Times New Roman" w:cs="Times New Roman"/>
          <w:szCs w:val="24"/>
          <w:lang w:val="en-US"/>
        </w:rPr>
        <w:t xml:space="preserve">S tim u vezi predmetni Protokol o saradnji na rješavanju infrastrukturnih pitanja Ugovorne strane su zaključile dana 30.07.2018. godine, </w:t>
      </w:r>
      <w:r w:rsidRPr="00C81D2D">
        <w:rPr>
          <w:rFonts w:eastAsia="Times New Roman" w:cs="Calibri"/>
          <w:szCs w:val="24"/>
          <w:lang w:val="en-US"/>
        </w:rPr>
        <w:t>pa kako sa računa Ministarstva finansija „Prihodi po osnovu zakupa“, broj: 832-52007-55, nije bilo moguće izvršiti odliv novčanih sredstava u iznosu od 300.000,00 €, a kako je članom 23 stav 2 Zakona o državnoj imovin</w:t>
      </w:r>
      <w:r w:rsidRPr="00C81D2D">
        <w:rPr>
          <w:rFonts w:eastAsia="Times New Roman" w:cs="Times New Roman"/>
          <w:szCs w:val="24"/>
          <w:lang w:val="en-US"/>
        </w:rPr>
        <w:t xml:space="preserve">i („Sl. list Crne Gore“ br. 21/09 i 40/11) propisano da u slučaju prodaje ili davanja u dugoročni zakup zemljišta iz člana 64 st. 2 i 3 ovog zakona od strane Crne Gore, opštini na čijoj teritoriji se nalazi pripada 30% realizovane vrijednosti za potrebe građenja infrastrukturnih objekata, te da bi se izbjegli transacioni troškovi, ovo ministarstvo je radnim tijelima Vlade Crne Gore dana 29.08.2018. godine uptilo </w:t>
      </w:r>
      <w:r w:rsidR="008C484C">
        <w:rPr>
          <w:rFonts w:eastAsia="Times New Roman" w:cs="Calibri"/>
          <w:bCs/>
          <w:szCs w:val="24"/>
          <w:lang w:val="en-US"/>
        </w:rPr>
        <w:t xml:space="preserve">Prijedlog za </w:t>
      </w:r>
      <w:r w:rsidRPr="00C81D2D">
        <w:rPr>
          <w:rFonts w:eastAsia="Times New Roman" w:cs="Calibri"/>
          <w:bCs/>
          <w:szCs w:val="24"/>
          <w:lang w:val="en-US"/>
        </w:rPr>
        <w:t>izmjenu i dopunu Zaključaka Vlade Crne Gore, broj: 07-37</w:t>
      </w:r>
      <w:r w:rsidR="008C484C">
        <w:rPr>
          <w:rFonts w:eastAsia="Times New Roman" w:cs="Calibri"/>
          <w:bCs/>
          <w:szCs w:val="24"/>
          <w:lang w:val="en-US"/>
        </w:rPr>
        <w:t xml:space="preserve">47 od 26. jula 2018. godine sa </w:t>
      </w:r>
      <w:r w:rsidRPr="00C81D2D">
        <w:rPr>
          <w:rFonts w:eastAsia="Times New Roman" w:cs="Calibri"/>
          <w:bCs/>
          <w:szCs w:val="24"/>
          <w:lang w:val="en-US"/>
        </w:rPr>
        <w:t>Aneksom Protoklola o saradnji na rješavanju infrastrukturnih pitanja</w:t>
      </w:r>
      <w:r w:rsidRPr="00C81D2D">
        <w:rPr>
          <w:rFonts w:eastAsia="Times New Roman" w:cs="Calibri"/>
          <w:iCs/>
          <w:szCs w:val="24"/>
          <w:lang w:val="en-US"/>
        </w:rPr>
        <w:t xml:space="preserve">, </w:t>
      </w:r>
      <w:r w:rsidRPr="00C81D2D">
        <w:rPr>
          <w:rFonts w:eastAsia="Times New Roman" w:cs="Calibri"/>
          <w:szCs w:val="24"/>
          <w:lang w:val="en-US"/>
        </w:rPr>
        <w:t>na razmatranje i usvajanje.</w:t>
      </w:r>
    </w:p>
    <w:p w:rsidR="00C81D2D" w:rsidRPr="00C81D2D" w:rsidRDefault="00C81D2D" w:rsidP="00CE19E8">
      <w:pPr>
        <w:suppressAutoHyphens/>
        <w:autoSpaceDN w:val="0"/>
        <w:spacing w:before="0" w:after="0" w:line="240" w:lineRule="auto"/>
        <w:ind w:firstLine="709"/>
        <w:textAlignment w:val="baseline"/>
        <w:rPr>
          <w:rFonts w:eastAsia="Times New Roman" w:cs="Calibri"/>
          <w:szCs w:val="24"/>
          <w:lang w:val="en-US"/>
        </w:rPr>
      </w:pPr>
      <w:r w:rsidRPr="00C81D2D">
        <w:rPr>
          <w:rFonts w:eastAsia="Times New Roman" w:cs="Calibri"/>
          <w:szCs w:val="24"/>
          <w:lang w:val="en-US"/>
        </w:rPr>
        <w:t>Nadalje, Vlada Crne Gore je donijela zaključke broj 07-4126 na sjednici od 06.09.2018. godine, a naredni sastanak Koordinacionog tima u vezi sa projektom Montrose zakazan je za 19.10.2018. godine u prostorijama Sekretarijata za razvojne projekte.</w:t>
      </w:r>
    </w:p>
    <w:p w:rsidR="00C81D2D" w:rsidRPr="00C81D2D" w:rsidRDefault="00C81D2D" w:rsidP="00CE19E8">
      <w:pPr>
        <w:suppressAutoHyphens/>
        <w:autoSpaceDN w:val="0"/>
        <w:spacing w:before="0" w:after="0" w:line="240" w:lineRule="auto"/>
        <w:ind w:firstLine="709"/>
        <w:textAlignment w:val="baseline"/>
        <w:rPr>
          <w:rFonts w:eastAsia="Times New Roman" w:cs="Times New Roman"/>
          <w:szCs w:val="24"/>
          <w:lang w:val="en-US"/>
        </w:rPr>
      </w:pPr>
      <w:r w:rsidRPr="00C81D2D">
        <w:rPr>
          <w:rFonts w:eastAsia="Times New Roman" w:cs="Calibri"/>
          <w:szCs w:val="24"/>
          <w:lang w:val="en-US"/>
        </w:rPr>
        <w:t xml:space="preserve">Dana 19.10.2018. godine održan peti sastanak Koordinacionog tima u prostorijama Sekreatrijata za razvojne projekte, dok je šesti sastanak održan dana 20.12.2018. godine, a zaduženje Ministarstva finansija je bilo da dostavi informaciju o načinu korišćenja sredstava u iznosu od 3.000.000,00 €, koje su Kapitalnim budžetom opredijeljene za izgradnju infrastrukture vezano za ovaj projekat, pa je ovo ministarstvo mejlom dana 15.02.2019. godine obavijestilo Sekretarijat za razvojne projekte i predstavnike Projektne kompanije da su </w:t>
      </w:r>
      <w:r w:rsidRPr="00C81D2D">
        <w:rPr>
          <w:rFonts w:eastAsia="Times New Roman" w:cs="Times New Roman"/>
          <w:szCs w:val="24"/>
          <w:lang w:val="en-US"/>
        </w:rPr>
        <w:t xml:space="preserve">Kapitalnim budžetom za 2019. godinu </w:t>
      </w:r>
      <w:r w:rsidRPr="00C81D2D">
        <w:rPr>
          <w:rFonts w:eastAsia="Times New Roman" w:cs="Times New Roman"/>
          <w:szCs w:val="24"/>
          <w:lang w:val="en-US"/>
        </w:rPr>
        <w:lastRenderedPageBreak/>
        <w:t>kod Uprave javnih radova kod projekta 810-Izgradnja lokalne infrastrukture, za projekat Pu</w:t>
      </w:r>
      <w:r w:rsidR="008C484C">
        <w:rPr>
          <w:rFonts w:eastAsia="Times New Roman" w:cs="Times New Roman"/>
          <w:szCs w:val="24"/>
          <w:lang w:val="en-US"/>
        </w:rPr>
        <w:t>tni pravac Monte-Rose planirana</w:t>
      </w:r>
      <w:r w:rsidRPr="00C81D2D">
        <w:rPr>
          <w:rFonts w:eastAsia="Times New Roman" w:cs="Times New Roman"/>
          <w:szCs w:val="24"/>
          <w:lang w:val="en-US"/>
        </w:rPr>
        <w:t xml:space="preserve"> sredstva u iznosu od 100.000,00 €.  U slucaju potrebe obezbjedjenja dodatnih sredstava za realizaciju ovog projekta potrebno je u komunikacji sa Upravom javnih radova razmotriti mogucnost obezbjedjenja sredstava.</w:t>
      </w:r>
    </w:p>
    <w:p w:rsidR="00C81D2D" w:rsidRPr="00C81D2D" w:rsidRDefault="00C81D2D" w:rsidP="00CE19E8">
      <w:pPr>
        <w:suppressAutoHyphens/>
        <w:autoSpaceDE w:val="0"/>
        <w:autoSpaceDN w:val="0"/>
        <w:spacing w:before="0" w:after="0" w:line="240" w:lineRule="auto"/>
        <w:ind w:firstLine="709"/>
        <w:textAlignment w:val="baseline"/>
        <w:rPr>
          <w:rFonts w:eastAsia="Times New Roman" w:cs="Times New Roman"/>
          <w:szCs w:val="24"/>
          <w:lang w:val="en-US"/>
        </w:rPr>
      </w:pPr>
      <w:r w:rsidRPr="00C81D2D">
        <w:rPr>
          <w:rFonts w:eastAsia="Times New Roman" w:cs="Times New Roman"/>
          <w:szCs w:val="24"/>
          <w:lang w:val="en-US"/>
        </w:rPr>
        <w:t xml:space="preserve">Sedmi sastanak Koordinacionog tima održan je dana </w:t>
      </w:r>
      <w:r w:rsidRPr="00C81D2D">
        <w:rPr>
          <w:rFonts w:eastAsia="Times New Roman" w:cs="Arial"/>
          <w:szCs w:val="24"/>
          <w:lang w:val="en-US"/>
        </w:rPr>
        <w:t xml:space="preserve">je </w:t>
      </w:r>
      <w:r w:rsidR="008C484C">
        <w:rPr>
          <w:rFonts w:eastAsia="Times New Roman" w:cs="Times New Roman"/>
          <w:szCs w:val="24"/>
          <w:lang w:val="en-US"/>
        </w:rPr>
        <w:t xml:space="preserve">14.06.2019. godine, </w:t>
      </w:r>
      <w:r w:rsidRPr="00C81D2D">
        <w:rPr>
          <w:rFonts w:eastAsia="Times New Roman" w:cs="Times New Roman"/>
          <w:szCs w:val="24"/>
          <w:lang w:val="en-US"/>
        </w:rPr>
        <w:t>u Sekretarijatu za razvojne projekte, a shodno zaključcima s</w:t>
      </w:r>
      <w:r w:rsidR="00D02234">
        <w:rPr>
          <w:rFonts w:eastAsia="Times New Roman" w:cs="Times New Roman"/>
          <w:szCs w:val="24"/>
          <w:lang w:val="en-US"/>
        </w:rPr>
        <w:t xml:space="preserve">a istog Ministarstvo finansija </w:t>
      </w:r>
      <w:r w:rsidRPr="00C81D2D">
        <w:rPr>
          <w:rFonts w:eastAsia="Times New Roman" w:cs="Times New Roman"/>
          <w:szCs w:val="24"/>
          <w:lang w:val="en-US"/>
        </w:rPr>
        <w:t xml:space="preserve">je zaduženo da dostavi informaciju vezano za utrošak 300.000,00 € opredijeljenih Opštini Herceg Novi za projektovanje infrastrukture, obzirom da je članom 3 stav 3 Propokola o saradnji na rješavanju infrastrukturnih pitanja zaključenog između Vlade Crne Gore – Ministarstva finansija i Opštine Herceg Novi, broj 01-12539/1 od 30.07.2018. godine propisano da Opština Herceg Novi ima obavezu da na zahtjev Ministarstva finansija omogući uvid u izvod kojim se pravda svaka transakcija izvršena sa računa Opštine Herceg Novi, otvorenog isključivo za ovu namjenu, broj 520-4372-54, kod Hipotekarne banke, kao i da Ministarstvo finansija oformi tim koji će sa Opštinom Herceg Novi dogovoriti Dinamički i finansijski plan, u skladu sa članom 4 pomenutog Protokola o saradnji na rješavanju infrastrukturnih pitanja, koji propisuje da će Dinamički i finansijski plan u vezi sa ovim Protokolom, strane potpisnice utvrditi nakon što bude okončano projektovanje infrastrukture do predmetne lokacije, pa je u toku formiranje pomenutog tima. </w:t>
      </w:r>
    </w:p>
    <w:p w:rsidR="00C81D2D" w:rsidRPr="00C81D2D" w:rsidRDefault="00C81D2D" w:rsidP="00CE19E8">
      <w:pPr>
        <w:suppressAutoHyphens/>
        <w:autoSpaceDE w:val="0"/>
        <w:autoSpaceDN w:val="0"/>
        <w:spacing w:before="0" w:after="0" w:line="240" w:lineRule="auto"/>
        <w:ind w:firstLine="709"/>
        <w:textAlignment w:val="baseline"/>
        <w:rPr>
          <w:rFonts w:eastAsia="Times New Roman" w:cs="Times New Roman"/>
          <w:szCs w:val="24"/>
          <w:lang w:val="en-US"/>
        </w:rPr>
      </w:pPr>
      <w:r w:rsidRPr="00C81D2D">
        <w:rPr>
          <w:rFonts w:eastAsia="Times New Roman" w:cs="Times New Roman"/>
          <w:szCs w:val="24"/>
          <w:lang w:val="en-US"/>
        </w:rPr>
        <w:t>Savjet za privatizaciju i kapitalne projekte donio radni zaključak broj: 01-23/2 od 27.01.2020. godine, kojim je z</w:t>
      </w:r>
      <w:r w:rsidR="008C484C">
        <w:rPr>
          <w:rFonts w:eastAsia="Times New Roman" w:cs="Times New Roman"/>
          <w:szCs w:val="24"/>
          <w:lang w:val="en-US"/>
        </w:rPr>
        <w:t xml:space="preserve">aduženo Ministarstvo finansija </w:t>
      </w:r>
      <w:r w:rsidRPr="00C81D2D">
        <w:rPr>
          <w:rFonts w:eastAsia="Times New Roman" w:cs="Times New Roman"/>
          <w:szCs w:val="24"/>
          <w:lang w:val="en-US"/>
        </w:rPr>
        <w:t>da imenuje Radni tim koji će pripremiti Protokol o otpočinjanju Minimalne investicione obaveze.</w:t>
      </w:r>
    </w:p>
    <w:p w:rsidR="00C81D2D" w:rsidRPr="002423BC" w:rsidRDefault="00C81D2D" w:rsidP="002423BC">
      <w:pPr>
        <w:suppressAutoHyphens/>
        <w:autoSpaceDE w:val="0"/>
        <w:autoSpaceDN w:val="0"/>
        <w:spacing w:before="0" w:after="0" w:line="240" w:lineRule="auto"/>
        <w:ind w:firstLine="360"/>
        <w:textAlignment w:val="baseline"/>
        <w:rPr>
          <w:rFonts w:eastAsia="Times New Roman" w:cs="Times New Roman"/>
          <w:szCs w:val="24"/>
          <w:lang w:val="en-US"/>
        </w:rPr>
      </w:pPr>
      <w:r w:rsidRPr="00C81D2D">
        <w:rPr>
          <w:rFonts w:eastAsia="Times New Roman" w:cs="Times New Roman"/>
          <w:szCs w:val="24"/>
          <w:lang w:val="en-US"/>
        </w:rPr>
        <w:t>U Agenciji za investicije Crne Gore dana 14.02.2020. godine održan sastanak u vezi sa pitanjem finansiranja izgradnje vodovodne infrastrukture za potrebe projekta „Ritz Carlton Montenegro“, kojem su pored predstavnika ovog ministarstva prisustvovali i direktor Uprave javnih radova, predstavnici Agencije za investicije Crne Gore i pre</w:t>
      </w:r>
      <w:r w:rsidR="002423BC">
        <w:rPr>
          <w:rFonts w:eastAsia="Times New Roman" w:cs="Times New Roman"/>
          <w:szCs w:val="24"/>
          <w:lang w:val="en-US"/>
        </w:rPr>
        <w:t>dstavnici Projektene kompanije.</w:t>
      </w:r>
    </w:p>
    <w:p w:rsidR="00C81D2D" w:rsidRPr="00C81D2D" w:rsidRDefault="00CE19E8" w:rsidP="00CE19E8">
      <w:pPr>
        <w:suppressAutoHyphens/>
        <w:autoSpaceDE w:val="0"/>
        <w:autoSpaceDN w:val="0"/>
        <w:spacing w:before="0" w:after="0" w:line="240" w:lineRule="auto"/>
        <w:ind w:firstLine="360"/>
        <w:jc w:val="left"/>
        <w:textAlignment w:val="baseline"/>
        <w:rPr>
          <w:rFonts w:eastAsia="Times New Roman" w:cs="Arial"/>
          <w:b/>
          <w:szCs w:val="24"/>
          <w:lang w:val="en-US"/>
        </w:rPr>
      </w:pPr>
      <w:r w:rsidRPr="00CE19E8">
        <w:rPr>
          <w:rFonts w:eastAsia="Times New Roman" w:cs="Arial"/>
          <w:b/>
          <w:szCs w:val="24"/>
          <w:lang w:val="en-US"/>
        </w:rPr>
        <w:t xml:space="preserve">3. </w:t>
      </w:r>
      <w:r w:rsidR="00C81D2D" w:rsidRPr="00C81D2D">
        <w:rPr>
          <w:rFonts w:eastAsia="Times New Roman" w:cs="Arial"/>
          <w:b/>
          <w:szCs w:val="24"/>
          <w:lang w:val="en-US"/>
        </w:rPr>
        <w:t>Projekat “Ski centar Kolašin 1600”</w:t>
      </w:r>
    </w:p>
    <w:p w:rsidR="00C81D2D" w:rsidRPr="00C81D2D" w:rsidRDefault="00C81D2D" w:rsidP="00CE19E8">
      <w:pPr>
        <w:suppressAutoHyphens/>
        <w:autoSpaceDN w:val="0"/>
        <w:spacing w:before="0" w:after="0" w:line="240" w:lineRule="auto"/>
        <w:ind w:firstLine="360"/>
        <w:textAlignment w:val="baseline"/>
        <w:rPr>
          <w:rFonts w:eastAsia="Times New Roman" w:cs="Times New Roman"/>
          <w:szCs w:val="24"/>
          <w:lang w:val="en-US"/>
        </w:rPr>
      </w:pPr>
      <w:r w:rsidRPr="00C81D2D">
        <w:rPr>
          <w:rFonts w:eastAsia="Times New Roman" w:cs="Times New Roman"/>
          <w:szCs w:val="24"/>
          <w:lang w:val="en-US"/>
        </w:rPr>
        <w:t>Sekretarijat za razvojne projekte (sadašnja Agencija za investicije Crne Gore) je formirao Radni tim, čiji je zadatak praćenje realizacije ugovornih odredbi Ugovora o dugoročnom zakupu lokaliteta planinskog centra “Kolašin 1600” između Vlade Crne Gore kao Zakupodavca i Konzorcijuma “Kolašin 1600” kao Zakupca, zaključenog u septembru 2018. godi</w:t>
      </w:r>
      <w:r w:rsidR="008C484C">
        <w:rPr>
          <w:rFonts w:eastAsia="Times New Roman" w:cs="Times New Roman"/>
          <w:szCs w:val="24"/>
          <w:lang w:val="en-US"/>
        </w:rPr>
        <w:t xml:space="preserve">ne, </w:t>
      </w:r>
      <w:r w:rsidR="00D02234">
        <w:rPr>
          <w:rFonts w:eastAsia="Times New Roman" w:cs="Times New Roman"/>
          <w:szCs w:val="24"/>
          <w:lang w:val="en-US"/>
        </w:rPr>
        <w:t xml:space="preserve">koji tim povodom periodično </w:t>
      </w:r>
      <w:r w:rsidRPr="00C81D2D">
        <w:rPr>
          <w:rFonts w:eastAsia="Times New Roman" w:cs="Times New Roman"/>
          <w:szCs w:val="24"/>
          <w:lang w:val="en-US"/>
        </w:rPr>
        <w:t xml:space="preserve">organizuje sastanke. </w:t>
      </w:r>
    </w:p>
    <w:p w:rsidR="00C81D2D" w:rsidRPr="002423BC" w:rsidRDefault="00C81D2D" w:rsidP="002423BC">
      <w:pPr>
        <w:suppressAutoHyphens/>
        <w:autoSpaceDN w:val="0"/>
        <w:spacing w:before="0" w:after="0" w:line="240" w:lineRule="auto"/>
        <w:ind w:firstLine="360"/>
        <w:textAlignment w:val="baseline"/>
        <w:rPr>
          <w:rFonts w:eastAsia="Times New Roman" w:cs="Times New Roman"/>
          <w:szCs w:val="24"/>
          <w:lang w:val="en-US"/>
        </w:rPr>
      </w:pPr>
      <w:r w:rsidRPr="00C81D2D">
        <w:rPr>
          <w:rFonts w:eastAsia="Times New Roman" w:cs="Times New Roman"/>
          <w:szCs w:val="24"/>
          <w:lang w:val="en-US"/>
        </w:rPr>
        <w:t>Održano nekoliko sastanaka Radnog tima u prostorijama Opštine Kolašin i Agencije za investicije Crne Gore u vezi sa ovim projektom, a obaveza ovog ministarstva je bila da pruži podršku vezano za uređenje listova nepokretnosti i rješavanje imovinsko – pravnih odnosa, obzirom da je delegiranje člana pomenutom Radnom timu od strane Ministarstva finansija zatraženo tek nakon zaključenja predmetn</w:t>
      </w:r>
      <w:r w:rsidR="002423BC">
        <w:rPr>
          <w:rFonts w:eastAsia="Times New Roman" w:cs="Times New Roman"/>
          <w:szCs w:val="24"/>
          <w:lang w:val="en-US"/>
        </w:rPr>
        <w:t>og Ugovora o dugoročnom zakupu.</w:t>
      </w:r>
    </w:p>
    <w:p w:rsidR="00C81D2D" w:rsidRPr="00C81D2D" w:rsidRDefault="00CE19E8" w:rsidP="00CE19E8">
      <w:pPr>
        <w:suppressAutoHyphens/>
        <w:autoSpaceDN w:val="0"/>
        <w:spacing w:before="0" w:after="0" w:line="240" w:lineRule="auto"/>
        <w:ind w:firstLine="360"/>
        <w:jc w:val="left"/>
        <w:textAlignment w:val="baseline"/>
        <w:rPr>
          <w:rFonts w:eastAsia="Times New Roman" w:cs="Times New Roman"/>
          <w:b/>
          <w:szCs w:val="24"/>
          <w:lang w:val="en-US"/>
        </w:rPr>
      </w:pPr>
      <w:r w:rsidRPr="00CE19E8">
        <w:rPr>
          <w:rFonts w:eastAsia="Times New Roman" w:cs="Times New Roman"/>
          <w:b/>
          <w:szCs w:val="24"/>
          <w:lang w:val="en-US"/>
        </w:rPr>
        <w:t xml:space="preserve">4. </w:t>
      </w:r>
      <w:r w:rsidR="00C81D2D" w:rsidRPr="00C81D2D">
        <w:rPr>
          <w:rFonts w:eastAsia="Times New Roman" w:cs="Times New Roman"/>
          <w:b/>
          <w:szCs w:val="24"/>
          <w:lang w:val="en-US"/>
        </w:rPr>
        <w:t>Projekat izgradnje hotela u Opštini Tivat</w:t>
      </w:r>
    </w:p>
    <w:p w:rsidR="00C81D2D" w:rsidRPr="00C81D2D" w:rsidRDefault="00C81D2D" w:rsidP="00CE19E8">
      <w:pPr>
        <w:suppressAutoHyphens/>
        <w:autoSpaceDN w:val="0"/>
        <w:spacing w:before="0" w:after="0" w:line="240" w:lineRule="auto"/>
        <w:ind w:firstLine="360"/>
        <w:textAlignment w:val="baseline"/>
        <w:rPr>
          <w:rFonts w:eastAsia="Times New Roman" w:cs="Times New Roman"/>
          <w:szCs w:val="24"/>
          <w:lang w:val="en-US"/>
        </w:rPr>
      </w:pPr>
      <w:r w:rsidRPr="00C81D2D">
        <w:rPr>
          <w:rFonts w:eastAsia="Times New Roman" w:cs="Times New Roman"/>
          <w:szCs w:val="24"/>
          <w:lang w:val="en-GB"/>
        </w:rPr>
        <w:t xml:space="preserve">Dana 17.08.2020. godine objavljen je </w:t>
      </w:r>
      <w:r w:rsidRPr="00C81D2D">
        <w:rPr>
          <w:rFonts w:eastAsia="Times New Roman" w:cs="Times New Roman"/>
          <w:b/>
          <w:szCs w:val="24"/>
          <w:lang w:val="en-GB"/>
        </w:rPr>
        <w:t xml:space="preserve">Javni poziv za podnošenje ponuda na Tenderu za davanje u dugoročni zakup na period od 30 godina nepokretnosti sa investicionim ulaganjima u Opštini Tivat, u vlasništvu Države Crne Gore, subjekt raspolaganja Vlada Crne Gore i to </w:t>
      </w:r>
      <w:r w:rsidRPr="00C81D2D">
        <w:rPr>
          <w:rFonts w:eastAsia="Times New Roman" w:cs="Times New Roman"/>
          <w:b/>
          <w:szCs w:val="24"/>
          <w:lang w:val="en-US"/>
        </w:rPr>
        <w:t>lokacije koja obuhvata katastarske parcele broj: 635/1, 635/2, 636, 637/1, 637/2, 637/5 i 637/6, sve u zahvatu KO Đuraševići, Opština Tivat</w:t>
      </w:r>
      <w:r w:rsidRPr="00C81D2D">
        <w:rPr>
          <w:rFonts w:eastAsia="Times New Roman" w:cs="Times New Roman"/>
          <w:szCs w:val="24"/>
          <w:lang w:val="en-US"/>
        </w:rPr>
        <w:t xml:space="preserve">, </w:t>
      </w:r>
      <w:r w:rsidRPr="00C81D2D">
        <w:rPr>
          <w:rFonts w:eastAsia="Times New Roman" w:cs="Times New Roman"/>
          <w:szCs w:val="24"/>
          <w:lang w:val="en-GB"/>
        </w:rPr>
        <w:t xml:space="preserve"> radi izgradnje hotela sa pet zvjezdica sa pratećim sadržajima, u dnevnim novinama “Pobjeda” i na Internet stranici Ministarstva finansija, ali je Tenderska komisija donijela </w:t>
      </w:r>
      <w:r w:rsidRPr="00C81D2D">
        <w:rPr>
          <w:rFonts w:eastAsia="Times New Roman" w:cs="Times New Roman"/>
          <w:szCs w:val="24"/>
          <w:lang w:val="en-US"/>
        </w:rPr>
        <w:t>Odluku broj: 07-17977/30-2019 od 14.10.2020. godine, kojom se poništava predmetni Javni poziv.</w:t>
      </w:r>
    </w:p>
    <w:p w:rsidR="00C81D2D" w:rsidRPr="00C81D2D" w:rsidRDefault="00C81D2D" w:rsidP="002423BC">
      <w:pPr>
        <w:suppressAutoHyphens/>
        <w:autoSpaceDN w:val="0"/>
        <w:spacing w:before="0" w:after="0" w:line="240" w:lineRule="auto"/>
        <w:ind w:firstLine="360"/>
        <w:textAlignment w:val="baseline"/>
        <w:rPr>
          <w:rFonts w:eastAsia="Times New Roman" w:cs="Times New Roman"/>
          <w:szCs w:val="24"/>
          <w:lang w:val="en-US"/>
        </w:rPr>
      </w:pPr>
      <w:r w:rsidRPr="00C81D2D">
        <w:rPr>
          <w:rFonts w:eastAsia="Times New Roman" w:cs="Times New Roman"/>
          <w:szCs w:val="24"/>
          <w:lang w:val="en-US"/>
        </w:rPr>
        <w:t>S tim u vezi, učesnik na predmetnom tender “Saniteko Group” d.o.o. Podgorica je podnio tužbu Upravnom sudu Crne Gore protiv Mini</w:t>
      </w:r>
      <w:r w:rsidR="008C484C">
        <w:rPr>
          <w:rFonts w:eastAsia="Times New Roman" w:cs="Times New Roman"/>
          <w:szCs w:val="24"/>
          <w:lang w:val="en-US"/>
        </w:rPr>
        <w:t>starstva finansija, kao tuženog</w:t>
      </w:r>
      <w:r w:rsidRPr="00C81D2D">
        <w:rPr>
          <w:rFonts w:eastAsia="Times New Roman" w:cs="Times New Roman"/>
          <w:szCs w:val="24"/>
          <w:lang w:val="en-US"/>
        </w:rPr>
        <w:t>, radi poništaja Odluke broj: 07-17977/30-2019 od 14.10.2020. godine, kojom se poništava predmetni Javni poziv i ovo Ministarstvo treba da se izjasni na tužben</w:t>
      </w:r>
      <w:r w:rsidR="002423BC">
        <w:rPr>
          <w:rFonts w:eastAsia="Times New Roman" w:cs="Times New Roman"/>
          <w:szCs w:val="24"/>
          <w:lang w:val="en-US"/>
        </w:rPr>
        <w:t>e navode do 15.12.2020. godine.</w:t>
      </w:r>
    </w:p>
    <w:p w:rsidR="00C81D2D" w:rsidRPr="00C81D2D" w:rsidRDefault="00CE19E8" w:rsidP="00CE19E8">
      <w:pPr>
        <w:suppressAutoHyphens/>
        <w:autoSpaceDN w:val="0"/>
        <w:spacing w:before="0" w:after="0" w:line="240" w:lineRule="auto"/>
        <w:ind w:firstLine="360"/>
        <w:jc w:val="left"/>
        <w:textAlignment w:val="baseline"/>
        <w:rPr>
          <w:rFonts w:eastAsia="Times New Roman" w:cs="Times New Roman"/>
          <w:szCs w:val="24"/>
          <w:lang w:val="en-US"/>
        </w:rPr>
      </w:pPr>
      <w:r w:rsidRPr="00CE19E8">
        <w:rPr>
          <w:rFonts w:eastAsia="Times New Roman" w:cs="Times New Roman"/>
          <w:b/>
          <w:szCs w:val="24"/>
          <w:lang w:val="en-US"/>
        </w:rPr>
        <w:t xml:space="preserve">5. </w:t>
      </w:r>
      <w:r w:rsidR="00C81D2D" w:rsidRPr="00C81D2D">
        <w:rPr>
          <w:rFonts w:eastAsia="Times New Roman" w:cs="Times New Roman"/>
          <w:b/>
          <w:szCs w:val="24"/>
          <w:lang w:val="en-US"/>
        </w:rPr>
        <w:t>Projekat izgradnje Hotela sa 5* u Opštini Bar</w:t>
      </w:r>
    </w:p>
    <w:p w:rsidR="00C81D2D" w:rsidRPr="00C81D2D" w:rsidRDefault="00C81D2D" w:rsidP="00CE19E8">
      <w:pPr>
        <w:suppressAutoHyphens/>
        <w:autoSpaceDN w:val="0"/>
        <w:spacing w:before="0" w:after="0" w:line="240" w:lineRule="auto"/>
        <w:ind w:firstLine="360"/>
        <w:textAlignment w:val="baseline"/>
        <w:rPr>
          <w:rFonts w:eastAsia="Times New Roman" w:cs="Times New Roman"/>
          <w:szCs w:val="24"/>
          <w:lang w:val="en-US"/>
        </w:rPr>
      </w:pPr>
      <w:r w:rsidRPr="00C81D2D">
        <w:rPr>
          <w:rFonts w:eastAsia="Times New Roman" w:cs="Times New Roman"/>
          <w:szCs w:val="24"/>
          <w:lang w:val="en-US"/>
        </w:rPr>
        <w:lastRenderedPageBreak/>
        <w:t xml:space="preserve">Vlada Crne Gore – Ministarstvo finanansija i Konzorcijum “LSG” su zaključili </w:t>
      </w:r>
      <w:r w:rsidR="008C484C">
        <w:rPr>
          <w:rFonts w:eastAsia="Times New Roman" w:cs="Times New Roman"/>
          <w:b/>
          <w:szCs w:val="24"/>
          <w:lang w:val="en-US"/>
        </w:rPr>
        <w:t>Ugovor o</w:t>
      </w:r>
      <w:r w:rsidRPr="00C81D2D">
        <w:rPr>
          <w:rFonts w:eastAsia="Times New Roman" w:cs="Times New Roman"/>
          <w:b/>
          <w:szCs w:val="24"/>
          <w:lang w:val="en-US"/>
        </w:rPr>
        <w:t xml:space="preserve"> kupoprodaji nepokretnosti sa investicionim ulaganjima u Opštini Bar, koje ulaze u sastav UP 1, Zona A, Blok 1, DUP Topolica III – Izmjene i dopune, površine 27.972 m</w:t>
      </w:r>
      <w:r w:rsidRPr="00C81D2D">
        <w:rPr>
          <w:rFonts w:eastAsia="Times New Roman" w:cs="Times New Roman"/>
          <w:b/>
          <w:szCs w:val="24"/>
          <w:vertAlign w:val="superscript"/>
          <w:lang w:val="en-US"/>
        </w:rPr>
        <w:t>2</w:t>
      </w:r>
      <w:r w:rsidRPr="00C81D2D">
        <w:rPr>
          <w:rFonts w:eastAsia="Times New Roman" w:cs="Times New Roman"/>
          <w:b/>
          <w:szCs w:val="24"/>
          <w:lang w:val="en-US"/>
        </w:rPr>
        <w:t>, upisane u LN broj 152, KO Novi Bar,</w:t>
      </w:r>
      <w:r w:rsidRPr="00C81D2D">
        <w:rPr>
          <w:rFonts w:eastAsia="Times New Roman" w:cs="Times New Roman"/>
          <w:szCs w:val="24"/>
          <w:lang w:val="en-US"/>
        </w:rPr>
        <w:t xml:space="preserve"> kod notarke Marine Milošević u Baru, UZZ broj 1135/2019, dana 02.12.2019. godine. </w:t>
      </w:r>
    </w:p>
    <w:p w:rsidR="00C81D2D" w:rsidRPr="00C81D2D" w:rsidRDefault="00C81D2D" w:rsidP="00CE19E8">
      <w:pPr>
        <w:suppressAutoHyphens/>
        <w:autoSpaceDN w:val="0"/>
        <w:spacing w:before="0" w:after="0" w:line="240" w:lineRule="auto"/>
        <w:ind w:firstLine="360"/>
        <w:textAlignment w:val="baseline"/>
        <w:rPr>
          <w:rFonts w:eastAsia="Times New Roman" w:cs="Times New Roman"/>
          <w:szCs w:val="24"/>
          <w:lang w:val="en-US"/>
        </w:rPr>
      </w:pPr>
      <w:r w:rsidRPr="00C81D2D">
        <w:rPr>
          <w:rFonts w:eastAsia="Times New Roman" w:cs="Times New Roman"/>
          <w:szCs w:val="24"/>
          <w:lang w:val="en-US"/>
        </w:rPr>
        <w:t>S tim u vezi, Protoko</w:t>
      </w:r>
      <w:r w:rsidR="008C484C">
        <w:rPr>
          <w:rFonts w:eastAsia="Times New Roman" w:cs="Times New Roman"/>
          <w:szCs w:val="24"/>
          <w:lang w:val="en-US"/>
        </w:rPr>
        <w:t>l o stupanju na snagu Ugovora o</w:t>
      </w:r>
      <w:r w:rsidRPr="00C81D2D">
        <w:rPr>
          <w:rFonts w:eastAsia="Times New Roman" w:cs="Times New Roman"/>
          <w:szCs w:val="24"/>
          <w:lang w:val="en-US"/>
        </w:rPr>
        <w:t xml:space="preserve"> kupoprodaji nepokretnosti sa investicionim ulaganjima u Opštini Bar, koje ulaze u sastav UP 1, Zona A, Blok 1, DUP Topolica III – Izmjene i dopune, površine 27.972 m</w:t>
      </w:r>
      <w:r w:rsidRPr="00C81D2D">
        <w:rPr>
          <w:rFonts w:eastAsia="Times New Roman" w:cs="Times New Roman"/>
          <w:szCs w:val="24"/>
          <w:vertAlign w:val="superscript"/>
          <w:lang w:val="en-US"/>
        </w:rPr>
        <w:t>2</w:t>
      </w:r>
      <w:r w:rsidRPr="00C81D2D">
        <w:rPr>
          <w:rFonts w:eastAsia="Times New Roman" w:cs="Times New Roman"/>
          <w:szCs w:val="24"/>
          <w:lang w:val="en-US"/>
        </w:rPr>
        <w:t xml:space="preserve">, upisane u LN broj 152, KO Novi Bar, zaključen i ovjeren kod kod notarke Marine Milošević u Baru, UZZ broj 409/2020, dana 12.08.2020. godine. </w:t>
      </w:r>
    </w:p>
    <w:p w:rsidR="00C81D2D" w:rsidRPr="00C81D2D" w:rsidRDefault="00C81D2D" w:rsidP="00CE19E8">
      <w:pPr>
        <w:suppressAutoHyphens/>
        <w:autoSpaceDN w:val="0"/>
        <w:spacing w:before="0" w:after="0" w:line="240" w:lineRule="auto"/>
        <w:ind w:firstLine="360"/>
        <w:textAlignment w:val="baseline"/>
        <w:rPr>
          <w:rFonts w:eastAsia="Times New Roman" w:cs="Times New Roman"/>
          <w:szCs w:val="24"/>
          <w:lang w:val="en-US"/>
        </w:rPr>
      </w:pPr>
      <w:r w:rsidRPr="00C81D2D">
        <w:rPr>
          <w:rFonts w:eastAsia="Times New Roman" w:cs="Times New Roman"/>
          <w:szCs w:val="24"/>
          <w:lang w:val="en-US"/>
        </w:rPr>
        <w:t>Formiran Koordinacioni tim čiji je zadatak praćenje realizacije obaveza iz predmetnog Ugovora i u toku je postupak rješavanja imovinsko-pravnih odnosa, u konkretnom uklanjanja nelegalno sagrađenih objekata i presađivanja dijela stabala raznih biljaka koje se nalaze na dijelu zemljišta koje je predmet pomenutog Ugovoga o kupoprodaji nepokretnosti sa investicionim ulaganjima.</w:t>
      </w:r>
    </w:p>
    <w:p w:rsidR="00CE19E8" w:rsidRDefault="00CE19E8" w:rsidP="00C81D2D">
      <w:pPr>
        <w:autoSpaceDN w:val="0"/>
        <w:spacing w:before="0" w:after="0" w:line="240" w:lineRule="auto"/>
        <w:rPr>
          <w:rFonts w:ascii="Calibri" w:eastAsia="Times New Roman" w:hAnsi="Calibri" w:cs="Arial"/>
          <w:szCs w:val="24"/>
          <w:lang w:val="en-US"/>
        </w:rPr>
      </w:pPr>
    </w:p>
    <w:p w:rsidR="00C81D2D" w:rsidRPr="00C81D2D" w:rsidRDefault="00C81D2D" w:rsidP="00CE19E8">
      <w:pPr>
        <w:autoSpaceDN w:val="0"/>
        <w:spacing w:before="0" w:after="0" w:line="240" w:lineRule="auto"/>
        <w:ind w:firstLine="360"/>
        <w:rPr>
          <w:rFonts w:eastAsia="Times New Roman" w:cs="Times New Roman"/>
          <w:szCs w:val="24"/>
          <w:lang w:val="en-US"/>
        </w:rPr>
      </w:pPr>
      <w:r w:rsidRPr="00C81D2D">
        <w:rPr>
          <w:rFonts w:eastAsia="Times New Roman" w:cs="Calibri"/>
          <w:b/>
          <w:szCs w:val="24"/>
          <w:u w:val="single"/>
          <w:lang w:val="en-US"/>
        </w:rPr>
        <w:t>U Direkciji za drugostepeni upravni postupak u</w:t>
      </w:r>
      <w:r w:rsidRPr="00C81D2D">
        <w:rPr>
          <w:rFonts w:eastAsia="Calibri" w:cs="Times New Roman"/>
          <w:spacing w:val="-6"/>
          <w:szCs w:val="24"/>
          <w:lang w:val="en-US"/>
        </w:rPr>
        <w:t xml:space="preserve"> izvještajnom periodu za 2020. godinu, </w:t>
      </w:r>
      <w:r w:rsidRPr="00C81D2D">
        <w:rPr>
          <w:rFonts w:eastAsia="Calibri" w:cs="Times New Roman"/>
          <w:b/>
          <w:spacing w:val="-6"/>
          <w:szCs w:val="24"/>
          <w:lang w:val="en-US"/>
        </w:rPr>
        <w:t xml:space="preserve">pristigla su 1655 predmeta, riješeno je </w:t>
      </w:r>
      <w:r w:rsidRPr="00C81D2D">
        <w:rPr>
          <w:rFonts w:eastAsia="Calibri" w:cs="Times New Roman"/>
          <w:b/>
          <w:spacing w:val="-18"/>
          <w:szCs w:val="24"/>
          <w:lang w:val="en-US"/>
        </w:rPr>
        <w:t>1488 predmeta, dok se u radu nalazi 135 predmeta.</w:t>
      </w:r>
      <w:r w:rsidRPr="00C81D2D">
        <w:rPr>
          <w:rFonts w:eastAsia="Calibri" w:cs="Times New Roman"/>
          <w:spacing w:val="-18"/>
          <w:szCs w:val="24"/>
          <w:lang w:val="en-US"/>
        </w:rPr>
        <w:t xml:space="preserve"> </w:t>
      </w:r>
    </w:p>
    <w:p w:rsidR="00C81D2D" w:rsidRPr="00C81D2D" w:rsidRDefault="00C81D2D" w:rsidP="00CE19E8">
      <w:pPr>
        <w:autoSpaceDN w:val="0"/>
        <w:spacing w:before="0" w:after="0" w:line="240" w:lineRule="auto"/>
        <w:ind w:firstLine="360"/>
        <w:rPr>
          <w:rFonts w:eastAsia="Times New Roman" w:cs="Times New Roman"/>
          <w:szCs w:val="24"/>
          <w:lang w:val="en-US"/>
        </w:rPr>
      </w:pPr>
      <w:r w:rsidRPr="00C81D2D">
        <w:rPr>
          <w:rFonts w:eastAsia="Calibri" w:cs="Times New Roman"/>
          <w:spacing w:val="-18"/>
          <w:szCs w:val="24"/>
          <w:lang w:val="en-US"/>
        </w:rPr>
        <w:t>Pored navedenog broja</w:t>
      </w:r>
      <w:r w:rsidRPr="00C81D2D">
        <w:rPr>
          <w:rFonts w:eastAsia="Calibri" w:cs="Times New Roman"/>
          <w:spacing w:val="-6"/>
          <w:szCs w:val="24"/>
          <w:lang w:val="en-US"/>
        </w:rPr>
        <w:t xml:space="preserve"> predmeta u Direkciji za drugostepeni upravni postupak donijeta su rješenja iz postupka </w:t>
      </w:r>
      <w:r w:rsidRPr="00C81D2D">
        <w:rPr>
          <w:rFonts w:eastAsia="Calibri" w:cs="Times New Roman"/>
          <w:spacing w:val="-16"/>
          <w:szCs w:val="24"/>
          <w:lang w:val="en-US"/>
        </w:rPr>
        <w:t>eksproprijacije, deeksproprijacije i povraćaja poljoprivrednog zemljišta i to ukupno</w:t>
      </w:r>
      <w:r w:rsidRPr="00C81D2D">
        <w:rPr>
          <w:rFonts w:eastAsia="Calibri" w:cs="Times New Roman"/>
          <w:spacing w:val="-6"/>
          <w:szCs w:val="24"/>
          <w:lang w:val="en-US"/>
        </w:rPr>
        <w:t xml:space="preserve"> 213. Takođe su i riješeni predmeti koji su prenijeti iz 2019. godine, </w:t>
      </w:r>
      <w:r w:rsidRPr="00C81D2D">
        <w:rPr>
          <w:rFonts w:eastAsia="Calibri" w:cs="Times New Roman"/>
          <w:spacing w:val="-14"/>
          <w:szCs w:val="24"/>
          <w:lang w:val="en-US"/>
        </w:rPr>
        <w:t>njih ukupno 217, kao i 523 predmeta u ponovnom postupku iz prethodnih</w:t>
      </w:r>
      <w:r w:rsidRPr="00C81D2D">
        <w:rPr>
          <w:rFonts w:eastAsia="Calibri" w:cs="Times New Roman"/>
          <w:spacing w:val="-6"/>
          <w:szCs w:val="24"/>
          <w:lang w:val="en-US"/>
        </w:rPr>
        <w:t xml:space="preserve"> godina.</w:t>
      </w:r>
    </w:p>
    <w:p w:rsidR="00C81D2D" w:rsidRPr="00C81D2D" w:rsidRDefault="00C81D2D" w:rsidP="00CE19E8">
      <w:pPr>
        <w:suppressAutoHyphens/>
        <w:autoSpaceDN w:val="0"/>
        <w:spacing w:before="0" w:after="0" w:line="240" w:lineRule="auto"/>
        <w:ind w:firstLine="360"/>
        <w:textAlignment w:val="baseline"/>
        <w:rPr>
          <w:rFonts w:eastAsia="Calibri" w:cs="Times New Roman"/>
          <w:szCs w:val="24"/>
          <w:lang w:val="en-US"/>
        </w:rPr>
      </w:pPr>
      <w:r w:rsidRPr="00C81D2D">
        <w:rPr>
          <w:rFonts w:eastAsia="Calibri" w:cs="Calibri"/>
          <w:szCs w:val="24"/>
          <w:lang w:val="en-US"/>
        </w:rPr>
        <w:t xml:space="preserve">Naime, u 2020. godini </w:t>
      </w:r>
      <w:r w:rsidR="008C484C">
        <w:rPr>
          <w:rFonts w:eastAsia="Calibri" w:cs="Calibri"/>
          <w:b/>
          <w:szCs w:val="24"/>
          <w:lang w:val="en-US"/>
        </w:rPr>
        <w:t>zaprimljeno</w:t>
      </w:r>
      <w:r w:rsidRPr="00C81D2D">
        <w:rPr>
          <w:rFonts w:eastAsia="Calibri" w:cs="Calibri"/>
          <w:b/>
          <w:szCs w:val="24"/>
          <w:lang w:val="en-US"/>
        </w:rPr>
        <w:t xml:space="preserve"> 1655</w:t>
      </w:r>
      <w:r w:rsidRPr="00C81D2D">
        <w:rPr>
          <w:rFonts w:eastAsia="Calibri" w:cs="Calibri"/>
          <w:szCs w:val="24"/>
          <w:lang w:val="en-US"/>
        </w:rPr>
        <w:t xml:space="preserve"> predmeta po žalbama izjavljenim protiv prvostepenih rješenja Uprave za nekretnine - Područnih jedinica;</w:t>
      </w:r>
    </w:p>
    <w:p w:rsidR="00C81D2D" w:rsidRPr="00C81D2D" w:rsidRDefault="00C81D2D" w:rsidP="00C81D2D">
      <w:pPr>
        <w:suppressAutoHyphens/>
        <w:autoSpaceDN w:val="0"/>
        <w:spacing w:before="0" w:after="0" w:line="240" w:lineRule="auto"/>
        <w:textAlignment w:val="baseline"/>
        <w:rPr>
          <w:rFonts w:ascii="Calibri" w:eastAsia="Calibri" w:hAnsi="Calibri" w:cs="Calibri"/>
          <w:szCs w:val="24"/>
          <w:lang w:val="en-US"/>
        </w:rPr>
      </w:pPr>
      <w:r w:rsidRPr="00C81D2D">
        <w:rPr>
          <w:rFonts w:ascii="Calibri" w:eastAsia="Calibri" w:hAnsi="Calibri" w:cs="Calibri"/>
          <w:szCs w:val="24"/>
          <w:lang w:val="en-US"/>
        </w:rPr>
        <w:t xml:space="preserve">        </w:t>
      </w:r>
    </w:p>
    <w:p w:rsidR="00C81D2D" w:rsidRPr="00C81D2D" w:rsidRDefault="00C81D2D" w:rsidP="00C81D2D">
      <w:pPr>
        <w:suppressAutoHyphens/>
        <w:autoSpaceDN w:val="0"/>
        <w:spacing w:before="0" w:after="0" w:line="240" w:lineRule="auto"/>
        <w:textAlignment w:val="baseline"/>
        <w:rPr>
          <w:rFonts w:ascii="Calibri" w:eastAsia="Calibri" w:hAnsi="Calibri" w:cs="Times New Roman"/>
          <w:szCs w:val="24"/>
          <w:lang w:val="en-US"/>
        </w:rPr>
      </w:pPr>
      <w:r w:rsidRPr="00C81D2D">
        <w:rPr>
          <w:rFonts w:ascii="Calibri" w:eastAsia="Calibri" w:hAnsi="Calibri" w:cs="Times New Roman"/>
          <w:b/>
          <w:szCs w:val="24"/>
          <w:lang w:val="en-US"/>
        </w:rPr>
        <w:t xml:space="preserve">Tabelarni prikaz predmeta </w:t>
      </w:r>
      <w:r w:rsidRPr="00C81D2D">
        <w:rPr>
          <w:rFonts w:ascii="Calibri" w:eastAsia="Calibri" w:hAnsi="Calibri" w:cs="Calibri"/>
          <w:b/>
          <w:szCs w:val="24"/>
          <w:lang w:val="en-US"/>
        </w:rPr>
        <w:t>predmeta po žalbama izjavljenim protiv prvostepenih rješenja Uprave za nekretnine - Područnih jedinica;</w:t>
      </w:r>
    </w:p>
    <w:tbl>
      <w:tblPr>
        <w:tblW w:w="9348" w:type="dxa"/>
        <w:tblCellMar>
          <w:left w:w="10" w:type="dxa"/>
          <w:right w:w="10" w:type="dxa"/>
        </w:tblCellMar>
        <w:tblLook w:val="04A0" w:firstRow="1" w:lastRow="0" w:firstColumn="1" w:lastColumn="0" w:noHBand="0" w:noVBand="1"/>
      </w:tblPr>
      <w:tblGrid>
        <w:gridCol w:w="2337"/>
        <w:gridCol w:w="2337"/>
        <w:gridCol w:w="2337"/>
        <w:gridCol w:w="2337"/>
      </w:tblGrid>
      <w:tr w:rsidR="00C81D2D" w:rsidRPr="00C81D2D" w:rsidTr="0051475A">
        <w:trPr>
          <w:trHeight w:val="412"/>
        </w:trPr>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Times New Roman" w:hAnsi="Calibri" w:cs="Times New Roman"/>
                <w:sz w:val="22"/>
                <w:lang w:val="en-US"/>
              </w:rPr>
            </w:pPr>
            <w:r w:rsidRPr="00C81D2D">
              <w:rPr>
                <w:rFonts w:ascii="Calibri" w:eastAsia="Calibri" w:hAnsi="Calibri" w:cs="Times New Roman"/>
                <w:spacing w:val="-6"/>
                <w:sz w:val="22"/>
                <w:lang w:val="en-US"/>
              </w:rPr>
              <w:t xml:space="preserve">Opštine:     </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Times New Roman" w:hAnsi="Calibri" w:cs="Times New Roman"/>
                <w:sz w:val="22"/>
                <w:lang w:val="en-US"/>
              </w:rPr>
            </w:pPr>
            <w:r w:rsidRPr="00C81D2D">
              <w:rPr>
                <w:rFonts w:ascii="Calibri" w:eastAsia="Calibri" w:hAnsi="Calibri" w:cs="Times New Roman"/>
                <w:spacing w:val="-6"/>
                <w:sz w:val="22"/>
                <w:lang w:val="en-US"/>
              </w:rPr>
              <w:t xml:space="preserve">broj predmeta:      </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Times New Roman" w:hAnsi="Calibri" w:cs="Times New Roman"/>
                <w:sz w:val="22"/>
                <w:lang w:val="en-US"/>
              </w:rPr>
            </w:pPr>
            <w:r w:rsidRPr="00C81D2D">
              <w:rPr>
                <w:rFonts w:ascii="Calibri" w:eastAsia="Calibri" w:hAnsi="Calibri" w:cs="Times New Roman"/>
                <w:spacing w:val="-6"/>
                <w:sz w:val="22"/>
                <w:lang w:val="en-US"/>
              </w:rPr>
              <w:t xml:space="preserve">poništeno:         </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Times New Roman" w:hAnsi="Calibri" w:cs="Times New Roman"/>
                <w:sz w:val="22"/>
                <w:lang w:val="en-US"/>
              </w:rPr>
            </w:pPr>
            <w:r w:rsidRPr="00C81D2D">
              <w:rPr>
                <w:rFonts w:ascii="Calibri" w:eastAsia="Calibri" w:hAnsi="Calibri" w:cs="Times New Roman"/>
                <w:spacing w:val="-6"/>
                <w:sz w:val="22"/>
                <w:lang w:val="en-US"/>
              </w:rPr>
              <w:t>odbijeno:</w:t>
            </w:r>
          </w:p>
        </w:tc>
      </w:tr>
      <w:tr w:rsidR="00C81D2D" w:rsidRPr="00C81D2D" w:rsidTr="0051475A">
        <w:trPr>
          <w:trHeight w:val="328"/>
        </w:trPr>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Times New Roman" w:hAnsi="Calibri" w:cs="Times New Roman"/>
                <w:sz w:val="22"/>
                <w:lang w:val="en-US"/>
              </w:rPr>
            </w:pPr>
            <w:r w:rsidRPr="00C81D2D">
              <w:rPr>
                <w:rFonts w:ascii="Calibri" w:eastAsia="Calibri" w:hAnsi="Calibri" w:cs="Times New Roman"/>
                <w:spacing w:val="-6"/>
                <w:sz w:val="22"/>
                <w:lang w:val="en-US"/>
              </w:rPr>
              <w:t>Podgorica</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376</w:t>
            </w:r>
          </w:p>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139</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203</w:t>
            </w:r>
          </w:p>
        </w:tc>
      </w:tr>
      <w:tr w:rsidR="00C81D2D" w:rsidRPr="00C81D2D" w:rsidTr="0051475A">
        <w:trPr>
          <w:trHeight w:val="267"/>
        </w:trPr>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Times New Roman" w:hAnsi="Calibri" w:cs="Times New Roman"/>
                <w:sz w:val="22"/>
                <w:lang w:val="en-US"/>
              </w:rPr>
            </w:pPr>
            <w:r w:rsidRPr="00C81D2D">
              <w:rPr>
                <w:rFonts w:ascii="Calibri" w:eastAsia="Calibri" w:hAnsi="Calibri" w:cs="Times New Roman"/>
                <w:spacing w:val="-6"/>
                <w:sz w:val="22"/>
                <w:lang w:val="en-US"/>
              </w:rPr>
              <w:t xml:space="preserve">Nikšić  </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45</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22</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23</w:t>
            </w:r>
          </w:p>
        </w:tc>
      </w:tr>
      <w:tr w:rsidR="00C81D2D" w:rsidRPr="00C81D2D" w:rsidTr="0051475A">
        <w:trPr>
          <w:trHeight w:val="534"/>
        </w:trPr>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Danilovgrad</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179</w:t>
            </w:r>
          </w:p>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55</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84</w:t>
            </w:r>
          </w:p>
        </w:tc>
      </w:tr>
      <w:tr w:rsidR="00C81D2D" w:rsidRPr="00C81D2D" w:rsidTr="0051475A">
        <w:trPr>
          <w:trHeight w:val="361"/>
        </w:trPr>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Cetinje</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70</w:t>
            </w:r>
          </w:p>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20</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50</w:t>
            </w:r>
          </w:p>
        </w:tc>
      </w:tr>
      <w:tr w:rsidR="00C81D2D" w:rsidRPr="00C81D2D" w:rsidTr="0051475A">
        <w:trPr>
          <w:trHeight w:val="267"/>
        </w:trPr>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Tivat</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50</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20</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30</w:t>
            </w:r>
          </w:p>
        </w:tc>
      </w:tr>
      <w:tr w:rsidR="00C81D2D" w:rsidRPr="00C81D2D" w:rsidTr="0051475A">
        <w:trPr>
          <w:trHeight w:val="267"/>
        </w:trPr>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Herceg Novi  </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175</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42</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93</w:t>
            </w:r>
          </w:p>
        </w:tc>
      </w:tr>
      <w:tr w:rsidR="00C81D2D" w:rsidRPr="00C81D2D" w:rsidTr="0051475A">
        <w:trPr>
          <w:trHeight w:val="267"/>
        </w:trPr>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Kotor  </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90</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33</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57</w:t>
            </w:r>
          </w:p>
        </w:tc>
      </w:tr>
      <w:tr w:rsidR="00C81D2D" w:rsidRPr="00C81D2D" w:rsidTr="0051475A">
        <w:trPr>
          <w:trHeight w:val="267"/>
        </w:trPr>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Budva</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150</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63</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87</w:t>
            </w:r>
          </w:p>
        </w:tc>
      </w:tr>
      <w:tr w:rsidR="00C81D2D" w:rsidRPr="00C81D2D" w:rsidTr="0051475A">
        <w:trPr>
          <w:trHeight w:val="267"/>
        </w:trPr>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Bar</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115</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45</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56</w:t>
            </w:r>
          </w:p>
        </w:tc>
      </w:tr>
      <w:tr w:rsidR="00C81D2D" w:rsidRPr="00C81D2D" w:rsidTr="0051475A">
        <w:trPr>
          <w:trHeight w:val="267"/>
        </w:trPr>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Ulcinj</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55</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23</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32</w:t>
            </w:r>
          </w:p>
        </w:tc>
      </w:tr>
      <w:tr w:rsidR="00C81D2D" w:rsidRPr="00C81D2D" w:rsidTr="0051475A">
        <w:trPr>
          <w:trHeight w:val="281"/>
        </w:trPr>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Kolašin</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35</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15</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20</w:t>
            </w:r>
          </w:p>
        </w:tc>
      </w:tr>
      <w:tr w:rsidR="00C81D2D" w:rsidRPr="00C81D2D" w:rsidTr="0051475A">
        <w:trPr>
          <w:trHeight w:val="267"/>
        </w:trPr>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Mojkovac</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25</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15</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10</w:t>
            </w:r>
          </w:p>
        </w:tc>
      </w:tr>
      <w:tr w:rsidR="00C81D2D" w:rsidRPr="00C81D2D" w:rsidTr="0051475A">
        <w:trPr>
          <w:trHeight w:val="267"/>
        </w:trPr>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Žabljak</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35</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9</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26</w:t>
            </w:r>
          </w:p>
        </w:tc>
      </w:tr>
      <w:tr w:rsidR="00C81D2D" w:rsidRPr="00C81D2D" w:rsidTr="0051475A">
        <w:trPr>
          <w:trHeight w:val="350"/>
        </w:trPr>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Šavnik</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35</w:t>
            </w:r>
          </w:p>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10</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25</w:t>
            </w:r>
          </w:p>
        </w:tc>
      </w:tr>
      <w:tr w:rsidR="00C81D2D" w:rsidRPr="00C81D2D" w:rsidTr="0051475A">
        <w:trPr>
          <w:trHeight w:val="267"/>
        </w:trPr>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Pljevlja</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35</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13</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22</w:t>
            </w:r>
          </w:p>
        </w:tc>
      </w:tr>
      <w:tr w:rsidR="00C81D2D" w:rsidRPr="00C81D2D" w:rsidTr="0051475A">
        <w:trPr>
          <w:trHeight w:val="281"/>
        </w:trPr>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Bijelo Polje      </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47</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17</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30</w:t>
            </w:r>
          </w:p>
        </w:tc>
      </w:tr>
      <w:tr w:rsidR="00C81D2D" w:rsidRPr="00C81D2D" w:rsidTr="0051475A">
        <w:trPr>
          <w:trHeight w:val="267"/>
        </w:trPr>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Rožaje</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20</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11</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9</w:t>
            </w:r>
          </w:p>
        </w:tc>
      </w:tr>
      <w:tr w:rsidR="00C81D2D" w:rsidRPr="00C81D2D" w:rsidTr="0051475A">
        <w:trPr>
          <w:trHeight w:val="267"/>
        </w:trPr>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Berane</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60</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30</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23</w:t>
            </w:r>
          </w:p>
        </w:tc>
      </w:tr>
      <w:tr w:rsidR="00C81D2D" w:rsidRPr="00C81D2D" w:rsidTr="0051475A">
        <w:trPr>
          <w:trHeight w:val="267"/>
        </w:trPr>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Petnjica</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5</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3</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2</w:t>
            </w:r>
          </w:p>
        </w:tc>
      </w:tr>
      <w:tr w:rsidR="00C81D2D" w:rsidRPr="00C81D2D" w:rsidTr="0051475A">
        <w:trPr>
          <w:trHeight w:val="267"/>
        </w:trPr>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Plužine</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15</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5</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10</w:t>
            </w:r>
          </w:p>
        </w:tc>
      </w:tr>
      <w:tr w:rsidR="00C81D2D" w:rsidRPr="00C81D2D" w:rsidTr="0051475A">
        <w:trPr>
          <w:trHeight w:val="267"/>
        </w:trPr>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Andrijevica</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30</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16</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14</w:t>
            </w:r>
          </w:p>
        </w:tc>
      </w:tr>
      <w:tr w:rsidR="00C81D2D" w:rsidRPr="00C81D2D" w:rsidTr="0051475A">
        <w:trPr>
          <w:trHeight w:val="267"/>
        </w:trPr>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lastRenderedPageBreak/>
              <w:t xml:space="preserve">Plav  </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8</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2</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6</w:t>
            </w:r>
          </w:p>
        </w:tc>
      </w:tr>
      <w:tr w:rsidR="00C81D2D" w:rsidRPr="00C81D2D" w:rsidTr="0051475A">
        <w:trPr>
          <w:trHeight w:val="445"/>
        </w:trPr>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Gusinje</w:t>
            </w:r>
          </w:p>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spacing w:val="-6"/>
                <w:sz w:val="22"/>
                <w:lang w:val="en-US"/>
              </w:rPr>
            </w:pPr>
            <w:r w:rsidRPr="00C81D2D">
              <w:rPr>
                <w:rFonts w:ascii="Calibri" w:eastAsia="Calibri" w:hAnsi="Calibri" w:cs="Times New Roman"/>
                <w:spacing w:val="-6"/>
                <w:sz w:val="22"/>
                <w:lang w:val="en-US"/>
              </w:rPr>
              <w:t xml:space="preserve">   /</w:t>
            </w:r>
          </w:p>
        </w:tc>
      </w:tr>
      <w:tr w:rsidR="00C81D2D" w:rsidRPr="00C81D2D" w:rsidTr="0051475A">
        <w:trPr>
          <w:trHeight w:val="260"/>
        </w:trPr>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b/>
                <w:spacing w:val="-6"/>
                <w:sz w:val="22"/>
                <w:lang w:val="en-US"/>
              </w:rPr>
            </w:pPr>
            <w:r w:rsidRPr="00C81D2D">
              <w:rPr>
                <w:rFonts w:ascii="Calibri" w:eastAsia="Calibri" w:hAnsi="Calibri" w:cs="Times New Roman"/>
                <w:b/>
                <w:spacing w:val="-6"/>
                <w:sz w:val="22"/>
                <w:lang w:val="en-US"/>
              </w:rPr>
              <w:t>Ukupno:</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b/>
                <w:spacing w:val="-6"/>
                <w:sz w:val="22"/>
                <w:lang w:val="en-US"/>
              </w:rPr>
            </w:pPr>
            <w:r w:rsidRPr="00C81D2D">
              <w:rPr>
                <w:rFonts w:ascii="Calibri" w:eastAsia="Calibri" w:hAnsi="Calibri" w:cs="Times New Roman"/>
                <w:b/>
                <w:spacing w:val="-6"/>
                <w:sz w:val="22"/>
                <w:lang w:val="en-US"/>
              </w:rPr>
              <w:t>1655</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b/>
                <w:spacing w:val="-6"/>
                <w:sz w:val="22"/>
                <w:lang w:val="en-US"/>
              </w:rPr>
            </w:pPr>
            <w:r w:rsidRPr="00C81D2D">
              <w:rPr>
                <w:rFonts w:ascii="Calibri" w:eastAsia="Calibri" w:hAnsi="Calibri" w:cs="Times New Roman"/>
                <w:b/>
                <w:spacing w:val="-6"/>
                <w:sz w:val="22"/>
                <w:lang w:val="en-US"/>
              </w:rPr>
              <w:t>608</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1D2D" w:rsidRPr="00C81D2D" w:rsidRDefault="00C81D2D" w:rsidP="00C81D2D">
            <w:pPr>
              <w:autoSpaceDN w:val="0"/>
              <w:spacing w:before="0" w:after="0" w:line="240" w:lineRule="auto"/>
              <w:jc w:val="left"/>
              <w:rPr>
                <w:rFonts w:ascii="Calibri" w:eastAsia="Calibri" w:hAnsi="Calibri" w:cs="Times New Roman"/>
                <w:b/>
                <w:spacing w:val="-6"/>
                <w:sz w:val="22"/>
                <w:lang w:val="en-US"/>
              </w:rPr>
            </w:pPr>
            <w:r w:rsidRPr="00C81D2D">
              <w:rPr>
                <w:rFonts w:ascii="Calibri" w:eastAsia="Calibri" w:hAnsi="Calibri" w:cs="Times New Roman"/>
                <w:b/>
                <w:spacing w:val="-6"/>
                <w:sz w:val="22"/>
                <w:lang w:val="en-US"/>
              </w:rPr>
              <w:t>912</w:t>
            </w:r>
          </w:p>
        </w:tc>
      </w:tr>
    </w:tbl>
    <w:p w:rsidR="008C484C" w:rsidRDefault="008C484C" w:rsidP="00CE19E8">
      <w:pPr>
        <w:suppressAutoHyphens/>
        <w:autoSpaceDN w:val="0"/>
        <w:spacing w:before="0" w:after="0" w:line="240" w:lineRule="auto"/>
        <w:ind w:firstLine="709"/>
        <w:textAlignment w:val="baseline"/>
        <w:rPr>
          <w:rFonts w:eastAsia="Times New Roman" w:cs="Times New Roman"/>
          <w:b/>
          <w:szCs w:val="24"/>
          <w:lang w:val="en-US"/>
        </w:rPr>
      </w:pPr>
    </w:p>
    <w:p w:rsidR="00C81D2D" w:rsidRPr="00C81D2D" w:rsidRDefault="00C81D2D" w:rsidP="00CE19E8">
      <w:pPr>
        <w:suppressAutoHyphens/>
        <w:autoSpaceDN w:val="0"/>
        <w:spacing w:before="0" w:after="0" w:line="240" w:lineRule="auto"/>
        <w:ind w:firstLine="709"/>
        <w:textAlignment w:val="baseline"/>
        <w:rPr>
          <w:rFonts w:eastAsia="Times New Roman" w:cs="Times New Roman"/>
          <w:szCs w:val="24"/>
          <w:lang w:val="en-US"/>
        </w:rPr>
      </w:pPr>
      <w:r w:rsidRPr="00C81D2D">
        <w:rPr>
          <w:rFonts w:eastAsia="Times New Roman" w:cs="Times New Roman"/>
          <w:b/>
          <w:szCs w:val="24"/>
          <w:lang w:val="en-US"/>
        </w:rPr>
        <w:t xml:space="preserve">U </w:t>
      </w:r>
      <w:r w:rsidRPr="008C484C">
        <w:rPr>
          <w:rFonts w:eastAsia="Times New Roman" w:cs="Times New Roman"/>
          <w:b/>
          <w:szCs w:val="24"/>
          <w:u w:val="single"/>
          <w:lang w:val="en-US"/>
        </w:rPr>
        <w:t>Direkciji za inspekcijski nadzor nad državnom imovinom</w:t>
      </w:r>
      <w:r w:rsidRPr="00C81D2D">
        <w:rPr>
          <w:rFonts w:eastAsia="Times New Roman" w:cs="Times New Roman"/>
          <w:szCs w:val="24"/>
          <w:lang w:val="en-US"/>
        </w:rPr>
        <w:t xml:space="preserve"> u izvještajnom periodu </w:t>
      </w:r>
      <w:r w:rsidRPr="00C81D2D">
        <w:rPr>
          <w:rFonts w:eastAsia="Times New Roman" w:cs="Times New Roman"/>
          <w:b/>
          <w:szCs w:val="24"/>
          <w:lang w:val="en-US"/>
        </w:rPr>
        <w:t xml:space="preserve">izvršeno je 5 redovnih inspekcijskih nadzora, postupljeno je po 23 inicijative/pritužbe te realizovan još 101 zahjev iz nadležnosti Direktorata. </w:t>
      </w:r>
    </w:p>
    <w:p w:rsidR="00C81D2D" w:rsidRPr="00C81D2D" w:rsidRDefault="00C81D2D" w:rsidP="00CE19E8">
      <w:pPr>
        <w:suppressAutoHyphens/>
        <w:autoSpaceDN w:val="0"/>
        <w:spacing w:before="0" w:after="0" w:line="240" w:lineRule="auto"/>
        <w:ind w:firstLine="709"/>
        <w:textAlignment w:val="baseline"/>
        <w:rPr>
          <w:rFonts w:eastAsia="Times New Roman" w:cs="Times New Roman"/>
          <w:b/>
          <w:szCs w:val="24"/>
          <w:lang w:val="en-US"/>
        </w:rPr>
      </w:pPr>
      <w:r w:rsidRPr="00C81D2D">
        <w:rPr>
          <w:rFonts w:eastAsia="Times New Roman" w:cs="Times New Roman"/>
          <w:b/>
          <w:szCs w:val="24"/>
          <w:lang w:val="en-US"/>
        </w:rPr>
        <w:t>U radu je 1 redovni inspekcijski nadzor kao i 15 zahtjeva za kupovinu i zakup nepokretnosti – zemljišta.</w:t>
      </w:r>
    </w:p>
    <w:p w:rsidR="00C81D2D" w:rsidRPr="00C81D2D" w:rsidRDefault="00C81D2D" w:rsidP="00CE19E8">
      <w:pPr>
        <w:suppressAutoHyphens/>
        <w:autoSpaceDN w:val="0"/>
        <w:spacing w:before="0" w:after="0" w:line="240" w:lineRule="auto"/>
        <w:ind w:firstLine="709"/>
        <w:textAlignment w:val="baseline"/>
        <w:rPr>
          <w:rFonts w:eastAsia="Times New Roman" w:cs="Times New Roman"/>
          <w:b/>
          <w:i/>
          <w:szCs w:val="24"/>
          <w:lang w:val="en-US"/>
        </w:rPr>
      </w:pPr>
      <w:r w:rsidRPr="00C81D2D">
        <w:rPr>
          <w:rFonts w:eastAsia="Times New Roman" w:cs="Times New Roman"/>
          <w:b/>
          <w:i/>
          <w:szCs w:val="24"/>
          <w:lang w:val="en-US"/>
        </w:rPr>
        <w:t>Inspekcijski nadzor</w:t>
      </w:r>
    </w:p>
    <w:p w:rsidR="00C81D2D" w:rsidRPr="00C81D2D" w:rsidRDefault="00C81D2D" w:rsidP="00C81D2D">
      <w:pPr>
        <w:suppressAutoHyphens/>
        <w:autoSpaceDN w:val="0"/>
        <w:spacing w:before="0" w:after="0" w:line="240" w:lineRule="auto"/>
        <w:textAlignment w:val="baseline"/>
        <w:rPr>
          <w:rFonts w:eastAsia="Calibri" w:cs="Times New Roman"/>
          <w:szCs w:val="24"/>
          <w:lang w:val="en-US"/>
        </w:rPr>
      </w:pPr>
      <w:r w:rsidRPr="00C81D2D">
        <w:rPr>
          <w:rFonts w:eastAsia="Calibri" w:cs="Times New Roman"/>
          <w:szCs w:val="24"/>
          <w:lang w:val="en-US"/>
        </w:rPr>
        <w:t xml:space="preserve">Redovnim inspekcijskim nadzorom je </w:t>
      </w:r>
      <w:r w:rsidRPr="00C81D2D">
        <w:rPr>
          <w:rFonts w:eastAsia="Calibri" w:cs="Calibri"/>
          <w:szCs w:val="24"/>
          <w:lang w:val="en-US"/>
        </w:rPr>
        <w:t>obuhvaćena primjena sljedećih propisa:</w:t>
      </w:r>
    </w:p>
    <w:p w:rsidR="00C81D2D" w:rsidRPr="00C81D2D" w:rsidRDefault="00C81D2D" w:rsidP="00146EBE">
      <w:pPr>
        <w:numPr>
          <w:ilvl w:val="0"/>
          <w:numId w:val="48"/>
        </w:numPr>
        <w:suppressAutoHyphens/>
        <w:autoSpaceDN w:val="0"/>
        <w:spacing w:before="0" w:after="0" w:line="240" w:lineRule="auto"/>
        <w:jc w:val="left"/>
        <w:textAlignment w:val="baseline"/>
        <w:rPr>
          <w:rFonts w:eastAsia="Calibri" w:cs="Calibri"/>
          <w:szCs w:val="24"/>
          <w:lang w:val="en-US"/>
        </w:rPr>
      </w:pPr>
      <w:r w:rsidRPr="00C81D2D">
        <w:rPr>
          <w:rFonts w:eastAsia="Calibri" w:cs="Calibri"/>
          <w:szCs w:val="24"/>
          <w:lang w:val="en-US"/>
        </w:rPr>
        <w:t>Zakon o državnoj imovini ("Službeni list Crne Gore", br. 21/09 i 40/11);</w:t>
      </w:r>
    </w:p>
    <w:p w:rsidR="00C81D2D" w:rsidRPr="00C81D2D" w:rsidRDefault="00C81D2D" w:rsidP="00146EBE">
      <w:pPr>
        <w:numPr>
          <w:ilvl w:val="0"/>
          <w:numId w:val="48"/>
        </w:numPr>
        <w:suppressAutoHyphens/>
        <w:autoSpaceDN w:val="0"/>
        <w:spacing w:before="0" w:after="0" w:line="240" w:lineRule="auto"/>
        <w:jc w:val="left"/>
        <w:textAlignment w:val="baseline"/>
        <w:rPr>
          <w:rFonts w:eastAsia="Calibri" w:cs="Times New Roman"/>
          <w:szCs w:val="24"/>
          <w:lang w:val="en-US"/>
        </w:rPr>
      </w:pPr>
      <w:r w:rsidRPr="00C81D2D">
        <w:rPr>
          <w:rFonts w:eastAsia="Calibri" w:cs="Calibri"/>
          <w:szCs w:val="24"/>
          <w:lang w:val="en-US"/>
        </w:rPr>
        <w:t>Uredba o prodaji i davanju u zakup stvari u državnoj imovini ("Službeni list CG", br. 44/10);</w:t>
      </w:r>
    </w:p>
    <w:p w:rsidR="001B59AC" w:rsidRDefault="00C81D2D" w:rsidP="00146EBE">
      <w:pPr>
        <w:numPr>
          <w:ilvl w:val="0"/>
          <w:numId w:val="48"/>
        </w:numPr>
        <w:suppressAutoHyphens/>
        <w:autoSpaceDN w:val="0"/>
        <w:spacing w:before="0" w:after="160" w:line="240" w:lineRule="auto"/>
        <w:jc w:val="left"/>
        <w:textAlignment w:val="baseline"/>
        <w:rPr>
          <w:rFonts w:eastAsia="Times New Roman" w:cs="Times New Roman"/>
          <w:szCs w:val="24"/>
          <w:lang w:val="en-US"/>
        </w:rPr>
      </w:pPr>
      <w:r w:rsidRPr="00C81D2D">
        <w:rPr>
          <w:rFonts w:eastAsia="Times New Roman" w:cs="Calibri"/>
          <w:szCs w:val="24"/>
          <w:lang w:val="en-US"/>
        </w:rPr>
        <w:t>Uredba o evidenciji pokretnih i nepokretnih stvari i o popisu stvari u državnoj svojini (“Službeni list CG”, broj 13/10);</w:t>
      </w:r>
    </w:p>
    <w:p w:rsidR="00F75562" w:rsidRPr="001B59AC" w:rsidRDefault="00C81D2D" w:rsidP="00C62FB8">
      <w:pPr>
        <w:suppressAutoHyphens/>
        <w:autoSpaceDN w:val="0"/>
        <w:spacing w:before="0" w:after="0" w:line="240" w:lineRule="auto"/>
        <w:textAlignment w:val="baseline"/>
        <w:rPr>
          <w:rFonts w:eastAsia="Times New Roman" w:cs="Times New Roman"/>
          <w:szCs w:val="24"/>
          <w:lang w:val="en-US"/>
        </w:rPr>
      </w:pPr>
      <w:r w:rsidRPr="001B59AC">
        <w:rPr>
          <w:rFonts w:eastAsia="Times New Roman" w:cs="Times New Roman"/>
          <w:szCs w:val="24"/>
          <w:lang w:val="en-US"/>
        </w:rPr>
        <w:t xml:space="preserve">pa je tako u izvještajnom periodu odrađeno 5 inspekcijskih nadzora, a 1 inspekcijski nadzor je u toku. </w:t>
      </w:r>
    </w:p>
    <w:p w:rsidR="00C81D2D" w:rsidRPr="00C81D2D" w:rsidRDefault="00C81D2D" w:rsidP="00C62FB8">
      <w:pPr>
        <w:suppressAutoHyphens/>
        <w:autoSpaceDN w:val="0"/>
        <w:spacing w:before="0" w:after="0" w:line="240" w:lineRule="auto"/>
        <w:ind w:firstLine="709"/>
        <w:textAlignment w:val="baseline"/>
        <w:rPr>
          <w:rFonts w:eastAsia="Times New Roman" w:cs="Times New Roman"/>
          <w:szCs w:val="24"/>
          <w:lang w:val="en-US"/>
        </w:rPr>
      </w:pPr>
      <w:r w:rsidRPr="00C81D2D">
        <w:rPr>
          <w:rFonts w:eastAsia="Times New Roman" w:cs="Times New Roman"/>
          <w:szCs w:val="24"/>
          <w:lang w:val="en-US"/>
        </w:rPr>
        <w:t>Završen je inspekcijski nadzor u opštinama Danilovgrad, Mojkovac</w:t>
      </w:r>
      <w:r w:rsidR="00AA36FA">
        <w:rPr>
          <w:rFonts w:eastAsia="Times New Roman" w:cs="Times New Roman"/>
          <w:szCs w:val="24"/>
          <w:lang w:val="en-US"/>
        </w:rPr>
        <w:t xml:space="preserve">, Kolašin, Plav i Prijestonici </w:t>
      </w:r>
      <w:r w:rsidR="001B59AC">
        <w:rPr>
          <w:rFonts w:eastAsia="Times New Roman" w:cs="Times New Roman"/>
          <w:szCs w:val="24"/>
          <w:lang w:val="en-US"/>
        </w:rPr>
        <w:t>Cetinj</w:t>
      </w:r>
      <w:r w:rsidRPr="00C81D2D">
        <w:rPr>
          <w:rFonts w:eastAsia="Times New Roman" w:cs="Times New Roman"/>
          <w:szCs w:val="24"/>
          <w:lang w:val="en-US"/>
        </w:rPr>
        <w:t>e, dok je za opštinu Rožaje u toku pregled prikupljene dokumentacije.</w:t>
      </w:r>
    </w:p>
    <w:p w:rsidR="00C81D2D" w:rsidRPr="00C81D2D" w:rsidRDefault="00C81D2D" w:rsidP="001B59AC">
      <w:pPr>
        <w:suppressAutoHyphens/>
        <w:autoSpaceDN w:val="0"/>
        <w:spacing w:before="0" w:after="0" w:line="240" w:lineRule="auto"/>
        <w:ind w:firstLine="709"/>
        <w:textAlignment w:val="baseline"/>
        <w:rPr>
          <w:rFonts w:eastAsia="Times New Roman" w:cs="Times New Roman"/>
          <w:szCs w:val="24"/>
          <w:lang w:val="en-US"/>
        </w:rPr>
      </w:pPr>
      <w:r w:rsidRPr="00C81D2D">
        <w:rPr>
          <w:rFonts w:eastAsia="Times New Roman" w:cs="Times New Roman"/>
          <w:szCs w:val="24"/>
          <w:lang w:val="en-US"/>
        </w:rPr>
        <w:t xml:space="preserve">Nakon izvršenog inspekcijskog nadzora, sačinjeni zapisnici za opštine Mojkovac, Kolašin i Prijestonicu Cetinje su proslijeđeni Vrhovnom državnom tužilaštvu na dalje postupanje i utvrđivanje eventualnih radnji iz njihove nadležnosti. </w:t>
      </w:r>
    </w:p>
    <w:p w:rsidR="00C81D2D" w:rsidRPr="00C81D2D" w:rsidRDefault="00C81D2D" w:rsidP="00F75562">
      <w:pPr>
        <w:suppressAutoHyphens/>
        <w:autoSpaceDN w:val="0"/>
        <w:spacing w:before="0" w:after="0" w:line="240" w:lineRule="auto"/>
        <w:ind w:firstLine="709"/>
        <w:textAlignment w:val="baseline"/>
        <w:rPr>
          <w:rFonts w:eastAsia="Times New Roman" w:cs="Times New Roman"/>
          <w:szCs w:val="24"/>
          <w:lang w:val="en-US"/>
        </w:rPr>
      </w:pPr>
      <w:r w:rsidRPr="00C81D2D">
        <w:rPr>
          <w:rFonts w:eastAsia="Times New Roman" w:cs="Times New Roman"/>
          <w:szCs w:val="24"/>
          <w:lang w:val="en-US"/>
        </w:rPr>
        <w:t>U Sekretarijatu za imovinu i investicije opštine Danilovgrad, nijesu utvrđene nepravilnosti od uticaja na zakonitost sprovedenih postupaka.</w:t>
      </w:r>
    </w:p>
    <w:p w:rsidR="00C81D2D" w:rsidRPr="00C81D2D" w:rsidRDefault="00C81D2D" w:rsidP="00F75562">
      <w:pPr>
        <w:suppressAutoHyphens/>
        <w:autoSpaceDN w:val="0"/>
        <w:spacing w:before="0" w:after="0" w:line="240" w:lineRule="auto"/>
        <w:ind w:firstLine="709"/>
        <w:textAlignment w:val="baseline"/>
        <w:rPr>
          <w:rFonts w:eastAsia="Times New Roman" w:cs="Times New Roman"/>
          <w:szCs w:val="24"/>
          <w:lang w:val="en-US"/>
        </w:rPr>
      </w:pPr>
      <w:r w:rsidRPr="00C81D2D">
        <w:rPr>
          <w:rFonts w:eastAsia="Times New Roman" w:cs="Times New Roman"/>
          <w:szCs w:val="24"/>
          <w:lang w:val="en-US"/>
        </w:rPr>
        <w:t>Pored redovnih inspekcijskih nadzora, zaprimljeno je 23 inicijative/pritužbe po ko</w:t>
      </w:r>
      <w:r w:rsidR="001B59AC">
        <w:rPr>
          <w:rFonts w:eastAsia="Times New Roman" w:cs="Times New Roman"/>
          <w:szCs w:val="24"/>
          <w:lang w:val="en-US"/>
        </w:rPr>
        <w:t xml:space="preserve">jima je postupljenom, pri čemu </w:t>
      </w:r>
      <w:r w:rsidRPr="00C81D2D">
        <w:rPr>
          <w:rFonts w:eastAsia="Times New Roman" w:cs="Times New Roman"/>
          <w:szCs w:val="24"/>
          <w:lang w:val="en-US"/>
        </w:rPr>
        <w:t>je dio inicijativa nakon uvida i</w:t>
      </w:r>
      <w:r w:rsidR="001B59AC">
        <w:rPr>
          <w:rFonts w:eastAsia="Times New Roman" w:cs="Times New Roman"/>
          <w:szCs w:val="24"/>
          <w:lang w:val="en-US"/>
        </w:rPr>
        <w:t xml:space="preserve"> ocjene dokumentacije a shodno </w:t>
      </w:r>
      <w:r w:rsidRPr="00C81D2D">
        <w:rPr>
          <w:rFonts w:eastAsia="Times New Roman" w:cs="Times New Roman"/>
          <w:szCs w:val="24"/>
          <w:lang w:val="en-US"/>
        </w:rPr>
        <w:t>Zakonu o upravnom postupku, proslijeđen nadležnom organu.</w:t>
      </w:r>
    </w:p>
    <w:p w:rsidR="00C81D2D" w:rsidRPr="002423BC" w:rsidRDefault="00C81D2D" w:rsidP="00C81D2D">
      <w:pPr>
        <w:suppressAutoHyphens/>
        <w:autoSpaceDN w:val="0"/>
        <w:spacing w:before="0" w:after="0" w:line="240" w:lineRule="auto"/>
        <w:textAlignment w:val="baseline"/>
        <w:rPr>
          <w:rFonts w:eastAsia="Times New Roman" w:cs="Times New Roman"/>
          <w:i/>
          <w:szCs w:val="24"/>
          <w:lang w:val="en-US"/>
        </w:rPr>
      </w:pPr>
      <w:r w:rsidRPr="00C81D2D">
        <w:rPr>
          <w:rFonts w:eastAsia="Times New Roman" w:cs="Times New Roman"/>
          <w:i/>
          <w:szCs w:val="24"/>
          <w:lang w:val="en-US"/>
        </w:rPr>
        <w:t>Napomena: Zbog mjera koje su uzrokovane pandemijom virusa COVID 19, inspekcijski nadzor u opštinama Kolašin, Mojkovac, Rožaje i Plav nije vršen na licu mjesta nego je u skladu sa navedenim zatraženo dostavljanje cjelokupne dokumentacije od strane subjekata nadzora i pregled je izvršen u službenim prostorijama Direkcije za inspekcijski nadzor nad državnom imovinom - u skladu sa Z</w:t>
      </w:r>
      <w:r w:rsidR="002423BC">
        <w:rPr>
          <w:rFonts w:eastAsia="Times New Roman" w:cs="Times New Roman"/>
          <w:i/>
          <w:szCs w:val="24"/>
          <w:lang w:val="en-US"/>
        </w:rPr>
        <w:t>akonom o inspekcijskom nadzoru.</w:t>
      </w:r>
    </w:p>
    <w:p w:rsidR="00C81D2D" w:rsidRPr="00C81D2D" w:rsidRDefault="00C81D2D" w:rsidP="002423BC">
      <w:pPr>
        <w:suppressAutoHyphens/>
        <w:autoSpaceDN w:val="0"/>
        <w:spacing w:before="0" w:after="0" w:line="240" w:lineRule="auto"/>
        <w:ind w:firstLine="709"/>
        <w:textAlignment w:val="baseline"/>
        <w:rPr>
          <w:rFonts w:eastAsia="Times New Roman" w:cs="Times New Roman"/>
          <w:b/>
          <w:i/>
          <w:szCs w:val="24"/>
          <w:lang w:val="en-US"/>
        </w:rPr>
      </w:pPr>
      <w:r w:rsidRPr="00C81D2D">
        <w:rPr>
          <w:rFonts w:eastAsia="Times New Roman" w:cs="Times New Roman"/>
          <w:b/>
          <w:i/>
          <w:szCs w:val="24"/>
          <w:lang w:val="en-US"/>
        </w:rPr>
        <w:t>Ostalo</w:t>
      </w:r>
    </w:p>
    <w:p w:rsidR="00C81D2D" w:rsidRPr="00C81D2D" w:rsidRDefault="00C81D2D" w:rsidP="002423BC">
      <w:pPr>
        <w:suppressAutoHyphens/>
        <w:autoSpaceDN w:val="0"/>
        <w:spacing w:before="0" w:after="0" w:line="240" w:lineRule="auto"/>
        <w:ind w:firstLine="709"/>
        <w:textAlignment w:val="baseline"/>
        <w:rPr>
          <w:rFonts w:eastAsia="Times New Roman" w:cs="Times New Roman"/>
          <w:szCs w:val="24"/>
          <w:lang w:val="en-US"/>
        </w:rPr>
      </w:pPr>
      <w:r w:rsidRPr="00C81D2D">
        <w:rPr>
          <w:rFonts w:eastAsia="Times New Roman" w:cs="Times New Roman"/>
          <w:szCs w:val="24"/>
          <w:lang w:val="en-US"/>
        </w:rPr>
        <w:t>Pored nadležnosti propisanih Zakonom o državnoj imovini, u direkciji za inspekcijski nadzor nad državnom imovinom u izvještajnom periodu su obavljani i drugi poslovi iz nadležnosti Direktorata za imovinsko pravne poslove, koji se odnose na davanje mišljenja i saglasnosti te prodaju i zakup državne imovine:</w:t>
      </w:r>
    </w:p>
    <w:p w:rsidR="00C81D2D" w:rsidRPr="00C81D2D" w:rsidRDefault="00C81D2D" w:rsidP="00F75562">
      <w:pPr>
        <w:autoSpaceDN w:val="0"/>
        <w:spacing w:before="0" w:after="0" w:line="240" w:lineRule="auto"/>
        <w:ind w:left="720"/>
        <w:rPr>
          <w:rFonts w:eastAsia="Times New Roman" w:cs="Times New Roman"/>
          <w:szCs w:val="24"/>
          <w:lang w:val="en-US"/>
        </w:rPr>
      </w:pPr>
      <w:r w:rsidRPr="00C81D2D">
        <w:rPr>
          <w:rFonts w:eastAsia="Times New Roman" w:cs="Times New Roman"/>
          <w:szCs w:val="24"/>
          <w:lang w:val="en-US"/>
        </w:rPr>
        <w:t>Zahtjevi državnih organa za mišljenja i saglasnosti:</w:t>
      </w:r>
    </w:p>
    <w:p w:rsidR="00C81D2D" w:rsidRPr="00C81D2D" w:rsidRDefault="00C81D2D" w:rsidP="00146EBE">
      <w:pPr>
        <w:numPr>
          <w:ilvl w:val="1"/>
          <w:numId w:val="49"/>
        </w:numPr>
        <w:suppressAutoHyphens/>
        <w:autoSpaceDN w:val="0"/>
        <w:spacing w:before="0" w:after="0" w:line="240" w:lineRule="auto"/>
        <w:jc w:val="left"/>
        <w:textAlignment w:val="baseline"/>
        <w:rPr>
          <w:rFonts w:eastAsia="Times New Roman" w:cs="Times New Roman"/>
          <w:szCs w:val="24"/>
          <w:lang w:val="en-US"/>
        </w:rPr>
      </w:pPr>
      <w:r w:rsidRPr="00C81D2D">
        <w:rPr>
          <w:rFonts w:eastAsia="Times New Roman" w:cs="Times New Roman"/>
          <w:szCs w:val="24"/>
          <w:lang w:val="en-US"/>
        </w:rPr>
        <w:t xml:space="preserve">zaprimljeno 71 zahtjev, </w:t>
      </w:r>
    </w:p>
    <w:p w:rsidR="00C81D2D" w:rsidRPr="00C81D2D" w:rsidRDefault="00C81D2D" w:rsidP="00146EBE">
      <w:pPr>
        <w:numPr>
          <w:ilvl w:val="1"/>
          <w:numId w:val="49"/>
        </w:numPr>
        <w:suppressAutoHyphens/>
        <w:autoSpaceDN w:val="0"/>
        <w:spacing w:before="0" w:after="0" w:line="240" w:lineRule="auto"/>
        <w:jc w:val="left"/>
        <w:textAlignment w:val="baseline"/>
        <w:rPr>
          <w:rFonts w:eastAsia="Times New Roman" w:cs="Times New Roman"/>
          <w:szCs w:val="24"/>
          <w:lang w:val="en-US"/>
        </w:rPr>
      </w:pPr>
      <w:r w:rsidRPr="00C81D2D">
        <w:rPr>
          <w:rFonts w:eastAsia="Times New Roman" w:cs="Times New Roman"/>
          <w:szCs w:val="24"/>
          <w:lang w:val="en-US"/>
        </w:rPr>
        <w:t>realizovano 71 zahtjev</w:t>
      </w:r>
    </w:p>
    <w:p w:rsidR="00C81D2D" w:rsidRPr="00C81D2D" w:rsidRDefault="00C81D2D" w:rsidP="00146EBE">
      <w:pPr>
        <w:numPr>
          <w:ilvl w:val="0"/>
          <w:numId w:val="49"/>
        </w:numPr>
        <w:suppressAutoHyphens/>
        <w:autoSpaceDN w:val="0"/>
        <w:spacing w:before="0" w:after="0" w:line="240" w:lineRule="auto"/>
        <w:jc w:val="left"/>
        <w:textAlignment w:val="baseline"/>
        <w:rPr>
          <w:rFonts w:eastAsia="Times New Roman" w:cs="Times New Roman"/>
          <w:szCs w:val="24"/>
          <w:lang w:val="en-US"/>
        </w:rPr>
      </w:pPr>
      <w:r w:rsidRPr="00C81D2D">
        <w:rPr>
          <w:rFonts w:eastAsia="Times New Roman" w:cs="Times New Roman"/>
          <w:szCs w:val="24"/>
          <w:lang w:val="en-US"/>
        </w:rPr>
        <w:t>Zahtjevi za kupovinu nepokretnosti - zemljišta:</w:t>
      </w:r>
    </w:p>
    <w:p w:rsidR="00C81D2D" w:rsidRPr="00C81D2D" w:rsidRDefault="00C81D2D" w:rsidP="00146EBE">
      <w:pPr>
        <w:numPr>
          <w:ilvl w:val="1"/>
          <w:numId w:val="49"/>
        </w:numPr>
        <w:suppressAutoHyphens/>
        <w:autoSpaceDN w:val="0"/>
        <w:spacing w:before="0" w:after="0" w:line="240" w:lineRule="auto"/>
        <w:jc w:val="left"/>
        <w:textAlignment w:val="baseline"/>
        <w:rPr>
          <w:rFonts w:eastAsia="Times New Roman" w:cs="Times New Roman"/>
          <w:szCs w:val="24"/>
          <w:lang w:val="en-US"/>
        </w:rPr>
      </w:pPr>
      <w:r w:rsidRPr="00C81D2D">
        <w:rPr>
          <w:rFonts w:eastAsia="Times New Roman" w:cs="Times New Roman"/>
          <w:szCs w:val="24"/>
          <w:lang w:val="en-US"/>
        </w:rPr>
        <w:t xml:space="preserve">zaprimljeno 43 zahtjeva, </w:t>
      </w:r>
    </w:p>
    <w:p w:rsidR="00C81D2D" w:rsidRPr="00C81D2D" w:rsidRDefault="00C81D2D" w:rsidP="00146EBE">
      <w:pPr>
        <w:numPr>
          <w:ilvl w:val="1"/>
          <w:numId w:val="49"/>
        </w:numPr>
        <w:suppressAutoHyphens/>
        <w:autoSpaceDN w:val="0"/>
        <w:spacing w:before="0" w:after="0" w:line="240" w:lineRule="auto"/>
        <w:jc w:val="left"/>
        <w:textAlignment w:val="baseline"/>
        <w:rPr>
          <w:rFonts w:eastAsia="Times New Roman" w:cs="Times New Roman"/>
          <w:szCs w:val="24"/>
          <w:lang w:val="en-US"/>
        </w:rPr>
      </w:pPr>
      <w:r w:rsidRPr="00C81D2D">
        <w:rPr>
          <w:rFonts w:eastAsia="Times New Roman" w:cs="Times New Roman"/>
          <w:szCs w:val="24"/>
          <w:lang w:val="en-US"/>
        </w:rPr>
        <w:t>realizovano 28 zahtjeva,</w:t>
      </w:r>
    </w:p>
    <w:p w:rsidR="00C81D2D" w:rsidRPr="00C81D2D" w:rsidRDefault="00C81D2D" w:rsidP="00146EBE">
      <w:pPr>
        <w:numPr>
          <w:ilvl w:val="1"/>
          <w:numId w:val="49"/>
        </w:numPr>
        <w:suppressAutoHyphens/>
        <w:autoSpaceDN w:val="0"/>
        <w:spacing w:before="0" w:after="0" w:line="240" w:lineRule="auto"/>
        <w:jc w:val="left"/>
        <w:textAlignment w:val="baseline"/>
        <w:rPr>
          <w:rFonts w:eastAsia="Times New Roman" w:cs="Times New Roman"/>
          <w:szCs w:val="24"/>
          <w:lang w:val="en-US"/>
        </w:rPr>
      </w:pPr>
      <w:r w:rsidRPr="00C81D2D">
        <w:rPr>
          <w:rFonts w:eastAsia="Times New Roman" w:cs="Times New Roman"/>
          <w:szCs w:val="24"/>
          <w:lang w:val="en-US"/>
        </w:rPr>
        <w:t>u radu 14 zahtjeva</w:t>
      </w:r>
    </w:p>
    <w:p w:rsidR="00C81D2D" w:rsidRPr="00C81D2D" w:rsidRDefault="00C81D2D" w:rsidP="00146EBE">
      <w:pPr>
        <w:numPr>
          <w:ilvl w:val="0"/>
          <w:numId w:val="49"/>
        </w:numPr>
        <w:suppressAutoHyphens/>
        <w:autoSpaceDN w:val="0"/>
        <w:spacing w:before="0" w:after="0" w:line="240" w:lineRule="auto"/>
        <w:jc w:val="left"/>
        <w:textAlignment w:val="baseline"/>
        <w:rPr>
          <w:rFonts w:eastAsia="Times New Roman" w:cs="Times New Roman"/>
          <w:szCs w:val="24"/>
          <w:lang w:val="en-US"/>
        </w:rPr>
      </w:pPr>
      <w:r w:rsidRPr="00C81D2D">
        <w:rPr>
          <w:rFonts w:eastAsia="Times New Roman" w:cs="Times New Roman"/>
          <w:szCs w:val="24"/>
          <w:lang w:val="en-US"/>
        </w:rPr>
        <w:t>Zahtjevi za zakup nepokretnosti - zemljišta:</w:t>
      </w:r>
    </w:p>
    <w:p w:rsidR="00C81D2D" w:rsidRPr="00C81D2D" w:rsidRDefault="00C81D2D" w:rsidP="00146EBE">
      <w:pPr>
        <w:numPr>
          <w:ilvl w:val="1"/>
          <w:numId w:val="49"/>
        </w:numPr>
        <w:suppressAutoHyphens/>
        <w:autoSpaceDN w:val="0"/>
        <w:spacing w:before="0" w:after="0" w:line="240" w:lineRule="auto"/>
        <w:jc w:val="left"/>
        <w:textAlignment w:val="baseline"/>
        <w:rPr>
          <w:rFonts w:eastAsia="Times New Roman" w:cs="Times New Roman"/>
          <w:szCs w:val="24"/>
          <w:lang w:val="en-US"/>
        </w:rPr>
      </w:pPr>
      <w:r w:rsidRPr="00C81D2D">
        <w:rPr>
          <w:rFonts w:eastAsia="Times New Roman" w:cs="Times New Roman"/>
          <w:szCs w:val="24"/>
          <w:lang w:val="en-US"/>
        </w:rPr>
        <w:t xml:space="preserve">zaprimljeno 3 zahtjeva, </w:t>
      </w:r>
    </w:p>
    <w:p w:rsidR="00C81D2D" w:rsidRPr="00C81D2D" w:rsidRDefault="00C81D2D" w:rsidP="00146EBE">
      <w:pPr>
        <w:numPr>
          <w:ilvl w:val="1"/>
          <w:numId w:val="49"/>
        </w:numPr>
        <w:suppressAutoHyphens/>
        <w:autoSpaceDN w:val="0"/>
        <w:spacing w:before="0" w:after="0" w:line="240" w:lineRule="auto"/>
        <w:jc w:val="left"/>
        <w:textAlignment w:val="baseline"/>
        <w:rPr>
          <w:rFonts w:eastAsia="Times New Roman" w:cs="Times New Roman"/>
          <w:szCs w:val="24"/>
          <w:lang w:val="en-US"/>
        </w:rPr>
      </w:pPr>
      <w:r w:rsidRPr="00C81D2D">
        <w:rPr>
          <w:rFonts w:eastAsia="Times New Roman" w:cs="Times New Roman"/>
          <w:szCs w:val="24"/>
          <w:lang w:val="en-US"/>
        </w:rPr>
        <w:t>realizovano 2 zahtjeva,</w:t>
      </w:r>
    </w:p>
    <w:p w:rsidR="00C81D2D" w:rsidRPr="00C81D2D" w:rsidRDefault="00C81D2D" w:rsidP="00146EBE">
      <w:pPr>
        <w:numPr>
          <w:ilvl w:val="1"/>
          <w:numId w:val="49"/>
        </w:numPr>
        <w:suppressAutoHyphens/>
        <w:autoSpaceDN w:val="0"/>
        <w:spacing w:before="0" w:after="0" w:line="240" w:lineRule="auto"/>
        <w:jc w:val="left"/>
        <w:textAlignment w:val="baseline"/>
        <w:rPr>
          <w:rFonts w:eastAsia="Times New Roman" w:cs="Times New Roman"/>
          <w:szCs w:val="24"/>
          <w:lang w:val="en-US"/>
        </w:rPr>
      </w:pPr>
      <w:r w:rsidRPr="00C81D2D">
        <w:rPr>
          <w:rFonts w:eastAsia="Times New Roman" w:cs="Times New Roman"/>
          <w:szCs w:val="24"/>
          <w:lang w:val="en-US"/>
        </w:rPr>
        <w:t>u radu 1 zahtjev.</w:t>
      </w:r>
    </w:p>
    <w:p w:rsidR="009F02CD" w:rsidRPr="00101664" w:rsidRDefault="00C81D2D" w:rsidP="009F02CD">
      <w:pPr>
        <w:suppressAutoHyphens/>
        <w:autoSpaceDN w:val="0"/>
        <w:spacing w:before="0" w:after="0" w:line="240" w:lineRule="auto"/>
        <w:textAlignment w:val="baseline"/>
        <w:rPr>
          <w:rFonts w:eastAsia="Calibri" w:cs="Times New Roman"/>
          <w:i/>
          <w:szCs w:val="24"/>
          <w:lang w:val="en-US"/>
        </w:rPr>
      </w:pPr>
      <w:r w:rsidRPr="00C81D2D">
        <w:rPr>
          <w:rFonts w:eastAsia="Calibri" w:cs="Times New Roman"/>
          <w:i/>
          <w:szCs w:val="24"/>
          <w:lang w:val="en-US"/>
        </w:rPr>
        <w:lastRenderedPageBreak/>
        <w:t>Napomena: Za ukupno 15 zahtjeva koji su u radu a koji se odnose na kupovinu i zakup zemljišta, čekaju se izjašnjenja nadležnih organa ili podnosioca zahjeva</w:t>
      </w:r>
      <w:r w:rsidR="009F02CD">
        <w:rPr>
          <w:rFonts w:eastAsia="Calibri" w:cs="Times New Roman"/>
          <w:i/>
          <w:szCs w:val="24"/>
          <w:lang w:val="en-US"/>
        </w:rPr>
        <w:t>.</w:t>
      </w:r>
    </w:p>
    <w:p w:rsidR="00C81D2D" w:rsidRPr="009F02CD" w:rsidRDefault="00C81D2D" w:rsidP="00101664">
      <w:pPr>
        <w:suppressAutoHyphens/>
        <w:autoSpaceDN w:val="0"/>
        <w:spacing w:after="0" w:line="240" w:lineRule="auto"/>
        <w:ind w:firstLine="709"/>
        <w:textAlignment w:val="baseline"/>
        <w:rPr>
          <w:rFonts w:ascii="Calibri" w:eastAsia="Calibri" w:hAnsi="Calibri" w:cs="Times New Roman"/>
          <w:b/>
          <w:szCs w:val="24"/>
          <w:u w:val="single"/>
          <w:lang w:val="pl-PL"/>
        </w:rPr>
      </w:pPr>
      <w:r w:rsidRPr="00C81D2D">
        <w:rPr>
          <w:rFonts w:ascii="Calibri" w:eastAsia="Calibri" w:hAnsi="Calibri" w:cs="Times New Roman"/>
          <w:b/>
          <w:szCs w:val="24"/>
          <w:u w:val="single"/>
          <w:lang w:val="pl-PL"/>
        </w:rPr>
        <w:t>PRIHODI OD PRODAJE DRŽAVNE IMOVINE</w:t>
      </w:r>
    </w:p>
    <w:p w:rsidR="00C81D2D" w:rsidRPr="009F02CD" w:rsidRDefault="00C81D2D" w:rsidP="009F02CD">
      <w:pPr>
        <w:suppressAutoHyphens/>
        <w:autoSpaceDN w:val="0"/>
        <w:spacing w:before="0" w:after="0" w:line="240" w:lineRule="auto"/>
        <w:ind w:firstLine="709"/>
        <w:textAlignment w:val="baseline"/>
        <w:rPr>
          <w:rFonts w:ascii="Calibri" w:eastAsia="Calibri" w:hAnsi="Calibri" w:cs="Times New Roman"/>
          <w:szCs w:val="24"/>
          <w:lang w:val="en-US"/>
        </w:rPr>
      </w:pPr>
      <w:r w:rsidRPr="00C81D2D">
        <w:rPr>
          <w:rFonts w:ascii="Calibri" w:eastAsia="Calibri" w:hAnsi="Calibri" w:cs="Times New Roman"/>
          <w:szCs w:val="24"/>
          <w:lang w:val="pl-PL"/>
        </w:rPr>
        <w:t xml:space="preserve">Po osnovu prodaje državne imovine, u 2020. godini, prihodovano je ukupno </w:t>
      </w:r>
      <w:r w:rsidRPr="00C81D2D">
        <w:rPr>
          <w:rFonts w:ascii="Calibri" w:eastAsia="Calibri" w:hAnsi="Calibri" w:cs="Times New Roman"/>
          <w:b/>
          <w:szCs w:val="24"/>
          <w:lang w:val="pl-PL"/>
        </w:rPr>
        <w:t>1.718.394,30</w:t>
      </w:r>
      <w:r w:rsidRPr="00C81D2D">
        <w:rPr>
          <w:rFonts w:ascii="Calibri" w:eastAsia="Calibri" w:hAnsi="Calibri" w:cs="Times New Roman"/>
          <w:szCs w:val="24"/>
          <w:lang w:val="pl-PL"/>
        </w:rPr>
        <w:t xml:space="preserve"> </w:t>
      </w:r>
      <w:r w:rsidRPr="00C81D2D">
        <w:rPr>
          <w:rFonts w:ascii="Calibri" w:eastAsia="Calibri" w:hAnsi="Calibri" w:cs="Times New Roman"/>
          <w:b/>
          <w:szCs w:val="24"/>
          <w:lang w:val="pl-PL"/>
        </w:rPr>
        <w:t>eura.</w:t>
      </w:r>
    </w:p>
    <w:p w:rsidR="00C81D2D" w:rsidRPr="00C81D2D" w:rsidRDefault="00C81D2D" w:rsidP="009F02CD">
      <w:pPr>
        <w:suppressAutoHyphens/>
        <w:autoSpaceDN w:val="0"/>
        <w:spacing w:before="0" w:after="0" w:line="240" w:lineRule="auto"/>
        <w:ind w:firstLine="709"/>
        <w:textAlignment w:val="baseline"/>
        <w:rPr>
          <w:rFonts w:ascii="Calibri" w:eastAsia="Calibri" w:hAnsi="Calibri" w:cs="Times New Roman"/>
          <w:szCs w:val="24"/>
          <w:lang w:val="en-US"/>
        </w:rPr>
      </w:pPr>
      <w:r w:rsidRPr="00C81D2D">
        <w:rPr>
          <w:rFonts w:ascii="Calibri" w:eastAsia="Calibri" w:hAnsi="Calibri" w:cs="Times New Roman"/>
          <w:szCs w:val="24"/>
          <w:lang w:val="pl-PL"/>
        </w:rPr>
        <w:t xml:space="preserve">Po osnovu davanja u zakup državne imovine, u 2020. godini, prihodovano </w:t>
      </w:r>
      <w:r w:rsidRPr="00C81D2D">
        <w:rPr>
          <w:rFonts w:ascii="Calibri" w:eastAsia="Calibri" w:hAnsi="Calibri" w:cs="Times New Roman"/>
          <w:b/>
          <w:szCs w:val="24"/>
          <w:lang w:val="pl-PL"/>
        </w:rPr>
        <w:t xml:space="preserve">362,76 </w:t>
      </w:r>
      <w:r w:rsidRPr="00C81D2D">
        <w:rPr>
          <w:rFonts w:ascii="Calibri" w:eastAsia="Calibri" w:hAnsi="Calibri" w:cs="Times New Roman"/>
          <w:szCs w:val="24"/>
          <w:lang w:val="pl-PL"/>
        </w:rPr>
        <w:t>eura.</w:t>
      </w:r>
    </w:p>
    <w:p w:rsidR="00C81D2D" w:rsidRPr="00C81D2D" w:rsidRDefault="00C81D2D" w:rsidP="009F02CD">
      <w:pPr>
        <w:suppressAutoHyphens/>
        <w:autoSpaceDN w:val="0"/>
        <w:spacing w:before="0" w:after="0" w:line="240" w:lineRule="auto"/>
        <w:ind w:firstLine="709"/>
        <w:textAlignment w:val="baseline"/>
        <w:rPr>
          <w:rFonts w:ascii="Calibri" w:eastAsia="Calibri" w:hAnsi="Calibri" w:cs="Times New Roman"/>
          <w:szCs w:val="24"/>
          <w:lang w:val="en-US"/>
        </w:rPr>
      </w:pPr>
      <w:r w:rsidRPr="00C81D2D">
        <w:rPr>
          <w:rFonts w:ascii="Calibri" w:eastAsia="Calibri" w:hAnsi="Calibri" w:cs="Times New Roman"/>
          <w:szCs w:val="24"/>
          <w:lang w:val="pl-PL"/>
        </w:rPr>
        <w:t>Po osnovu ustanovljenja prava sl</w:t>
      </w:r>
      <w:r w:rsidRPr="00C81D2D">
        <w:rPr>
          <w:rFonts w:ascii="Calibri" w:eastAsia="Calibri" w:hAnsi="Calibri" w:cs="Times New Roman"/>
          <w:szCs w:val="24"/>
          <w:lang w:val="en-US"/>
        </w:rPr>
        <w:t xml:space="preserve">užbenosti na </w:t>
      </w:r>
      <w:r w:rsidRPr="00C81D2D">
        <w:rPr>
          <w:rFonts w:ascii="Calibri" w:eastAsia="Calibri" w:hAnsi="Calibri" w:cs="Times New Roman"/>
          <w:szCs w:val="24"/>
          <w:lang w:val="pl-PL"/>
        </w:rPr>
        <w:t xml:space="preserve">državnom zemljištu, u 2020. godini, prihodovano je ukupno </w:t>
      </w:r>
      <w:r w:rsidRPr="00C81D2D">
        <w:rPr>
          <w:rFonts w:ascii="Calibri" w:eastAsia="Calibri" w:hAnsi="Calibri" w:cs="Times New Roman"/>
          <w:b/>
          <w:szCs w:val="24"/>
          <w:lang w:val="pl-PL"/>
        </w:rPr>
        <w:t>6.696,25</w:t>
      </w:r>
      <w:r w:rsidRPr="00C81D2D">
        <w:rPr>
          <w:rFonts w:ascii="Calibri" w:eastAsia="Calibri" w:hAnsi="Calibri" w:cs="Times New Roman"/>
          <w:szCs w:val="24"/>
          <w:lang w:val="pl-PL"/>
        </w:rPr>
        <w:t xml:space="preserve"> </w:t>
      </w:r>
      <w:r w:rsidRPr="00C81D2D">
        <w:rPr>
          <w:rFonts w:ascii="Calibri" w:eastAsia="Calibri" w:hAnsi="Calibri" w:cs="Times New Roman"/>
          <w:b/>
          <w:szCs w:val="24"/>
          <w:lang w:val="pl-PL"/>
        </w:rPr>
        <w:t>eura.</w:t>
      </w:r>
    </w:p>
    <w:p w:rsidR="00C81D2D" w:rsidRPr="00C81D2D" w:rsidRDefault="00C81D2D" w:rsidP="009F02CD">
      <w:pPr>
        <w:suppressAutoHyphens/>
        <w:autoSpaceDN w:val="0"/>
        <w:spacing w:before="0" w:after="0" w:line="240" w:lineRule="auto"/>
        <w:ind w:firstLine="709"/>
        <w:textAlignment w:val="baseline"/>
        <w:rPr>
          <w:rFonts w:ascii="Calibri" w:eastAsia="Calibri" w:hAnsi="Calibri" w:cs="Times New Roman"/>
          <w:szCs w:val="24"/>
          <w:lang w:val="en-US"/>
        </w:rPr>
      </w:pPr>
      <w:r w:rsidRPr="00C81D2D">
        <w:rPr>
          <w:rFonts w:ascii="Calibri" w:eastAsia="Calibri" w:hAnsi="Calibri" w:cs="Times New Roman"/>
          <w:szCs w:val="24"/>
          <w:lang w:val="pl-PL"/>
        </w:rPr>
        <w:t xml:space="preserve">Po osnovu </w:t>
      </w:r>
      <w:r w:rsidRPr="00C81D2D">
        <w:rPr>
          <w:rFonts w:ascii="Calibri" w:eastAsia="Calibri" w:hAnsi="Calibri" w:cs="Arial"/>
          <w:bCs/>
          <w:szCs w:val="24"/>
          <w:lang w:val="pl-PL"/>
        </w:rPr>
        <w:t>prodaje državne imovine (pokretna imovina), u 2020. godini</w:t>
      </w:r>
      <w:r w:rsidRPr="00C81D2D">
        <w:rPr>
          <w:rFonts w:ascii="Calibri" w:eastAsia="Calibri" w:hAnsi="Calibri" w:cs="Arial"/>
          <w:bCs/>
          <w:szCs w:val="24"/>
          <w:lang w:val="en-US"/>
        </w:rPr>
        <w:t xml:space="preserve"> (za period od 01.01. – 10.11.2020. godine), prihodovano je ukupno </w:t>
      </w:r>
      <w:r w:rsidRPr="00C81D2D">
        <w:rPr>
          <w:rFonts w:ascii="Calibri" w:eastAsia="Calibri" w:hAnsi="Calibri" w:cs="Arial"/>
          <w:b/>
          <w:bCs/>
          <w:szCs w:val="24"/>
          <w:lang w:val="en-US"/>
        </w:rPr>
        <w:t>511.105,58 €.</w:t>
      </w:r>
      <w:r w:rsidRPr="00C81D2D">
        <w:rPr>
          <w:rFonts w:ascii="Calibri" w:eastAsia="Calibri" w:hAnsi="Calibri" w:cs="Arial"/>
          <w:bCs/>
          <w:szCs w:val="24"/>
          <w:lang w:val="en-US"/>
        </w:rPr>
        <w:t xml:space="preserve"> </w:t>
      </w:r>
    </w:p>
    <w:p w:rsidR="00C81D2D" w:rsidRPr="00C81D2D" w:rsidRDefault="009F02CD" w:rsidP="009F02CD">
      <w:pPr>
        <w:suppressAutoHyphens/>
        <w:autoSpaceDN w:val="0"/>
        <w:spacing w:before="0" w:after="0" w:line="240" w:lineRule="auto"/>
        <w:textAlignment w:val="baseline"/>
        <w:rPr>
          <w:rFonts w:ascii="Calibri" w:eastAsia="Calibri" w:hAnsi="Calibri" w:cs="Times New Roman"/>
          <w:szCs w:val="24"/>
          <w:lang w:val="en-US"/>
        </w:rPr>
      </w:pPr>
      <w:r>
        <w:rPr>
          <w:rFonts w:ascii="Calibri" w:eastAsia="Calibri" w:hAnsi="Calibri" w:cs="Arial"/>
          <w:bCs/>
          <w:szCs w:val="24"/>
          <w:lang w:val="en-US"/>
        </w:rPr>
        <w:t xml:space="preserve">Navedena sredstava uplaćena su </w:t>
      </w:r>
      <w:r w:rsidR="00C81D2D" w:rsidRPr="00C81D2D">
        <w:rPr>
          <w:rFonts w:ascii="Calibri" w:eastAsia="Calibri" w:hAnsi="Calibri" w:cs="Arial"/>
          <w:bCs/>
          <w:szCs w:val="24"/>
          <w:lang w:val="en-US"/>
        </w:rPr>
        <w:t>po osnovu Ugovora o kupoprodaji između Vlade Crne Gore – Ministarstva finanjsija i Duvanske industrije Bujanovac AD, Republika Srbija, zaključenog 02.03.2020. godine.</w:t>
      </w:r>
    </w:p>
    <w:p w:rsidR="00C81D2D" w:rsidRPr="009F02CD" w:rsidRDefault="00C81D2D" w:rsidP="009F02CD">
      <w:pPr>
        <w:suppressAutoHyphens/>
        <w:autoSpaceDN w:val="0"/>
        <w:spacing w:before="0" w:after="0" w:line="240" w:lineRule="auto"/>
        <w:textAlignment w:val="baseline"/>
        <w:rPr>
          <w:rFonts w:ascii="Calibri" w:eastAsia="Calibri" w:hAnsi="Calibri" w:cs="Times New Roman"/>
          <w:szCs w:val="24"/>
          <w:lang w:val="pl-PL"/>
        </w:rPr>
      </w:pPr>
      <w:r w:rsidRPr="00C81D2D">
        <w:rPr>
          <w:rFonts w:ascii="Calibri" w:eastAsia="Calibri" w:hAnsi="Calibri" w:cs="Times New Roman"/>
          <w:szCs w:val="24"/>
          <w:lang w:val="pl-PL"/>
        </w:rPr>
        <w:t xml:space="preserve">   </w:t>
      </w:r>
      <w:r w:rsidR="009F02CD">
        <w:rPr>
          <w:rFonts w:ascii="Calibri" w:eastAsia="Calibri" w:hAnsi="Calibri" w:cs="Times New Roman"/>
          <w:szCs w:val="24"/>
          <w:lang w:val="pl-PL"/>
        </w:rPr>
        <w:tab/>
      </w:r>
      <w:r w:rsidRPr="00C81D2D">
        <w:rPr>
          <w:rFonts w:ascii="Calibri" w:eastAsia="Calibri" w:hAnsi="Calibri" w:cs="Times New Roman"/>
          <w:szCs w:val="24"/>
          <w:lang w:val="pl-PL"/>
        </w:rPr>
        <w:t xml:space="preserve">Po svim gore navedenim osnovima ukupno je prihodovano </w:t>
      </w:r>
      <w:r w:rsidRPr="00C81D2D">
        <w:rPr>
          <w:rFonts w:ascii="Calibri" w:eastAsia="Calibri" w:hAnsi="Calibri" w:cs="Times New Roman"/>
          <w:b/>
          <w:szCs w:val="24"/>
          <w:lang w:val="pl-PL"/>
        </w:rPr>
        <w:t xml:space="preserve">2.236.558,89  </w:t>
      </w:r>
      <w:r w:rsidRPr="00C81D2D">
        <w:rPr>
          <w:rFonts w:ascii="Calibri" w:eastAsia="Calibri" w:hAnsi="Calibri" w:cs="Times New Roman"/>
          <w:b/>
          <w:szCs w:val="24"/>
          <w:lang w:val="en-US"/>
        </w:rPr>
        <w:t>eura.</w:t>
      </w:r>
    </w:p>
    <w:p w:rsidR="00B55665" w:rsidRDefault="00B55665" w:rsidP="009F02CD">
      <w:pPr>
        <w:pStyle w:val="PlainText"/>
        <w:jc w:val="both"/>
        <w:rPr>
          <w:rFonts w:asciiTheme="minorHAnsi" w:hAnsiTheme="minorHAnsi" w:cs="Arial"/>
          <w:b/>
          <w:sz w:val="24"/>
          <w:szCs w:val="24"/>
        </w:rPr>
      </w:pPr>
    </w:p>
    <w:p w:rsidR="00C62FB8" w:rsidRDefault="00C62FB8" w:rsidP="00C62FB8">
      <w:pPr>
        <w:pStyle w:val="PlainText"/>
        <w:shd w:val="clear" w:color="auto" w:fill="F9D8CD" w:themeFill="accent1" w:themeFillTint="33"/>
        <w:jc w:val="both"/>
        <w:rPr>
          <w:rFonts w:asciiTheme="minorHAnsi" w:hAnsiTheme="minorHAnsi" w:cs="Arial"/>
          <w:b/>
          <w:sz w:val="24"/>
          <w:szCs w:val="24"/>
        </w:rPr>
      </w:pPr>
      <w:r>
        <w:rPr>
          <w:rFonts w:asciiTheme="minorHAnsi" w:hAnsiTheme="minorHAnsi" w:cs="Arial"/>
          <w:b/>
          <w:sz w:val="24"/>
          <w:szCs w:val="24"/>
        </w:rPr>
        <w:tab/>
        <w:t>11. DIREKTORAT ZA POLITIKU JAVNIH NABAVKI</w:t>
      </w:r>
    </w:p>
    <w:p w:rsidR="00C62FB8" w:rsidRDefault="00C62FB8" w:rsidP="009F02CD">
      <w:pPr>
        <w:pStyle w:val="PlainText"/>
        <w:jc w:val="both"/>
        <w:rPr>
          <w:rFonts w:asciiTheme="minorHAnsi" w:hAnsiTheme="minorHAnsi" w:cs="Arial"/>
          <w:b/>
          <w:sz w:val="24"/>
          <w:szCs w:val="24"/>
        </w:rPr>
      </w:pPr>
    </w:p>
    <w:p w:rsidR="002F16DA" w:rsidRPr="002F16DA" w:rsidRDefault="002F16DA" w:rsidP="00C913B2">
      <w:pPr>
        <w:pBdr>
          <w:bottom w:val="single" w:sz="4" w:space="1" w:color="auto"/>
        </w:pBdr>
        <w:spacing w:before="0" w:after="0" w:line="240" w:lineRule="auto"/>
        <w:rPr>
          <w:rFonts w:ascii="Calibri" w:eastAsia="MS Mincho" w:hAnsi="Calibri" w:cs="Arial"/>
          <w:szCs w:val="24"/>
          <w:lang w:val="sr-Latn-ME"/>
        </w:rPr>
      </w:pPr>
      <w:r w:rsidRPr="002F16DA">
        <w:rPr>
          <w:rFonts w:ascii="Calibri" w:eastAsia="MS Mincho" w:hAnsi="Calibri" w:cs="Arial"/>
          <w:szCs w:val="24"/>
          <w:lang w:val="sr-Latn-ME"/>
        </w:rPr>
        <w:t>Regulatorni okvir i evropske integracije</w:t>
      </w:r>
    </w:p>
    <w:p w:rsidR="002F16DA" w:rsidRPr="002F16DA" w:rsidRDefault="002F16DA" w:rsidP="00C913B2">
      <w:pPr>
        <w:spacing w:after="0" w:line="240" w:lineRule="auto"/>
        <w:ind w:firstLine="709"/>
        <w:rPr>
          <w:rFonts w:ascii="Calibri" w:eastAsia="MS Mincho" w:hAnsi="Calibri" w:cs="Arial"/>
          <w:i/>
          <w:szCs w:val="24"/>
          <w:lang w:val="sr-Latn-ME"/>
        </w:rPr>
      </w:pPr>
      <w:r w:rsidRPr="002F16DA">
        <w:rPr>
          <w:rFonts w:ascii="Calibri" w:eastAsia="MS Mincho" w:hAnsi="Calibri" w:cs="Arial"/>
          <w:i/>
          <w:szCs w:val="24"/>
          <w:lang w:val="sr-Latn-ME"/>
        </w:rPr>
        <w:t>Oblast javne nabvake</w:t>
      </w:r>
    </w:p>
    <w:p w:rsidR="002F16DA" w:rsidRPr="002F16DA" w:rsidRDefault="002F16DA" w:rsidP="002F16DA">
      <w:pPr>
        <w:spacing w:before="0" w:after="0" w:line="240" w:lineRule="auto"/>
        <w:ind w:firstLine="360"/>
        <w:rPr>
          <w:rFonts w:ascii="Calibri" w:eastAsia="MS Mincho" w:hAnsi="Calibri" w:cs="Arial"/>
          <w:szCs w:val="24"/>
          <w:lang w:val="en-GB"/>
        </w:rPr>
      </w:pPr>
      <w:r w:rsidRPr="002F16DA">
        <w:rPr>
          <w:rFonts w:ascii="Calibri" w:eastAsia="MS Mincho" w:hAnsi="Calibri" w:cs="Arial"/>
          <w:szCs w:val="24"/>
          <w:lang w:val="sr-Latn-ME"/>
        </w:rPr>
        <w:t>Nakon perioda harmonizacije propisa i uz reviziju od strane Evropske komisije donešen je Zakon o javnim nabavkama („</w:t>
      </w:r>
      <w:r w:rsidRPr="002F16DA">
        <w:rPr>
          <w:rFonts w:ascii="Calibri" w:eastAsia="MS Mincho" w:hAnsi="Calibri" w:cs="Arial"/>
          <w:bCs/>
          <w:szCs w:val="24"/>
          <w:lang w:val="sr-Latn-ME"/>
        </w:rPr>
        <w:t>Službeni list Crne Gore”, br. 074/19)</w:t>
      </w:r>
      <w:r w:rsidRPr="002F16DA">
        <w:rPr>
          <w:rFonts w:ascii="Calibri" w:eastAsia="MS Mincho" w:hAnsi="Calibri" w:cs="Arial"/>
          <w:szCs w:val="24"/>
          <w:lang w:val="sr-Latn-ME"/>
        </w:rPr>
        <w:t xml:space="preserve"> koji je Skupština Crne Gore usvojila 30.12.2019. godine. Zakon je usvojen uz podršku Evropske komisije nakon intenzivne komunikacije i predstavlja najviši stepen usklađenosti sa Direktivama EU u ovoj oblasti. Podzakonski akti koji prate novi Zakon (ukupno 20) pripremljeni su i donešeni do 07.07.2020. godine kada je novi Zakon o javnim nabavkama stupio na snagu. Akti su dostupni na sljedećem linku: </w:t>
      </w:r>
      <w:hyperlink r:id="rId9" w:history="1">
        <w:r w:rsidRPr="002F16DA">
          <w:rPr>
            <w:rFonts w:ascii="Calibri" w:eastAsia="MS Mincho" w:hAnsi="Calibri" w:cs="Arial"/>
            <w:color w:val="0000FF"/>
            <w:szCs w:val="24"/>
            <w:u w:val="single"/>
            <w:lang w:val="sr-Latn-ME"/>
          </w:rPr>
          <w:t>http://www.ujn.gov.me/podzakonska-regulativa-zakona-o-javnim-nabavkama-sluzbeni-list-crne-gore-br-074-19/</w:t>
        </w:r>
      </w:hyperlink>
    </w:p>
    <w:p w:rsidR="002F16DA" w:rsidRPr="002F16DA" w:rsidRDefault="002F16DA" w:rsidP="00146EBE">
      <w:pPr>
        <w:numPr>
          <w:ilvl w:val="0"/>
          <w:numId w:val="50"/>
        </w:numPr>
        <w:spacing w:before="0" w:after="0" w:line="240" w:lineRule="auto"/>
        <w:jc w:val="left"/>
        <w:rPr>
          <w:rFonts w:ascii="Calibri" w:eastAsia="MS Mincho" w:hAnsi="Calibri" w:cs="Arial"/>
          <w:szCs w:val="24"/>
          <w:lang w:val="en-GB"/>
        </w:rPr>
      </w:pPr>
      <w:r w:rsidRPr="002F16DA">
        <w:rPr>
          <w:rFonts w:ascii="Calibri" w:eastAsia="MS Mincho" w:hAnsi="Calibri" w:cs="Arial"/>
          <w:b/>
          <w:szCs w:val="24"/>
          <w:lang w:val="en-GB"/>
        </w:rPr>
        <w:t>Podzakonska regulativa u oblasti javnih nabavki donešena u toku 2020. godine</w:t>
      </w:r>
      <w:r w:rsidRPr="002F16DA">
        <w:rPr>
          <w:rFonts w:ascii="Calibri" w:eastAsia="MS Mincho" w:hAnsi="Calibri" w:cs="Arial"/>
          <w:szCs w:val="24"/>
          <w:lang w:val="en-GB"/>
        </w:rPr>
        <w:t>:</w:t>
      </w:r>
    </w:p>
    <w:p w:rsidR="002F16DA" w:rsidRPr="002F16DA" w:rsidRDefault="002F16DA" w:rsidP="00146EBE">
      <w:pPr>
        <w:numPr>
          <w:ilvl w:val="0"/>
          <w:numId w:val="51"/>
        </w:numPr>
        <w:spacing w:before="0" w:after="0" w:line="240" w:lineRule="auto"/>
        <w:jc w:val="left"/>
        <w:rPr>
          <w:rFonts w:ascii="Calibri" w:eastAsia="MS Mincho" w:hAnsi="Calibri" w:cs="Arial"/>
          <w:szCs w:val="24"/>
          <w:lang w:val="en-GB"/>
        </w:rPr>
      </w:pPr>
      <w:r w:rsidRPr="002F16DA">
        <w:rPr>
          <w:rFonts w:ascii="Calibri" w:eastAsia="MS Mincho" w:hAnsi="Calibri" w:cs="Arial"/>
          <w:szCs w:val="24"/>
          <w:lang w:val="en-GB"/>
        </w:rPr>
        <w:t>Pravilnik o obrascima za sprovođenje postupaka javnih nabavki (Službeni list Crne Gore”, br. 014/21 od 12.02.2021. godine);</w:t>
      </w:r>
    </w:p>
    <w:p w:rsidR="002F16DA" w:rsidRPr="002F16DA" w:rsidRDefault="002F16DA" w:rsidP="00146EBE">
      <w:pPr>
        <w:numPr>
          <w:ilvl w:val="0"/>
          <w:numId w:val="51"/>
        </w:numPr>
        <w:spacing w:before="0" w:after="0" w:line="240" w:lineRule="auto"/>
        <w:jc w:val="left"/>
        <w:rPr>
          <w:rFonts w:ascii="Calibri" w:eastAsia="MS Mincho" w:hAnsi="Calibri" w:cs="Arial"/>
          <w:szCs w:val="24"/>
          <w:lang w:val="en-GB"/>
        </w:rPr>
      </w:pPr>
      <w:r w:rsidRPr="002F16DA">
        <w:rPr>
          <w:rFonts w:ascii="Calibri" w:eastAsia="MS Mincho" w:hAnsi="Calibri" w:cs="Arial"/>
          <w:szCs w:val="24"/>
          <w:lang w:val="en-GB"/>
        </w:rPr>
        <w:t>Pravilnik o načinu rada i korišćenja elektronskog sistema javnih nabavki (Službeni list Crne Gore, br. 001/21 od 04.01.2021);</w:t>
      </w:r>
    </w:p>
    <w:p w:rsidR="002F16DA" w:rsidRPr="002F16DA" w:rsidRDefault="002F16DA" w:rsidP="00146EBE">
      <w:pPr>
        <w:numPr>
          <w:ilvl w:val="0"/>
          <w:numId w:val="51"/>
        </w:numPr>
        <w:spacing w:before="0" w:after="0" w:line="240" w:lineRule="auto"/>
        <w:jc w:val="left"/>
        <w:rPr>
          <w:rFonts w:ascii="Calibri" w:eastAsia="MS Mincho" w:hAnsi="Calibri" w:cs="Arial"/>
          <w:szCs w:val="24"/>
          <w:lang w:val="en-GB"/>
        </w:rPr>
      </w:pPr>
      <w:r w:rsidRPr="002F16DA">
        <w:rPr>
          <w:rFonts w:ascii="Calibri" w:eastAsia="MS Mincho" w:hAnsi="Calibri" w:cs="Arial"/>
          <w:szCs w:val="24"/>
          <w:lang w:val="en-GB"/>
        </w:rPr>
        <w:t>Uputstvo o postupku provjere ispunjenosti uslova za učešće privrednih subjekata registrovanih u crnoj gori i izdavanje potvrde za učešće u nabavkama za potrebe Sjevernoatlantskog saveza (Službeni list Crne Gore, br. 106/20 od 02.11.2020. godine);</w:t>
      </w:r>
    </w:p>
    <w:p w:rsidR="002F16DA" w:rsidRPr="002F16DA" w:rsidRDefault="002F16DA" w:rsidP="00146EBE">
      <w:pPr>
        <w:numPr>
          <w:ilvl w:val="0"/>
          <w:numId w:val="51"/>
        </w:numPr>
        <w:spacing w:before="0" w:after="0" w:line="240" w:lineRule="auto"/>
        <w:jc w:val="left"/>
        <w:rPr>
          <w:rFonts w:ascii="Calibri" w:eastAsia="MS Mincho" w:hAnsi="Calibri" w:cs="Arial"/>
          <w:szCs w:val="24"/>
          <w:lang w:val="en-GB"/>
        </w:rPr>
      </w:pPr>
      <w:r w:rsidRPr="002F16DA">
        <w:rPr>
          <w:rFonts w:ascii="Calibri" w:eastAsia="MS Mincho" w:hAnsi="Calibri" w:cs="Arial"/>
          <w:szCs w:val="24"/>
          <w:lang w:val="en-GB"/>
        </w:rPr>
        <w:t>Uredba o načinu sprovođenja nabavki za diplomatska i konzularna predstavništva Crne Gore u inostranstvu (Službeni list Crne Gore, br. 090/20 od 01. septembra 2020. godine);</w:t>
      </w:r>
    </w:p>
    <w:p w:rsidR="002F16DA" w:rsidRPr="002F16DA" w:rsidRDefault="002F16DA" w:rsidP="00146EBE">
      <w:pPr>
        <w:numPr>
          <w:ilvl w:val="0"/>
          <w:numId w:val="51"/>
        </w:numPr>
        <w:spacing w:before="0" w:after="0" w:line="240" w:lineRule="auto"/>
        <w:jc w:val="left"/>
        <w:rPr>
          <w:rFonts w:ascii="Calibri" w:eastAsia="MS Mincho" w:hAnsi="Calibri" w:cs="Arial"/>
          <w:szCs w:val="24"/>
          <w:lang w:val="en-GB"/>
        </w:rPr>
      </w:pPr>
      <w:r w:rsidRPr="002F16DA">
        <w:rPr>
          <w:rFonts w:ascii="Calibri" w:eastAsia="MS Mincho" w:hAnsi="Calibri" w:cs="Arial"/>
          <w:szCs w:val="24"/>
          <w:lang w:val="en-GB"/>
        </w:rPr>
        <w:t>Uredba o listi vojne opreme i proizvoda, postupku i načinu sprovođenja javnih nabavki u oblasti odbrane i bezbjednosti (Službeni list Crne Gore”, br. 076/20 od 28. jula 2020. godine);</w:t>
      </w:r>
    </w:p>
    <w:p w:rsidR="002F16DA" w:rsidRPr="002F16DA" w:rsidRDefault="002F16DA" w:rsidP="00146EBE">
      <w:pPr>
        <w:numPr>
          <w:ilvl w:val="0"/>
          <w:numId w:val="51"/>
        </w:numPr>
        <w:spacing w:before="0" w:after="0" w:line="240" w:lineRule="auto"/>
        <w:jc w:val="left"/>
        <w:rPr>
          <w:rFonts w:ascii="Calibri" w:eastAsia="MS Mincho" w:hAnsi="Calibri" w:cs="Arial"/>
          <w:szCs w:val="24"/>
          <w:lang w:val="en-GB"/>
        </w:rPr>
      </w:pPr>
      <w:r w:rsidRPr="002F16DA">
        <w:rPr>
          <w:rFonts w:ascii="Calibri" w:eastAsia="MS Mincho" w:hAnsi="Calibri" w:cs="Arial"/>
          <w:szCs w:val="24"/>
          <w:lang w:val="en-GB"/>
        </w:rPr>
        <w:t>Pravilnik o metodologiji načina vrednovanja ponuda u postupku javnih nabavki (Službeni list Crne Gore, br. 074/20 od 23. jula 2020. godine);</w:t>
      </w:r>
    </w:p>
    <w:p w:rsidR="002F16DA" w:rsidRPr="002F16DA" w:rsidRDefault="002F16DA" w:rsidP="00146EBE">
      <w:pPr>
        <w:numPr>
          <w:ilvl w:val="0"/>
          <w:numId w:val="51"/>
        </w:numPr>
        <w:spacing w:before="0" w:after="0" w:line="240" w:lineRule="auto"/>
        <w:jc w:val="left"/>
        <w:rPr>
          <w:rFonts w:ascii="Calibri" w:eastAsia="MS Mincho" w:hAnsi="Calibri" w:cs="Arial"/>
          <w:szCs w:val="24"/>
          <w:lang w:val="en-GB"/>
        </w:rPr>
      </w:pPr>
      <w:r w:rsidRPr="002F16DA">
        <w:rPr>
          <w:rFonts w:ascii="Calibri" w:eastAsia="MS Mincho" w:hAnsi="Calibri" w:cs="Arial"/>
          <w:szCs w:val="24"/>
          <w:lang w:val="en-GB"/>
        </w:rPr>
        <w:t>Pravilnik o sadržaju ponude u postupku javne nabavke (Službeni list Crne Gore, br. 071/20 od 16.07.2020, 009/21 od 01.02.2021);</w:t>
      </w:r>
    </w:p>
    <w:p w:rsidR="002F16DA" w:rsidRPr="002F16DA" w:rsidRDefault="002F16DA" w:rsidP="00146EBE">
      <w:pPr>
        <w:numPr>
          <w:ilvl w:val="0"/>
          <w:numId w:val="51"/>
        </w:numPr>
        <w:spacing w:before="0" w:after="0" w:line="240" w:lineRule="auto"/>
        <w:jc w:val="left"/>
        <w:rPr>
          <w:rFonts w:ascii="Calibri" w:eastAsia="MS Mincho" w:hAnsi="Calibri" w:cs="Arial"/>
          <w:szCs w:val="24"/>
          <w:lang w:val="en-GB"/>
        </w:rPr>
      </w:pPr>
      <w:r w:rsidRPr="002F16DA">
        <w:rPr>
          <w:rFonts w:ascii="Calibri" w:eastAsia="MS Mincho" w:hAnsi="Calibri" w:cs="Arial"/>
          <w:szCs w:val="24"/>
          <w:lang w:val="en-GB"/>
        </w:rPr>
        <w:t>Pravilnik o obrascu izjave privrednog subjekta (Službeni list Crne Gore, br. 071/20 od 16. jula 2020. godine);</w:t>
      </w:r>
    </w:p>
    <w:p w:rsidR="002F16DA" w:rsidRPr="002F16DA" w:rsidRDefault="002F16DA" w:rsidP="00146EBE">
      <w:pPr>
        <w:numPr>
          <w:ilvl w:val="0"/>
          <w:numId w:val="51"/>
        </w:numPr>
        <w:spacing w:before="0" w:after="0" w:line="240" w:lineRule="auto"/>
        <w:jc w:val="left"/>
        <w:rPr>
          <w:rFonts w:ascii="Calibri" w:eastAsia="MS Mincho" w:hAnsi="Calibri" w:cs="Arial"/>
          <w:szCs w:val="24"/>
          <w:lang w:val="en-GB"/>
        </w:rPr>
      </w:pPr>
      <w:r w:rsidRPr="002F16DA">
        <w:rPr>
          <w:rFonts w:ascii="Calibri" w:eastAsia="MS Mincho" w:hAnsi="Calibri" w:cs="Arial"/>
          <w:szCs w:val="24"/>
          <w:lang w:val="en-GB"/>
        </w:rPr>
        <w:t>Uredba o načinu planiranja i sprovođenja centralizovanih javnih nabavki (Službeni list Crne Gore, br. 069/20 od 11.07.2020, 105/20 od 29.10.2020. godine);</w:t>
      </w:r>
    </w:p>
    <w:p w:rsidR="002F16DA" w:rsidRPr="002F16DA" w:rsidRDefault="002F16DA" w:rsidP="00146EBE">
      <w:pPr>
        <w:numPr>
          <w:ilvl w:val="0"/>
          <w:numId w:val="51"/>
        </w:numPr>
        <w:spacing w:before="0" w:after="0" w:line="240" w:lineRule="auto"/>
        <w:jc w:val="left"/>
        <w:rPr>
          <w:rFonts w:ascii="Calibri" w:eastAsia="MS Mincho" w:hAnsi="Calibri" w:cs="Arial"/>
          <w:szCs w:val="24"/>
          <w:lang w:val="en-GB"/>
        </w:rPr>
      </w:pPr>
      <w:r w:rsidRPr="002F16DA">
        <w:rPr>
          <w:rFonts w:ascii="Calibri" w:eastAsia="MS Mincho" w:hAnsi="Calibri" w:cs="Arial"/>
          <w:szCs w:val="24"/>
          <w:lang w:val="en-GB"/>
        </w:rPr>
        <w:lastRenderedPageBreak/>
        <w:t>Pravilnik o načinu sprovođenja jednostavnih nabavki (Službeni list Crne Gore, br. 061/20 od 24.06.2020, 065/20 od 03.07.2020, 071/20 od 16.07.2020, 074/20 od 23.07.2020, 102/20 od 17.10.2020. godine);</w:t>
      </w:r>
    </w:p>
    <w:p w:rsidR="002F16DA" w:rsidRPr="002F16DA" w:rsidRDefault="002F16DA" w:rsidP="00146EBE">
      <w:pPr>
        <w:numPr>
          <w:ilvl w:val="0"/>
          <w:numId w:val="51"/>
        </w:numPr>
        <w:spacing w:before="0" w:after="0" w:line="240" w:lineRule="auto"/>
        <w:jc w:val="left"/>
        <w:rPr>
          <w:rFonts w:ascii="Calibri" w:eastAsia="MS Mincho" w:hAnsi="Calibri" w:cs="Arial"/>
          <w:szCs w:val="24"/>
          <w:lang w:val="en-GB"/>
        </w:rPr>
      </w:pPr>
      <w:r w:rsidRPr="002F16DA">
        <w:rPr>
          <w:rFonts w:ascii="Calibri" w:eastAsia="MS Mincho" w:hAnsi="Calibri" w:cs="Arial"/>
          <w:szCs w:val="24"/>
          <w:lang w:val="en-GB"/>
        </w:rPr>
        <w:t>Pravilnik o obrascima evidencija u postupcima javnih nabavki (Službeni list Crne Gore, br. 061/20 od 24 juna 2020. godine);</w:t>
      </w:r>
    </w:p>
    <w:p w:rsidR="002F16DA" w:rsidRPr="002F16DA" w:rsidRDefault="002F16DA" w:rsidP="00146EBE">
      <w:pPr>
        <w:numPr>
          <w:ilvl w:val="0"/>
          <w:numId w:val="51"/>
        </w:numPr>
        <w:spacing w:before="0" w:after="0" w:line="240" w:lineRule="auto"/>
        <w:jc w:val="left"/>
        <w:rPr>
          <w:rFonts w:ascii="Calibri" w:eastAsia="MS Mincho" w:hAnsi="Calibri" w:cs="Arial"/>
          <w:szCs w:val="24"/>
          <w:lang w:val="en-GB"/>
        </w:rPr>
      </w:pPr>
      <w:r w:rsidRPr="002F16DA">
        <w:rPr>
          <w:rFonts w:ascii="Calibri" w:eastAsia="MS Mincho" w:hAnsi="Calibri" w:cs="Arial"/>
          <w:szCs w:val="24"/>
          <w:lang w:val="en-GB"/>
        </w:rPr>
        <w:t>Pravilnik o obrascima izvještaja u postupcima javnih nabavki (Službeni list Crne Gore, br. 060/20 od 21 juna 2020. godine);</w:t>
      </w:r>
    </w:p>
    <w:p w:rsidR="002F16DA" w:rsidRPr="002F16DA" w:rsidRDefault="002F16DA" w:rsidP="00146EBE">
      <w:pPr>
        <w:numPr>
          <w:ilvl w:val="0"/>
          <w:numId w:val="51"/>
        </w:numPr>
        <w:spacing w:before="0" w:after="0" w:line="240" w:lineRule="auto"/>
        <w:jc w:val="left"/>
        <w:rPr>
          <w:rFonts w:ascii="Calibri" w:eastAsia="MS Mincho" w:hAnsi="Calibri" w:cs="Arial"/>
          <w:szCs w:val="24"/>
          <w:lang w:val="en-GB"/>
        </w:rPr>
      </w:pPr>
      <w:r w:rsidRPr="002F16DA">
        <w:rPr>
          <w:rFonts w:ascii="Calibri" w:eastAsia="MS Mincho" w:hAnsi="Calibri" w:cs="Arial"/>
          <w:szCs w:val="24"/>
          <w:lang w:val="en-GB"/>
        </w:rPr>
        <w:t>Pravilnik o spisku radova i poslova koji mogu biti predmet javne nabavke (Službeni list Crne Gore, br. 057/20 od 18 juna 2020. godine);</w:t>
      </w:r>
    </w:p>
    <w:p w:rsidR="002F16DA" w:rsidRPr="002F16DA" w:rsidRDefault="002F16DA" w:rsidP="00146EBE">
      <w:pPr>
        <w:numPr>
          <w:ilvl w:val="0"/>
          <w:numId w:val="51"/>
        </w:numPr>
        <w:spacing w:before="0" w:after="0" w:line="240" w:lineRule="auto"/>
        <w:jc w:val="left"/>
        <w:rPr>
          <w:rFonts w:ascii="Calibri" w:eastAsia="MS Mincho" w:hAnsi="Calibri" w:cs="Arial"/>
          <w:szCs w:val="24"/>
          <w:lang w:val="en-GB"/>
        </w:rPr>
      </w:pPr>
      <w:r w:rsidRPr="002F16DA">
        <w:rPr>
          <w:rFonts w:ascii="Calibri" w:eastAsia="MS Mincho" w:hAnsi="Calibri" w:cs="Arial"/>
          <w:szCs w:val="24"/>
          <w:lang w:val="en-GB"/>
        </w:rPr>
        <w:t>Pravilnik o metodologiji za procjenu vrijednosti predmeta javne nabavke (Službeni list Crne Gore, br. 057/20 od 18 juna 2020. godine);</w:t>
      </w:r>
    </w:p>
    <w:p w:rsidR="002F16DA" w:rsidRPr="002F16DA" w:rsidRDefault="002F16DA" w:rsidP="00146EBE">
      <w:pPr>
        <w:numPr>
          <w:ilvl w:val="0"/>
          <w:numId w:val="51"/>
        </w:numPr>
        <w:spacing w:before="0" w:after="0" w:line="240" w:lineRule="auto"/>
        <w:jc w:val="left"/>
        <w:rPr>
          <w:rFonts w:ascii="Calibri" w:eastAsia="MS Mincho" w:hAnsi="Calibri" w:cs="Arial"/>
          <w:szCs w:val="24"/>
          <w:lang w:val="en-GB"/>
        </w:rPr>
      </w:pPr>
      <w:r w:rsidRPr="002F16DA">
        <w:rPr>
          <w:rFonts w:ascii="Calibri" w:eastAsia="MS Mincho" w:hAnsi="Calibri" w:cs="Arial"/>
          <w:szCs w:val="24"/>
          <w:lang w:val="en-GB"/>
        </w:rPr>
        <w:t>Pravilnik o bližim kriterijumima za obrazovanje komisije za sprovođenje postupka javne nabavke (Službeni list Crne Gore, br. 055/20 od 12 juna 2020. godine);</w:t>
      </w:r>
    </w:p>
    <w:p w:rsidR="002F16DA" w:rsidRPr="002F16DA" w:rsidRDefault="002F16DA" w:rsidP="00146EBE">
      <w:pPr>
        <w:numPr>
          <w:ilvl w:val="0"/>
          <w:numId w:val="51"/>
        </w:numPr>
        <w:spacing w:before="0" w:after="0" w:line="240" w:lineRule="auto"/>
        <w:jc w:val="left"/>
        <w:rPr>
          <w:rFonts w:ascii="Calibri" w:eastAsia="MS Mincho" w:hAnsi="Calibri" w:cs="Arial"/>
          <w:szCs w:val="24"/>
          <w:lang w:val="en-GB"/>
        </w:rPr>
      </w:pPr>
      <w:r w:rsidRPr="002F16DA">
        <w:rPr>
          <w:rFonts w:ascii="Calibri" w:eastAsia="MS Mincho" w:hAnsi="Calibri" w:cs="Arial"/>
          <w:szCs w:val="24"/>
          <w:lang w:val="en-GB"/>
        </w:rPr>
        <w:t>Pravilnik o načinu utvrđivanja ispravke računske greške u ponudi u postupku javne nabavke (Službeni list Crne Gore, br. 055/20 od 12 juna 2020. godine);</w:t>
      </w:r>
    </w:p>
    <w:p w:rsidR="002F16DA" w:rsidRPr="002F16DA" w:rsidRDefault="002F16DA" w:rsidP="00146EBE">
      <w:pPr>
        <w:numPr>
          <w:ilvl w:val="0"/>
          <w:numId w:val="51"/>
        </w:numPr>
        <w:spacing w:before="0" w:after="0" w:line="240" w:lineRule="auto"/>
        <w:jc w:val="left"/>
        <w:rPr>
          <w:rFonts w:ascii="Calibri" w:eastAsia="MS Mincho" w:hAnsi="Calibri" w:cs="Arial"/>
          <w:szCs w:val="24"/>
          <w:lang w:val="en-GB"/>
        </w:rPr>
      </w:pPr>
      <w:r w:rsidRPr="002F16DA">
        <w:rPr>
          <w:rFonts w:ascii="Calibri" w:eastAsia="MS Mincho" w:hAnsi="Calibri" w:cs="Arial"/>
          <w:szCs w:val="24"/>
          <w:lang w:val="en-GB"/>
        </w:rPr>
        <w:t>Pravilnik o obrascu evidencije registrovanih ponuđača u elektronski sistem javnih nabavki (Službeni list Crne Gore, br. 055/20 od 12 juna 2020. godine);</w:t>
      </w:r>
    </w:p>
    <w:p w:rsidR="002F16DA" w:rsidRPr="002F16DA" w:rsidRDefault="002F16DA" w:rsidP="00146EBE">
      <w:pPr>
        <w:numPr>
          <w:ilvl w:val="0"/>
          <w:numId w:val="51"/>
        </w:numPr>
        <w:spacing w:before="0" w:after="0" w:line="240" w:lineRule="auto"/>
        <w:jc w:val="left"/>
        <w:rPr>
          <w:rFonts w:ascii="Calibri" w:eastAsia="MS Mincho" w:hAnsi="Calibri" w:cs="Arial"/>
          <w:szCs w:val="24"/>
          <w:lang w:val="en-GB"/>
        </w:rPr>
      </w:pPr>
      <w:r w:rsidRPr="002F16DA">
        <w:rPr>
          <w:rFonts w:ascii="Calibri" w:eastAsia="MS Mincho" w:hAnsi="Calibri" w:cs="Arial"/>
          <w:szCs w:val="24"/>
          <w:lang w:val="en-GB"/>
        </w:rPr>
        <w:t>Pravilnik o obrascu plana javnih nabavki (Službeni list Crne Gore, br. 055/20 od 12. juna 2020 godine);</w:t>
      </w:r>
    </w:p>
    <w:p w:rsidR="002F16DA" w:rsidRPr="002F16DA" w:rsidRDefault="002F16DA" w:rsidP="00146EBE">
      <w:pPr>
        <w:numPr>
          <w:ilvl w:val="0"/>
          <w:numId w:val="51"/>
        </w:numPr>
        <w:spacing w:before="0" w:after="0" w:line="240" w:lineRule="auto"/>
        <w:jc w:val="left"/>
        <w:rPr>
          <w:rFonts w:ascii="Calibri" w:eastAsia="MS Mincho" w:hAnsi="Calibri" w:cs="Arial"/>
          <w:szCs w:val="24"/>
          <w:lang w:val="en-GB"/>
        </w:rPr>
      </w:pPr>
      <w:r w:rsidRPr="002F16DA">
        <w:rPr>
          <w:rFonts w:ascii="Calibri" w:eastAsia="MS Mincho" w:hAnsi="Calibri" w:cs="Arial"/>
          <w:szCs w:val="24"/>
          <w:lang w:val="en-GB"/>
        </w:rPr>
        <w:t>Pravilnik o programu i načinu polaganja stručnog ispita za rad na poslovima javnih nabavki (Službeni list Crne Gore, br. 055/20 od 12 juna 2020. godine);</w:t>
      </w:r>
    </w:p>
    <w:p w:rsidR="002F16DA" w:rsidRPr="002F16DA" w:rsidRDefault="002F16DA" w:rsidP="00146EBE">
      <w:pPr>
        <w:numPr>
          <w:ilvl w:val="0"/>
          <w:numId w:val="51"/>
        </w:numPr>
        <w:spacing w:before="0" w:after="0" w:line="240" w:lineRule="auto"/>
        <w:jc w:val="left"/>
        <w:rPr>
          <w:rFonts w:ascii="Calibri" w:eastAsia="MS Mincho" w:hAnsi="Calibri" w:cs="Arial"/>
          <w:szCs w:val="24"/>
          <w:lang w:val="en-GB"/>
        </w:rPr>
      </w:pPr>
      <w:r w:rsidRPr="002F16DA">
        <w:rPr>
          <w:rFonts w:ascii="Calibri" w:eastAsia="MS Mincho" w:hAnsi="Calibri" w:cs="Arial"/>
          <w:szCs w:val="24"/>
          <w:lang w:val="en-GB"/>
        </w:rPr>
        <w:t>Pravilnik o spisku društvenih i drugih posebnih usluga koje mogu biti predmet javne nabavke (Službeni list Crne Gore, br. 056/20 od 15 juna 2020 godine);</w:t>
      </w:r>
    </w:p>
    <w:p w:rsidR="002F16DA" w:rsidRPr="002F16DA" w:rsidRDefault="002F16DA" w:rsidP="00146EBE">
      <w:pPr>
        <w:numPr>
          <w:ilvl w:val="0"/>
          <w:numId w:val="51"/>
        </w:numPr>
        <w:spacing w:before="0" w:after="0" w:line="240" w:lineRule="auto"/>
        <w:jc w:val="left"/>
        <w:rPr>
          <w:rFonts w:ascii="Calibri" w:eastAsia="MS Mincho" w:hAnsi="Calibri" w:cs="Arial"/>
          <w:szCs w:val="24"/>
          <w:lang w:val="en-GB"/>
        </w:rPr>
      </w:pPr>
      <w:r w:rsidRPr="002F16DA">
        <w:rPr>
          <w:rFonts w:ascii="Calibri" w:eastAsia="MS Mincho" w:hAnsi="Calibri" w:cs="Arial"/>
          <w:szCs w:val="24"/>
          <w:lang w:val="en-GB"/>
        </w:rPr>
        <w:t>Pravilnik o evidenciji i metodologiji analize rizika u vršenju kontrole u postupcima javnih nabavki (Službeni list Crne Gore, br. 055/20 od 12 juna 2020. godine).</w:t>
      </w:r>
    </w:p>
    <w:p w:rsidR="002F16DA" w:rsidRPr="002F16DA" w:rsidRDefault="002F16DA" w:rsidP="002F16DA">
      <w:pPr>
        <w:spacing w:before="0" w:after="0" w:line="240" w:lineRule="auto"/>
        <w:ind w:firstLine="360"/>
        <w:rPr>
          <w:rFonts w:ascii="Calibri" w:eastAsia="MS Mincho" w:hAnsi="Calibri" w:cs="Arial"/>
          <w:szCs w:val="24"/>
          <w:lang w:val="en-GB"/>
        </w:rPr>
      </w:pPr>
      <w:r w:rsidRPr="002F16DA">
        <w:rPr>
          <w:rFonts w:ascii="Calibri" w:eastAsia="MS Mincho" w:hAnsi="Calibri" w:cs="Arial"/>
          <w:szCs w:val="24"/>
          <w:lang w:val="en-GB"/>
        </w:rPr>
        <w:t>Od donesenih propisa u smislu važnosti za unaprjeđenje sistema javnih nabavki i EU integracioni process, izdvajamo sljedeće:</w:t>
      </w:r>
    </w:p>
    <w:p w:rsidR="002F16DA" w:rsidRPr="002F16DA" w:rsidRDefault="002F16DA" w:rsidP="002F16DA">
      <w:pPr>
        <w:spacing w:before="0" w:after="0" w:line="240" w:lineRule="auto"/>
        <w:contextualSpacing/>
        <w:rPr>
          <w:rFonts w:ascii="Calibri" w:eastAsia="Calibri" w:hAnsi="Calibri" w:cs="Arial"/>
          <w:bCs/>
          <w:szCs w:val="24"/>
          <w:lang w:val="pl-PL"/>
        </w:rPr>
      </w:pPr>
      <w:r>
        <w:rPr>
          <w:rFonts w:ascii="Calibri" w:eastAsia="Calibri" w:hAnsi="Calibri" w:cs="Arial"/>
          <w:bCs/>
          <w:szCs w:val="24"/>
          <w:lang w:val="pl-PL"/>
        </w:rPr>
        <w:t xml:space="preserve"> - </w:t>
      </w:r>
      <w:r w:rsidRPr="002F16DA">
        <w:rPr>
          <w:rFonts w:ascii="Calibri" w:eastAsia="Calibri" w:hAnsi="Calibri" w:cs="Arial"/>
          <w:bCs/>
          <w:szCs w:val="24"/>
          <w:lang w:val="pl-PL"/>
        </w:rPr>
        <w:t xml:space="preserve">Sa ciljem regulisanja nabavki u oblasti odbrane i bezbjednosti, usvojena je </w:t>
      </w:r>
      <w:r w:rsidRPr="002F16DA">
        <w:rPr>
          <w:rFonts w:ascii="Calibri" w:eastAsia="Calibri" w:hAnsi="Calibri" w:cs="Arial"/>
          <w:bCs/>
          <w:i/>
          <w:szCs w:val="24"/>
          <w:u w:val="single"/>
          <w:lang w:val="pl-PL"/>
        </w:rPr>
        <w:t>Uredba o listi vojne opreme i proizvoda, postupku i načinu sprovođenja javnih nabavki u oblasti odbrane i bezbjednosti</w:t>
      </w:r>
      <w:r w:rsidRPr="002F16DA">
        <w:rPr>
          <w:rFonts w:ascii="Calibri" w:eastAsia="Calibri" w:hAnsi="Calibri" w:cs="Arial"/>
          <w:bCs/>
          <w:szCs w:val="24"/>
          <w:lang w:val="pl-PL"/>
        </w:rPr>
        <w:t xml:space="preserve"> (Sl. list CG, br. 076/20). Ovakav podzakonski akt je usvojen po prvi put i na sistemski način reguliše nabavke u oblasti odbrane i bezbjednosti u skladu sa Direktivama Evropske unije.</w:t>
      </w:r>
    </w:p>
    <w:p w:rsidR="002F16DA" w:rsidRPr="002F16DA" w:rsidRDefault="002F16DA" w:rsidP="002F16DA">
      <w:pPr>
        <w:spacing w:before="0" w:after="0" w:line="240" w:lineRule="auto"/>
        <w:contextualSpacing/>
        <w:rPr>
          <w:rFonts w:ascii="Calibri" w:eastAsia="Calibri" w:hAnsi="Calibri" w:cs="Arial"/>
          <w:bCs/>
          <w:szCs w:val="24"/>
          <w:lang w:val="pl-PL"/>
        </w:rPr>
      </w:pPr>
      <w:r>
        <w:rPr>
          <w:rFonts w:ascii="Calibri" w:eastAsia="MS Mincho" w:hAnsi="Calibri" w:cs="Arial"/>
          <w:bCs/>
          <w:szCs w:val="24"/>
          <w:lang w:val="pl-PL"/>
        </w:rPr>
        <w:t xml:space="preserve"> - </w:t>
      </w:r>
      <w:r w:rsidRPr="002F16DA">
        <w:rPr>
          <w:rFonts w:ascii="Calibri" w:eastAsia="Calibri" w:hAnsi="Calibri" w:cs="Arial"/>
          <w:bCs/>
          <w:szCs w:val="24"/>
          <w:lang w:val="pl-PL"/>
        </w:rPr>
        <w:t xml:space="preserve">Usvojen je novi akt kojim se regulišu jednostavne nabavke, odnosno nabavke čija je vrijednost ispod pragova propisanih Zakonom – </w:t>
      </w:r>
      <w:r w:rsidRPr="002F16DA">
        <w:rPr>
          <w:rFonts w:ascii="Calibri" w:eastAsia="Calibri" w:hAnsi="Calibri" w:cs="Arial"/>
          <w:bCs/>
          <w:i/>
          <w:szCs w:val="24"/>
          <w:u w:val="single"/>
          <w:lang w:val="pl-PL"/>
        </w:rPr>
        <w:t>Pravilnik o načinu sprovođenja jednostavnih nabavki</w:t>
      </w:r>
      <w:r w:rsidRPr="002F16DA">
        <w:rPr>
          <w:rFonts w:ascii="Calibri" w:eastAsia="Calibri" w:hAnsi="Calibri" w:cs="Arial"/>
          <w:bCs/>
          <w:szCs w:val="24"/>
          <w:lang w:val="pl-PL"/>
        </w:rPr>
        <w:t xml:space="preserve"> (Službeni list Crne Gore, br.  061/20, 065/20, 071/20, 074/20, 102/20), kojim je stavljeno van snage oko 650 pojedinačnih akata naručilaca. Pomenuti akt reguliše jednostavne nabavke na jedinstven način – ovi postupci nabavki se pokreću isključivo objavljivanjem na portalu javnih nabavki, odnosno, kroz elektronski sistem javnih nabavki. Obaveza naručilaca da objavljuje  svu dokumentaciju koja pripada ovoj vrsti nabavki rezultirala je povećanjem transparentnosti  postupaka kao i većim učešćem privrednih subjekata u jednostavnim nabavkama.   </w:t>
      </w:r>
    </w:p>
    <w:p w:rsidR="002F16DA" w:rsidRPr="002F16DA" w:rsidRDefault="002F16DA" w:rsidP="002F16DA">
      <w:pPr>
        <w:spacing w:before="0" w:after="0" w:line="240" w:lineRule="auto"/>
        <w:contextualSpacing/>
        <w:jc w:val="left"/>
        <w:rPr>
          <w:rFonts w:ascii="Calibri" w:eastAsia="Calibri" w:hAnsi="Calibri" w:cs="Arial"/>
          <w:bCs/>
          <w:szCs w:val="24"/>
          <w:lang w:val="pl-PL"/>
        </w:rPr>
      </w:pPr>
    </w:p>
    <w:p w:rsidR="002F16DA" w:rsidRPr="002F16DA" w:rsidRDefault="002F16DA" w:rsidP="002423BC">
      <w:pPr>
        <w:spacing w:before="0" w:after="0" w:line="240" w:lineRule="auto"/>
        <w:ind w:firstLine="360"/>
        <w:rPr>
          <w:rFonts w:ascii="Calibri" w:eastAsia="MS Mincho" w:hAnsi="Calibri" w:cs="Arial"/>
          <w:bCs/>
          <w:i/>
          <w:szCs w:val="24"/>
          <w:lang w:val="pl-PL"/>
        </w:rPr>
      </w:pPr>
      <w:r w:rsidRPr="002F16DA">
        <w:rPr>
          <w:rFonts w:ascii="Calibri" w:eastAsia="MS Mincho" w:hAnsi="Calibri" w:cs="Arial"/>
          <w:bCs/>
          <w:i/>
          <w:szCs w:val="24"/>
          <w:lang w:val="pl-PL"/>
        </w:rPr>
        <w:t>Oblast j</w:t>
      </w:r>
      <w:r w:rsidRPr="002F16DA">
        <w:rPr>
          <w:rFonts w:ascii="Calibri" w:eastAsia="MS Mincho" w:hAnsi="Calibri" w:cs="Arial"/>
          <w:bCs/>
          <w:i/>
          <w:szCs w:val="24"/>
          <w:lang w:val="sr-Latn-ME"/>
        </w:rPr>
        <w:t>avno-privatnog partnerstva</w:t>
      </w:r>
    </w:p>
    <w:p w:rsidR="002F16DA" w:rsidRPr="002F16DA" w:rsidRDefault="002F16DA" w:rsidP="002F16DA">
      <w:pPr>
        <w:spacing w:before="0" w:after="0" w:line="240" w:lineRule="auto"/>
        <w:ind w:firstLine="360"/>
        <w:rPr>
          <w:rFonts w:ascii="Calibri" w:eastAsia="MS Mincho" w:hAnsi="Calibri" w:cs="Arial"/>
          <w:bCs/>
          <w:szCs w:val="24"/>
          <w:lang w:val="en-US"/>
        </w:rPr>
      </w:pPr>
      <w:r w:rsidRPr="002F16DA">
        <w:rPr>
          <w:rFonts w:ascii="Calibri" w:eastAsia="MS Mincho" w:hAnsi="Calibri" w:cs="Arial"/>
          <w:bCs/>
          <w:szCs w:val="24"/>
          <w:lang w:val="en-US"/>
        </w:rPr>
        <w:t xml:space="preserve">Nakon godina usklađivanja pravnog okvira u oblasti koncesija i javno-privatnog partnerstva, Skupština je usvojila Zakon o javno-privatnom partnerstvu (Službeni list Crne Gore, br.  073/19, dostupan na: www.ujn.gov.me). Zakon odražava standarde Direktive 2014/23/EU Evropskog parlamenta i Savjeta od 26. februara 2014. godine o dodjeli ugovora o koncesijama. Podzakonski akti u ovoj oblasti donešeni su i objavljeni na: http://www.ujn.gov.me/podzakonska-regulativa-zakona-o-javno-privatnom-partnerstvu-sluzbeni-list-crne-gore-br-73-19/  </w:t>
      </w:r>
    </w:p>
    <w:p w:rsidR="002F16DA" w:rsidRPr="002F16DA" w:rsidRDefault="002F16DA" w:rsidP="00146EBE">
      <w:pPr>
        <w:numPr>
          <w:ilvl w:val="0"/>
          <w:numId w:val="50"/>
        </w:numPr>
        <w:spacing w:before="0" w:after="0" w:line="240" w:lineRule="auto"/>
        <w:contextualSpacing/>
        <w:jc w:val="left"/>
        <w:rPr>
          <w:rFonts w:ascii="Calibri" w:eastAsia="Calibri" w:hAnsi="Calibri" w:cs="Arial"/>
          <w:bCs/>
          <w:szCs w:val="24"/>
          <w:lang w:val="en-GB"/>
        </w:rPr>
      </w:pPr>
      <w:r w:rsidRPr="002F16DA">
        <w:rPr>
          <w:rFonts w:ascii="Calibri" w:eastAsia="Calibri" w:hAnsi="Calibri" w:cs="Arial"/>
          <w:bCs/>
          <w:szCs w:val="24"/>
          <w:lang w:val="en-GB"/>
        </w:rPr>
        <w:t>Podzakonska regulativa u oblasti javno-privatnog partnerstva:</w:t>
      </w:r>
    </w:p>
    <w:p w:rsidR="002F16DA" w:rsidRPr="002F16DA" w:rsidRDefault="002F16DA" w:rsidP="00146EBE">
      <w:pPr>
        <w:numPr>
          <w:ilvl w:val="0"/>
          <w:numId w:val="51"/>
        </w:numPr>
        <w:spacing w:before="0" w:after="0" w:line="240" w:lineRule="auto"/>
        <w:contextualSpacing/>
        <w:jc w:val="left"/>
        <w:rPr>
          <w:rFonts w:ascii="Calibri" w:eastAsia="Calibri" w:hAnsi="Calibri" w:cs="Arial"/>
          <w:bCs/>
          <w:szCs w:val="24"/>
          <w:lang w:val="en-GB"/>
        </w:rPr>
      </w:pPr>
      <w:r w:rsidRPr="002F16DA">
        <w:rPr>
          <w:rFonts w:ascii="Calibri" w:eastAsia="Calibri" w:hAnsi="Calibri" w:cs="Arial"/>
          <w:bCs/>
          <w:szCs w:val="24"/>
          <w:lang w:val="en-GB"/>
        </w:rPr>
        <w:lastRenderedPageBreak/>
        <w:t>Pravilnik o obrascu analize opravdanosti javno-privatnog partnerstva (Službeni list Crne Gore, br. 059/20 od 20. juna 2020. godine);</w:t>
      </w:r>
    </w:p>
    <w:p w:rsidR="002F16DA" w:rsidRPr="002F16DA" w:rsidRDefault="002F16DA" w:rsidP="00146EBE">
      <w:pPr>
        <w:numPr>
          <w:ilvl w:val="0"/>
          <w:numId w:val="51"/>
        </w:numPr>
        <w:spacing w:before="0" w:after="0" w:line="240" w:lineRule="auto"/>
        <w:contextualSpacing/>
        <w:jc w:val="left"/>
        <w:rPr>
          <w:rFonts w:ascii="Calibri" w:eastAsia="Calibri" w:hAnsi="Calibri" w:cs="Arial"/>
          <w:bCs/>
          <w:szCs w:val="24"/>
          <w:lang w:val="en-GB"/>
        </w:rPr>
      </w:pPr>
      <w:r w:rsidRPr="002F16DA">
        <w:rPr>
          <w:rFonts w:ascii="Calibri" w:eastAsia="Calibri" w:hAnsi="Calibri" w:cs="Arial"/>
          <w:bCs/>
          <w:szCs w:val="24"/>
          <w:lang w:val="en-GB"/>
        </w:rPr>
        <w:t>Pravilnik o obrascu izvještaja o realizaciji ugovora o javno-privatnom partnerstvu (Službeni list Crne Gore, br. 059/20 od 20. juna 2020. godine);</w:t>
      </w:r>
    </w:p>
    <w:p w:rsidR="002F16DA" w:rsidRPr="002F16DA" w:rsidRDefault="002F16DA" w:rsidP="00146EBE">
      <w:pPr>
        <w:numPr>
          <w:ilvl w:val="0"/>
          <w:numId w:val="51"/>
        </w:numPr>
        <w:spacing w:before="0" w:after="0" w:line="240" w:lineRule="auto"/>
        <w:contextualSpacing/>
        <w:jc w:val="left"/>
        <w:rPr>
          <w:rFonts w:ascii="Calibri" w:eastAsia="Calibri" w:hAnsi="Calibri" w:cs="Arial"/>
          <w:bCs/>
          <w:szCs w:val="24"/>
          <w:lang w:val="en-GB"/>
        </w:rPr>
      </w:pPr>
      <w:r w:rsidRPr="002F16DA">
        <w:rPr>
          <w:rFonts w:ascii="Calibri" w:eastAsia="Calibri" w:hAnsi="Calibri" w:cs="Arial"/>
          <w:bCs/>
          <w:szCs w:val="24"/>
          <w:lang w:val="en-GB"/>
        </w:rPr>
        <w:t>Pravilnik o sadržaju i načinu vođenja registra odobrenih predloga projekata javno-privatnog partnerstva (Službeni list Crne Gore, br. 059/20 od 20. juna 2020. godine);</w:t>
      </w:r>
    </w:p>
    <w:p w:rsidR="002F16DA" w:rsidRPr="002F16DA" w:rsidRDefault="002F16DA" w:rsidP="00146EBE">
      <w:pPr>
        <w:numPr>
          <w:ilvl w:val="0"/>
          <w:numId w:val="51"/>
        </w:numPr>
        <w:spacing w:before="0" w:after="0" w:line="240" w:lineRule="auto"/>
        <w:contextualSpacing/>
        <w:jc w:val="left"/>
        <w:rPr>
          <w:rFonts w:ascii="Calibri" w:eastAsia="Calibri" w:hAnsi="Calibri" w:cs="Arial"/>
          <w:bCs/>
          <w:szCs w:val="24"/>
          <w:lang w:val="en-GB"/>
        </w:rPr>
      </w:pPr>
      <w:r w:rsidRPr="002F16DA">
        <w:rPr>
          <w:rFonts w:ascii="Calibri" w:eastAsia="Calibri" w:hAnsi="Calibri" w:cs="Arial"/>
          <w:bCs/>
          <w:szCs w:val="24"/>
          <w:lang w:val="en-GB"/>
        </w:rPr>
        <w:t>Pravilnik o sadržaju registra ugovora o javno-privatnom partnerstvu (Službeni list Crne Gore, br. 059/20 od 20. juna 2020. godine);</w:t>
      </w:r>
    </w:p>
    <w:p w:rsidR="002F16DA" w:rsidRPr="002F16DA" w:rsidRDefault="002F16DA" w:rsidP="00146EBE">
      <w:pPr>
        <w:numPr>
          <w:ilvl w:val="0"/>
          <w:numId w:val="51"/>
        </w:numPr>
        <w:spacing w:before="0" w:after="0" w:line="240" w:lineRule="auto"/>
        <w:contextualSpacing/>
        <w:jc w:val="left"/>
        <w:rPr>
          <w:rFonts w:ascii="Calibri" w:eastAsia="Calibri" w:hAnsi="Calibri" w:cs="Arial"/>
          <w:bCs/>
          <w:szCs w:val="24"/>
          <w:lang w:val="en-GB"/>
        </w:rPr>
      </w:pPr>
      <w:r w:rsidRPr="002F16DA">
        <w:rPr>
          <w:rFonts w:ascii="Calibri" w:eastAsia="Calibri" w:hAnsi="Calibri" w:cs="Arial"/>
          <w:bCs/>
          <w:szCs w:val="24"/>
          <w:lang w:val="en-GB"/>
        </w:rPr>
        <w:t>Pravilnik o metodologiji za procjenu dobijene vrijednosti u odnosu na uložena sredstva (Službeni list Crne Gore, br. 059/20 od 20. juna 2020. godine);</w:t>
      </w:r>
    </w:p>
    <w:p w:rsidR="002F16DA" w:rsidRPr="002F16DA" w:rsidRDefault="002F16DA" w:rsidP="00146EBE">
      <w:pPr>
        <w:numPr>
          <w:ilvl w:val="0"/>
          <w:numId w:val="51"/>
        </w:numPr>
        <w:spacing w:before="0" w:after="0" w:line="240" w:lineRule="auto"/>
        <w:contextualSpacing/>
        <w:jc w:val="left"/>
        <w:rPr>
          <w:rFonts w:ascii="Calibri" w:eastAsia="Calibri" w:hAnsi="Calibri" w:cs="Arial"/>
          <w:bCs/>
          <w:szCs w:val="24"/>
          <w:lang w:val="en-GB"/>
        </w:rPr>
      </w:pPr>
      <w:r w:rsidRPr="002F16DA">
        <w:rPr>
          <w:rFonts w:ascii="Calibri" w:eastAsia="Calibri" w:hAnsi="Calibri" w:cs="Arial"/>
          <w:bCs/>
          <w:szCs w:val="24"/>
          <w:lang w:val="en-GB"/>
        </w:rPr>
        <w:t>Pravilnik o sadržaju izjave o nepostojanju sukoba interesa članova tenderske komisije (Službeni list Crne Gore, br. 058/20 od 19. juna 2020. godine).</w:t>
      </w:r>
    </w:p>
    <w:p w:rsidR="002F16DA" w:rsidRPr="002F16DA" w:rsidRDefault="002F16DA" w:rsidP="002F16DA">
      <w:pPr>
        <w:spacing w:before="0" w:after="0" w:line="240" w:lineRule="auto"/>
        <w:rPr>
          <w:rFonts w:ascii="Calibri" w:eastAsia="MS Mincho" w:hAnsi="Calibri" w:cs="Arial"/>
          <w:bCs/>
          <w:i/>
          <w:szCs w:val="24"/>
          <w:u w:val="single"/>
          <w:lang w:val="pl-PL"/>
        </w:rPr>
      </w:pPr>
    </w:p>
    <w:p w:rsidR="002F16DA" w:rsidRPr="002F16DA" w:rsidRDefault="002F16DA" w:rsidP="005D23FD">
      <w:pPr>
        <w:pBdr>
          <w:bottom w:val="single" w:sz="4" w:space="1" w:color="auto"/>
        </w:pBdr>
        <w:shd w:val="clear" w:color="auto" w:fill="F2F2F2" w:themeFill="background1" w:themeFillShade="F2"/>
        <w:spacing w:before="0" w:after="0" w:line="240" w:lineRule="auto"/>
        <w:rPr>
          <w:rFonts w:ascii="Calibri" w:eastAsia="MS Mincho" w:hAnsi="Calibri" w:cs="Arial"/>
          <w:bCs/>
          <w:i/>
          <w:szCs w:val="24"/>
          <w:lang w:val="pl-PL"/>
        </w:rPr>
      </w:pPr>
      <w:r w:rsidRPr="002F16DA">
        <w:rPr>
          <w:rFonts w:ascii="Calibri" w:eastAsia="MS Mincho" w:hAnsi="Calibri" w:cs="Arial"/>
          <w:bCs/>
          <w:i/>
          <w:szCs w:val="24"/>
          <w:lang w:val="pl-PL"/>
        </w:rPr>
        <w:t>Statistički podaci koji se odnose na sistem javnih nabavki u Crnoj Gori - Izvještaj o javnim nabavkama</w:t>
      </w:r>
    </w:p>
    <w:p w:rsidR="002F16DA" w:rsidRPr="002F16DA" w:rsidRDefault="002F16DA" w:rsidP="002F16DA">
      <w:pPr>
        <w:spacing w:before="0" w:after="0" w:line="240" w:lineRule="auto"/>
        <w:ind w:firstLine="709"/>
        <w:rPr>
          <w:rFonts w:ascii="Calibri" w:eastAsia="MS Mincho" w:hAnsi="Calibri" w:cs="Arial"/>
          <w:bCs/>
          <w:szCs w:val="24"/>
          <w:lang w:val="pl-PL"/>
        </w:rPr>
      </w:pPr>
      <w:r w:rsidRPr="002F16DA">
        <w:rPr>
          <w:rFonts w:ascii="Calibri" w:eastAsia="MS Mincho" w:hAnsi="Calibri" w:cs="Arial"/>
          <w:bCs/>
          <w:szCs w:val="24"/>
          <w:lang w:val="pl-PL"/>
        </w:rPr>
        <w:t>Ministarstvo - Direktorat za politiku javnih nabavki vrši funkciju monitoringa nad svim sprovedenim postupcima javnih nabavki u zemlji, prikuplja podatke i obrađuje ih u jedinstveni Godišnji izvještaj o javnim nabavkama u Crnoj Gori. Izvještaj o javnim nabavkama u Crnoj Gori za 2019. godinu, Ministarstvo je dostavilo Vladi u skladu sa zakonskim ovlašćenjima, isti je Vlada Crne gore usvojila na sjednici od 04. juna 2020. godine.</w:t>
      </w:r>
    </w:p>
    <w:p w:rsidR="002F16DA" w:rsidRPr="002F16DA" w:rsidRDefault="002F16DA" w:rsidP="002F16DA">
      <w:pPr>
        <w:spacing w:before="0" w:after="0" w:line="240" w:lineRule="auto"/>
        <w:rPr>
          <w:rFonts w:ascii="Calibri" w:eastAsia="MS Mincho" w:hAnsi="Calibri" w:cs="Arial"/>
          <w:bCs/>
          <w:szCs w:val="24"/>
          <w:lang w:val="pl-PL"/>
        </w:rPr>
      </w:pPr>
    </w:p>
    <w:p w:rsidR="002F16DA" w:rsidRPr="002F16DA" w:rsidRDefault="002F16DA" w:rsidP="005D23FD">
      <w:pPr>
        <w:pBdr>
          <w:bottom w:val="single" w:sz="4" w:space="1" w:color="auto"/>
        </w:pBdr>
        <w:shd w:val="clear" w:color="auto" w:fill="F2F2F2" w:themeFill="background1" w:themeFillShade="F2"/>
        <w:spacing w:before="0" w:after="0" w:line="240" w:lineRule="auto"/>
        <w:rPr>
          <w:rFonts w:ascii="Calibri" w:eastAsia="MS Mincho" w:hAnsi="Calibri" w:cs="Arial"/>
          <w:bCs/>
          <w:i/>
          <w:szCs w:val="24"/>
          <w:lang w:val="pl-PL"/>
        </w:rPr>
      </w:pPr>
      <w:r w:rsidRPr="002F16DA">
        <w:rPr>
          <w:rFonts w:ascii="Calibri" w:eastAsia="MS Mincho" w:hAnsi="Calibri" w:cs="Arial"/>
          <w:bCs/>
          <w:i/>
          <w:szCs w:val="24"/>
          <w:lang w:val="pl-PL"/>
        </w:rPr>
        <w:t>Elektronski sistem javnih nabavki</w:t>
      </w:r>
    </w:p>
    <w:p w:rsidR="002F16DA" w:rsidRPr="002F16DA" w:rsidRDefault="002F16DA" w:rsidP="002F16DA">
      <w:pPr>
        <w:spacing w:before="0" w:after="0" w:line="240" w:lineRule="auto"/>
        <w:ind w:firstLine="709"/>
        <w:rPr>
          <w:rFonts w:ascii="Calibri" w:eastAsia="MS Mincho" w:hAnsi="Calibri" w:cs="Arial"/>
          <w:bCs/>
          <w:szCs w:val="24"/>
          <w:lang w:val="pl-PL"/>
        </w:rPr>
      </w:pPr>
      <w:r w:rsidRPr="002F16DA">
        <w:rPr>
          <w:rFonts w:ascii="Calibri" w:eastAsia="MS Mincho" w:hAnsi="Calibri" w:cs="Arial"/>
          <w:bCs/>
          <w:szCs w:val="24"/>
          <w:lang w:val="pl-PL"/>
        </w:rPr>
        <w:t>Tokom 2020. godine sprovođene su aktivnosti na uvođenju elektronskog sistema javnih nabavki. Nakon završetka in-house testiranja sistema tokom perioda oktobar-novembar 2020. godine, Ministarstvo finansija i socijalnog staranja započelo je sa obukama naručilaca i ponuđača za efikasnu primjenu i korišćenje sistema, kao i registraciju korisnika. Elektronski sistem javnih nabavki je nova alatka za poboljšanje efikasnosti procesa nabavki za robe, usluge i radove, koji će rezultirati uštedama u javnom sektoru. Novi elektronski sistem, čija je primjena počela 1. januara 2021. godine, jedan je od najvažnijih koraka u kreiranju e-uprave, i uz primjenu novog zakonskog rješenja predstavlja potpuno novi koncept javnih nabavki u Crnoj Gori. (</w:t>
      </w:r>
      <w:hyperlink r:id="rId10" w:history="1">
        <w:r w:rsidRPr="002F16DA">
          <w:rPr>
            <w:rFonts w:ascii="Calibri" w:eastAsia="MS Mincho" w:hAnsi="Calibri" w:cs="Arial"/>
            <w:bCs/>
            <w:color w:val="0000FF"/>
            <w:szCs w:val="24"/>
            <w:u w:val="single"/>
            <w:lang w:val="pl-PL"/>
          </w:rPr>
          <w:t>http://cejn.gov.me/landingPage</w:t>
        </w:r>
      </w:hyperlink>
      <w:r w:rsidRPr="002F16DA">
        <w:rPr>
          <w:rFonts w:ascii="Calibri" w:eastAsia="MS Mincho" w:hAnsi="Calibri" w:cs="Arial"/>
          <w:bCs/>
          <w:szCs w:val="24"/>
          <w:lang w:val="pl-PL"/>
        </w:rPr>
        <w:t>).</w:t>
      </w:r>
    </w:p>
    <w:p w:rsidR="002F16DA" w:rsidRPr="002F16DA" w:rsidRDefault="002F16DA" w:rsidP="002F16DA">
      <w:pPr>
        <w:spacing w:before="0" w:after="0" w:line="240" w:lineRule="auto"/>
        <w:ind w:firstLine="709"/>
        <w:rPr>
          <w:rFonts w:ascii="Calibri" w:eastAsia="MS Mincho" w:hAnsi="Calibri" w:cs="Arial"/>
          <w:bCs/>
          <w:szCs w:val="24"/>
          <w:lang w:val="pl-PL"/>
        </w:rPr>
      </w:pPr>
      <w:r w:rsidRPr="002F16DA">
        <w:rPr>
          <w:rFonts w:ascii="Calibri" w:eastAsia="MS Mincho" w:hAnsi="Calibri" w:cs="Arial"/>
          <w:bCs/>
          <w:szCs w:val="24"/>
          <w:lang w:val="pl-PL"/>
        </w:rPr>
        <w:t xml:space="preserve">Sva podzakonska regulativa i uputstva za korišćenje e-sistema nabavki usvojena su u skladu sa propisanim vremenskim rokovima, kao preduslov za puštanje u rad sistema e-nabavki. Pored toga, izvršeno je usklađivanje dva najvažnija podzakonska akta – za pripremu tenderske dokumentacije i za pripremu ponuda kroz e-sistem. </w:t>
      </w:r>
    </w:p>
    <w:p w:rsidR="002F16DA" w:rsidRPr="002F16DA" w:rsidRDefault="002F16DA" w:rsidP="002F16DA">
      <w:pPr>
        <w:spacing w:before="0" w:after="0" w:line="240" w:lineRule="auto"/>
        <w:ind w:firstLine="709"/>
        <w:rPr>
          <w:rFonts w:ascii="Calibri" w:eastAsia="MS Mincho" w:hAnsi="Calibri" w:cs="Arial"/>
          <w:bCs/>
          <w:szCs w:val="24"/>
          <w:lang w:val="pl-PL"/>
        </w:rPr>
      </w:pPr>
      <w:r w:rsidRPr="002F16DA">
        <w:rPr>
          <w:rFonts w:ascii="Calibri" w:eastAsia="MS Mincho" w:hAnsi="Calibri" w:cs="Arial"/>
          <w:bCs/>
          <w:szCs w:val="24"/>
          <w:lang w:val="pl-PL"/>
        </w:rPr>
        <w:t xml:space="preserve">Navedena uputstva dostupna su na: </w:t>
      </w:r>
      <w:hyperlink r:id="rId11" w:history="1">
        <w:r w:rsidRPr="002F16DA">
          <w:rPr>
            <w:rFonts w:ascii="Calibri" w:eastAsia="MS Mincho" w:hAnsi="Calibri" w:cs="Arial"/>
            <w:bCs/>
            <w:color w:val="0000FF"/>
            <w:szCs w:val="24"/>
            <w:u w:val="single"/>
            <w:lang w:val="pl-PL"/>
          </w:rPr>
          <w:t>http://www.ujn.gov.me/2021/01/uputstva-cejn/</w:t>
        </w:r>
      </w:hyperlink>
    </w:p>
    <w:p w:rsidR="002F16DA" w:rsidRPr="002F16DA" w:rsidRDefault="002F16DA" w:rsidP="002F16DA">
      <w:pPr>
        <w:spacing w:before="0" w:after="0" w:line="240" w:lineRule="auto"/>
        <w:rPr>
          <w:rFonts w:ascii="Calibri" w:eastAsia="MS Mincho" w:hAnsi="Calibri" w:cs="Arial"/>
          <w:bCs/>
          <w:szCs w:val="24"/>
          <w:lang w:val="pl-PL"/>
        </w:rPr>
      </w:pPr>
    </w:p>
    <w:p w:rsidR="002F16DA" w:rsidRPr="002F16DA" w:rsidRDefault="002F16DA" w:rsidP="002F16DA">
      <w:pPr>
        <w:spacing w:before="0" w:after="0" w:line="240" w:lineRule="auto"/>
        <w:rPr>
          <w:rFonts w:ascii="Calibri" w:eastAsia="MS Mincho" w:hAnsi="Calibri" w:cs="Arial"/>
          <w:bCs/>
          <w:i/>
          <w:szCs w:val="24"/>
          <w:u w:val="single"/>
          <w:lang w:val="en-GB"/>
        </w:rPr>
      </w:pPr>
      <w:r w:rsidRPr="002F16DA">
        <w:rPr>
          <w:rFonts w:ascii="Calibri" w:eastAsia="MS Mincho" w:hAnsi="Calibri" w:cs="Arial"/>
          <w:bCs/>
          <w:i/>
          <w:szCs w:val="24"/>
          <w:u w:val="single"/>
          <w:lang w:val="en-GB"/>
        </w:rPr>
        <w:t>Profesionalizacija i ostala poboljšanja u sistemu</w:t>
      </w:r>
    </w:p>
    <w:p w:rsidR="002F16DA" w:rsidRPr="002F16DA" w:rsidRDefault="002423BC" w:rsidP="002423BC">
      <w:pPr>
        <w:spacing w:before="0" w:after="0" w:line="240" w:lineRule="auto"/>
        <w:ind w:firstLine="360"/>
        <w:rPr>
          <w:rFonts w:ascii="Calibri" w:eastAsia="MS Mincho" w:hAnsi="Calibri" w:cs="Arial"/>
          <w:bCs/>
          <w:szCs w:val="24"/>
          <w:lang w:val="en-GB"/>
        </w:rPr>
      </w:pPr>
      <w:r>
        <w:rPr>
          <w:rFonts w:ascii="Calibri" w:eastAsia="MS Mincho" w:hAnsi="Calibri" w:cs="Arial"/>
          <w:bCs/>
          <w:szCs w:val="24"/>
          <w:lang w:val="en-GB"/>
        </w:rPr>
        <w:t xml:space="preserve">- </w:t>
      </w:r>
      <w:r w:rsidR="002F16DA" w:rsidRPr="002F16DA">
        <w:rPr>
          <w:rFonts w:ascii="Calibri" w:eastAsia="MS Mincho" w:hAnsi="Calibri" w:cs="Arial"/>
          <w:bCs/>
          <w:szCs w:val="24"/>
          <w:lang w:val="en-GB"/>
        </w:rPr>
        <w:t xml:space="preserve">Sa ciljem jačanja administrativnih kapaciteta i podizanja nivoa profesionalizacije zaposlenih u oblasti javnih nabavki, Ministarstvo finansija i socijalnog staranja kontinuirano sprovodi obuke, kako na temu regulatornog okvira, tako i na temu korišćenja elektronskog sistema javnih nabavki. U izvještajnom periodu je održano 9 obuka na temu novog zakonskog okvira koje je pohađalo 586 službenika. U 2020. godini stručni ispit za rad na poslovima javnih nabavki položilo je 33 kandidata. Ove obuke su pohađali i naručioci i privredni subjekti. </w:t>
      </w:r>
    </w:p>
    <w:p w:rsidR="002F16DA" w:rsidRPr="002F16DA" w:rsidRDefault="002423BC" w:rsidP="002423BC">
      <w:pPr>
        <w:spacing w:before="0" w:after="0" w:line="240" w:lineRule="auto"/>
        <w:ind w:firstLine="360"/>
        <w:rPr>
          <w:rFonts w:ascii="Calibri" w:eastAsia="MS Mincho" w:hAnsi="Calibri" w:cs="Arial"/>
          <w:bCs/>
          <w:szCs w:val="24"/>
          <w:lang w:val="en-GB"/>
        </w:rPr>
      </w:pPr>
      <w:r>
        <w:rPr>
          <w:rFonts w:ascii="Calibri" w:eastAsia="MS Mincho" w:hAnsi="Calibri" w:cs="Arial"/>
          <w:bCs/>
          <w:szCs w:val="24"/>
          <w:lang w:val="en-GB"/>
        </w:rPr>
        <w:t xml:space="preserve">- </w:t>
      </w:r>
      <w:r w:rsidR="002F16DA" w:rsidRPr="002F16DA">
        <w:rPr>
          <w:rFonts w:ascii="Calibri" w:eastAsia="MS Mincho" w:hAnsi="Calibri" w:cs="Arial"/>
          <w:bCs/>
          <w:szCs w:val="24"/>
          <w:lang w:val="en-GB"/>
        </w:rPr>
        <w:t>Profesionalizacija zaposlenih na poslovima javnih nabavki je jedan od prioriteta, tako da, kao dio polaganja stručnog ispita za rad na poslovima javnih nabavki, nedavno je uvedeno elektronsko testiranje kandidata koji polažu za dobijanje sertifikata za rad u ovoj oblasti.</w:t>
      </w:r>
    </w:p>
    <w:p w:rsidR="002F16DA" w:rsidRPr="002F16DA" w:rsidRDefault="002423BC" w:rsidP="002423BC">
      <w:pPr>
        <w:spacing w:before="0" w:after="0" w:line="240" w:lineRule="auto"/>
        <w:ind w:firstLine="360"/>
        <w:rPr>
          <w:rFonts w:ascii="Calibri" w:eastAsia="MS Mincho" w:hAnsi="Calibri" w:cs="Arial"/>
          <w:bCs/>
          <w:szCs w:val="24"/>
          <w:lang w:val="en-GB"/>
        </w:rPr>
      </w:pPr>
      <w:r>
        <w:rPr>
          <w:rFonts w:ascii="Calibri" w:eastAsia="MS Mincho" w:hAnsi="Calibri" w:cs="Arial"/>
          <w:bCs/>
          <w:szCs w:val="24"/>
          <w:lang w:val="en-GB"/>
        </w:rPr>
        <w:t xml:space="preserve">- </w:t>
      </w:r>
      <w:r w:rsidR="002F16DA" w:rsidRPr="002F16DA">
        <w:rPr>
          <w:rFonts w:ascii="Calibri" w:eastAsia="MS Mincho" w:hAnsi="Calibri" w:cs="Arial"/>
          <w:bCs/>
          <w:szCs w:val="24"/>
          <w:lang w:val="en-GB"/>
        </w:rPr>
        <w:t xml:space="preserve">U smislu efikasnije implementacije novog zakonskog okvira, važno je istaći da kao rezultat međusektorske saradnje u sistemu javnih nabavki, a sa ciljem konzistentne usklađenosti sa Direktivama EU, Ministarstvo finansija i socijalnog staranja i Komisija za zaštitu prava u postupcima </w:t>
      </w:r>
      <w:r w:rsidR="002F16DA" w:rsidRPr="002F16DA">
        <w:rPr>
          <w:rFonts w:ascii="Calibri" w:eastAsia="MS Mincho" w:hAnsi="Calibri" w:cs="Arial"/>
          <w:bCs/>
          <w:szCs w:val="24"/>
          <w:lang w:val="en-GB"/>
        </w:rPr>
        <w:lastRenderedPageBreak/>
        <w:t>javnih nabavki priprema i objavljuje stručna uputstva i smjernice vezano za primjenu pojedinih odredaba Zakona (</w:t>
      </w:r>
      <w:hyperlink r:id="rId12" w:history="1">
        <w:r w:rsidR="002F16DA" w:rsidRPr="002F16DA">
          <w:rPr>
            <w:rFonts w:ascii="Calibri" w:eastAsia="MS Mincho" w:hAnsi="Calibri" w:cs="Arial"/>
            <w:bCs/>
            <w:color w:val="0000FF"/>
            <w:szCs w:val="24"/>
            <w:u w:val="single"/>
            <w:lang w:val="en-GB"/>
          </w:rPr>
          <w:t>http://www.ujn.gov.me/akti-za-primjenu/</w:t>
        </w:r>
      </w:hyperlink>
      <w:r w:rsidR="002F16DA" w:rsidRPr="002F16DA">
        <w:rPr>
          <w:rFonts w:ascii="Calibri" w:eastAsia="MS Mincho" w:hAnsi="Calibri" w:cs="Arial"/>
          <w:bCs/>
          <w:szCs w:val="24"/>
          <w:lang w:val="en-GB"/>
        </w:rPr>
        <w:t>).</w:t>
      </w:r>
    </w:p>
    <w:p w:rsidR="002F16DA" w:rsidRPr="002F16DA" w:rsidRDefault="002F16DA" w:rsidP="002F16DA">
      <w:pPr>
        <w:spacing w:before="0" w:after="0" w:line="240" w:lineRule="auto"/>
        <w:rPr>
          <w:rFonts w:ascii="Calibri" w:eastAsia="MS Mincho" w:hAnsi="Calibri" w:cs="Arial"/>
          <w:bCs/>
          <w:szCs w:val="24"/>
          <w:lang w:val="pl-PL"/>
        </w:rPr>
      </w:pPr>
    </w:p>
    <w:p w:rsidR="002F16DA" w:rsidRPr="002F16DA" w:rsidRDefault="002F16DA" w:rsidP="002F16DA">
      <w:pPr>
        <w:spacing w:before="0" w:after="0" w:line="240" w:lineRule="auto"/>
        <w:rPr>
          <w:rFonts w:ascii="Calibri" w:eastAsia="MS Mincho" w:hAnsi="Calibri" w:cs="Arial"/>
          <w:bCs/>
          <w:i/>
          <w:szCs w:val="24"/>
          <w:u w:val="single"/>
          <w:lang w:val="pl-PL"/>
        </w:rPr>
      </w:pPr>
      <w:r w:rsidRPr="002F16DA">
        <w:rPr>
          <w:rFonts w:ascii="Calibri" w:eastAsia="MS Mincho" w:hAnsi="Calibri" w:cs="Arial"/>
          <w:bCs/>
          <w:i/>
          <w:szCs w:val="24"/>
          <w:u w:val="single"/>
          <w:lang w:val="pl-PL"/>
        </w:rPr>
        <w:t>Statistika o sprovedenim pregovaračkim postupcima u 2020. godini, izdavanje mišljenja</w:t>
      </w:r>
    </w:p>
    <w:p w:rsidR="002F16DA" w:rsidRPr="002F16DA" w:rsidRDefault="002F16DA" w:rsidP="002F16DA">
      <w:pPr>
        <w:spacing w:before="0" w:after="0" w:line="240" w:lineRule="auto"/>
        <w:ind w:firstLine="709"/>
        <w:contextualSpacing/>
        <w:rPr>
          <w:rFonts w:ascii="Calibri" w:eastAsia="Calibri" w:hAnsi="Calibri" w:cs="Arial"/>
          <w:bCs/>
          <w:szCs w:val="24"/>
          <w:lang w:val="pl-PL"/>
        </w:rPr>
      </w:pPr>
      <w:r w:rsidRPr="002F16DA">
        <w:rPr>
          <w:rFonts w:ascii="Calibri" w:eastAsia="Calibri" w:hAnsi="Calibri" w:cs="Arial"/>
          <w:bCs/>
          <w:szCs w:val="24"/>
          <w:lang w:val="en-GB"/>
        </w:rPr>
        <w:t xml:space="preserve">U skladu sa Članom 65 Zakona o javnim nabavkama, naručilac je dužan da prije pokretanja pregovaračkog postupka bez prethodnog objavljivanja poziva za nadmetanje pribavi mišljenje Ministarstva, osim u slučaju iz člana 59 stav 1 tačka 3 ovog zakona. Ministarstvo mišljenje iz stava 2 ovog člana daje, bez ispitnog postupka, na osnovu dostavljenih dokaza, u roku od osam dana, od dana prijema potpune dokumentacije. </w:t>
      </w:r>
    </w:p>
    <w:p w:rsidR="002F16DA" w:rsidRPr="002F16DA" w:rsidRDefault="002F16DA" w:rsidP="002F16DA">
      <w:pPr>
        <w:spacing w:before="0" w:after="0" w:line="240" w:lineRule="auto"/>
        <w:ind w:left="360"/>
        <w:rPr>
          <w:rFonts w:ascii="Calibri" w:eastAsia="MS Mincho" w:hAnsi="Calibri" w:cs="Arial"/>
          <w:bCs/>
          <w:szCs w:val="24"/>
          <w:lang w:val="pl-PL"/>
        </w:rPr>
      </w:pPr>
    </w:p>
    <w:tbl>
      <w:tblPr>
        <w:tblStyle w:val="TableGrid1"/>
        <w:tblW w:w="0" w:type="auto"/>
        <w:tblInd w:w="817" w:type="dxa"/>
        <w:tblLook w:val="04A0" w:firstRow="1" w:lastRow="0" w:firstColumn="1" w:lastColumn="0" w:noHBand="0" w:noVBand="1"/>
      </w:tblPr>
      <w:tblGrid>
        <w:gridCol w:w="3260"/>
        <w:gridCol w:w="2552"/>
      </w:tblGrid>
      <w:tr w:rsidR="002F16DA" w:rsidRPr="002F16DA" w:rsidTr="005D23FD">
        <w:trPr>
          <w:trHeight w:val="275"/>
        </w:trPr>
        <w:tc>
          <w:tcPr>
            <w:tcW w:w="5812" w:type="dxa"/>
            <w:gridSpan w:val="2"/>
            <w:shd w:val="clear" w:color="auto" w:fill="F2F2F2" w:themeFill="background1" w:themeFillShade="F2"/>
          </w:tcPr>
          <w:p w:rsidR="002F16DA" w:rsidRPr="002F16DA" w:rsidRDefault="002F16DA" w:rsidP="002F16DA">
            <w:pPr>
              <w:spacing w:before="0" w:after="0" w:line="240" w:lineRule="auto"/>
              <w:jc w:val="center"/>
              <w:rPr>
                <w:rFonts w:ascii="Calibri" w:eastAsia="MS Mincho" w:hAnsi="Calibri" w:cs="Arial"/>
                <w:b/>
                <w:bCs/>
                <w:i/>
                <w:szCs w:val="24"/>
                <w:lang w:val="pl-PL"/>
              </w:rPr>
            </w:pPr>
            <w:r w:rsidRPr="002F16DA">
              <w:rPr>
                <w:rFonts w:ascii="Calibri" w:eastAsia="MS Mincho" w:hAnsi="Calibri" w:cs="Arial"/>
                <w:b/>
                <w:bCs/>
                <w:i/>
                <w:szCs w:val="24"/>
                <w:lang w:val="pl-PL"/>
              </w:rPr>
              <w:t>Pregovarački postupak bez prethodnog objavljivanja poziva na javno nadmetanje u 2020. godini</w:t>
            </w:r>
          </w:p>
        </w:tc>
      </w:tr>
      <w:tr w:rsidR="002F16DA" w:rsidRPr="002F16DA" w:rsidTr="008541C2">
        <w:trPr>
          <w:trHeight w:val="259"/>
        </w:trPr>
        <w:tc>
          <w:tcPr>
            <w:tcW w:w="3260" w:type="dxa"/>
          </w:tcPr>
          <w:p w:rsidR="002F16DA" w:rsidRPr="002F16DA" w:rsidRDefault="002F16DA" w:rsidP="002F16DA">
            <w:pPr>
              <w:spacing w:before="0" w:after="0" w:line="240" w:lineRule="auto"/>
              <w:jc w:val="center"/>
              <w:rPr>
                <w:rFonts w:ascii="Calibri" w:eastAsia="MS Mincho" w:hAnsi="Calibri" w:cs="Arial"/>
                <w:bCs/>
                <w:szCs w:val="24"/>
                <w:lang w:val="pl-PL"/>
              </w:rPr>
            </w:pPr>
            <w:r w:rsidRPr="002F16DA">
              <w:rPr>
                <w:rFonts w:ascii="Calibri" w:eastAsia="MS Mincho" w:hAnsi="Calibri" w:cs="Arial"/>
                <w:bCs/>
                <w:szCs w:val="24"/>
                <w:lang w:val="pl-PL"/>
              </w:rPr>
              <w:t>Broj usvojenih zahtjeva</w:t>
            </w:r>
          </w:p>
        </w:tc>
        <w:tc>
          <w:tcPr>
            <w:tcW w:w="2552" w:type="dxa"/>
          </w:tcPr>
          <w:p w:rsidR="002F16DA" w:rsidRPr="002F16DA" w:rsidRDefault="002F16DA" w:rsidP="002F16DA">
            <w:pPr>
              <w:spacing w:before="0" w:after="0" w:line="240" w:lineRule="auto"/>
              <w:jc w:val="center"/>
              <w:rPr>
                <w:rFonts w:ascii="Calibri" w:eastAsia="MS Mincho" w:hAnsi="Calibri" w:cs="Arial"/>
                <w:bCs/>
                <w:szCs w:val="24"/>
                <w:lang w:val="pl-PL"/>
              </w:rPr>
            </w:pPr>
            <w:r w:rsidRPr="002F16DA">
              <w:rPr>
                <w:rFonts w:ascii="Calibri" w:eastAsia="MS Mincho" w:hAnsi="Calibri" w:cs="Arial"/>
                <w:bCs/>
                <w:szCs w:val="24"/>
                <w:lang w:val="pl-PL"/>
              </w:rPr>
              <w:t>30</w:t>
            </w:r>
          </w:p>
        </w:tc>
      </w:tr>
      <w:tr w:rsidR="002F16DA" w:rsidRPr="002F16DA" w:rsidTr="008541C2">
        <w:trPr>
          <w:trHeight w:val="275"/>
        </w:trPr>
        <w:tc>
          <w:tcPr>
            <w:tcW w:w="3260" w:type="dxa"/>
          </w:tcPr>
          <w:p w:rsidR="002F16DA" w:rsidRPr="002F16DA" w:rsidRDefault="002F16DA" w:rsidP="002F16DA">
            <w:pPr>
              <w:spacing w:before="0" w:after="0" w:line="240" w:lineRule="auto"/>
              <w:jc w:val="center"/>
              <w:rPr>
                <w:rFonts w:ascii="Calibri" w:eastAsia="MS Mincho" w:hAnsi="Calibri" w:cs="Arial"/>
                <w:bCs/>
                <w:szCs w:val="24"/>
                <w:lang w:val="pl-PL"/>
              </w:rPr>
            </w:pPr>
            <w:r w:rsidRPr="002F16DA">
              <w:rPr>
                <w:rFonts w:ascii="Calibri" w:eastAsia="MS Mincho" w:hAnsi="Calibri" w:cs="Arial"/>
                <w:bCs/>
                <w:szCs w:val="24"/>
                <w:lang w:val="pl-PL"/>
              </w:rPr>
              <w:t>Broj odbijenih zahtjeva</w:t>
            </w:r>
          </w:p>
        </w:tc>
        <w:tc>
          <w:tcPr>
            <w:tcW w:w="2552" w:type="dxa"/>
          </w:tcPr>
          <w:p w:rsidR="002F16DA" w:rsidRPr="002F16DA" w:rsidRDefault="002F16DA" w:rsidP="002F16DA">
            <w:pPr>
              <w:spacing w:before="0" w:after="0" w:line="240" w:lineRule="auto"/>
              <w:jc w:val="center"/>
              <w:rPr>
                <w:rFonts w:ascii="Calibri" w:eastAsia="MS Mincho" w:hAnsi="Calibri" w:cs="Arial"/>
                <w:bCs/>
                <w:szCs w:val="24"/>
                <w:lang w:val="pl-PL"/>
              </w:rPr>
            </w:pPr>
            <w:r w:rsidRPr="002F16DA">
              <w:rPr>
                <w:rFonts w:ascii="Calibri" w:eastAsia="MS Mincho" w:hAnsi="Calibri" w:cs="Arial"/>
                <w:bCs/>
                <w:szCs w:val="24"/>
                <w:lang w:val="pl-PL"/>
              </w:rPr>
              <w:t>14</w:t>
            </w:r>
          </w:p>
        </w:tc>
      </w:tr>
      <w:tr w:rsidR="002F16DA" w:rsidRPr="002F16DA" w:rsidTr="008541C2">
        <w:trPr>
          <w:trHeight w:val="259"/>
        </w:trPr>
        <w:tc>
          <w:tcPr>
            <w:tcW w:w="3260" w:type="dxa"/>
          </w:tcPr>
          <w:p w:rsidR="002F16DA" w:rsidRPr="002F16DA" w:rsidRDefault="002F16DA" w:rsidP="002F16DA">
            <w:pPr>
              <w:spacing w:before="0" w:after="0" w:line="240" w:lineRule="auto"/>
              <w:jc w:val="center"/>
              <w:rPr>
                <w:rFonts w:ascii="Calibri" w:eastAsia="MS Mincho" w:hAnsi="Calibri" w:cs="Arial"/>
                <w:bCs/>
                <w:szCs w:val="24"/>
                <w:lang w:val="pl-PL"/>
              </w:rPr>
            </w:pPr>
            <w:r w:rsidRPr="002F16DA">
              <w:rPr>
                <w:rFonts w:ascii="Calibri" w:eastAsia="MS Mincho" w:hAnsi="Calibri" w:cs="Arial"/>
                <w:bCs/>
                <w:szCs w:val="24"/>
                <w:lang w:val="pl-PL"/>
              </w:rPr>
              <w:t>Broj obustavljenih postupaka</w:t>
            </w:r>
          </w:p>
        </w:tc>
        <w:tc>
          <w:tcPr>
            <w:tcW w:w="2552" w:type="dxa"/>
          </w:tcPr>
          <w:p w:rsidR="002F16DA" w:rsidRPr="002F16DA" w:rsidRDefault="002F16DA" w:rsidP="002F16DA">
            <w:pPr>
              <w:spacing w:before="0" w:after="0" w:line="240" w:lineRule="auto"/>
              <w:jc w:val="center"/>
              <w:rPr>
                <w:rFonts w:ascii="Calibri" w:eastAsia="MS Mincho" w:hAnsi="Calibri" w:cs="Arial"/>
                <w:bCs/>
                <w:szCs w:val="24"/>
                <w:lang w:val="pl-PL"/>
              </w:rPr>
            </w:pPr>
            <w:r w:rsidRPr="002F16DA">
              <w:rPr>
                <w:rFonts w:ascii="Calibri" w:eastAsia="MS Mincho" w:hAnsi="Calibri" w:cs="Arial"/>
                <w:bCs/>
                <w:szCs w:val="24"/>
                <w:lang w:val="pl-PL"/>
              </w:rPr>
              <w:t>4</w:t>
            </w:r>
          </w:p>
        </w:tc>
      </w:tr>
      <w:tr w:rsidR="002F16DA" w:rsidRPr="002F16DA" w:rsidTr="008541C2">
        <w:trPr>
          <w:trHeight w:val="291"/>
        </w:trPr>
        <w:tc>
          <w:tcPr>
            <w:tcW w:w="3260" w:type="dxa"/>
          </w:tcPr>
          <w:p w:rsidR="002F16DA" w:rsidRPr="002F16DA" w:rsidRDefault="002F16DA" w:rsidP="002F16DA">
            <w:pPr>
              <w:spacing w:before="0" w:after="0" w:line="240" w:lineRule="auto"/>
              <w:jc w:val="center"/>
              <w:rPr>
                <w:rFonts w:ascii="Calibri" w:eastAsia="MS Mincho" w:hAnsi="Calibri" w:cs="Arial"/>
                <w:b/>
                <w:bCs/>
                <w:szCs w:val="24"/>
                <w:lang w:val="pl-PL"/>
              </w:rPr>
            </w:pPr>
            <w:r w:rsidRPr="002F16DA">
              <w:rPr>
                <w:rFonts w:ascii="Calibri" w:eastAsia="MS Mincho" w:hAnsi="Calibri" w:cs="Arial"/>
                <w:b/>
                <w:bCs/>
                <w:szCs w:val="24"/>
                <w:lang w:val="pl-PL"/>
              </w:rPr>
              <w:t>Ukupno:</w:t>
            </w:r>
          </w:p>
        </w:tc>
        <w:tc>
          <w:tcPr>
            <w:tcW w:w="2552" w:type="dxa"/>
          </w:tcPr>
          <w:p w:rsidR="002F16DA" w:rsidRPr="002F16DA" w:rsidRDefault="002F16DA" w:rsidP="002F16DA">
            <w:pPr>
              <w:spacing w:before="0" w:after="0" w:line="240" w:lineRule="auto"/>
              <w:jc w:val="center"/>
              <w:rPr>
                <w:rFonts w:ascii="Calibri" w:eastAsia="MS Mincho" w:hAnsi="Calibri" w:cs="Arial"/>
                <w:b/>
                <w:bCs/>
                <w:szCs w:val="24"/>
                <w:lang w:val="pl-PL"/>
              </w:rPr>
            </w:pPr>
            <w:r w:rsidRPr="002F16DA">
              <w:rPr>
                <w:rFonts w:ascii="Calibri" w:eastAsia="MS Mincho" w:hAnsi="Calibri" w:cs="Arial"/>
                <w:b/>
                <w:bCs/>
                <w:szCs w:val="24"/>
                <w:lang w:val="pl-PL"/>
              </w:rPr>
              <w:t>48</w:t>
            </w:r>
          </w:p>
        </w:tc>
      </w:tr>
    </w:tbl>
    <w:p w:rsidR="002F16DA" w:rsidRPr="002F16DA" w:rsidRDefault="002F16DA" w:rsidP="002F16DA">
      <w:pPr>
        <w:spacing w:before="0" w:after="0" w:line="240" w:lineRule="auto"/>
        <w:rPr>
          <w:rFonts w:ascii="Calibri" w:eastAsia="MS Mincho" w:hAnsi="Calibri" w:cs="Arial"/>
          <w:bCs/>
          <w:szCs w:val="24"/>
          <w:lang w:val="pl-PL"/>
        </w:rPr>
      </w:pPr>
    </w:p>
    <w:p w:rsidR="002F16DA" w:rsidRPr="002F16DA" w:rsidRDefault="002F16DA" w:rsidP="002423BC">
      <w:pPr>
        <w:spacing w:before="0" w:after="0" w:line="240" w:lineRule="auto"/>
        <w:ind w:firstLine="360"/>
        <w:contextualSpacing/>
        <w:rPr>
          <w:rFonts w:ascii="Calibri" w:eastAsia="Calibri" w:hAnsi="Calibri" w:cs="Arial"/>
          <w:bCs/>
          <w:szCs w:val="24"/>
          <w:lang w:val="pl-PL"/>
        </w:rPr>
      </w:pPr>
      <w:r w:rsidRPr="002F16DA">
        <w:rPr>
          <w:rFonts w:ascii="Calibri" w:eastAsia="Calibri" w:hAnsi="Calibri" w:cs="Arial"/>
          <w:bCs/>
          <w:szCs w:val="24"/>
          <w:lang w:val="pl-PL"/>
        </w:rPr>
        <w:t>U martu 2020. godine Vlada Crne Gore je usvojila hitne mjere u cilju reakcije na negativne ekonomske efekte od epidemije korona virusa. Jedna od mjera bila je i ona koja se odnosila na javne nabavke, kojom je obustavljeno pokretanje novih postupaka za potrebe potrošačkih jedinica Budžeta države, osim u slučaju javnih nabavki neophodnih za funkcionisanje zdravstvenog sistema, potreba nacionalne bezbjednosti i hitnih nabavki, shodno odredbama zakona. Direktorat za politiku javnih nabavki je kontinuirano pružao savjetodavnu pomoć naručiocima i ponuđačima i na dnevnoj bazi ažurirao uputstva za sprovođenje postupaka na svojoj internet stranici. Direktorat je vršio monitoring nad sprovedenim postupcima hitnih nabavki, za period 1. mart – 1. jun 2020. godine. Analiza je dostavljena na postupanje inspekcijskim organima za kontolu sprovođenja ovih postupaka, sa izuzeć</w:t>
      </w:r>
      <w:r w:rsidR="002423BC">
        <w:rPr>
          <w:rFonts w:ascii="Calibri" w:eastAsia="Calibri" w:hAnsi="Calibri" w:cs="Arial"/>
          <w:bCs/>
          <w:szCs w:val="24"/>
          <w:lang w:val="pl-PL"/>
        </w:rPr>
        <w:t xml:space="preserve">em organa u oblasti zdravstva. </w:t>
      </w:r>
    </w:p>
    <w:p w:rsidR="002F16DA" w:rsidRPr="002F16DA" w:rsidRDefault="002F16DA" w:rsidP="002F16DA">
      <w:pPr>
        <w:spacing w:before="0" w:after="0" w:line="240" w:lineRule="auto"/>
        <w:ind w:firstLine="360"/>
        <w:contextualSpacing/>
        <w:rPr>
          <w:rFonts w:ascii="Calibri" w:eastAsia="Calibri" w:hAnsi="Calibri" w:cs="Arial"/>
          <w:bCs/>
          <w:szCs w:val="24"/>
          <w:lang w:val="pl-PL"/>
        </w:rPr>
      </w:pPr>
      <w:r w:rsidRPr="002F16DA">
        <w:rPr>
          <w:rFonts w:ascii="Calibri" w:eastAsia="Calibri" w:hAnsi="Calibri" w:cs="Arial"/>
          <w:bCs/>
          <w:szCs w:val="24"/>
          <w:lang w:val="en-US"/>
        </w:rPr>
        <w:t xml:space="preserve">Ministarstvo finansija – Direktorat za politiku javnih nabavki uspostavilo je help desk u cilju pružanja informacija i podrške naručiocima i ponuđačima za primjenu novog Zakona o javnim nabavkama („Službeni list Crne Gore“, br. 074/19), kao i na pitanja koja se odnose na elektronski sistem javnih nabavki, odnosno portal javnih nabavki. Informacije o radu help deska dostupne su na: </w:t>
      </w:r>
      <w:hyperlink r:id="rId13" w:history="1">
        <w:r w:rsidRPr="002F16DA">
          <w:rPr>
            <w:rFonts w:ascii="Calibri" w:eastAsia="Calibri" w:hAnsi="Calibri" w:cs="Arial"/>
            <w:bCs/>
            <w:color w:val="0000FF"/>
            <w:szCs w:val="24"/>
            <w:u w:val="single"/>
            <w:lang w:val="en-US"/>
          </w:rPr>
          <w:t>http://www.ujn.gov.me/2020/07/obavjestenje-za-help-desk/</w:t>
        </w:r>
      </w:hyperlink>
      <w:r w:rsidRPr="002F16DA">
        <w:rPr>
          <w:rFonts w:ascii="Calibri" w:eastAsia="Calibri" w:hAnsi="Calibri" w:cs="Arial"/>
          <w:bCs/>
          <w:szCs w:val="24"/>
          <w:lang w:val="en-US"/>
        </w:rPr>
        <w:t xml:space="preserve"> </w:t>
      </w:r>
    </w:p>
    <w:p w:rsidR="002F16DA" w:rsidRPr="002F16DA" w:rsidRDefault="002F16DA" w:rsidP="002F16DA">
      <w:pPr>
        <w:spacing w:before="0" w:after="0" w:line="240" w:lineRule="auto"/>
        <w:contextualSpacing/>
        <w:rPr>
          <w:rFonts w:ascii="Calibri" w:eastAsia="Calibri" w:hAnsi="Calibri" w:cs="Arial"/>
          <w:bCs/>
          <w:szCs w:val="24"/>
          <w:lang w:val="pl-PL"/>
        </w:rPr>
      </w:pPr>
    </w:p>
    <w:p w:rsidR="002F16DA" w:rsidRPr="002F16DA" w:rsidRDefault="002F16DA" w:rsidP="002F16DA">
      <w:pPr>
        <w:spacing w:before="0" w:after="0" w:line="240" w:lineRule="auto"/>
        <w:rPr>
          <w:rFonts w:ascii="Calibri" w:eastAsia="MS Mincho" w:hAnsi="Calibri" w:cs="Arial"/>
          <w:bCs/>
          <w:i/>
          <w:szCs w:val="24"/>
          <w:u w:val="single"/>
          <w:lang w:val="en-US"/>
        </w:rPr>
      </w:pPr>
      <w:r w:rsidRPr="002F16DA">
        <w:rPr>
          <w:rFonts w:ascii="Calibri" w:eastAsia="MS Mincho" w:hAnsi="Calibri" w:cs="Arial"/>
          <w:bCs/>
          <w:i/>
          <w:szCs w:val="24"/>
          <w:u w:val="single"/>
          <w:lang w:val="en-US"/>
        </w:rPr>
        <w:t>Projekti tehničke podrške EU</w:t>
      </w:r>
    </w:p>
    <w:p w:rsidR="002F16DA" w:rsidRPr="002F16DA" w:rsidRDefault="002F16DA" w:rsidP="002F16DA">
      <w:pPr>
        <w:spacing w:before="0" w:after="0" w:line="240" w:lineRule="auto"/>
        <w:ind w:firstLine="709"/>
        <w:contextualSpacing/>
        <w:rPr>
          <w:rFonts w:ascii="Calibri" w:eastAsia="Calibri" w:hAnsi="Calibri" w:cs="Arial"/>
          <w:bCs/>
          <w:i/>
          <w:szCs w:val="24"/>
          <w:lang w:val="en-GB"/>
        </w:rPr>
      </w:pPr>
      <w:r w:rsidRPr="002F16DA">
        <w:rPr>
          <w:rFonts w:ascii="Calibri" w:eastAsia="Calibri" w:hAnsi="Calibri" w:cs="Arial"/>
          <w:bCs/>
          <w:szCs w:val="24"/>
          <w:lang w:val="pl-PL"/>
        </w:rPr>
        <w:t xml:space="preserve">U toku 2020. godine, nastavljena je implementacija projekta </w:t>
      </w:r>
      <w:r w:rsidRPr="002F16DA">
        <w:rPr>
          <w:rFonts w:ascii="Calibri" w:eastAsia="Calibri" w:hAnsi="Calibri" w:cs="Arial"/>
          <w:bCs/>
          <w:i/>
          <w:szCs w:val="24"/>
          <w:lang w:val="pl-PL"/>
        </w:rPr>
        <w:t>„Unapređenje i jačanje institucionalnog uređenja i zakonskog okvira u oblastima javnih nabavki i državne pomoći</w:t>
      </w:r>
      <w:r w:rsidRPr="002F16DA">
        <w:rPr>
          <w:rFonts w:ascii="Calibri" w:eastAsia="Calibri" w:hAnsi="Calibri" w:cs="Arial"/>
          <w:bCs/>
          <w:szCs w:val="24"/>
          <w:lang w:val="pl-PL"/>
        </w:rPr>
        <w:t xml:space="preserve">”, koji ima za cilj harmonizaciju pravnog okvira u oblasti javnih nabavki sa pravnom tekovinom i standardima EU, kao i izradu sveobuhvatnog programa obuke i kampanje podizanja javne svijesti. </w:t>
      </w:r>
    </w:p>
    <w:p w:rsidR="002F16DA" w:rsidRPr="002F16DA" w:rsidRDefault="002F16DA" w:rsidP="002F16DA">
      <w:pPr>
        <w:spacing w:before="0" w:after="0" w:line="240" w:lineRule="auto"/>
        <w:ind w:firstLine="709"/>
        <w:contextualSpacing/>
        <w:rPr>
          <w:rFonts w:ascii="Calibri" w:eastAsia="Calibri" w:hAnsi="Calibri" w:cs="Arial"/>
          <w:bCs/>
          <w:szCs w:val="24"/>
          <w:lang w:val="pl-PL"/>
        </w:rPr>
      </w:pPr>
      <w:r w:rsidRPr="002F16DA">
        <w:rPr>
          <w:rFonts w:ascii="Calibri" w:eastAsia="Calibri" w:hAnsi="Calibri" w:cs="Arial"/>
          <w:bCs/>
          <w:szCs w:val="24"/>
          <w:lang w:val="pl-PL"/>
        </w:rPr>
        <w:t xml:space="preserve">Projekat </w:t>
      </w:r>
      <w:r w:rsidRPr="002F16DA">
        <w:rPr>
          <w:rFonts w:ascii="Calibri" w:eastAsia="Calibri" w:hAnsi="Calibri" w:cs="Arial"/>
          <w:bCs/>
          <w:szCs w:val="24"/>
          <w:lang w:val="en-US"/>
        </w:rPr>
        <w:t>“</w:t>
      </w:r>
      <w:r w:rsidRPr="002F16DA">
        <w:rPr>
          <w:rFonts w:ascii="Calibri" w:eastAsia="Calibri" w:hAnsi="Calibri" w:cs="Arial"/>
          <w:bCs/>
          <w:i/>
          <w:szCs w:val="24"/>
          <w:lang w:val="en-US"/>
        </w:rPr>
        <w:t>Uvođenje elektronskog sistema javnih nabavki u Crnoj Gori</w:t>
      </w:r>
      <w:r w:rsidRPr="002F16DA">
        <w:rPr>
          <w:rFonts w:ascii="Calibri" w:eastAsia="Calibri" w:hAnsi="Calibri" w:cs="Arial"/>
          <w:bCs/>
          <w:szCs w:val="24"/>
          <w:lang w:val="en-US"/>
        </w:rPr>
        <w:t xml:space="preserve">” je tekao planiranom dinamikom u toku 2020. godine, što je rezultiralo stavljanjem u funkciju elektronskog sistema 1. januara 2021. godine.  </w:t>
      </w:r>
    </w:p>
    <w:p w:rsidR="00C62FB8" w:rsidRDefault="00C62FB8" w:rsidP="009F02CD">
      <w:pPr>
        <w:pStyle w:val="PlainText"/>
        <w:jc w:val="both"/>
        <w:rPr>
          <w:rFonts w:asciiTheme="minorHAnsi" w:hAnsiTheme="minorHAnsi" w:cs="Arial"/>
          <w:b/>
          <w:sz w:val="24"/>
          <w:szCs w:val="24"/>
        </w:rPr>
      </w:pPr>
    </w:p>
    <w:p w:rsidR="00C62FB8" w:rsidRDefault="00C62FB8" w:rsidP="00C62FB8">
      <w:pPr>
        <w:pStyle w:val="PlainText"/>
        <w:shd w:val="clear" w:color="auto" w:fill="F9D8CD" w:themeFill="accent1" w:themeFillTint="33"/>
        <w:jc w:val="both"/>
        <w:rPr>
          <w:rFonts w:asciiTheme="minorHAnsi" w:hAnsiTheme="minorHAnsi" w:cs="Arial"/>
          <w:b/>
          <w:sz w:val="24"/>
          <w:szCs w:val="24"/>
        </w:rPr>
      </w:pPr>
      <w:r>
        <w:rPr>
          <w:rFonts w:asciiTheme="minorHAnsi" w:hAnsiTheme="minorHAnsi" w:cs="Arial"/>
          <w:b/>
          <w:sz w:val="24"/>
          <w:szCs w:val="24"/>
        </w:rPr>
        <w:tab/>
        <w:t>12. DIREKTORAT ZA DIGITALIZACIJU I INFORMACIONE SISTEME</w:t>
      </w:r>
    </w:p>
    <w:p w:rsidR="00B55665" w:rsidRDefault="00B55665" w:rsidP="008F659F">
      <w:pPr>
        <w:pStyle w:val="PlainText"/>
        <w:jc w:val="both"/>
        <w:rPr>
          <w:rFonts w:asciiTheme="minorHAnsi" w:hAnsiTheme="minorHAnsi" w:cs="Arial"/>
          <w:b/>
          <w:sz w:val="24"/>
          <w:szCs w:val="24"/>
        </w:rPr>
      </w:pPr>
    </w:p>
    <w:p w:rsidR="00C62FB8" w:rsidRPr="00C62FB8" w:rsidRDefault="00C62FB8" w:rsidP="00C62FB8">
      <w:pPr>
        <w:spacing w:before="0" w:after="0" w:line="240" w:lineRule="auto"/>
        <w:ind w:firstLine="709"/>
        <w:rPr>
          <w:rFonts w:ascii="Calibri" w:eastAsia="Calibri" w:hAnsi="Calibri" w:cs="Arial"/>
          <w:color w:val="000000"/>
          <w:szCs w:val="24"/>
          <w:lang w:val="sr-Latn-ME"/>
        </w:rPr>
      </w:pPr>
      <w:r w:rsidRPr="00C62FB8">
        <w:rPr>
          <w:rFonts w:ascii="Calibri" w:eastAsia="Calibri" w:hAnsi="Calibri" w:cs="Arial"/>
          <w:color w:val="000000"/>
          <w:szCs w:val="24"/>
          <w:lang w:val="sr-Latn-ME"/>
        </w:rPr>
        <w:t xml:space="preserve">Učešće u aktivnostima koje realizuje Poreska Uprava Crne Gore (PUCG), koja implementira Projekat reforme poreske administracije, finansiran iz kredita Svjetske banke. Predviđeno trajanje projekta je od 2018. do marta 2023. godine. Razvojni cilj projekta je da poboljša djelotvornost operativnih funkcija PUCG i smanji troškove poreskih obveznika pravnih lica prilikom poštovanja poreskih obaveza. Projekat će podržavati dugoročnu viziju Crne Gore, a to je poreska administracija </w:t>
      </w:r>
      <w:r w:rsidRPr="00C62FB8">
        <w:rPr>
          <w:rFonts w:ascii="Calibri" w:eastAsia="Calibri" w:hAnsi="Calibri" w:cs="Arial"/>
          <w:color w:val="000000"/>
          <w:szCs w:val="24"/>
          <w:lang w:val="sr-Latn-ME"/>
        </w:rPr>
        <w:lastRenderedPageBreak/>
        <w:t>sa modernizovanim poslovnim procesima zasnovanim na riziku koji doprinose efikasnoj naplati poreza i doprinosa za socijalno osiguranje iz svih izvora privredne djelatnosti. Porast u izmirivanju poreskih obaveza generisaće veći priliv prihoda iz kojih će se obezbjeđivati osnovne usluge za građane. Poboljšanja kapaciteta poreske administracije takođe će doprinijeti ostvarivanju cilja zemlje za pristupanje EU i ekonomsku integraciju sa državama članicama EU. Direktni korisnici projekta su Vlada Crne Gore i njene institucije javnih finansija, dok su krajnji korisnici crnogorski poreski obveznici i građani.</w:t>
      </w:r>
    </w:p>
    <w:p w:rsidR="00C62FB8" w:rsidRPr="00C62FB8" w:rsidRDefault="00C62FB8" w:rsidP="00C62FB8">
      <w:pPr>
        <w:spacing w:before="0" w:after="0" w:line="240" w:lineRule="auto"/>
        <w:ind w:firstLine="709"/>
        <w:rPr>
          <w:rFonts w:ascii="Calibri" w:eastAsia="Calibri" w:hAnsi="Calibri" w:cs="Arial"/>
          <w:color w:val="000000"/>
          <w:szCs w:val="24"/>
          <w:lang w:val="sr-Latn-ME"/>
        </w:rPr>
      </w:pPr>
      <w:r w:rsidRPr="00C62FB8">
        <w:rPr>
          <w:rFonts w:ascii="Calibri" w:eastAsia="Calibri" w:hAnsi="Calibri" w:cs="Arial"/>
          <w:color w:val="000000"/>
          <w:szCs w:val="24"/>
          <w:lang w:val="sr-Latn-ME"/>
        </w:rPr>
        <w:t>Ugovor o zajmu je potpisan 19. januara 2018 god., dok je projekat postao efektivan 13. marta 2018. god. Takođe, Ugovor o zajmu (za dodatno finansiranje) za potrebe elektronske fiskalizacije računa je potpisan 11. novembra 2019 god.</w:t>
      </w:r>
    </w:p>
    <w:p w:rsidR="00C62FB8" w:rsidRPr="00C62FB8" w:rsidRDefault="00C62FB8" w:rsidP="00C62FB8">
      <w:pPr>
        <w:spacing w:before="0" w:after="0" w:line="240" w:lineRule="auto"/>
        <w:ind w:firstLine="709"/>
        <w:rPr>
          <w:rFonts w:ascii="Calibri" w:eastAsia="Calibri" w:hAnsi="Calibri" w:cs="Arial"/>
          <w:color w:val="000000"/>
          <w:szCs w:val="24"/>
          <w:lang w:val="sr-Latn-ME"/>
        </w:rPr>
      </w:pPr>
      <w:r w:rsidRPr="00C62FB8">
        <w:rPr>
          <w:rFonts w:ascii="Calibri" w:eastAsia="Calibri" w:hAnsi="Calibri" w:cs="Arial"/>
          <w:color w:val="000000"/>
          <w:szCs w:val="24"/>
          <w:lang w:val="sr-Latn-ME"/>
        </w:rPr>
        <w:t xml:space="preserve">Projekat ima za cilj da poboljša institucionalne aranžmane i sistem upravljanja PUCG da u potpunosti iskoristi visoko automatizovan sistem zasnovan na procjeni rizika, sa smanjenim stepenom diskrecionog odlučivanja. Projekat podrazumijeva ulaganje od 18.8 miliona eura (osnovno finansiranje od 14 miliona eura i 4.8 miliona eura dodatnog finansiranja) tokom perioda od pet godina. </w:t>
      </w:r>
    </w:p>
    <w:p w:rsidR="00C62FB8" w:rsidRPr="00C62FB8" w:rsidRDefault="00C62FB8" w:rsidP="00C62FB8">
      <w:pPr>
        <w:spacing w:before="0" w:after="0" w:line="240" w:lineRule="auto"/>
        <w:ind w:firstLine="709"/>
        <w:rPr>
          <w:rFonts w:ascii="Calibri" w:eastAsia="Calibri" w:hAnsi="Calibri" w:cs="Arial"/>
          <w:color w:val="000000"/>
          <w:szCs w:val="24"/>
          <w:lang w:val="sr-Latn-ME"/>
        </w:rPr>
      </w:pPr>
      <w:r w:rsidRPr="00C62FB8">
        <w:rPr>
          <w:rFonts w:ascii="Calibri" w:eastAsia="Calibri" w:hAnsi="Calibri" w:cs="Arial"/>
          <w:color w:val="000000"/>
          <w:szCs w:val="24"/>
          <w:lang w:val="sr-Latn-ME"/>
        </w:rPr>
        <w:t>Projekat se sastoji od četiri komponente:</w:t>
      </w:r>
    </w:p>
    <w:p w:rsidR="00C62FB8" w:rsidRPr="00C62FB8" w:rsidRDefault="00C62FB8" w:rsidP="00C62FB8">
      <w:pPr>
        <w:spacing w:before="0" w:after="0" w:line="240" w:lineRule="auto"/>
        <w:rPr>
          <w:rFonts w:ascii="Calibri" w:eastAsia="Calibri" w:hAnsi="Calibri" w:cs="Arial"/>
          <w:color w:val="000000"/>
          <w:szCs w:val="24"/>
          <w:lang w:val="sr-Latn-ME"/>
        </w:rPr>
      </w:pPr>
      <w:r w:rsidRPr="00C62FB8">
        <w:rPr>
          <w:rFonts w:ascii="Calibri" w:eastAsia="Calibri" w:hAnsi="Calibri" w:cs="Arial"/>
          <w:b/>
          <w:bCs/>
          <w:i/>
          <w:iCs/>
          <w:color w:val="000000"/>
          <w:szCs w:val="24"/>
          <w:u w:val="single"/>
          <w:lang w:val="sr-Latn-ME"/>
        </w:rPr>
        <w:t>Komponenta 1: Institucionalni razvoj.</w:t>
      </w:r>
      <w:r w:rsidRPr="00C62FB8">
        <w:rPr>
          <w:rFonts w:ascii="Calibri" w:eastAsia="Calibri" w:hAnsi="Calibri" w:cs="Arial"/>
          <w:color w:val="000000"/>
          <w:szCs w:val="24"/>
          <w:lang w:val="sr-Latn-ME"/>
        </w:rPr>
        <w:t xml:space="preserve"> Ova komponenta će pomoći u jačanju strateškog fokusa rukovodstva, povećati pažnju usmjerenu na integritet, ojačati upravljanje kadrovima i obukom, razvoj analitičkih kapaciteta neophodnih da podrže strateško upravljanje u PUCG, poboljšati pravni okvir i funkciju žalbi i uspostaviti moderno upravljanje prihodima.</w:t>
      </w:r>
    </w:p>
    <w:p w:rsidR="00C62FB8" w:rsidRPr="00C62FB8" w:rsidRDefault="00C62FB8" w:rsidP="00C62FB8">
      <w:pPr>
        <w:spacing w:before="0" w:after="0" w:line="240" w:lineRule="auto"/>
        <w:rPr>
          <w:rFonts w:ascii="Calibri" w:eastAsia="Calibri" w:hAnsi="Calibri" w:cs="Arial"/>
          <w:color w:val="000000"/>
          <w:szCs w:val="24"/>
          <w:lang w:val="sr-Latn-ME"/>
        </w:rPr>
      </w:pPr>
      <w:r w:rsidRPr="00C62FB8">
        <w:rPr>
          <w:rFonts w:ascii="Calibri" w:eastAsia="Calibri" w:hAnsi="Calibri" w:cs="Arial"/>
          <w:b/>
          <w:bCs/>
          <w:i/>
          <w:iCs/>
          <w:color w:val="000000"/>
          <w:szCs w:val="24"/>
          <w:u w:val="single"/>
          <w:lang w:val="sr-Latn-ME"/>
        </w:rPr>
        <w:t>Komponenta 2: Poslovni procesi.</w:t>
      </w:r>
      <w:r w:rsidRPr="00C62FB8">
        <w:rPr>
          <w:rFonts w:ascii="Calibri" w:eastAsia="Calibri" w:hAnsi="Calibri" w:cs="Arial"/>
          <w:color w:val="000000"/>
          <w:szCs w:val="24"/>
          <w:lang w:val="sr-Latn-ME"/>
        </w:rPr>
        <w:t xml:space="preserve"> Ova komponenta podržava modernizaciju poslovnih procesa i poboljšanja operativne efikasnosti.</w:t>
      </w:r>
    </w:p>
    <w:p w:rsidR="00C62FB8" w:rsidRPr="00C62FB8" w:rsidRDefault="00C62FB8" w:rsidP="00C62FB8">
      <w:pPr>
        <w:spacing w:before="0" w:after="0" w:line="240" w:lineRule="auto"/>
        <w:rPr>
          <w:rFonts w:ascii="Calibri" w:eastAsia="Calibri" w:hAnsi="Calibri" w:cs="Arial"/>
          <w:color w:val="000000"/>
          <w:szCs w:val="24"/>
          <w:lang w:val="sr-Latn-ME"/>
        </w:rPr>
      </w:pPr>
      <w:r w:rsidRPr="00C62FB8">
        <w:rPr>
          <w:rFonts w:ascii="Calibri" w:eastAsia="Calibri" w:hAnsi="Calibri" w:cs="Arial"/>
          <w:b/>
          <w:bCs/>
          <w:i/>
          <w:iCs/>
          <w:color w:val="000000"/>
          <w:szCs w:val="24"/>
          <w:u w:val="single"/>
          <w:lang w:val="sr-Latn-ME"/>
        </w:rPr>
        <w:t>Komponenta 3: Usluge poreskim obveznicima.</w:t>
      </w:r>
      <w:r w:rsidRPr="00C62FB8">
        <w:rPr>
          <w:rFonts w:ascii="Calibri" w:eastAsia="Calibri" w:hAnsi="Calibri" w:cs="Arial"/>
          <w:color w:val="000000"/>
          <w:szCs w:val="24"/>
          <w:lang w:val="sr-Latn-ME"/>
        </w:rPr>
        <w:t xml:space="preserve"> Ova komponenta finansiraće aktivnosti vezane za: modernizaciju usluga koje se pružaju poreskim obveznicima i povećati razumijevanje zakona o prihodima, procedura i prava i obaveza poreskih obveznika i na taj način smanjiti opterećenje poreskih obveznika prilikom izvršavanja poreskih obaveza; i jačanje spoljne i unutrašnje komunikacije.</w:t>
      </w:r>
    </w:p>
    <w:p w:rsidR="00C62FB8" w:rsidRPr="00C62FB8" w:rsidRDefault="00C62FB8" w:rsidP="00C62FB8">
      <w:pPr>
        <w:spacing w:before="0" w:after="0" w:line="240" w:lineRule="auto"/>
        <w:rPr>
          <w:rFonts w:ascii="Calibri" w:eastAsia="Calibri" w:hAnsi="Calibri" w:cs="Arial"/>
          <w:color w:val="000000"/>
          <w:szCs w:val="24"/>
          <w:lang w:val="sr-Latn-ME"/>
        </w:rPr>
      </w:pPr>
      <w:r w:rsidRPr="00C62FB8">
        <w:rPr>
          <w:rFonts w:ascii="Calibri" w:eastAsia="Calibri" w:hAnsi="Calibri" w:cs="Arial"/>
          <w:b/>
          <w:bCs/>
          <w:i/>
          <w:iCs/>
          <w:color w:val="000000"/>
          <w:szCs w:val="24"/>
          <w:u w:val="single"/>
          <w:lang w:val="sr-Latn-ME"/>
        </w:rPr>
        <w:t>Komponenta 4: Elektronska fiskalizacija računa.</w:t>
      </w:r>
      <w:r w:rsidRPr="00C62FB8">
        <w:rPr>
          <w:rFonts w:ascii="Calibri" w:eastAsia="Calibri" w:hAnsi="Calibri" w:cs="Arial"/>
          <w:color w:val="000000"/>
          <w:szCs w:val="24"/>
          <w:lang w:val="sr-Latn-ME"/>
        </w:rPr>
        <w:t xml:space="preserve"> Ova komponenta će doprinijeti poboljšanju efikasnosti rada PUCG jer će olakšati prikupljanje podataka u realnom vremenu, omogućavajući bolju kontrolu poreskih obveznika i poboljšati statističko izveštavanje i analize. Pored toga, preko aktivnosti ove komponente će se ograničiti mogućnosti za utaju PDV-a i manipulaciju sa fiskalnim računima, imajući u vidu da će PUCG registrovati i odobravati svaki fiskalni račun prije završetka fiskalne transakcije. Ovom komponentom će se finansirati sledeće glavne aktivnosti: nabavka hardvera i softverskog rješenja za sistem elektronske fiskalizacije računa, kao i obuka osoblja PUCG za korišćenje sistema.</w:t>
      </w:r>
    </w:p>
    <w:p w:rsidR="00C62FB8" w:rsidRPr="00C62FB8" w:rsidRDefault="00C62FB8" w:rsidP="00C62FB8">
      <w:pPr>
        <w:spacing w:before="0" w:after="0" w:line="240" w:lineRule="auto"/>
        <w:ind w:firstLine="709"/>
        <w:rPr>
          <w:rFonts w:ascii="Calibri" w:eastAsia="Calibri" w:hAnsi="Calibri" w:cs="Arial"/>
          <w:color w:val="000000"/>
          <w:szCs w:val="24"/>
          <w:lang w:val="sr-Latn-ME"/>
        </w:rPr>
      </w:pPr>
      <w:r w:rsidRPr="00C62FB8">
        <w:rPr>
          <w:rFonts w:ascii="Calibri" w:eastAsia="Calibri" w:hAnsi="Calibri" w:cs="Arial"/>
          <w:color w:val="000000"/>
          <w:szCs w:val="24"/>
          <w:lang w:val="sr-Latn-ME"/>
        </w:rPr>
        <w:t xml:space="preserve">Aktivnosti na ovom projektu koje se odnose na komponentu Elektronske fiskalizacije realizuju se planiranom dinamikom i pored otežanih okolnosti zajedničkog rada timova Naručioca i Dobavljača izazvanih pandemijom COVID-19. Uprkos pandemiji i otežanim uslovima rada, koji se odrazio i na transport opreme, a koja  je isporučena sa blagim zakašnjenjem, na primarnoj i rezervnoj lokaciji, to nije uticalo na planirani rok realizovanja aktivnosti na IV komponenti projektu. Tim koji realizuje projekat Elektronske fiskalizacije održava svakodnevne sastanke, aktivnosti se sprovode korišćenjem savremenih tehnologija, pripremljena je dokumentacija neophodna za pripremu poreskih obveznika za fiskalni servis i ista je učinjena javno dostupnom. Komunikacija Radnog tima za realizaciju ovog sistema sa poreskim obveznicima i proizvođačima softvera je intenzivna što pokazuje veliko interesovanje svih zainteresovanih strana za uspješnu implementaciju ovog projekta. Dana 20.10.2020 svim poreskim obveznicima je pružena mogućnost testiranja EFI sistema na produkcionom okruženju, dok je 01.01.2021. godine sistem zvanično počeo da funkcioniše u skladu sa zakonski i projektno definisanim rokovima. </w:t>
      </w:r>
    </w:p>
    <w:p w:rsidR="00C62FB8" w:rsidRPr="00C62FB8" w:rsidRDefault="00C62FB8" w:rsidP="00C62FB8">
      <w:pPr>
        <w:spacing w:before="0" w:after="0" w:line="240" w:lineRule="auto"/>
        <w:ind w:firstLine="709"/>
        <w:rPr>
          <w:rFonts w:ascii="Calibri" w:eastAsia="Calibri" w:hAnsi="Calibri" w:cs="Arial"/>
          <w:color w:val="000000"/>
          <w:szCs w:val="24"/>
          <w:lang w:val="sr-Latn-ME"/>
        </w:rPr>
      </w:pPr>
      <w:r w:rsidRPr="00C62FB8">
        <w:rPr>
          <w:rFonts w:ascii="Calibri" w:eastAsia="Calibri" w:hAnsi="Calibri" w:cs="Arial"/>
          <w:color w:val="000000"/>
          <w:szCs w:val="24"/>
          <w:lang w:val="sr-Latn-ME"/>
        </w:rPr>
        <w:lastRenderedPageBreak/>
        <w:t>Realizuju se aktivnosti koje se odnose na pripremu podataka za migraciju iz postojećih informacionih sistema, mapiranju izvora podataka u cilju unapređenja njihove tačnosti i podizanja nivoa ažurnosti, a koje se realizuju u skladu sa ugovorom MNE-RARP-87720-CQ-CS-19-19 "Čišćenje i konverzija podataka".</w:t>
      </w:r>
    </w:p>
    <w:p w:rsidR="00C62FB8" w:rsidRPr="00C62FB8" w:rsidRDefault="00C62FB8" w:rsidP="00C62FB8">
      <w:pPr>
        <w:spacing w:before="0" w:after="0" w:line="240" w:lineRule="auto"/>
        <w:ind w:firstLine="709"/>
        <w:rPr>
          <w:rFonts w:ascii="Calibri" w:eastAsia="Calibri" w:hAnsi="Calibri" w:cs="Arial"/>
          <w:color w:val="000000"/>
          <w:szCs w:val="24"/>
          <w:lang w:val="sr-Latn-ME"/>
        </w:rPr>
      </w:pPr>
      <w:r w:rsidRPr="00C62FB8">
        <w:rPr>
          <w:rFonts w:ascii="Calibri" w:eastAsia="Calibri" w:hAnsi="Calibri" w:cs="Arial"/>
          <w:color w:val="000000"/>
          <w:szCs w:val="24"/>
          <w:lang w:val="sr-Latn-ME"/>
        </w:rPr>
        <w:t>Kako implementacija Sistema elektronske fiskalizacije teče planiranom dinamikom, sa druge strane evidentno je značajno kašnjenje u realizaciji aktivnosti na ostalim komponentama projekta RARP, prvenstveno na pripremi funkcionalne specifakcije (FRD) za Integrated Revenue Management System (IRMS). Izrada FRD dokumenta za novi IRMS sistem je u toku, na dokument je mišljenje dala kompanija KPMG, koja je zadužena za kontrolu kvaliteta, te je neophodno intenzivirati aktivnosti na pripremi tenderske dokumentacije.</w:t>
      </w:r>
    </w:p>
    <w:p w:rsidR="00C62FB8" w:rsidRPr="00C62FB8" w:rsidRDefault="00C62FB8" w:rsidP="00C62FB8">
      <w:pPr>
        <w:spacing w:before="0" w:after="0" w:line="240" w:lineRule="auto"/>
        <w:ind w:firstLine="709"/>
        <w:rPr>
          <w:rFonts w:ascii="Calibri" w:eastAsia="Calibri" w:hAnsi="Calibri" w:cs="Arial"/>
          <w:color w:val="000000"/>
          <w:szCs w:val="24"/>
          <w:lang w:val="sr-Latn-ME"/>
        </w:rPr>
      </w:pPr>
      <w:r w:rsidRPr="00C62FB8">
        <w:rPr>
          <w:rFonts w:ascii="Calibri" w:eastAsia="Calibri" w:hAnsi="Calibri" w:cs="Arial"/>
          <w:color w:val="000000"/>
          <w:szCs w:val="24"/>
          <w:lang w:val="sr-Latn-ME"/>
        </w:rPr>
        <w:t xml:space="preserve">U međuvremenu, a u cilju realizacije aktivnosti u propisanim rokovima, pripremljena je tehnička specifikacija za Business Intelligence &amp; Data Warehouse (BI&amp;DWH). Nakon što je Radna grupa završila tehničku specifikaciju i uskladilo je sa sugestijama Svjetske banke, pristupilo je izradi tenderske dokumentacije zajedno sa kancelarijom TSU i neposrednim sastankom sa predstavnicima WB. Tenderska dokumentacija je konačno odobrena od strane Svjetske banke 23.12.2020. </w:t>
      </w:r>
    </w:p>
    <w:p w:rsidR="00C62FB8" w:rsidRPr="00C62FB8" w:rsidRDefault="00C62FB8" w:rsidP="00C62FB8">
      <w:pPr>
        <w:spacing w:before="0" w:after="0" w:line="240" w:lineRule="auto"/>
        <w:ind w:firstLine="709"/>
        <w:rPr>
          <w:rFonts w:ascii="Calibri" w:eastAsia="Calibri" w:hAnsi="Calibri" w:cs="Arial"/>
          <w:color w:val="000000"/>
          <w:szCs w:val="24"/>
          <w:lang w:val="sr-Latn-ME"/>
        </w:rPr>
      </w:pPr>
      <w:r w:rsidRPr="00C62FB8">
        <w:rPr>
          <w:rFonts w:ascii="Calibri" w:eastAsia="Calibri" w:hAnsi="Calibri" w:cs="Arial"/>
          <w:color w:val="000000"/>
          <w:szCs w:val="24"/>
          <w:lang w:val="sr-Latn-ME"/>
        </w:rPr>
        <w:t>Takođe, pripremljena su u Poreskoj upravi i dva TOR-a za:</w:t>
      </w:r>
    </w:p>
    <w:p w:rsidR="00C62FB8" w:rsidRPr="00C62FB8" w:rsidRDefault="00C62FB8" w:rsidP="00C62FB8">
      <w:pPr>
        <w:spacing w:before="0" w:after="0" w:line="240" w:lineRule="auto"/>
        <w:rPr>
          <w:rFonts w:ascii="Calibri" w:eastAsia="Calibri" w:hAnsi="Calibri" w:cs="Arial"/>
          <w:color w:val="000000"/>
          <w:szCs w:val="24"/>
          <w:lang w:val="sr-Latn-ME"/>
        </w:rPr>
      </w:pPr>
      <w:r w:rsidRPr="00C62FB8">
        <w:rPr>
          <w:rFonts w:ascii="Calibri" w:eastAsia="Calibri" w:hAnsi="Calibri" w:cs="Arial"/>
          <w:color w:val="000000"/>
          <w:szCs w:val="24"/>
          <w:lang w:val="sr-Latn-ME"/>
        </w:rPr>
        <w:t>- Senior Advisor for Strengthening Information Technology Management i</w:t>
      </w:r>
    </w:p>
    <w:p w:rsidR="00C62FB8" w:rsidRDefault="00C62FB8" w:rsidP="00C62FB8">
      <w:pPr>
        <w:spacing w:before="0" w:after="0" w:line="240" w:lineRule="auto"/>
        <w:rPr>
          <w:rFonts w:ascii="Calibri" w:eastAsia="Calibri" w:hAnsi="Calibri" w:cs="Arial"/>
          <w:color w:val="000000"/>
          <w:szCs w:val="24"/>
          <w:lang w:val="sr-Latn-ME"/>
        </w:rPr>
      </w:pPr>
      <w:r w:rsidRPr="00C62FB8">
        <w:rPr>
          <w:rFonts w:ascii="Calibri" w:eastAsia="Calibri" w:hAnsi="Calibri" w:cs="Arial"/>
          <w:color w:val="000000"/>
          <w:szCs w:val="24"/>
          <w:lang w:val="sr-Latn-ME"/>
        </w:rPr>
        <w:t>- Improvement of IT Organization and Information System Management at the Tax Administration of Montenegro, koji su nakon sugestija dostavljeni Svjetskoj banci na odobravanje.</w:t>
      </w:r>
      <w:r>
        <w:rPr>
          <w:rFonts w:ascii="Calibri" w:eastAsia="Calibri" w:hAnsi="Calibri" w:cs="Arial"/>
          <w:color w:val="000000"/>
          <w:szCs w:val="24"/>
          <w:lang w:val="sr-Latn-ME"/>
        </w:rPr>
        <w:tab/>
      </w:r>
    </w:p>
    <w:p w:rsidR="00C62FB8" w:rsidRPr="00C62FB8" w:rsidRDefault="00C62FB8" w:rsidP="00C62FB8">
      <w:pPr>
        <w:spacing w:before="0" w:after="0" w:line="240" w:lineRule="auto"/>
        <w:ind w:firstLine="360"/>
        <w:rPr>
          <w:rFonts w:ascii="Calibri" w:eastAsia="Calibri" w:hAnsi="Calibri" w:cs="Arial"/>
          <w:color w:val="000000"/>
          <w:szCs w:val="24"/>
          <w:lang w:val="sr-Latn-ME"/>
        </w:rPr>
      </w:pPr>
      <w:r w:rsidRPr="00C62FB8">
        <w:rPr>
          <w:rFonts w:ascii="Calibri" w:eastAsia="Calibri" w:hAnsi="Calibri" w:cs="Arial"/>
          <w:color w:val="000000"/>
          <w:szCs w:val="24"/>
          <w:lang w:val="sr-Latn-ME"/>
        </w:rPr>
        <w:t>Tokom perioda koji je iza nas na projektu RARP učestvovali smo u realizaciji sl</w:t>
      </w:r>
      <w:r>
        <w:rPr>
          <w:rFonts w:ascii="Calibri" w:eastAsia="Calibri" w:hAnsi="Calibri" w:cs="Arial"/>
          <w:color w:val="000000"/>
          <w:szCs w:val="24"/>
          <w:lang w:val="sr-Latn-ME"/>
        </w:rPr>
        <w:t>j</w:t>
      </w:r>
      <w:r w:rsidRPr="00C62FB8">
        <w:rPr>
          <w:rFonts w:ascii="Calibri" w:eastAsia="Calibri" w:hAnsi="Calibri" w:cs="Arial"/>
          <w:color w:val="000000"/>
          <w:szCs w:val="24"/>
          <w:lang w:val="sr-Latn-ME"/>
        </w:rPr>
        <w:t>edećeg:</w:t>
      </w:r>
    </w:p>
    <w:p w:rsidR="00C62FB8" w:rsidRPr="00C62FB8" w:rsidRDefault="00607B97" w:rsidP="00607B97">
      <w:pPr>
        <w:spacing w:before="0" w:after="0" w:line="240" w:lineRule="auto"/>
        <w:rPr>
          <w:rFonts w:ascii="Calibri" w:eastAsia="Calibri" w:hAnsi="Calibri" w:cs="Arial"/>
          <w:color w:val="000000"/>
          <w:szCs w:val="24"/>
          <w:lang w:val="sr-Latn-ME"/>
        </w:rPr>
      </w:pPr>
      <w:r>
        <w:rPr>
          <w:rFonts w:ascii="Calibri" w:eastAsia="Calibri" w:hAnsi="Calibri" w:cs="Arial"/>
          <w:color w:val="000000"/>
          <w:szCs w:val="24"/>
          <w:lang w:val="sr-Latn-ME"/>
        </w:rPr>
        <w:t xml:space="preserve"> - </w:t>
      </w:r>
      <w:r w:rsidR="00C62FB8" w:rsidRPr="00C62FB8">
        <w:rPr>
          <w:rFonts w:ascii="Calibri" w:eastAsia="Calibri" w:hAnsi="Calibri" w:cs="Arial"/>
          <w:color w:val="000000"/>
          <w:szCs w:val="24"/>
          <w:lang w:val="sr-Latn-ME"/>
        </w:rPr>
        <w:t>Dopunjena je tenderska dokumentacija za EFI (Ele</w:t>
      </w:r>
      <w:r w:rsidR="00C62FB8">
        <w:rPr>
          <w:rFonts w:ascii="Calibri" w:eastAsia="Calibri" w:hAnsi="Calibri" w:cs="Arial"/>
          <w:color w:val="000000"/>
          <w:szCs w:val="24"/>
          <w:lang w:val="sr-Latn-ME"/>
        </w:rPr>
        <w:t>ctronic fiscalization document)</w:t>
      </w:r>
      <w:r w:rsidR="00C62FB8" w:rsidRPr="00C62FB8">
        <w:rPr>
          <w:rFonts w:ascii="Calibri" w:eastAsia="Calibri" w:hAnsi="Calibri" w:cs="Arial"/>
          <w:color w:val="000000"/>
          <w:szCs w:val="24"/>
          <w:lang w:val="sr-Latn-ME"/>
        </w:rPr>
        <w:t xml:space="preserve"> sistem, zajedno sa kancelarijom TSU; </w:t>
      </w:r>
    </w:p>
    <w:p w:rsidR="00C62FB8" w:rsidRPr="00C62FB8" w:rsidRDefault="00607B97" w:rsidP="00607B97">
      <w:pPr>
        <w:spacing w:before="0" w:after="0" w:line="240" w:lineRule="auto"/>
        <w:rPr>
          <w:rFonts w:ascii="Calibri" w:eastAsia="Calibri" w:hAnsi="Calibri" w:cs="Arial"/>
          <w:color w:val="000000"/>
          <w:szCs w:val="24"/>
          <w:lang w:val="sr-Latn-ME"/>
        </w:rPr>
      </w:pPr>
      <w:r>
        <w:rPr>
          <w:rFonts w:ascii="Calibri" w:eastAsia="Calibri" w:hAnsi="Calibri" w:cs="Arial"/>
          <w:color w:val="000000"/>
          <w:szCs w:val="24"/>
          <w:lang w:val="sr-Latn-ME"/>
        </w:rPr>
        <w:t xml:space="preserve"> - </w:t>
      </w:r>
      <w:r w:rsidR="00C62FB8" w:rsidRPr="00C62FB8">
        <w:rPr>
          <w:rFonts w:ascii="Calibri" w:eastAsia="Calibri" w:hAnsi="Calibri" w:cs="Arial"/>
          <w:color w:val="000000"/>
          <w:szCs w:val="24"/>
          <w:lang w:val="sr-Latn-ME"/>
        </w:rPr>
        <w:t>Sproveden je tenderski postupak za izbor partnera za realizaciju EFI sistema;</w:t>
      </w:r>
    </w:p>
    <w:p w:rsidR="00C62FB8" w:rsidRPr="00C62FB8" w:rsidRDefault="00607B97" w:rsidP="00607B97">
      <w:pPr>
        <w:spacing w:before="0" w:after="0" w:line="240" w:lineRule="auto"/>
        <w:rPr>
          <w:rFonts w:ascii="Calibri" w:eastAsia="Calibri" w:hAnsi="Calibri" w:cs="Arial"/>
          <w:color w:val="000000"/>
          <w:szCs w:val="24"/>
          <w:lang w:val="sr-Latn-ME"/>
        </w:rPr>
      </w:pPr>
      <w:r>
        <w:rPr>
          <w:rFonts w:ascii="Calibri" w:eastAsia="Calibri" w:hAnsi="Calibri" w:cs="Arial"/>
          <w:color w:val="000000"/>
          <w:szCs w:val="24"/>
          <w:lang w:val="sr-Latn-ME"/>
        </w:rPr>
        <w:t xml:space="preserve"> - </w:t>
      </w:r>
      <w:r w:rsidR="00C62FB8" w:rsidRPr="00C62FB8">
        <w:rPr>
          <w:rFonts w:ascii="Calibri" w:eastAsia="Calibri" w:hAnsi="Calibri" w:cs="Arial"/>
          <w:color w:val="000000"/>
          <w:szCs w:val="24"/>
          <w:lang w:val="sr-Latn-ME"/>
        </w:rPr>
        <w:t xml:space="preserve">Realizovan je proces evaluacije pristiglih ponuda za izbor partnera za EFI sistem; </w:t>
      </w:r>
    </w:p>
    <w:p w:rsidR="00C62FB8" w:rsidRPr="00C62FB8" w:rsidRDefault="00607B97" w:rsidP="00607B97">
      <w:pPr>
        <w:spacing w:before="0" w:after="0" w:line="240" w:lineRule="auto"/>
        <w:rPr>
          <w:rFonts w:ascii="Calibri" w:eastAsia="Calibri" w:hAnsi="Calibri" w:cs="Arial"/>
          <w:color w:val="000000"/>
          <w:szCs w:val="24"/>
          <w:lang w:val="sr-Latn-ME"/>
        </w:rPr>
      </w:pPr>
      <w:r>
        <w:rPr>
          <w:rFonts w:ascii="Calibri" w:eastAsia="Calibri" w:hAnsi="Calibri" w:cs="Arial"/>
          <w:color w:val="000000"/>
          <w:szCs w:val="24"/>
          <w:lang w:val="sr-Latn-ME"/>
        </w:rPr>
        <w:t xml:space="preserve"> - </w:t>
      </w:r>
      <w:r w:rsidR="00C62FB8" w:rsidRPr="00C62FB8">
        <w:rPr>
          <w:rFonts w:ascii="Calibri" w:eastAsia="Calibri" w:hAnsi="Calibri" w:cs="Arial"/>
          <w:color w:val="000000"/>
          <w:szCs w:val="24"/>
          <w:lang w:val="sr-Latn-ME"/>
        </w:rPr>
        <w:t>Realizovana je I faza projekta EFI u zakonski i projektno definisanim rokovima, uprkos trenutnim okolnostima izazvanih pandemijom;</w:t>
      </w:r>
    </w:p>
    <w:p w:rsidR="00C62FB8" w:rsidRPr="00C62FB8" w:rsidRDefault="00607B97" w:rsidP="00607B97">
      <w:pPr>
        <w:spacing w:before="0" w:after="0" w:line="240" w:lineRule="auto"/>
        <w:rPr>
          <w:rFonts w:ascii="Calibri" w:eastAsia="Calibri" w:hAnsi="Calibri" w:cs="Arial"/>
          <w:color w:val="000000"/>
          <w:szCs w:val="24"/>
          <w:lang w:val="sr-Latn-ME"/>
        </w:rPr>
      </w:pPr>
      <w:r>
        <w:rPr>
          <w:rFonts w:ascii="Calibri" w:eastAsia="Calibri" w:hAnsi="Calibri" w:cs="Arial"/>
          <w:color w:val="000000"/>
          <w:szCs w:val="24"/>
          <w:lang w:val="sr-Latn-ME"/>
        </w:rPr>
        <w:t xml:space="preserve"> - </w:t>
      </w:r>
      <w:r w:rsidR="00C62FB8" w:rsidRPr="00C62FB8">
        <w:rPr>
          <w:rFonts w:ascii="Calibri" w:eastAsia="Calibri" w:hAnsi="Calibri" w:cs="Arial"/>
          <w:color w:val="000000"/>
          <w:szCs w:val="24"/>
          <w:lang w:val="sr-Latn-ME"/>
        </w:rPr>
        <w:t>U kontinuitetu se radi na pripremi podataka za migraciju;</w:t>
      </w:r>
    </w:p>
    <w:p w:rsidR="00C62FB8" w:rsidRPr="00C62FB8" w:rsidRDefault="00607B97" w:rsidP="00607B97">
      <w:pPr>
        <w:spacing w:before="0" w:after="0" w:line="240" w:lineRule="auto"/>
        <w:rPr>
          <w:rFonts w:ascii="Calibri" w:eastAsia="Calibri" w:hAnsi="Calibri" w:cs="Arial"/>
          <w:color w:val="000000"/>
          <w:szCs w:val="24"/>
          <w:lang w:val="sr-Latn-ME"/>
        </w:rPr>
      </w:pPr>
      <w:r>
        <w:rPr>
          <w:rFonts w:ascii="Calibri" w:eastAsia="Calibri" w:hAnsi="Calibri" w:cs="Arial"/>
          <w:color w:val="000000"/>
          <w:szCs w:val="24"/>
          <w:lang w:val="sr-Latn-ME"/>
        </w:rPr>
        <w:t xml:space="preserve"> - </w:t>
      </w:r>
      <w:r w:rsidR="00C62FB8" w:rsidRPr="00C62FB8">
        <w:rPr>
          <w:rFonts w:ascii="Calibri" w:eastAsia="Calibri" w:hAnsi="Calibri" w:cs="Arial"/>
          <w:color w:val="000000"/>
          <w:szCs w:val="24"/>
          <w:lang w:val="sr-Latn-ME"/>
        </w:rPr>
        <w:t xml:space="preserve">Pripremljen je ToR za BI/DWH (Business intelligence/data warehouse); </w:t>
      </w:r>
    </w:p>
    <w:p w:rsidR="00C62FB8" w:rsidRPr="00C62FB8" w:rsidRDefault="00607B97" w:rsidP="00607B97">
      <w:pPr>
        <w:spacing w:before="0" w:after="0" w:line="240" w:lineRule="auto"/>
        <w:rPr>
          <w:rFonts w:ascii="Calibri" w:eastAsia="Calibri" w:hAnsi="Calibri" w:cs="Arial"/>
          <w:color w:val="000000"/>
          <w:szCs w:val="24"/>
          <w:lang w:val="sr-Latn-ME"/>
        </w:rPr>
      </w:pPr>
      <w:r>
        <w:rPr>
          <w:rFonts w:ascii="Calibri" w:eastAsia="Calibri" w:hAnsi="Calibri" w:cs="Arial"/>
          <w:color w:val="000000"/>
          <w:szCs w:val="24"/>
          <w:lang w:val="sr-Latn-ME"/>
        </w:rPr>
        <w:t xml:space="preserve"> - </w:t>
      </w:r>
      <w:r w:rsidR="00C62FB8" w:rsidRPr="00C62FB8">
        <w:rPr>
          <w:rFonts w:ascii="Calibri" w:eastAsia="Calibri" w:hAnsi="Calibri" w:cs="Arial"/>
          <w:color w:val="000000"/>
          <w:szCs w:val="24"/>
          <w:lang w:val="sr-Latn-ME"/>
        </w:rPr>
        <w:t xml:space="preserve">Pripremljena je tenderska dokumentacija za BI/DWH, zajedno sa kancelarijom TSU (Technical Support Unit); </w:t>
      </w:r>
    </w:p>
    <w:p w:rsidR="00C62FB8" w:rsidRPr="00C62FB8" w:rsidRDefault="00607B97" w:rsidP="00607B97">
      <w:pPr>
        <w:spacing w:before="0" w:after="0" w:line="240" w:lineRule="auto"/>
        <w:rPr>
          <w:rFonts w:ascii="Calibri" w:eastAsia="Calibri" w:hAnsi="Calibri" w:cs="Arial"/>
          <w:color w:val="000000"/>
          <w:szCs w:val="24"/>
          <w:lang w:val="sr-Latn-ME"/>
        </w:rPr>
      </w:pPr>
      <w:r>
        <w:rPr>
          <w:rFonts w:ascii="Calibri" w:eastAsia="Calibri" w:hAnsi="Calibri" w:cs="Arial"/>
          <w:color w:val="000000"/>
          <w:szCs w:val="24"/>
          <w:lang w:val="sr-Latn-ME"/>
        </w:rPr>
        <w:t xml:space="preserve"> - </w:t>
      </w:r>
      <w:r w:rsidR="00C62FB8" w:rsidRPr="00C62FB8">
        <w:rPr>
          <w:rFonts w:ascii="Calibri" w:eastAsia="Calibri" w:hAnsi="Calibri" w:cs="Arial"/>
          <w:color w:val="000000"/>
          <w:szCs w:val="24"/>
          <w:lang w:val="sr-Latn-ME"/>
        </w:rPr>
        <w:t>Pripremljen je ToR za izbor IT konsultanta;</w:t>
      </w:r>
    </w:p>
    <w:p w:rsidR="00C62FB8" w:rsidRPr="00C62FB8" w:rsidRDefault="00607B97" w:rsidP="00607B97">
      <w:pPr>
        <w:spacing w:before="0" w:after="0" w:line="240" w:lineRule="auto"/>
        <w:rPr>
          <w:rFonts w:ascii="Calibri" w:eastAsia="Calibri" w:hAnsi="Calibri" w:cs="Arial"/>
          <w:color w:val="000000"/>
          <w:szCs w:val="24"/>
          <w:lang w:val="sr-Latn-ME"/>
        </w:rPr>
      </w:pPr>
      <w:r>
        <w:rPr>
          <w:rFonts w:ascii="Calibri" w:eastAsia="Calibri" w:hAnsi="Calibri" w:cs="Arial"/>
          <w:color w:val="000000"/>
          <w:szCs w:val="24"/>
          <w:lang w:val="sr-Latn-ME"/>
        </w:rPr>
        <w:t xml:space="preserve"> - </w:t>
      </w:r>
      <w:r w:rsidR="00C62FB8" w:rsidRPr="00C62FB8">
        <w:rPr>
          <w:rFonts w:ascii="Calibri" w:eastAsia="Calibri" w:hAnsi="Calibri" w:cs="Arial"/>
          <w:color w:val="000000"/>
          <w:szCs w:val="24"/>
          <w:lang w:val="sr-Latn-ME"/>
        </w:rPr>
        <w:t>Sproveden tenderski postupak za izbor IT konsultanta;</w:t>
      </w:r>
    </w:p>
    <w:p w:rsidR="00C62FB8" w:rsidRPr="00C62FB8" w:rsidRDefault="00607B97" w:rsidP="00607B97">
      <w:pPr>
        <w:spacing w:before="0" w:after="0" w:line="240" w:lineRule="auto"/>
        <w:rPr>
          <w:rFonts w:ascii="Calibri" w:eastAsia="Calibri" w:hAnsi="Calibri" w:cs="Arial"/>
          <w:color w:val="000000"/>
          <w:szCs w:val="24"/>
          <w:lang w:val="sr-Latn-ME"/>
        </w:rPr>
      </w:pPr>
      <w:r>
        <w:rPr>
          <w:rFonts w:ascii="Calibri" w:eastAsia="Calibri" w:hAnsi="Calibri" w:cs="Arial"/>
          <w:color w:val="000000"/>
          <w:szCs w:val="24"/>
          <w:lang w:val="sr-Latn-ME"/>
        </w:rPr>
        <w:t xml:space="preserve"> - </w:t>
      </w:r>
      <w:r w:rsidR="00C62FB8" w:rsidRPr="00C62FB8">
        <w:rPr>
          <w:rFonts w:ascii="Calibri" w:eastAsia="Calibri" w:hAnsi="Calibri" w:cs="Arial"/>
          <w:color w:val="000000"/>
          <w:szCs w:val="24"/>
          <w:lang w:val="sr-Latn-ME"/>
        </w:rPr>
        <w:t>Realizovali proces evaluacije pristiglih ponuda za IT konsultanta i izabran IT konsultanta;</w:t>
      </w:r>
    </w:p>
    <w:p w:rsidR="00C62FB8" w:rsidRDefault="00607B97" w:rsidP="00607B97">
      <w:pPr>
        <w:spacing w:before="0" w:after="0" w:line="240" w:lineRule="auto"/>
        <w:rPr>
          <w:rFonts w:ascii="Calibri" w:eastAsia="Calibri" w:hAnsi="Calibri" w:cs="Arial"/>
          <w:color w:val="000000"/>
          <w:szCs w:val="24"/>
          <w:lang w:val="sr-Latn-ME"/>
        </w:rPr>
      </w:pPr>
      <w:r>
        <w:rPr>
          <w:rFonts w:ascii="Calibri" w:eastAsia="Calibri" w:hAnsi="Calibri" w:cs="Arial"/>
          <w:color w:val="000000"/>
          <w:szCs w:val="24"/>
          <w:lang w:val="sr-Latn-ME"/>
        </w:rPr>
        <w:t xml:space="preserve"> - </w:t>
      </w:r>
      <w:r w:rsidR="00C62FB8" w:rsidRPr="00C62FB8">
        <w:rPr>
          <w:rFonts w:ascii="Calibri" w:eastAsia="Calibri" w:hAnsi="Calibri" w:cs="Arial"/>
          <w:color w:val="000000"/>
          <w:szCs w:val="24"/>
          <w:lang w:val="sr-Latn-ME"/>
        </w:rPr>
        <w:t xml:space="preserve">Izrađen nacrt dokumenta FRD (Functional requirements document) za projekat IRMS, na koji je mišljenje dala kompanija KPMG, koja je angažovana za izradu kontrole kvaliteta projekta. </w:t>
      </w:r>
    </w:p>
    <w:p w:rsidR="00C62FB8" w:rsidRDefault="00C62FB8" w:rsidP="00C62FB8">
      <w:pPr>
        <w:spacing w:before="0" w:after="0" w:line="240" w:lineRule="auto"/>
        <w:ind w:firstLine="360"/>
        <w:rPr>
          <w:rFonts w:ascii="Calibri" w:eastAsia="Calibri" w:hAnsi="Calibri" w:cs="Arial"/>
          <w:color w:val="000000"/>
          <w:szCs w:val="24"/>
          <w:lang w:val="sr-Latn-ME"/>
        </w:rPr>
      </w:pPr>
      <w:r w:rsidRPr="00C62FB8">
        <w:rPr>
          <w:rFonts w:ascii="Calibri" w:eastAsia="Calibri" w:hAnsi="Calibri" w:cs="Arial"/>
          <w:color w:val="000000"/>
          <w:szCs w:val="24"/>
          <w:lang w:val="sr-Latn-ME"/>
        </w:rPr>
        <w:t>Kašnjenje u realizaciji pojedinih aktivnosti, iz razloga što je ono sada za izradu FRD za IRMS već više od godinu, ozbiljno ugrožava realizaciju projekta u planiranom roku i predstavlja realan rizik da će projekat RARP biti realizovan u planiranom roku.</w:t>
      </w:r>
    </w:p>
    <w:p w:rsidR="00C62FB8" w:rsidRPr="00C62FB8" w:rsidRDefault="00C62FB8" w:rsidP="00C62FB8">
      <w:pPr>
        <w:spacing w:before="0" w:after="0" w:line="240" w:lineRule="auto"/>
        <w:ind w:firstLine="360"/>
        <w:rPr>
          <w:rFonts w:ascii="Calibri" w:eastAsia="Calibri" w:hAnsi="Calibri" w:cs="Arial"/>
          <w:color w:val="000000"/>
          <w:szCs w:val="24"/>
          <w:lang w:val="sr-Latn-ME"/>
        </w:rPr>
      </w:pPr>
      <w:r w:rsidRPr="00C62FB8">
        <w:rPr>
          <w:rFonts w:ascii="Calibri" w:eastAsia="Calibri" w:hAnsi="Calibri" w:cs="Arial"/>
          <w:color w:val="000000"/>
          <w:szCs w:val="24"/>
          <w:lang w:val="sr-Latn-ME"/>
        </w:rPr>
        <w:t>Pored aktivnosti na realizaciji projekta RARP, u 2021. godini je rađeno na definisanju aktivnosti koje se trebaju sprovesti u dijelu digitalne transformacije u Ministarstvu, prvenstveno sa aspekta digitalne transformacije poslovanja Ministarstva, u cilju efikasnog rada, kako bi se:</w:t>
      </w:r>
      <w:r w:rsidRPr="00C62FB8">
        <w:rPr>
          <w:rFonts w:ascii="Calibri" w:eastAsia="Calibri" w:hAnsi="Calibri" w:cs="Arial"/>
          <w:szCs w:val="24"/>
          <w:lang w:val="en-US"/>
        </w:rPr>
        <w:t xml:space="preserve"> </w:t>
      </w:r>
    </w:p>
    <w:p w:rsidR="00C62FB8" w:rsidRPr="00C62FB8" w:rsidRDefault="00607B97" w:rsidP="00607B97">
      <w:pPr>
        <w:spacing w:before="0" w:after="0" w:line="240" w:lineRule="auto"/>
        <w:contextualSpacing/>
        <w:rPr>
          <w:rFonts w:ascii="Calibri" w:eastAsia="Times New Roman" w:hAnsi="Calibri" w:cs="Arial"/>
          <w:szCs w:val="24"/>
          <w:lang w:eastAsia="en-GB"/>
        </w:rPr>
      </w:pPr>
      <w:r>
        <w:rPr>
          <w:rFonts w:ascii="Calibri" w:eastAsia="Times New Roman" w:hAnsi="Calibri" w:cs="Arial"/>
          <w:szCs w:val="24"/>
          <w:lang w:eastAsia="en-GB"/>
        </w:rPr>
        <w:t xml:space="preserve"> - </w:t>
      </w:r>
      <w:r w:rsidR="00C62FB8" w:rsidRPr="00C62FB8">
        <w:rPr>
          <w:rFonts w:ascii="Calibri" w:eastAsia="Times New Roman" w:hAnsi="Calibri" w:cs="Arial"/>
          <w:szCs w:val="24"/>
          <w:lang w:eastAsia="en-GB"/>
        </w:rPr>
        <w:t xml:space="preserve">unaprijedili efikasan rad i pružila podrška specifičnim potrebama Ministarstva; </w:t>
      </w:r>
    </w:p>
    <w:p w:rsidR="00C62FB8" w:rsidRPr="00C62FB8" w:rsidRDefault="00607B97" w:rsidP="00607B97">
      <w:pPr>
        <w:spacing w:before="0" w:after="0" w:line="240" w:lineRule="auto"/>
        <w:contextualSpacing/>
        <w:rPr>
          <w:rFonts w:ascii="Calibri" w:eastAsia="Times New Roman" w:hAnsi="Calibri" w:cs="Arial"/>
          <w:bCs/>
          <w:color w:val="424242"/>
          <w:szCs w:val="24"/>
          <w:lang w:val="sr-Latn-RS" w:eastAsia="en-GB"/>
        </w:rPr>
      </w:pPr>
      <w:r>
        <w:rPr>
          <w:rFonts w:ascii="Calibri" w:eastAsia="Times New Roman" w:hAnsi="Calibri" w:cs="Arial"/>
          <w:szCs w:val="24"/>
          <w:lang w:eastAsia="en-GB"/>
        </w:rPr>
        <w:t xml:space="preserve"> - </w:t>
      </w:r>
      <w:r w:rsidR="00C62FB8" w:rsidRPr="00C62FB8">
        <w:rPr>
          <w:rFonts w:ascii="Calibri" w:eastAsia="Times New Roman" w:hAnsi="Calibri" w:cs="Arial"/>
          <w:szCs w:val="24"/>
          <w:lang w:eastAsia="en-GB"/>
        </w:rPr>
        <w:t>unaprijedilo praćenje planiranja, razvoja i implementacije informacionih sistema;</w:t>
      </w:r>
    </w:p>
    <w:p w:rsidR="00C62FB8" w:rsidRPr="00C62FB8" w:rsidRDefault="00607B97" w:rsidP="00607B97">
      <w:pPr>
        <w:spacing w:before="0" w:after="0" w:line="240" w:lineRule="auto"/>
        <w:contextualSpacing/>
        <w:rPr>
          <w:rFonts w:ascii="Calibri" w:eastAsia="Times New Roman" w:hAnsi="Calibri" w:cs="Arial"/>
          <w:bCs/>
          <w:color w:val="424242"/>
          <w:szCs w:val="24"/>
          <w:lang w:val="sr-Latn-RS" w:eastAsia="en-GB"/>
        </w:rPr>
      </w:pPr>
      <w:r>
        <w:rPr>
          <w:rFonts w:ascii="Calibri" w:eastAsia="Times New Roman" w:hAnsi="Calibri" w:cs="Arial"/>
          <w:szCs w:val="24"/>
          <w:lang w:eastAsia="en-GB"/>
        </w:rPr>
        <w:t xml:space="preserve"> - </w:t>
      </w:r>
      <w:r w:rsidR="00C62FB8" w:rsidRPr="00C62FB8">
        <w:rPr>
          <w:rFonts w:ascii="Calibri" w:eastAsia="Times New Roman" w:hAnsi="Calibri" w:cs="Arial"/>
          <w:szCs w:val="24"/>
          <w:lang w:eastAsia="en-GB"/>
        </w:rPr>
        <w:t>unaprijedilo praćenje eksploatacije informacionih sistema i stručno operativni poslovi projektovanja, uvođenja i pripreme informacionih sistema u svim oblastima djelatnosti Ministarstva;</w:t>
      </w:r>
    </w:p>
    <w:p w:rsidR="00C62FB8" w:rsidRPr="00C62FB8" w:rsidRDefault="00607B97" w:rsidP="00607B97">
      <w:pPr>
        <w:spacing w:before="0" w:after="0" w:line="240" w:lineRule="auto"/>
        <w:contextualSpacing/>
        <w:rPr>
          <w:rFonts w:ascii="Calibri" w:eastAsia="Times New Roman" w:hAnsi="Calibri" w:cs="Arial"/>
          <w:bCs/>
          <w:color w:val="424242"/>
          <w:szCs w:val="24"/>
          <w:lang w:val="sr-Latn-RS" w:eastAsia="en-GB"/>
        </w:rPr>
      </w:pPr>
      <w:r>
        <w:rPr>
          <w:rFonts w:ascii="Calibri" w:eastAsia="Times New Roman" w:hAnsi="Calibri" w:cs="Arial"/>
          <w:szCs w:val="24"/>
          <w:lang w:eastAsia="en-GB"/>
        </w:rPr>
        <w:t xml:space="preserve"> - </w:t>
      </w:r>
      <w:r w:rsidR="00C62FB8" w:rsidRPr="00C62FB8">
        <w:rPr>
          <w:rFonts w:ascii="Calibri" w:eastAsia="Times New Roman" w:hAnsi="Calibri" w:cs="Arial"/>
          <w:szCs w:val="24"/>
          <w:lang w:eastAsia="en-GB"/>
        </w:rPr>
        <w:t>sprovodile inicijative za digitalnu transformaciju i integraciju u međunarodne elektronske tokove podataka;</w:t>
      </w:r>
    </w:p>
    <w:p w:rsidR="00C62FB8" w:rsidRPr="00C62FB8" w:rsidRDefault="00607B97" w:rsidP="00607B97">
      <w:pPr>
        <w:spacing w:before="0" w:after="0" w:line="240" w:lineRule="auto"/>
        <w:contextualSpacing/>
        <w:rPr>
          <w:rFonts w:ascii="Calibri" w:eastAsia="Times New Roman" w:hAnsi="Calibri" w:cs="Arial"/>
          <w:bCs/>
          <w:color w:val="424242"/>
          <w:szCs w:val="24"/>
          <w:lang w:val="sr-Latn-RS" w:eastAsia="en-GB"/>
        </w:rPr>
      </w:pPr>
      <w:r>
        <w:rPr>
          <w:rFonts w:ascii="Calibri" w:eastAsia="Times New Roman" w:hAnsi="Calibri" w:cs="Arial"/>
          <w:szCs w:val="24"/>
          <w:lang w:eastAsia="en-GB"/>
        </w:rPr>
        <w:t xml:space="preserve"> - </w:t>
      </w:r>
      <w:r w:rsidR="00C62FB8" w:rsidRPr="00C62FB8">
        <w:rPr>
          <w:rFonts w:ascii="Calibri" w:eastAsia="Times New Roman" w:hAnsi="Calibri" w:cs="Arial"/>
          <w:szCs w:val="24"/>
          <w:lang w:eastAsia="en-GB"/>
        </w:rPr>
        <w:t>unaprijedilo finansijsko upravljanje i planiranje procesom digitalizacije;</w:t>
      </w:r>
    </w:p>
    <w:p w:rsidR="00C62FB8" w:rsidRPr="00C62FB8" w:rsidRDefault="00607B97" w:rsidP="00607B97">
      <w:pPr>
        <w:spacing w:before="0" w:after="0" w:line="240" w:lineRule="auto"/>
        <w:contextualSpacing/>
        <w:rPr>
          <w:rFonts w:ascii="Calibri" w:eastAsia="Times New Roman" w:hAnsi="Calibri" w:cs="Arial"/>
          <w:bCs/>
          <w:color w:val="424242"/>
          <w:szCs w:val="24"/>
          <w:lang w:val="sr-Latn-RS" w:eastAsia="en-GB"/>
        </w:rPr>
      </w:pPr>
      <w:r>
        <w:rPr>
          <w:rFonts w:ascii="Calibri" w:eastAsia="Times New Roman" w:hAnsi="Calibri" w:cs="Arial"/>
          <w:szCs w:val="24"/>
          <w:lang w:eastAsia="en-GB"/>
        </w:rPr>
        <w:lastRenderedPageBreak/>
        <w:t xml:space="preserve"> - </w:t>
      </w:r>
      <w:r w:rsidR="00C62FB8" w:rsidRPr="00C62FB8">
        <w:rPr>
          <w:rFonts w:ascii="Calibri" w:eastAsia="Times New Roman" w:hAnsi="Calibri" w:cs="Arial"/>
          <w:szCs w:val="24"/>
          <w:lang w:eastAsia="en-GB"/>
        </w:rPr>
        <w:t xml:space="preserve">unaprijedio proces odobravanja dodjele finansijskih sredstava i predloženih politika u oblasti digitalizacije, vođenje evidencije o planiranim sredstvima, vođenje evidencije o utrošenim sredstvima, praćenje realizacije akcionih planova i stepena realizacije tih planova; </w:t>
      </w:r>
    </w:p>
    <w:p w:rsidR="00C62FB8" w:rsidRPr="00C62FB8" w:rsidRDefault="00607B97" w:rsidP="00607B97">
      <w:pPr>
        <w:spacing w:before="0" w:after="0" w:line="240" w:lineRule="auto"/>
        <w:contextualSpacing/>
        <w:rPr>
          <w:rFonts w:ascii="Calibri" w:eastAsia="Times New Roman" w:hAnsi="Calibri" w:cs="Arial"/>
          <w:szCs w:val="24"/>
          <w:lang w:eastAsia="en-GB"/>
        </w:rPr>
      </w:pPr>
      <w:r>
        <w:rPr>
          <w:rFonts w:ascii="Calibri" w:eastAsia="Times New Roman" w:hAnsi="Calibri" w:cs="Arial"/>
          <w:szCs w:val="24"/>
          <w:lang w:eastAsia="en-GB"/>
        </w:rPr>
        <w:t xml:space="preserve"> - </w:t>
      </w:r>
      <w:r w:rsidR="00C62FB8" w:rsidRPr="00C62FB8">
        <w:rPr>
          <w:rFonts w:ascii="Calibri" w:eastAsia="Times New Roman" w:hAnsi="Calibri" w:cs="Arial"/>
          <w:szCs w:val="24"/>
          <w:lang w:eastAsia="en-GB"/>
        </w:rPr>
        <w:t>unaprijedio mehanizam koordinacije u oblasti finansiranja poslova u procesu digitalizacije, analize informacionih sistema budžetskih jedinica, revizija  usklađenosti poslovnih procesa, revizija uspješnosti poslovanja (revizija učinka) i finansijska revizija, izvještavanje rukovodstva o nalazima revizije i davanje preporuka u kojima se predlaže način za unaprjeđenje informacionih sistema;</w:t>
      </w:r>
    </w:p>
    <w:p w:rsidR="00C62FB8" w:rsidRPr="00C62FB8" w:rsidRDefault="00607B97" w:rsidP="00607B97">
      <w:pPr>
        <w:spacing w:before="0" w:after="0" w:line="240" w:lineRule="auto"/>
        <w:contextualSpacing/>
        <w:rPr>
          <w:rFonts w:ascii="Calibri" w:eastAsia="Times New Roman" w:hAnsi="Calibri" w:cs="Arial"/>
          <w:szCs w:val="24"/>
          <w:lang w:eastAsia="en-GB"/>
        </w:rPr>
      </w:pPr>
      <w:r>
        <w:rPr>
          <w:rFonts w:ascii="Calibri" w:eastAsia="Times New Roman" w:hAnsi="Calibri" w:cs="Arial"/>
          <w:szCs w:val="24"/>
          <w:lang w:eastAsia="en-GB"/>
        </w:rPr>
        <w:t xml:space="preserve"> - </w:t>
      </w:r>
      <w:r w:rsidR="00C62FB8" w:rsidRPr="00C62FB8">
        <w:rPr>
          <w:rFonts w:ascii="Calibri" w:eastAsia="Times New Roman" w:hAnsi="Calibri" w:cs="Arial"/>
          <w:szCs w:val="24"/>
          <w:lang w:eastAsia="en-GB"/>
        </w:rPr>
        <w:t xml:space="preserve">unaprijedili davanje objektivnog stručnog mišljenja i savjeta o adekvatnosti sistema finansijskog upravljanja i kontrola u cilju unaprjeđenja poslovanja budžetskih jedinica, </w:t>
      </w:r>
    </w:p>
    <w:p w:rsidR="00C62FB8" w:rsidRPr="00C62FB8" w:rsidRDefault="00607B97" w:rsidP="00607B97">
      <w:pPr>
        <w:spacing w:before="0" w:after="0" w:line="240" w:lineRule="auto"/>
        <w:contextualSpacing/>
        <w:rPr>
          <w:rFonts w:ascii="Calibri" w:eastAsia="Times New Roman" w:hAnsi="Calibri" w:cs="Arial"/>
          <w:szCs w:val="24"/>
          <w:lang w:eastAsia="en-GB"/>
        </w:rPr>
      </w:pPr>
      <w:r>
        <w:rPr>
          <w:rFonts w:ascii="Calibri" w:eastAsia="Times New Roman" w:hAnsi="Calibri" w:cs="Arial"/>
          <w:szCs w:val="24"/>
          <w:lang w:eastAsia="en-GB"/>
        </w:rPr>
        <w:t xml:space="preserve"> - </w:t>
      </w:r>
      <w:r w:rsidR="00C62FB8" w:rsidRPr="00C62FB8">
        <w:rPr>
          <w:rFonts w:ascii="Calibri" w:eastAsia="Times New Roman" w:hAnsi="Calibri" w:cs="Arial"/>
          <w:szCs w:val="24"/>
          <w:lang w:eastAsia="en-GB"/>
        </w:rPr>
        <w:t>unaprijedili upravljanje ljudskim resursima u oblasti digitalizacije;</w:t>
      </w:r>
    </w:p>
    <w:p w:rsidR="00C62FB8" w:rsidRPr="00C62FB8" w:rsidRDefault="00607B97" w:rsidP="00607B97">
      <w:pPr>
        <w:spacing w:before="0" w:after="0" w:line="240" w:lineRule="auto"/>
        <w:contextualSpacing/>
        <w:rPr>
          <w:rFonts w:ascii="Calibri" w:eastAsia="Times New Roman" w:hAnsi="Calibri" w:cs="Arial"/>
          <w:szCs w:val="24"/>
          <w:lang w:eastAsia="en-GB"/>
        </w:rPr>
      </w:pPr>
      <w:r>
        <w:rPr>
          <w:rFonts w:ascii="Calibri" w:eastAsia="Times New Roman" w:hAnsi="Calibri" w:cs="Arial"/>
          <w:szCs w:val="24"/>
          <w:lang w:eastAsia="en-GB"/>
        </w:rPr>
        <w:t xml:space="preserve"> - </w:t>
      </w:r>
      <w:r w:rsidR="00C62FB8" w:rsidRPr="00C62FB8">
        <w:rPr>
          <w:rFonts w:ascii="Calibri" w:eastAsia="Times New Roman" w:hAnsi="Calibri" w:cs="Arial"/>
          <w:szCs w:val="24"/>
          <w:lang w:eastAsia="en-GB"/>
        </w:rPr>
        <w:t xml:space="preserve">vršilo planiranje informatičkih projekata paralelno sa planiranjem Budžeta čime se obezbeđuje usklađivanje poslovnih potreba i IT-a; </w:t>
      </w:r>
    </w:p>
    <w:p w:rsidR="00C62FB8" w:rsidRPr="00C62FB8" w:rsidRDefault="00607B97" w:rsidP="00607B97">
      <w:pPr>
        <w:spacing w:before="0" w:after="0" w:line="240" w:lineRule="auto"/>
        <w:contextualSpacing/>
        <w:rPr>
          <w:rFonts w:ascii="Calibri" w:eastAsia="Times New Roman" w:hAnsi="Calibri" w:cs="Arial"/>
          <w:szCs w:val="24"/>
          <w:lang w:eastAsia="en-GB"/>
        </w:rPr>
      </w:pPr>
      <w:r>
        <w:rPr>
          <w:rFonts w:ascii="Calibri" w:eastAsia="Times New Roman" w:hAnsi="Calibri" w:cs="Arial"/>
          <w:szCs w:val="24"/>
          <w:lang w:eastAsia="en-GB"/>
        </w:rPr>
        <w:t xml:space="preserve"> - </w:t>
      </w:r>
      <w:r w:rsidR="00C62FB8" w:rsidRPr="00C62FB8">
        <w:rPr>
          <w:rFonts w:ascii="Calibri" w:eastAsia="Times New Roman" w:hAnsi="Calibri" w:cs="Arial"/>
          <w:szCs w:val="24"/>
          <w:lang w:eastAsia="en-GB"/>
        </w:rPr>
        <w:t xml:space="preserve">unaprijedilo praćenje pripreme, iniciranja, upravljanja i prijema (vrednovanje i verifikacija) projekata i rješenja u oblasti razvoja digitalizacije; </w:t>
      </w:r>
    </w:p>
    <w:p w:rsidR="00C62FB8" w:rsidRPr="00C62FB8" w:rsidRDefault="00607B97" w:rsidP="00607B97">
      <w:pPr>
        <w:spacing w:before="0" w:after="0" w:line="240" w:lineRule="auto"/>
        <w:contextualSpacing/>
        <w:rPr>
          <w:rFonts w:ascii="Calibri" w:eastAsia="Times New Roman" w:hAnsi="Calibri" w:cs="Arial"/>
          <w:szCs w:val="24"/>
          <w:lang w:eastAsia="en-GB"/>
        </w:rPr>
      </w:pPr>
      <w:r>
        <w:rPr>
          <w:rFonts w:ascii="Calibri" w:eastAsia="Times New Roman" w:hAnsi="Calibri" w:cs="Arial"/>
          <w:szCs w:val="24"/>
          <w:lang w:eastAsia="en-GB"/>
        </w:rPr>
        <w:t xml:space="preserve"> - </w:t>
      </w:r>
      <w:r w:rsidR="00C62FB8" w:rsidRPr="00C62FB8">
        <w:rPr>
          <w:rFonts w:ascii="Calibri" w:eastAsia="Times New Roman" w:hAnsi="Calibri" w:cs="Arial"/>
          <w:szCs w:val="24"/>
          <w:lang w:eastAsia="en-GB"/>
        </w:rPr>
        <w:t xml:space="preserve">stvorili uslovi za realizaciju projekata koji se finansiraju iz sredstava pretpristupnih fondova EU, donacija i drugih oblika razvojne pomoći u oblasti informacionih tehnologija, </w:t>
      </w:r>
    </w:p>
    <w:p w:rsidR="00C62FB8" w:rsidRPr="00C62FB8" w:rsidRDefault="00607B97" w:rsidP="00607B97">
      <w:pPr>
        <w:spacing w:before="0" w:after="0" w:line="240" w:lineRule="auto"/>
        <w:contextualSpacing/>
        <w:rPr>
          <w:rFonts w:ascii="Calibri" w:eastAsia="Times New Roman" w:hAnsi="Calibri" w:cs="Arial"/>
          <w:szCs w:val="24"/>
          <w:lang w:eastAsia="en-GB"/>
        </w:rPr>
      </w:pPr>
      <w:r>
        <w:rPr>
          <w:rFonts w:ascii="Calibri" w:eastAsia="Times New Roman" w:hAnsi="Calibri" w:cs="Arial"/>
          <w:szCs w:val="24"/>
          <w:lang w:eastAsia="en-GB"/>
        </w:rPr>
        <w:t xml:space="preserve"> - </w:t>
      </w:r>
      <w:r w:rsidR="00C62FB8" w:rsidRPr="00C62FB8">
        <w:rPr>
          <w:rFonts w:ascii="Calibri" w:eastAsia="Times New Roman" w:hAnsi="Calibri" w:cs="Arial"/>
          <w:szCs w:val="24"/>
          <w:lang w:eastAsia="en-GB"/>
        </w:rPr>
        <w:t xml:space="preserve">unaprijedilo davanje mišljenja na predloge propisa i dokumenata drugih institucija iz oblasti digitalizacije, pripremanje periodičnih planova i periodičnih izvještaja o realizaciji usvojenih planova, praćenje međunarodne regulative iz oblasti koje su u nadležnosti Ministarstva; </w:t>
      </w:r>
    </w:p>
    <w:p w:rsidR="00C62FB8" w:rsidRPr="00C62FB8" w:rsidRDefault="00607B97" w:rsidP="00607B97">
      <w:pPr>
        <w:spacing w:before="0" w:after="0" w:line="240" w:lineRule="auto"/>
        <w:contextualSpacing/>
        <w:rPr>
          <w:rFonts w:ascii="Calibri" w:eastAsia="Times New Roman" w:hAnsi="Calibri" w:cs="Arial"/>
          <w:szCs w:val="24"/>
          <w:lang w:eastAsia="en-GB"/>
        </w:rPr>
      </w:pPr>
      <w:r>
        <w:rPr>
          <w:rFonts w:ascii="Calibri" w:eastAsia="Times New Roman" w:hAnsi="Calibri" w:cs="Arial"/>
          <w:szCs w:val="24"/>
          <w:lang w:eastAsia="en-GB"/>
        </w:rPr>
        <w:t xml:space="preserve"> - </w:t>
      </w:r>
      <w:r w:rsidR="00C62FB8" w:rsidRPr="00C62FB8">
        <w:rPr>
          <w:rFonts w:ascii="Calibri" w:eastAsia="Times New Roman" w:hAnsi="Calibri" w:cs="Arial"/>
          <w:szCs w:val="24"/>
          <w:lang w:eastAsia="en-GB"/>
        </w:rPr>
        <w:t xml:space="preserve">unaprijedila saradnja sa međunarodnim organizacijama, donatorima i EU, uz izvještavanje rukovodstva o nalazima i davanje preporuka u kojima se predlaže način za unapređenje međunarodne saradnje; </w:t>
      </w:r>
    </w:p>
    <w:p w:rsidR="00C62FB8" w:rsidRPr="00C62FB8" w:rsidRDefault="00607B97" w:rsidP="00607B97">
      <w:pPr>
        <w:spacing w:before="0" w:after="0" w:line="240" w:lineRule="auto"/>
        <w:contextualSpacing/>
        <w:rPr>
          <w:rFonts w:ascii="Calibri" w:eastAsia="Times New Roman" w:hAnsi="Calibri" w:cs="Arial"/>
          <w:szCs w:val="24"/>
          <w:lang w:eastAsia="en-GB"/>
        </w:rPr>
      </w:pPr>
      <w:r>
        <w:rPr>
          <w:rFonts w:ascii="Calibri" w:eastAsia="Times New Roman" w:hAnsi="Calibri" w:cs="Arial"/>
          <w:szCs w:val="24"/>
          <w:lang w:eastAsia="en-GB"/>
        </w:rPr>
        <w:t xml:space="preserve"> - </w:t>
      </w:r>
      <w:r w:rsidR="00C62FB8" w:rsidRPr="00C62FB8">
        <w:rPr>
          <w:rFonts w:ascii="Calibri" w:eastAsia="Times New Roman" w:hAnsi="Calibri" w:cs="Arial"/>
          <w:szCs w:val="24"/>
          <w:lang w:eastAsia="en-GB"/>
        </w:rPr>
        <w:t>stvorili uslovi za razvoj novih inovacija i podrška primjeni postojećih inovativnih rješenja u oblasti digitalizacije;</w:t>
      </w:r>
    </w:p>
    <w:p w:rsidR="00C62FB8" w:rsidRPr="00C62FB8" w:rsidRDefault="00607B97" w:rsidP="00607B97">
      <w:pPr>
        <w:spacing w:before="0" w:after="0" w:line="240" w:lineRule="auto"/>
        <w:contextualSpacing/>
        <w:rPr>
          <w:rFonts w:ascii="Calibri" w:eastAsia="Times New Roman" w:hAnsi="Calibri" w:cs="Arial"/>
          <w:szCs w:val="24"/>
          <w:lang w:eastAsia="en-GB"/>
        </w:rPr>
      </w:pPr>
      <w:r>
        <w:rPr>
          <w:rFonts w:ascii="Calibri" w:eastAsia="Times New Roman" w:hAnsi="Calibri" w:cs="Arial"/>
          <w:szCs w:val="24"/>
          <w:lang w:eastAsia="en-GB"/>
        </w:rPr>
        <w:t xml:space="preserve"> - </w:t>
      </w:r>
      <w:r w:rsidR="00C62FB8" w:rsidRPr="00C62FB8">
        <w:rPr>
          <w:rFonts w:ascii="Calibri" w:eastAsia="Times New Roman" w:hAnsi="Calibri" w:cs="Arial"/>
          <w:szCs w:val="24"/>
          <w:lang w:eastAsia="en-GB"/>
        </w:rPr>
        <w:t xml:space="preserve">organizovali stručni skupovi, okrugli stolovi i javne rasprave; </w:t>
      </w:r>
    </w:p>
    <w:p w:rsidR="00C62FB8" w:rsidRPr="00C62FB8" w:rsidRDefault="00607B97" w:rsidP="00607B97">
      <w:pPr>
        <w:spacing w:before="0" w:after="0" w:line="240" w:lineRule="auto"/>
        <w:contextualSpacing/>
        <w:rPr>
          <w:rFonts w:ascii="Calibri" w:eastAsia="Times New Roman" w:hAnsi="Calibri" w:cs="Arial"/>
          <w:szCs w:val="24"/>
          <w:lang w:eastAsia="en-GB"/>
        </w:rPr>
      </w:pPr>
      <w:r>
        <w:rPr>
          <w:rFonts w:ascii="Calibri" w:eastAsia="Times New Roman" w:hAnsi="Calibri" w:cs="Arial"/>
          <w:szCs w:val="24"/>
          <w:lang w:eastAsia="en-GB"/>
        </w:rPr>
        <w:t xml:space="preserve"> - </w:t>
      </w:r>
      <w:r w:rsidR="00C62FB8" w:rsidRPr="00C62FB8">
        <w:rPr>
          <w:rFonts w:ascii="Calibri" w:eastAsia="Times New Roman" w:hAnsi="Calibri" w:cs="Arial"/>
          <w:szCs w:val="24"/>
          <w:lang w:eastAsia="en-GB"/>
        </w:rPr>
        <w:t xml:space="preserve">stvorili uslovi za kreditnu podršku u oblasti digitalizacije, </w:t>
      </w:r>
    </w:p>
    <w:p w:rsidR="00C62FB8" w:rsidRPr="00C62FB8" w:rsidRDefault="00607B97" w:rsidP="00607B97">
      <w:pPr>
        <w:spacing w:before="0" w:after="0" w:line="240" w:lineRule="auto"/>
        <w:contextualSpacing/>
        <w:rPr>
          <w:rFonts w:ascii="Calibri" w:eastAsia="Times New Roman" w:hAnsi="Calibri" w:cs="Arial"/>
          <w:szCs w:val="24"/>
          <w:lang w:eastAsia="en-GB"/>
        </w:rPr>
      </w:pPr>
      <w:r>
        <w:rPr>
          <w:rFonts w:ascii="Calibri" w:eastAsia="Times New Roman" w:hAnsi="Calibri" w:cs="Arial"/>
          <w:szCs w:val="24"/>
          <w:lang w:eastAsia="en-GB"/>
        </w:rPr>
        <w:t xml:space="preserve"> - </w:t>
      </w:r>
      <w:r w:rsidR="00C62FB8" w:rsidRPr="00C62FB8">
        <w:rPr>
          <w:rFonts w:ascii="Calibri" w:eastAsia="Times New Roman" w:hAnsi="Calibri" w:cs="Arial"/>
          <w:szCs w:val="24"/>
          <w:lang w:eastAsia="en-GB"/>
        </w:rPr>
        <w:t xml:space="preserve">stvorili uslovi za poreske podsticaje u oblasti digitalizacije, </w:t>
      </w:r>
    </w:p>
    <w:p w:rsidR="00C62FB8" w:rsidRPr="00C62FB8" w:rsidRDefault="00607B97" w:rsidP="00607B97">
      <w:pPr>
        <w:spacing w:before="0" w:after="0" w:line="240" w:lineRule="auto"/>
        <w:contextualSpacing/>
        <w:rPr>
          <w:rFonts w:ascii="Calibri" w:eastAsia="Times New Roman" w:hAnsi="Calibri" w:cs="Arial"/>
          <w:szCs w:val="24"/>
          <w:lang w:eastAsia="en-GB"/>
        </w:rPr>
      </w:pPr>
      <w:r>
        <w:rPr>
          <w:rFonts w:ascii="Calibri" w:eastAsia="Times New Roman" w:hAnsi="Calibri" w:cs="Arial"/>
          <w:szCs w:val="24"/>
          <w:lang w:eastAsia="en-GB"/>
        </w:rPr>
        <w:t xml:space="preserve"> - </w:t>
      </w:r>
      <w:r w:rsidR="00C62FB8" w:rsidRPr="00C62FB8">
        <w:rPr>
          <w:rFonts w:ascii="Calibri" w:eastAsia="Times New Roman" w:hAnsi="Calibri" w:cs="Arial"/>
          <w:szCs w:val="24"/>
          <w:lang w:eastAsia="en-GB"/>
        </w:rPr>
        <w:t xml:space="preserve">stvorili uslovi za kreiranje mehanizama za unaprjeđenje saradnje javnog i privatnog sektora (javno privatno partnerstvo) u oblasti digitalizacije; </w:t>
      </w:r>
    </w:p>
    <w:p w:rsidR="00C62FB8" w:rsidRPr="00C62FB8" w:rsidRDefault="00607B97" w:rsidP="00607B97">
      <w:pPr>
        <w:spacing w:before="0" w:after="0" w:line="240" w:lineRule="auto"/>
        <w:contextualSpacing/>
        <w:rPr>
          <w:rFonts w:ascii="Calibri" w:eastAsia="Times New Roman" w:hAnsi="Calibri" w:cs="Arial"/>
          <w:szCs w:val="24"/>
          <w:lang w:eastAsia="en-GB"/>
        </w:rPr>
      </w:pPr>
      <w:r>
        <w:rPr>
          <w:rFonts w:ascii="Calibri" w:eastAsia="Times New Roman" w:hAnsi="Calibri" w:cs="Arial"/>
          <w:szCs w:val="24"/>
          <w:lang w:eastAsia="en-GB"/>
        </w:rPr>
        <w:t xml:space="preserve"> - </w:t>
      </w:r>
      <w:r w:rsidR="00C62FB8" w:rsidRPr="00C62FB8">
        <w:rPr>
          <w:rFonts w:ascii="Calibri" w:eastAsia="Times New Roman" w:hAnsi="Calibri" w:cs="Arial"/>
          <w:szCs w:val="24"/>
          <w:lang w:eastAsia="en-GB"/>
        </w:rPr>
        <w:t xml:space="preserve">obezbjedila široka upotreba digitalnih tehnologija u privredi i društvu, s ciljem podsticanja ekonomskog rasta, zapošljavanja i socijalne kohezije; </w:t>
      </w:r>
    </w:p>
    <w:p w:rsidR="00C62FB8" w:rsidRDefault="00607B97" w:rsidP="00607B97">
      <w:pPr>
        <w:spacing w:before="0" w:after="0" w:line="240" w:lineRule="auto"/>
        <w:contextualSpacing/>
        <w:rPr>
          <w:rFonts w:ascii="Calibri" w:eastAsia="Times New Roman" w:hAnsi="Calibri" w:cs="Arial"/>
          <w:szCs w:val="24"/>
          <w:lang w:eastAsia="en-GB"/>
        </w:rPr>
      </w:pPr>
      <w:r>
        <w:rPr>
          <w:rFonts w:ascii="Calibri" w:eastAsia="Times New Roman" w:hAnsi="Calibri" w:cs="Arial"/>
          <w:szCs w:val="24"/>
          <w:lang w:eastAsia="en-GB"/>
        </w:rPr>
        <w:t xml:space="preserve"> - </w:t>
      </w:r>
      <w:r w:rsidR="00C62FB8" w:rsidRPr="00C62FB8">
        <w:rPr>
          <w:rFonts w:ascii="Calibri" w:eastAsia="Times New Roman" w:hAnsi="Calibri" w:cs="Arial"/>
          <w:szCs w:val="24"/>
          <w:lang w:eastAsia="en-GB"/>
        </w:rPr>
        <w:t>vršila razmjena iskustava i uključenje u međunarodne inicijative, kroz saradnju i integraciju, kao i drugi poslovi u cilju digitalne transformacije javne uprave.</w:t>
      </w:r>
    </w:p>
    <w:p w:rsidR="00C62FB8" w:rsidRPr="00C62FB8" w:rsidRDefault="00C62FB8" w:rsidP="00C62FB8">
      <w:pPr>
        <w:spacing w:before="0" w:after="0" w:line="240" w:lineRule="auto"/>
        <w:ind w:firstLine="360"/>
        <w:contextualSpacing/>
        <w:rPr>
          <w:rFonts w:ascii="Calibri" w:eastAsia="Times New Roman" w:hAnsi="Calibri" w:cs="Arial"/>
          <w:szCs w:val="24"/>
          <w:lang w:eastAsia="en-GB"/>
        </w:rPr>
      </w:pPr>
      <w:r w:rsidRPr="00C62FB8">
        <w:rPr>
          <w:rFonts w:ascii="Calibri" w:eastAsia="Calibri" w:hAnsi="Calibri" w:cs="Arial"/>
          <w:color w:val="000000"/>
          <w:szCs w:val="24"/>
          <w:lang w:val="sr-Latn-ME"/>
        </w:rPr>
        <w:t>U tom cilju je formiran Direktorat za digitalizaciju i informacione sisteme u kojem bi se obavljali stručni poslovi koji se odnose na primjenu informaciono komunikacionih tehnologija u Ministarstvu,</w:t>
      </w:r>
      <w:r w:rsidRPr="00C62FB8">
        <w:rPr>
          <w:rFonts w:ascii="Calibri" w:eastAsia="Calibri" w:hAnsi="Calibri" w:cs="Arial"/>
          <w:bCs/>
          <w:color w:val="000000"/>
          <w:szCs w:val="24"/>
          <w:lang w:val="sr-Latn-ME"/>
        </w:rPr>
        <w:t xml:space="preserve"> koja je neophodne za efikasan rad i specifične potrebe Ministarstva finansija; praćenje planiranja, razvoja, implementacije i eksploatacije informacionih sistema, kao i stručno operativni poslovi projektovanja, uvođenja i pripreme informacionih sistema u svim oblastima djelatnosti Ministarstva; praćenje i primjenu propisa iz oblasti digitalizacije; sprovođenje inicijativa i saradnje na polju informacionih i komunikacionih tehnologija sa drugim učesnicima u procesu digitalizacije; sprovođenje i uvođenje međunarodnih standarda za upravljanje bezbjednošću informacija; uspostavljanje mjera i procedura koje se odnose na zaštitu podataka i informacionih sistema od neovlašćenog pristupa, korišćenja, oštećenja i uništenja podataka, te bilo kakvog tipa modifikacije; razvijanje internih pravila, unapređenje i sprovođenje Backup/Restore, Business Continuity i Disaster Recovery procedura; učestvovanje u finansijskom upravljanju i planiranju finansiranja poslova u procesu digitalizacije; praćenje pripreme, iniciranja, upravljanja i prijema (vrednovanje i verifikacija) projekata i rješenja u oblasti digitalizacije; koordiniranje poslova za pripremanje periodičnih planova i periodičnih izvještaja o realizaciji usvojenih planova; saradnja sa međunarodnim organizacijama, donatorima i EU; praćenje predloga i inicijativa za razvoj digitalnih </w:t>
      </w:r>
      <w:r w:rsidRPr="00C62FB8">
        <w:rPr>
          <w:rFonts w:ascii="Calibri" w:eastAsia="Calibri" w:hAnsi="Calibri" w:cs="Arial"/>
          <w:bCs/>
          <w:color w:val="000000"/>
          <w:szCs w:val="24"/>
          <w:lang w:val="sr-Latn-ME"/>
        </w:rPr>
        <w:lastRenderedPageBreak/>
        <w:t>i inovativnih servisa; izvještavanje rukovodstva o nalazima i davanje preporuka u kojima se predlaže način za unapređenje međunarodne saradnje; stvaranje uslova za razvoj novih inovacija i podrška primjeni postojećih inovativnih rješenja u oblasti digitalizacije; podrška široj upotrebi digitalnih tehnologija u privredi i društvu, s ciljem podsticanja ekonomskog rasta, zapošljavanja i socijalne kohezije.</w:t>
      </w:r>
    </w:p>
    <w:p w:rsidR="00B55665" w:rsidRDefault="00B55665" w:rsidP="008F659F">
      <w:pPr>
        <w:pStyle w:val="PlainText"/>
        <w:jc w:val="both"/>
        <w:rPr>
          <w:rFonts w:asciiTheme="minorHAnsi" w:hAnsiTheme="minorHAnsi" w:cs="Arial"/>
          <w:b/>
          <w:sz w:val="24"/>
          <w:szCs w:val="24"/>
        </w:rPr>
      </w:pPr>
    </w:p>
    <w:p w:rsidR="00B55665" w:rsidRDefault="00C913B2" w:rsidP="00FB22BD">
      <w:pPr>
        <w:pStyle w:val="PlainText"/>
        <w:jc w:val="both"/>
        <w:rPr>
          <w:rFonts w:asciiTheme="minorHAnsi" w:hAnsiTheme="minorHAnsi" w:cs="Arial"/>
          <w:b/>
          <w:sz w:val="24"/>
          <w:szCs w:val="24"/>
        </w:rPr>
      </w:pPr>
      <w:r>
        <w:rPr>
          <w:rFonts w:asciiTheme="minorHAnsi" w:hAnsiTheme="minorHAnsi" w:cs="Arial"/>
          <w:b/>
          <w:sz w:val="24"/>
          <w:szCs w:val="24"/>
        </w:rPr>
        <w:tab/>
      </w:r>
      <w:r w:rsidRPr="00446CEC">
        <w:rPr>
          <w:rFonts w:asciiTheme="minorHAnsi" w:hAnsiTheme="minorHAnsi" w:cs="Arial"/>
          <w:b/>
          <w:sz w:val="24"/>
          <w:szCs w:val="24"/>
          <w:shd w:val="clear" w:color="auto" w:fill="F9D8CD" w:themeFill="accent1" w:themeFillTint="33"/>
        </w:rPr>
        <w:t>13. ODJELJENJE</w:t>
      </w:r>
      <w:r w:rsidR="00446CEC" w:rsidRPr="00446CEC">
        <w:rPr>
          <w:rFonts w:asciiTheme="minorHAnsi" w:hAnsiTheme="minorHAnsi" w:cs="Arial"/>
          <w:b/>
          <w:sz w:val="24"/>
          <w:szCs w:val="24"/>
          <w:shd w:val="clear" w:color="auto" w:fill="F9D8CD" w:themeFill="accent1" w:themeFillTint="33"/>
        </w:rPr>
        <w:t xml:space="preserve"> ZA EVROPSKE INTEGRACIJE</w:t>
      </w:r>
    </w:p>
    <w:p w:rsidR="00446CEC" w:rsidRPr="00446CEC" w:rsidRDefault="00446CEC" w:rsidP="00FB22BD">
      <w:pPr>
        <w:spacing w:after="0" w:line="240" w:lineRule="auto"/>
        <w:ind w:firstLine="709"/>
        <w:rPr>
          <w:rFonts w:ascii="Calibri" w:eastAsia="Calibri" w:hAnsi="Calibri" w:cs="Times New Roman"/>
          <w:szCs w:val="24"/>
          <w:lang w:val="en-GB"/>
        </w:rPr>
      </w:pPr>
      <w:r w:rsidRPr="00446CEC">
        <w:rPr>
          <w:rFonts w:ascii="Calibri" w:eastAsia="Calibri" w:hAnsi="Calibri" w:cs="Times New Roman"/>
          <w:szCs w:val="24"/>
          <w:lang w:val="en-GB"/>
        </w:rPr>
        <w:t>Odjeljenje za evropske integracije – Jedinica za implementaciju IPA projekata u nadležnosti Ministarstva finansija je u izvještajnom periodu efikasno i uspješno realizovalo sve aktivnosti iz svoje nadležnosti, u skladu sa planom rada, uprkos rizicima koji su vezani za nedostatak kadrovskih kapaciteta u Odjeljenju i određenih kašnjenja u sprovođenju projekata prouzrokovanih pandemijom koronavirusa. U skladu sa nadležnostima Odjeljenja, realizovane su aktivnosti vezane za praćenje i koordinaciju realizacije projekata u nadležnosti Ministarstva finansija i organa nad kojima Ministarstvo vrši nadzor, koji se finansiraju iz sredstava Instrumenta za pretpristupnu podršku (IPA) i procesom evropskih integracija u dijelu nadležnosti Ministarstva.</w:t>
      </w:r>
    </w:p>
    <w:p w:rsidR="00446CEC" w:rsidRPr="00446CEC" w:rsidRDefault="00446CEC" w:rsidP="00446CEC">
      <w:pPr>
        <w:spacing w:before="0" w:after="0" w:line="240" w:lineRule="auto"/>
        <w:ind w:firstLine="360"/>
        <w:rPr>
          <w:rFonts w:ascii="Calibri" w:eastAsia="Calibri" w:hAnsi="Calibri" w:cs="Times New Roman"/>
          <w:szCs w:val="24"/>
          <w:lang w:val="en-GB"/>
        </w:rPr>
      </w:pPr>
      <w:r w:rsidRPr="00446CEC">
        <w:rPr>
          <w:rFonts w:ascii="Calibri" w:eastAsia="Calibri" w:hAnsi="Calibri" w:cs="Times New Roman"/>
          <w:szCs w:val="24"/>
          <w:lang w:val="en-GB"/>
        </w:rPr>
        <w:t xml:space="preserve">U 2020. godini Odjeljenje za evropske integracije je pratilo realizaciju 10 projekata u nadležnosti Ministarstva finansija u okviru </w:t>
      </w:r>
      <w:r w:rsidRPr="00446CEC">
        <w:rPr>
          <w:rFonts w:ascii="Calibri" w:eastAsia="Calibri" w:hAnsi="Calibri" w:cs="Times New Roman"/>
          <w:szCs w:val="24"/>
          <w:u w:val="single"/>
          <w:lang w:val="en-GB"/>
        </w:rPr>
        <w:t>Godišnjeg akcionog programa IPA-e za Crnu Goru za 2014. godinu</w:t>
      </w:r>
      <w:r w:rsidRPr="00446CEC">
        <w:rPr>
          <w:rFonts w:ascii="Calibri" w:eastAsia="Calibri" w:hAnsi="Calibri" w:cs="Times New Roman"/>
          <w:szCs w:val="24"/>
          <w:lang w:val="en-GB"/>
        </w:rPr>
        <w:t xml:space="preserve">. Praćenje realizacije projekata podrazumijevalo je redovnu komunikaciju i blisku saradnju sa korisnicima projekata, ugovaračima, IPA strukturom u cilju obezbjeđivanja blagovremenog rješavanja svih potencijalnih problema i prepreka u realizaciji, učešće u radu upravnih odbora projekata, odobravanje izvještaja o realizaciji projekata, angažmanu eksperata i </w:t>
      </w:r>
      <w:r w:rsidRPr="00446CEC">
        <w:rPr>
          <w:rFonts w:ascii="Calibri" w:eastAsia="Calibri" w:hAnsi="Calibri" w:cs="Times New Roman"/>
          <w:i/>
          <w:szCs w:val="24"/>
          <w:lang w:val="en-GB"/>
        </w:rPr>
        <w:t xml:space="preserve">outputa </w:t>
      </w:r>
      <w:r w:rsidRPr="00446CEC">
        <w:rPr>
          <w:rFonts w:ascii="Calibri" w:eastAsia="Calibri" w:hAnsi="Calibri" w:cs="Times New Roman"/>
          <w:szCs w:val="24"/>
          <w:lang w:val="en-GB"/>
        </w:rPr>
        <w:t>projekata, za sljedeće projekte:</w:t>
      </w:r>
    </w:p>
    <w:p w:rsidR="00446CEC" w:rsidRPr="00446CEC" w:rsidRDefault="00D41F89" w:rsidP="00D41F89">
      <w:pPr>
        <w:spacing w:before="0" w:after="0" w:line="240" w:lineRule="auto"/>
        <w:contextualSpacing/>
        <w:jc w:val="left"/>
        <w:rPr>
          <w:rFonts w:ascii="Calibri" w:eastAsia="Times New Roman" w:hAnsi="Calibri" w:cs="Times New Roman"/>
          <w:szCs w:val="24"/>
          <w:lang w:eastAsia="en-GB"/>
        </w:rPr>
      </w:pPr>
      <w:r>
        <w:rPr>
          <w:rFonts w:ascii="Calibri" w:eastAsia="Times New Roman" w:hAnsi="Calibri" w:cs="Times New Roman"/>
          <w:szCs w:val="24"/>
          <w:lang w:eastAsia="en-GB"/>
        </w:rPr>
        <w:t xml:space="preserve">1. </w:t>
      </w:r>
      <w:r w:rsidR="00446CEC" w:rsidRPr="00446CEC">
        <w:rPr>
          <w:rFonts w:ascii="Calibri" w:eastAsia="Times New Roman" w:hAnsi="Calibri" w:cs="Times New Roman"/>
          <w:szCs w:val="24"/>
          <w:lang w:eastAsia="en-GB"/>
        </w:rPr>
        <w:t xml:space="preserve">Projekat </w:t>
      </w:r>
      <w:r w:rsidR="00446CEC" w:rsidRPr="00446CEC">
        <w:rPr>
          <w:rFonts w:ascii="Calibri" w:eastAsia="Times New Roman" w:hAnsi="Calibri" w:cs="Times New Roman"/>
          <w:szCs w:val="24"/>
          <w:u w:val="single"/>
          <w:lang w:eastAsia="en-GB"/>
        </w:rPr>
        <w:t>„Implementacija sistema za centralizovani obračun zarada“</w:t>
      </w:r>
      <w:r w:rsidR="00446CEC" w:rsidRPr="00446CEC">
        <w:rPr>
          <w:rFonts w:ascii="Calibri" w:eastAsia="Times New Roman" w:hAnsi="Calibri" w:cs="Times New Roman"/>
          <w:szCs w:val="24"/>
          <w:lang w:eastAsia="en-GB"/>
        </w:rPr>
        <w:t xml:space="preserve"> - vrijednost: 0,6 mil. eura, korisnik: Direktorat za državni budžet, Ministarstvo finansija</w:t>
      </w:r>
      <w:r w:rsidR="00446CEC" w:rsidRPr="00446CEC">
        <w:rPr>
          <w:rFonts w:ascii="Calibri" w:eastAsia="Times New Roman" w:hAnsi="Calibri" w:cs="Times New Roman"/>
          <w:szCs w:val="24"/>
          <w:lang w:val="en-GB" w:eastAsia="en-GB"/>
        </w:rPr>
        <w:t>;</w:t>
      </w:r>
      <w:r w:rsidR="00446CEC" w:rsidRPr="00446CEC">
        <w:rPr>
          <w:rFonts w:ascii="Calibri" w:eastAsia="Times New Roman" w:hAnsi="Calibri" w:cs="Times New Roman"/>
          <w:szCs w:val="24"/>
          <w:lang w:eastAsia="en-GB"/>
        </w:rPr>
        <w:t xml:space="preserve"> projekat realizuje: </w:t>
      </w:r>
      <w:r w:rsidR="00446CEC" w:rsidRPr="00446CEC">
        <w:rPr>
          <w:rFonts w:ascii="Calibri" w:eastAsia="Times New Roman" w:hAnsi="Calibri" w:cs="Arial"/>
          <w:bCs/>
          <w:color w:val="000000"/>
          <w:szCs w:val="24"/>
          <w:shd w:val="clear" w:color="auto" w:fill="FFFFFF"/>
          <w:lang w:val="en-GB" w:eastAsia="en-GB"/>
        </w:rPr>
        <w:t>AAM Management Information Consulting Ltd.</w:t>
      </w:r>
      <w:r w:rsidR="00446CEC" w:rsidRPr="00446CEC">
        <w:rPr>
          <w:rFonts w:ascii="Calibri" w:eastAsia="Times New Roman" w:hAnsi="Calibri" w:cs="Arial"/>
          <w:b/>
          <w:color w:val="000000"/>
          <w:szCs w:val="24"/>
          <w:shd w:val="clear" w:color="auto" w:fill="FFFFFF"/>
          <w:lang w:val="en-GB" w:eastAsia="en-GB"/>
        </w:rPr>
        <w:t> </w:t>
      </w:r>
      <w:r w:rsidR="00446CEC" w:rsidRPr="00446CEC">
        <w:rPr>
          <w:rFonts w:ascii="Calibri" w:eastAsia="Times New Roman" w:hAnsi="Calibri" w:cs="Arial"/>
          <w:color w:val="000000"/>
          <w:szCs w:val="24"/>
          <w:shd w:val="clear" w:color="auto" w:fill="FFFFFF"/>
          <w:lang w:val="en-GB" w:eastAsia="en-GB"/>
        </w:rPr>
        <w:t>iz Mađarske, u konzorcijumu sa FINA iz Hrvatske, Montora Software d.o.o. iz Crne Gore i Enter Ohrid d.o.o iz Makedonije</w:t>
      </w:r>
    </w:p>
    <w:p w:rsidR="00446CEC" w:rsidRPr="00446CEC" w:rsidRDefault="00D41F89" w:rsidP="00D41F89">
      <w:pPr>
        <w:spacing w:before="0" w:after="0" w:line="240" w:lineRule="auto"/>
        <w:contextualSpacing/>
        <w:rPr>
          <w:rFonts w:ascii="Calibri" w:eastAsia="Times New Roman" w:hAnsi="Calibri" w:cs="Times New Roman"/>
          <w:szCs w:val="24"/>
          <w:lang w:eastAsia="en-GB"/>
        </w:rPr>
      </w:pPr>
      <w:r>
        <w:rPr>
          <w:rFonts w:ascii="Calibri" w:eastAsia="Times New Roman" w:hAnsi="Calibri" w:cs="Times New Roman"/>
          <w:szCs w:val="24"/>
          <w:lang w:eastAsia="en-GB"/>
        </w:rPr>
        <w:t xml:space="preserve">2. </w:t>
      </w:r>
      <w:r w:rsidR="00446CEC" w:rsidRPr="00446CEC">
        <w:rPr>
          <w:rFonts w:ascii="Calibri" w:eastAsia="Times New Roman" w:hAnsi="Calibri" w:cs="Times New Roman"/>
          <w:szCs w:val="24"/>
          <w:lang w:eastAsia="en-GB"/>
        </w:rPr>
        <w:t xml:space="preserve">Pojekat </w:t>
      </w:r>
      <w:r w:rsidR="00446CEC" w:rsidRPr="00446CEC">
        <w:rPr>
          <w:rFonts w:ascii="Calibri" w:eastAsia="Times New Roman" w:hAnsi="Calibri" w:cs="Times New Roman"/>
          <w:szCs w:val="24"/>
          <w:u w:val="single"/>
          <w:lang w:eastAsia="en-GB"/>
        </w:rPr>
        <w:t>„Unaprijeđenje IT sistema Direktorata za budžet“</w:t>
      </w:r>
      <w:r w:rsidR="00446CEC" w:rsidRPr="00446CEC">
        <w:rPr>
          <w:rFonts w:ascii="Calibri" w:eastAsia="Times New Roman" w:hAnsi="Calibri" w:cs="Times New Roman"/>
          <w:szCs w:val="24"/>
          <w:lang w:eastAsia="en-GB"/>
        </w:rPr>
        <w:t xml:space="preserve"> (vrijednost: </w:t>
      </w:r>
      <w:r w:rsidR="00446CEC">
        <w:rPr>
          <w:rFonts w:ascii="Calibri" w:eastAsia="Times New Roman" w:hAnsi="Calibri" w:cs="Times New Roman"/>
          <w:szCs w:val="24"/>
          <w:lang w:eastAsia="en-GB"/>
        </w:rPr>
        <w:t xml:space="preserve">0,3 mil. eura, </w:t>
      </w:r>
      <w:r w:rsidR="00446CEC" w:rsidRPr="00446CEC">
        <w:rPr>
          <w:rFonts w:ascii="Calibri" w:eastAsia="Times New Roman" w:hAnsi="Calibri" w:cs="Times New Roman"/>
          <w:szCs w:val="24"/>
          <w:lang w:eastAsia="en-GB"/>
        </w:rPr>
        <w:t xml:space="preserve">korisnik: Direktorat za državni budžet, Ministarstvo finansija; projekat realizuje: </w:t>
      </w:r>
      <w:r w:rsidR="00446CEC" w:rsidRPr="00446CEC">
        <w:rPr>
          <w:rFonts w:ascii="Calibri" w:eastAsia="Times New Roman" w:hAnsi="Calibri" w:cs="Arial"/>
          <w:bCs/>
          <w:color w:val="000000"/>
          <w:szCs w:val="24"/>
          <w:shd w:val="clear" w:color="auto" w:fill="FFFFFF"/>
          <w:lang w:val="en-GB" w:eastAsia="en-GB"/>
        </w:rPr>
        <w:t>Finit Consulting d.o.o. Bosna i Hercegovina</w:t>
      </w:r>
    </w:p>
    <w:p w:rsidR="00446CEC" w:rsidRPr="00446CEC" w:rsidRDefault="00D41F89" w:rsidP="00D41F89">
      <w:pPr>
        <w:spacing w:before="0" w:after="0" w:line="240" w:lineRule="auto"/>
        <w:contextualSpacing/>
        <w:rPr>
          <w:rFonts w:ascii="Calibri" w:eastAsia="Times New Roman" w:hAnsi="Calibri" w:cs="Arial"/>
          <w:color w:val="000000"/>
          <w:szCs w:val="24"/>
          <w:lang w:val="en-US"/>
        </w:rPr>
      </w:pPr>
      <w:r>
        <w:rPr>
          <w:rFonts w:ascii="Calibri" w:eastAsia="Times New Roman" w:hAnsi="Calibri" w:cs="Times New Roman"/>
          <w:szCs w:val="24"/>
          <w:lang w:eastAsia="en-GB"/>
        </w:rPr>
        <w:t xml:space="preserve">3. </w:t>
      </w:r>
      <w:r w:rsidR="00446CEC" w:rsidRPr="00446CEC">
        <w:rPr>
          <w:rFonts w:ascii="Calibri" w:eastAsia="Times New Roman" w:hAnsi="Calibri" w:cs="Times New Roman"/>
          <w:szCs w:val="24"/>
          <w:lang w:eastAsia="en-GB"/>
        </w:rPr>
        <w:t xml:space="preserve">Projekat </w:t>
      </w:r>
      <w:r w:rsidR="00446CEC" w:rsidRPr="00446CEC">
        <w:rPr>
          <w:rFonts w:ascii="Calibri" w:eastAsia="Times New Roman" w:hAnsi="Calibri" w:cs="Times New Roman"/>
          <w:szCs w:val="24"/>
          <w:u w:val="single"/>
          <w:lang w:eastAsia="en-GB"/>
        </w:rPr>
        <w:t>„Unaprijeđenje budžetskog sistema, višegodišnjeg budžetskog planiranja i sistema javne finansijske interne kontrole“</w:t>
      </w:r>
      <w:r w:rsidR="00446CEC" w:rsidRPr="00446CEC">
        <w:rPr>
          <w:rFonts w:ascii="Calibri" w:eastAsia="Times New Roman" w:hAnsi="Calibri" w:cs="Times New Roman"/>
          <w:szCs w:val="24"/>
          <w:lang w:eastAsia="en-GB"/>
        </w:rPr>
        <w:t xml:space="preserve"> (vrijednost: 1,34 mil. eura, korisnici: Direktorat za državni budžet, Direktorat za centralnu harmonizaciju i Direktorat državnog trezora, Ministarstvo finansija; projekat realizuje: </w:t>
      </w:r>
      <w:r w:rsidR="00446CEC" w:rsidRPr="00446CEC">
        <w:rPr>
          <w:rFonts w:ascii="Calibri" w:eastAsia="Times New Roman" w:hAnsi="Calibri" w:cs="Arial"/>
          <w:color w:val="000000"/>
          <w:szCs w:val="24"/>
          <w:shd w:val="clear" w:color="auto" w:fill="FFFFFF"/>
          <w:lang w:val="en-GB" w:eastAsia="en-GB"/>
        </w:rPr>
        <w:t>kompanija </w:t>
      </w:r>
      <w:r w:rsidR="00446CEC" w:rsidRPr="00446CEC">
        <w:rPr>
          <w:rFonts w:ascii="Calibri" w:eastAsia="Times New Roman" w:hAnsi="Calibri" w:cs="Arial"/>
          <w:bCs/>
          <w:color w:val="000000"/>
          <w:szCs w:val="24"/>
          <w:shd w:val="clear" w:color="auto" w:fill="FFFFFF"/>
          <w:lang w:val="en-GB" w:eastAsia="en-GB"/>
        </w:rPr>
        <w:t>Ecorys Nederland B.V</w:t>
      </w:r>
      <w:r w:rsidR="00446CEC" w:rsidRPr="00446CEC">
        <w:rPr>
          <w:rFonts w:ascii="Calibri" w:eastAsia="Times New Roman" w:hAnsi="Calibri" w:cs="Arial"/>
          <w:color w:val="000000"/>
          <w:szCs w:val="24"/>
          <w:shd w:val="clear" w:color="auto" w:fill="FFFFFF"/>
          <w:lang w:val="en-GB" w:eastAsia="en-GB"/>
        </w:rPr>
        <w:t>. iz Holandije, u konzorcijumu sa SOFRECO iz Francuske i Evropskom Konsalting Grupom d.o.o. iz Srbije</w:t>
      </w:r>
    </w:p>
    <w:p w:rsidR="00446CEC" w:rsidRPr="00446CEC" w:rsidRDefault="00D41F89" w:rsidP="00D41F89">
      <w:pPr>
        <w:spacing w:before="0" w:after="0" w:line="240" w:lineRule="auto"/>
        <w:contextualSpacing/>
        <w:rPr>
          <w:rFonts w:ascii="Calibri" w:eastAsia="Times New Roman" w:hAnsi="Calibri" w:cs="Arial"/>
          <w:color w:val="000000"/>
          <w:szCs w:val="24"/>
          <w:lang w:val="en-US"/>
        </w:rPr>
      </w:pPr>
      <w:r>
        <w:rPr>
          <w:rFonts w:ascii="Calibri" w:eastAsia="Times New Roman" w:hAnsi="Calibri" w:cs="Times New Roman"/>
          <w:szCs w:val="24"/>
          <w:lang w:eastAsia="en-GB"/>
        </w:rPr>
        <w:t xml:space="preserve">4. </w:t>
      </w:r>
      <w:r w:rsidR="00446CEC" w:rsidRPr="00446CEC">
        <w:rPr>
          <w:rFonts w:ascii="Calibri" w:eastAsia="Times New Roman" w:hAnsi="Calibri" w:cs="Times New Roman"/>
          <w:szCs w:val="24"/>
          <w:lang w:eastAsia="en-GB"/>
        </w:rPr>
        <w:t xml:space="preserve">Projekat </w:t>
      </w:r>
      <w:r w:rsidR="00446CEC" w:rsidRPr="00446CEC">
        <w:rPr>
          <w:rFonts w:ascii="Calibri" w:eastAsia="Times New Roman" w:hAnsi="Calibri" w:cs="Times New Roman"/>
          <w:szCs w:val="24"/>
          <w:u w:val="single"/>
          <w:lang w:eastAsia="en-GB"/>
        </w:rPr>
        <w:t>„Implementacija novog kompjuterizovanog tranzitnog sistema (NCTS)“</w:t>
      </w:r>
      <w:r w:rsidR="00446CEC" w:rsidRPr="00446CEC">
        <w:rPr>
          <w:rFonts w:ascii="Calibri" w:eastAsia="Times New Roman" w:hAnsi="Calibri" w:cs="Times New Roman"/>
          <w:szCs w:val="24"/>
          <w:lang w:eastAsia="en-GB"/>
        </w:rPr>
        <w:t xml:space="preserve"> (vrijednost: 2,35 mil. eura, korisnik: Uprava carina; projekat realizuje: </w:t>
      </w:r>
      <w:r w:rsidR="00446CEC" w:rsidRPr="00446CEC">
        <w:rPr>
          <w:rFonts w:ascii="Calibri" w:eastAsia="Times New Roman" w:hAnsi="Calibri" w:cs="Arial"/>
          <w:color w:val="000000"/>
          <w:szCs w:val="24"/>
          <w:shd w:val="clear" w:color="auto" w:fill="FFFFFF"/>
          <w:lang w:val="en-GB" w:eastAsia="en-GB"/>
        </w:rPr>
        <w:t>kompanija </w:t>
      </w:r>
      <w:r w:rsidR="00446CEC" w:rsidRPr="00446CEC">
        <w:rPr>
          <w:rFonts w:ascii="Calibri" w:eastAsia="Times New Roman" w:hAnsi="Calibri" w:cs="Arial"/>
          <w:bCs/>
          <w:color w:val="000000"/>
          <w:szCs w:val="24"/>
          <w:shd w:val="clear" w:color="auto" w:fill="FFFFFF"/>
          <w:lang w:val="en-GB" w:eastAsia="en-GB"/>
        </w:rPr>
        <w:t>Solitea Business Solutions</w:t>
      </w:r>
      <w:r w:rsidR="00446CEC" w:rsidRPr="00446CEC">
        <w:rPr>
          <w:rFonts w:ascii="Calibri" w:eastAsia="Times New Roman" w:hAnsi="Calibri" w:cs="Arial"/>
          <w:b/>
          <w:color w:val="000000"/>
          <w:szCs w:val="24"/>
          <w:shd w:val="clear" w:color="auto" w:fill="FFFFFF"/>
          <w:lang w:val="en-GB" w:eastAsia="en-GB"/>
        </w:rPr>
        <w:t> </w:t>
      </w:r>
      <w:r w:rsidR="00446CEC" w:rsidRPr="00446CEC">
        <w:rPr>
          <w:rFonts w:ascii="Calibri" w:eastAsia="Times New Roman" w:hAnsi="Calibri" w:cs="Arial"/>
          <w:color w:val="000000"/>
          <w:szCs w:val="24"/>
          <w:shd w:val="clear" w:color="auto" w:fill="FFFFFF"/>
          <w:lang w:val="en-GB" w:eastAsia="en-GB"/>
        </w:rPr>
        <w:t>s.r.o. iz Češke, u konzorcijumu sa SafeNet d.o.o. iz Bosne i Hercegovine, CoreIT d.o.o. iz Crne Gore i SafeNet d.o.o. iz Srbije</w:t>
      </w:r>
      <w:r w:rsidR="00446CEC" w:rsidRPr="00446CEC">
        <w:rPr>
          <w:rFonts w:ascii="Calibri" w:eastAsia="Times New Roman" w:hAnsi="Calibri" w:cs="Times New Roman"/>
          <w:szCs w:val="24"/>
          <w:lang w:eastAsia="en-GB"/>
        </w:rPr>
        <w:t xml:space="preserve">; </w:t>
      </w:r>
    </w:p>
    <w:p w:rsidR="00446CEC" w:rsidRPr="00D41F89" w:rsidRDefault="00D41F89" w:rsidP="00D41F89">
      <w:pPr>
        <w:spacing w:before="0" w:after="0" w:line="240" w:lineRule="auto"/>
        <w:contextualSpacing/>
        <w:rPr>
          <w:rFonts w:ascii="Calibri" w:eastAsia="Times New Roman" w:hAnsi="Calibri" w:cs="Arial"/>
          <w:color w:val="000000"/>
          <w:szCs w:val="24"/>
          <w:lang w:val="en-US"/>
        </w:rPr>
      </w:pPr>
      <w:r>
        <w:rPr>
          <w:rFonts w:ascii="Calibri" w:eastAsia="Times New Roman" w:hAnsi="Calibri" w:cs="Times New Roman"/>
          <w:szCs w:val="24"/>
          <w:lang w:eastAsia="en-GB"/>
        </w:rPr>
        <w:t xml:space="preserve">5. </w:t>
      </w:r>
      <w:r w:rsidR="00446CEC" w:rsidRPr="00446CEC">
        <w:rPr>
          <w:rFonts w:ascii="Calibri" w:eastAsia="Times New Roman" w:hAnsi="Calibri" w:cs="Times New Roman"/>
          <w:szCs w:val="24"/>
          <w:lang w:eastAsia="en-GB"/>
        </w:rPr>
        <w:t xml:space="preserve">Projekat </w:t>
      </w:r>
      <w:r w:rsidR="00446CEC" w:rsidRPr="00446CEC">
        <w:rPr>
          <w:rFonts w:ascii="Calibri" w:eastAsia="Times New Roman" w:hAnsi="Calibri" w:cs="Times New Roman"/>
          <w:szCs w:val="24"/>
          <w:u w:val="single"/>
          <w:lang w:eastAsia="en-GB"/>
        </w:rPr>
        <w:t>„Podrška za pristupanje Konvenciji o zajedničkom tranzitnom postupku i Konvenciji o olakšavanju trgovine robom“</w:t>
      </w:r>
      <w:r>
        <w:rPr>
          <w:rFonts w:ascii="Calibri" w:eastAsia="Times New Roman" w:hAnsi="Calibri" w:cs="Arial"/>
          <w:color w:val="000000"/>
          <w:szCs w:val="24"/>
          <w:lang w:val="en-US"/>
        </w:rPr>
        <w:t xml:space="preserve"> </w:t>
      </w:r>
      <w:r w:rsidR="00446CEC" w:rsidRPr="00446CEC">
        <w:rPr>
          <w:rFonts w:ascii="Calibri" w:eastAsia="Times New Roman" w:hAnsi="Calibri" w:cs="Times New Roman"/>
          <w:szCs w:val="24"/>
          <w:lang w:eastAsia="en-GB"/>
        </w:rPr>
        <w:t xml:space="preserve">(vrijednost: 0,6 mil. eura, korisnik: Uprava carina; projekat realizuje: </w:t>
      </w:r>
      <w:r w:rsidR="00446CEC" w:rsidRPr="00446CEC">
        <w:rPr>
          <w:rFonts w:ascii="Calibri" w:eastAsia="Times New Roman" w:hAnsi="Calibri" w:cs="Arial"/>
          <w:color w:val="000000"/>
          <w:szCs w:val="24"/>
          <w:shd w:val="clear" w:color="auto" w:fill="FFFFFF"/>
          <w:lang w:val="en-GB" w:eastAsia="en-GB"/>
        </w:rPr>
        <w:t>kompanija </w:t>
      </w:r>
      <w:r w:rsidR="00446CEC" w:rsidRPr="00446CEC">
        <w:rPr>
          <w:rFonts w:ascii="Calibri" w:eastAsia="Times New Roman" w:hAnsi="Calibri" w:cs="Arial"/>
          <w:bCs/>
          <w:color w:val="000000"/>
          <w:szCs w:val="24"/>
          <w:shd w:val="clear" w:color="auto" w:fill="FFFFFF"/>
          <w:lang w:val="en-GB" w:eastAsia="en-GB"/>
        </w:rPr>
        <w:t>AAM Management Information Consulting Ltd</w:t>
      </w:r>
      <w:r w:rsidR="00446CEC" w:rsidRPr="00446CEC">
        <w:rPr>
          <w:rFonts w:ascii="Calibri" w:eastAsia="Times New Roman" w:hAnsi="Calibri" w:cs="Arial"/>
          <w:color w:val="000000"/>
          <w:szCs w:val="24"/>
          <w:shd w:val="clear" w:color="auto" w:fill="FFFFFF"/>
          <w:lang w:val="en-GB" w:eastAsia="en-GB"/>
        </w:rPr>
        <w:t> iz Mađarske, u konzorcijumu sa Solitea Business Solutions s.r.o. iz Češke Republike, SafeNET DOO iz Bosne i Hercegovine i CoreIT DOO Podgorica</w:t>
      </w:r>
    </w:p>
    <w:p w:rsidR="00446CEC" w:rsidRPr="00446CEC" w:rsidRDefault="00D41F89" w:rsidP="00D41F89">
      <w:pPr>
        <w:spacing w:before="0" w:after="0" w:line="240" w:lineRule="auto"/>
        <w:contextualSpacing/>
        <w:rPr>
          <w:rFonts w:ascii="Calibri" w:eastAsia="Times New Roman" w:hAnsi="Calibri" w:cs="Times New Roman"/>
          <w:szCs w:val="24"/>
          <w:lang w:eastAsia="en-GB"/>
        </w:rPr>
      </w:pPr>
      <w:r>
        <w:rPr>
          <w:rFonts w:ascii="Calibri" w:eastAsia="Times New Roman" w:hAnsi="Calibri" w:cs="Times New Roman"/>
          <w:szCs w:val="24"/>
          <w:lang w:eastAsia="en-GB"/>
        </w:rPr>
        <w:t xml:space="preserve">6. </w:t>
      </w:r>
      <w:r w:rsidR="00446CEC" w:rsidRPr="00446CEC">
        <w:rPr>
          <w:rFonts w:ascii="Calibri" w:eastAsia="Times New Roman" w:hAnsi="Calibri" w:cs="Times New Roman"/>
          <w:szCs w:val="24"/>
          <w:lang w:eastAsia="en-GB"/>
        </w:rPr>
        <w:t xml:space="preserve">Projekat </w:t>
      </w:r>
      <w:r w:rsidR="00446CEC" w:rsidRPr="00446CEC">
        <w:rPr>
          <w:rFonts w:ascii="Calibri" w:eastAsia="Times New Roman" w:hAnsi="Calibri" w:cs="Times New Roman"/>
          <w:szCs w:val="24"/>
          <w:u w:val="single"/>
          <w:lang w:eastAsia="en-GB"/>
        </w:rPr>
        <w:t>„Implementacija elektronskog sistema javnih nabavki“</w:t>
      </w:r>
      <w:r w:rsidR="00446CEC" w:rsidRPr="00446CEC">
        <w:rPr>
          <w:rFonts w:ascii="Calibri" w:eastAsia="Times New Roman" w:hAnsi="Calibri" w:cs="Times New Roman"/>
          <w:szCs w:val="24"/>
          <w:lang w:eastAsia="en-GB"/>
        </w:rPr>
        <w:t xml:space="preserve"> (vrijednost: 1,4 mil. eura, korisnik: Uprava za javne nabavke; projekat realizuje: </w:t>
      </w:r>
      <w:r w:rsidR="00446CEC" w:rsidRPr="00446CEC">
        <w:rPr>
          <w:rFonts w:ascii="Calibri" w:eastAsia="Times New Roman" w:hAnsi="Calibri" w:cs="Arial"/>
          <w:color w:val="000000"/>
          <w:szCs w:val="24"/>
          <w:shd w:val="clear" w:color="auto" w:fill="FFFFFF"/>
          <w:lang w:val="en-GB" w:eastAsia="en-GB"/>
        </w:rPr>
        <w:t>kompanija </w:t>
      </w:r>
      <w:r w:rsidR="00446CEC" w:rsidRPr="00446CEC">
        <w:rPr>
          <w:rFonts w:ascii="Calibri" w:eastAsia="Times New Roman" w:hAnsi="Calibri" w:cs="Arial"/>
          <w:bCs/>
          <w:color w:val="000000"/>
          <w:szCs w:val="24"/>
          <w:shd w:val="clear" w:color="auto" w:fill="FFFFFF"/>
          <w:lang w:val="en-GB" w:eastAsia="en-GB"/>
        </w:rPr>
        <w:t>Belit d.o.o.</w:t>
      </w:r>
      <w:r w:rsidR="00446CEC" w:rsidRPr="00446CEC">
        <w:rPr>
          <w:rFonts w:ascii="Calibri" w:eastAsia="Times New Roman" w:hAnsi="Calibri" w:cs="Arial"/>
          <w:color w:val="000000"/>
          <w:szCs w:val="24"/>
          <w:shd w:val="clear" w:color="auto" w:fill="FFFFFF"/>
          <w:lang w:val="en-GB" w:eastAsia="en-GB"/>
        </w:rPr>
        <w:t> iz Srbije, u konzorcijumu sa INTRASOFT International S.A. iz Belgije, B&amp;S Europe S.A. iz Belgije i Asseco SEE d.o.o. iz Srbije</w:t>
      </w:r>
    </w:p>
    <w:p w:rsidR="00446CEC" w:rsidRPr="00446CEC" w:rsidRDefault="00D41F89" w:rsidP="00D41F89">
      <w:pPr>
        <w:spacing w:before="0" w:after="0" w:line="240" w:lineRule="auto"/>
        <w:contextualSpacing/>
        <w:rPr>
          <w:rFonts w:ascii="Calibri" w:eastAsia="Times New Roman" w:hAnsi="Calibri" w:cs="Times New Roman"/>
          <w:b/>
          <w:szCs w:val="24"/>
          <w:lang w:val="en-GB" w:eastAsia="en-GB"/>
        </w:rPr>
      </w:pPr>
      <w:r>
        <w:rPr>
          <w:rFonts w:ascii="Calibri" w:eastAsia="Times New Roman" w:hAnsi="Calibri" w:cs="Times New Roman"/>
          <w:szCs w:val="24"/>
          <w:lang w:eastAsia="en-GB"/>
        </w:rPr>
        <w:t xml:space="preserve">7. </w:t>
      </w:r>
      <w:r w:rsidR="00446CEC" w:rsidRPr="00446CEC">
        <w:rPr>
          <w:rFonts w:ascii="Calibri" w:eastAsia="Times New Roman" w:hAnsi="Calibri" w:cs="Times New Roman"/>
          <w:szCs w:val="24"/>
          <w:lang w:eastAsia="en-GB"/>
        </w:rPr>
        <w:t xml:space="preserve">Projekat </w:t>
      </w:r>
      <w:r w:rsidR="00446CEC" w:rsidRPr="00446CEC">
        <w:rPr>
          <w:rFonts w:ascii="Calibri" w:eastAsia="Times New Roman" w:hAnsi="Calibri" w:cs="Times New Roman"/>
          <w:szCs w:val="24"/>
          <w:u w:val="single"/>
          <w:lang w:eastAsia="en-GB"/>
        </w:rPr>
        <w:t>„Pod</w:t>
      </w:r>
      <w:r w:rsidR="00446CEC" w:rsidRPr="00446CEC">
        <w:rPr>
          <w:rFonts w:ascii="Calibri" w:eastAsia="Times New Roman" w:hAnsi="Calibri" w:cs="Times New Roman"/>
          <w:szCs w:val="24"/>
          <w:u w:val="single"/>
          <w:lang w:val="en-GB" w:eastAsia="en-GB"/>
        </w:rPr>
        <w:t>rška regulisanju finansijskih usluga“</w:t>
      </w:r>
      <w:r w:rsidR="00446CEC">
        <w:rPr>
          <w:rFonts w:ascii="Calibri" w:eastAsia="Times New Roman" w:hAnsi="Calibri" w:cs="Times New Roman"/>
          <w:b/>
          <w:szCs w:val="24"/>
          <w:lang w:val="en-GB" w:eastAsia="en-GB"/>
        </w:rPr>
        <w:t xml:space="preserve"> </w:t>
      </w:r>
      <w:r w:rsidR="00446CEC" w:rsidRPr="00446CEC">
        <w:rPr>
          <w:rFonts w:ascii="Calibri" w:eastAsia="Times New Roman" w:hAnsi="Calibri" w:cs="Times New Roman"/>
          <w:szCs w:val="24"/>
          <w:lang w:val="en-GB" w:eastAsia="en-GB"/>
        </w:rPr>
        <w:t xml:space="preserve">(vrijednost: 0,48 mil. eura, korisnici: Agencija za nadzor osiguranja, Komisija za tržište kapitala; </w:t>
      </w:r>
      <w:r w:rsidR="00446CEC">
        <w:rPr>
          <w:rFonts w:ascii="Calibri" w:eastAsia="Times New Roman" w:hAnsi="Calibri" w:cs="Times New Roman"/>
          <w:szCs w:val="24"/>
          <w:lang w:eastAsia="en-GB"/>
        </w:rPr>
        <w:t xml:space="preserve">projekat realizuje: </w:t>
      </w:r>
      <w:r w:rsidR="00446CEC" w:rsidRPr="00446CEC">
        <w:rPr>
          <w:rFonts w:ascii="Calibri" w:eastAsia="Times New Roman" w:hAnsi="Calibri" w:cs="Arial"/>
          <w:color w:val="000000"/>
          <w:szCs w:val="24"/>
          <w:shd w:val="clear" w:color="auto" w:fill="FFFFFF"/>
          <w:lang w:val="en-GB" w:eastAsia="en-GB"/>
        </w:rPr>
        <w:t>kompanija </w:t>
      </w:r>
      <w:r w:rsidR="00446CEC" w:rsidRPr="00446CEC">
        <w:rPr>
          <w:rFonts w:ascii="Calibri" w:eastAsia="Times New Roman" w:hAnsi="Calibri" w:cs="Arial"/>
          <w:bCs/>
          <w:color w:val="000000"/>
          <w:szCs w:val="24"/>
          <w:shd w:val="clear" w:color="auto" w:fill="FFFFFF"/>
          <w:lang w:val="en-GB" w:eastAsia="en-GB"/>
        </w:rPr>
        <w:t>Compliant Risk Technology</w:t>
      </w:r>
      <w:r w:rsidR="00446CEC" w:rsidRPr="00446CEC">
        <w:rPr>
          <w:rFonts w:ascii="Calibri" w:eastAsia="Times New Roman" w:hAnsi="Calibri" w:cs="Arial"/>
          <w:color w:val="000000"/>
          <w:szCs w:val="24"/>
          <w:shd w:val="clear" w:color="auto" w:fill="FFFFFF"/>
          <w:lang w:val="en-GB" w:eastAsia="en-GB"/>
        </w:rPr>
        <w:t> iz Hrvatske, u konzorcijumu sa Inter Solutio d.o.o i Strukturiranja d.o.o. iz Hrvatske</w:t>
      </w:r>
      <w:r w:rsidR="00446CEC" w:rsidRPr="00446CEC">
        <w:rPr>
          <w:rFonts w:ascii="Calibri" w:eastAsia="Times New Roman" w:hAnsi="Calibri" w:cs="Times New Roman"/>
          <w:szCs w:val="24"/>
          <w:lang w:eastAsia="en-GB"/>
        </w:rPr>
        <w:t xml:space="preserve">) </w:t>
      </w:r>
    </w:p>
    <w:p w:rsidR="00446CEC" w:rsidRPr="00D41F89" w:rsidRDefault="00D41F89" w:rsidP="00D41F89">
      <w:pPr>
        <w:spacing w:before="0" w:after="0" w:line="240" w:lineRule="auto"/>
        <w:contextualSpacing/>
        <w:rPr>
          <w:rFonts w:ascii="Calibri" w:eastAsia="Times New Roman" w:hAnsi="Calibri" w:cs="Arial"/>
          <w:color w:val="000000"/>
          <w:szCs w:val="24"/>
          <w:shd w:val="clear" w:color="auto" w:fill="FFFFFF"/>
          <w:lang w:val="en-GB" w:eastAsia="en-GB"/>
        </w:rPr>
      </w:pPr>
      <w:r>
        <w:rPr>
          <w:rFonts w:ascii="Calibri" w:eastAsia="Times New Roman" w:hAnsi="Calibri" w:cs="Times New Roman"/>
          <w:szCs w:val="24"/>
          <w:lang w:eastAsia="en-GB"/>
        </w:rPr>
        <w:lastRenderedPageBreak/>
        <w:t xml:space="preserve">8. </w:t>
      </w:r>
      <w:r w:rsidR="00446CEC" w:rsidRPr="00446CEC">
        <w:rPr>
          <w:rFonts w:ascii="Calibri" w:eastAsia="Times New Roman" w:hAnsi="Calibri" w:cs="Times New Roman"/>
          <w:szCs w:val="24"/>
          <w:lang w:eastAsia="en-GB"/>
        </w:rPr>
        <w:t xml:space="preserve">Projekat </w:t>
      </w:r>
      <w:r w:rsidR="00446CEC" w:rsidRPr="00446CEC">
        <w:rPr>
          <w:rFonts w:ascii="Calibri" w:eastAsia="Times New Roman" w:hAnsi="Calibri" w:cs="Times New Roman"/>
          <w:szCs w:val="24"/>
          <w:u w:val="single"/>
          <w:lang w:eastAsia="en-GB"/>
        </w:rPr>
        <w:t>„</w:t>
      </w:r>
      <w:r w:rsidR="00446CEC" w:rsidRPr="00446CEC">
        <w:rPr>
          <w:rFonts w:ascii="Calibri" w:eastAsia="Times New Roman" w:hAnsi="Calibri" w:cs="Arial"/>
          <w:color w:val="000000"/>
          <w:szCs w:val="24"/>
          <w:u w:val="single"/>
          <w:shd w:val="clear" w:color="auto" w:fill="FFFFFF"/>
          <w:lang w:val="en-GB" w:eastAsia="en-GB"/>
        </w:rPr>
        <w:t>Razvoj i jačanje kapaciteta Državne revizorske institucije i Revizorskog tijela”</w:t>
      </w:r>
      <w:r>
        <w:rPr>
          <w:rFonts w:ascii="Calibri" w:eastAsia="Times New Roman" w:hAnsi="Calibri" w:cs="Arial"/>
          <w:color w:val="000000"/>
          <w:szCs w:val="24"/>
          <w:shd w:val="clear" w:color="auto" w:fill="FFFFFF"/>
          <w:lang w:val="en-GB" w:eastAsia="en-GB"/>
        </w:rPr>
        <w:t xml:space="preserve"> </w:t>
      </w:r>
      <w:r w:rsidR="00446CEC" w:rsidRPr="00446CEC">
        <w:rPr>
          <w:rFonts w:ascii="Calibri" w:eastAsia="Times New Roman" w:hAnsi="Calibri" w:cs="Times New Roman"/>
          <w:szCs w:val="24"/>
          <w:lang w:val="en-GB" w:eastAsia="en-GB"/>
        </w:rPr>
        <w:t xml:space="preserve">(vrijednost: 0,65 mil. eura, korisnici: Državna revizorska institucija i Revizorsko tijelo; </w:t>
      </w:r>
      <w:r w:rsidR="00446CEC" w:rsidRPr="00446CEC">
        <w:rPr>
          <w:rFonts w:ascii="Calibri" w:eastAsia="Times New Roman" w:hAnsi="Calibri" w:cs="Times New Roman"/>
          <w:szCs w:val="24"/>
          <w:lang w:eastAsia="en-GB"/>
        </w:rPr>
        <w:t xml:space="preserve">projekat realizuje: </w:t>
      </w:r>
      <w:r w:rsidR="00446CEC" w:rsidRPr="00446CEC">
        <w:rPr>
          <w:rFonts w:ascii="Calibri" w:eastAsia="Times New Roman" w:hAnsi="Calibri" w:cs="Arial"/>
          <w:color w:val="000000"/>
          <w:szCs w:val="24"/>
          <w:shd w:val="clear" w:color="auto" w:fill="FFFFFF"/>
          <w:lang w:val="en-GB" w:eastAsia="en-GB"/>
        </w:rPr>
        <w:t>kompanija </w:t>
      </w:r>
      <w:r w:rsidR="00446CEC" w:rsidRPr="00446CEC">
        <w:rPr>
          <w:rFonts w:ascii="Calibri" w:eastAsia="Times New Roman" w:hAnsi="Calibri" w:cs="Arial"/>
          <w:bCs/>
          <w:color w:val="000000"/>
          <w:szCs w:val="24"/>
          <w:shd w:val="clear" w:color="auto" w:fill="FFFFFF"/>
          <w:lang w:val="en-GB" w:eastAsia="en-GB"/>
        </w:rPr>
        <w:t>GFA Consulting Group GmbH</w:t>
      </w:r>
      <w:r w:rsidR="00446CEC" w:rsidRPr="00446CEC">
        <w:rPr>
          <w:rFonts w:ascii="Calibri" w:eastAsia="Times New Roman" w:hAnsi="Calibri" w:cs="Arial"/>
          <w:color w:val="000000"/>
          <w:szCs w:val="24"/>
          <w:shd w:val="clear" w:color="auto" w:fill="FFFFFF"/>
          <w:lang w:val="en-GB" w:eastAsia="en-GB"/>
        </w:rPr>
        <w:t> iz Njemačke, u konzorcijumu sa TIM4PIN Consultancy Ltd, Državnom kancelarijom za reviziju Poljske i Državnom kancelarijom za reviziju Republike Hrvatske</w:t>
      </w:r>
      <w:r w:rsidR="00446CEC" w:rsidRPr="00446CEC">
        <w:rPr>
          <w:rFonts w:ascii="Calibri" w:eastAsia="Times New Roman" w:hAnsi="Calibri" w:cs="Times New Roman"/>
          <w:szCs w:val="24"/>
          <w:lang w:eastAsia="en-GB"/>
        </w:rPr>
        <w:t xml:space="preserve">) </w:t>
      </w:r>
    </w:p>
    <w:p w:rsidR="00446CEC" w:rsidRPr="00446CEC" w:rsidRDefault="00D41F89" w:rsidP="00D41F89">
      <w:pPr>
        <w:spacing w:before="0" w:after="0" w:line="240" w:lineRule="auto"/>
        <w:contextualSpacing/>
        <w:rPr>
          <w:rFonts w:ascii="Calibri" w:eastAsia="Times New Roman" w:hAnsi="Calibri" w:cs="Arial"/>
          <w:color w:val="000000"/>
          <w:szCs w:val="24"/>
          <w:shd w:val="clear" w:color="auto" w:fill="FFFFFF"/>
          <w:lang w:val="en-GB" w:eastAsia="en-GB"/>
        </w:rPr>
      </w:pPr>
      <w:r>
        <w:rPr>
          <w:rFonts w:ascii="Calibri" w:eastAsia="Times New Roman" w:hAnsi="Calibri" w:cs="Times New Roman"/>
          <w:szCs w:val="24"/>
          <w:lang w:val="en-GB" w:eastAsia="en-GB"/>
        </w:rPr>
        <w:t xml:space="preserve">9. </w:t>
      </w:r>
      <w:r w:rsidR="00446CEC" w:rsidRPr="00446CEC">
        <w:rPr>
          <w:rFonts w:ascii="Calibri" w:eastAsia="Times New Roman" w:hAnsi="Calibri" w:cs="Times New Roman"/>
          <w:szCs w:val="24"/>
          <w:lang w:val="en-GB" w:eastAsia="en-GB"/>
        </w:rPr>
        <w:t>Projekat “</w:t>
      </w:r>
      <w:r w:rsidR="00446CEC" w:rsidRPr="00446CEC">
        <w:rPr>
          <w:rFonts w:ascii="Calibri" w:eastAsia="Times New Roman" w:hAnsi="Calibri" w:cs="Times New Roman"/>
          <w:szCs w:val="24"/>
          <w:u w:val="single"/>
          <w:lang w:val="en-GB" w:eastAsia="en-GB"/>
        </w:rPr>
        <w:t>Unaprjeđenje i jačanje institucionalnog sistema i pravnog okvira u oblasti javnih nabavki i državne pomoći”</w:t>
      </w:r>
      <w:r w:rsidR="00446CEC">
        <w:rPr>
          <w:rFonts w:ascii="Calibri" w:eastAsia="Times New Roman" w:hAnsi="Calibri" w:cs="Arial"/>
          <w:color w:val="000000"/>
          <w:szCs w:val="24"/>
          <w:shd w:val="clear" w:color="auto" w:fill="FFFFFF"/>
          <w:lang w:val="en-GB" w:eastAsia="en-GB"/>
        </w:rPr>
        <w:t xml:space="preserve"> </w:t>
      </w:r>
      <w:r w:rsidR="00446CEC" w:rsidRPr="00446CEC">
        <w:rPr>
          <w:rFonts w:ascii="Calibri" w:eastAsia="Times New Roman" w:hAnsi="Calibri" w:cs="Times New Roman"/>
          <w:szCs w:val="24"/>
          <w:lang w:val="en-GB" w:eastAsia="en-GB"/>
        </w:rPr>
        <w:t xml:space="preserve">(vrijednost: 0,87 mil. eura, korisnici: Agencija za zaštitu konkurencije i Uprava za javne nabavke; </w:t>
      </w:r>
      <w:r w:rsidR="00446CEC" w:rsidRPr="00446CEC">
        <w:rPr>
          <w:rFonts w:ascii="Calibri" w:eastAsia="Times New Roman" w:hAnsi="Calibri" w:cs="Times New Roman"/>
          <w:szCs w:val="24"/>
          <w:lang w:eastAsia="en-GB"/>
        </w:rPr>
        <w:t xml:space="preserve">projekat realizuje: </w:t>
      </w:r>
      <w:r w:rsidR="00446CEC" w:rsidRPr="00446CEC">
        <w:rPr>
          <w:rFonts w:ascii="Calibri" w:eastAsia="Times New Roman" w:hAnsi="Calibri" w:cs="Arial"/>
          <w:color w:val="000000"/>
          <w:szCs w:val="24"/>
          <w:shd w:val="clear" w:color="auto" w:fill="FFFFFF"/>
          <w:lang w:val="en-GB" w:eastAsia="en-GB"/>
        </w:rPr>
        <w:t>kompanija </w:t>
      </w:r>
      <w:r w:rsidR="00446CEC" w:rsidRPr="00446CEC">
        <w:rPr>
          <w:rFonts w:ascii="Calibri" w:eastAsia="Times New Roman" w:hAnsi="Calibri" w:cs="Arial"/>
          <w:bCs/>
          <w:color w:val="000000"/>
          <w:szCs w:val="24"/>
          <w:shd w:val="clear" w:color="auto" w:fill="FFFFFF"/>
          <w:lang w:val="en-GB" w:eastAsia="en-GB"/>
        </w:rPr>
        <w:t>Eurosupport – Finegroup Support SrlizItalije, u konzorcijumu sa Crown Agents iz Engleske i Athens Network of Collaborating Experts iz Grčke</w:t>
      </w:r>
    </w:p>
    <w:p w:rsidR="00446CEC" w:rsidRPr="00446CEC" w:rsidRDefault="00D41F89" w:rsidP="00D41F89">
      <w:pPr>
        <w:spacing w:before="0" w:after="0" w:line="240" w:lineRule="auto"/>
        <w:contextualSpacing/>
        <w:rPr>
          <w:rFonts w:ascii="Calibri" w:eastAsia="Times New Roman" w:hAnsi="Calibri" w:cs="Arial"/>
          <w:bCs/>
          <w:color w:val="000000"/>
          <w:szCs w:val="24"/>
          <w:shd w:val="clear" w:color="auto" w:fill="FFFFFF"/>
          <w:lang w:val="en-GB" w:eastAsia="en-GB"/>
        </w:rPr>
      </w:pPr>
      <w:r>
        <w:rPr>
          <w:rFonts w:ascii="Calibri" w:eastAsia="Times New Roman" w:hAnsi="Calibri" w:cs="Times New Roman"/>
          <w:szCs w:val="24"/>
          <w:u w:val="single"/>
          <w:lang w:eastAsia="en-GB"/>
        </w:rPr>
        <w:t xml:space="preserve">10. </w:t>
      </w:r>
      <w:r w:rsidR="00446CEC" w:rsidRPr="00446CEC">
        <w:rPr>
          <w:rFonts w:ascii="Calibri" w:eastAsia="Times New Roman" w:hAnsi="Calibri" w:cs="Times New Roman"/>
          <w:szCs w:val="24"/>
          <w:u w:val="single"/>
          <w:lang w:eastAsia="en-GB"/>
        </w:rPr>
        <w:t>Twinning projekat „Pod</w:t>
      </w:r>
      <w:r w:rsidR="00446CEC" w:rsidRPr="00446CEC">
        <w:rPr>
          <w:rFonts w:ascii="Calibri" w:eastAsia="Times New Roman" w:hAnsi="Calibri" w:cs="Times New Roman"/>
          <w:szCs w:val="24"/>
          <w:u w:val="single"/>
          <w:lang w:val="en-GB" w:eastAsia="en-GB"/>
        </w:rPr>
        <w:t>rška regulisanju finansijskih usluga“</w:t>
      </w:r>
      <w:r w:rsidR="00446CEC" w:rsidRPr="00446CEC">
        <w:rPr>
          <w:rFonts w:ascii="Calibri" w:eastAsia="Times New Roman" w:hAnsi="Calibri" w:cs="Times New Roman"/>
          <w:szCs w:val="24"/>
          <w:lang w:val="en-GB" w:eastAsia="en-GB"/>
        </w:rPr>
        <w:t xml:space="preserve"> (vrijednost: 1,41 mil. eura, korisnici: Centralna banka Crne Gore, Agencija za nadzor osiguranja, Komisija za tržište kapitala; projekat realizuju: </w:t>
      </w:r>
      <w:r w:rsidR="00446CEC" w:rsidRPr="00446CEC">
        <w:rPr>
          <w:rFonts w:ascii="Calibri" w:eastAsia="Times New Roman" w:hAnsi="Calibri" w:cs="Arial"/>
          <w:color w:val="000000"/>
          <w:szCs w:val="24"/>
          <w:shd w:val="clear" w:color="auto" w:fill="FFFFFF"/>
          <w:lang w:val="en-GB" w:eastAsia="en-GB"/>
        </w:rPr>
        <w:t>Federalno Ministarstvo finansija Savezne Republike Njemačke, Hrvatska narodna banka i Centralna banka Holandije)</w:t>
      </w:r>
      <w:r w:rsidR="00446CEC" w:rsidRPr="00446CEC">
        <w:rPr>
          <w:rFonts w:ascii="Calibri" w:eastAsia="Times New Roman" w:hAnsi="Calibri" w:cs="Times New Roman"/>
          <w:szCs w:val="24"/>
          <w:lang w:val="en-GB" w:eastAsia="en-GB"/>
        </w:rPr>
        <w:t>.</w:t>
      </w:r>
    </w:p>
    <w:p w:rsidR="00446CEC" w:rsidRPr="00446CEC" w:rsidRDefault="00446CEC" w:rsidP="00446CEC">
      <w:pPr>
        <w:spacing w:before="0" w:after="0" w:line="240" w:lineRule="auto"/>
        <w:ind w:firstLine="360"/>
        <w:contextualSpacing/>
        <w:rPr>
          <w:rFonts w:ascii="Calibri" w:eastAsia="Times New Roman" w:hAnsi="Calibri" w:cs="Arial"/>
          <w:color w:val="000000"/>
          <w:szCs w:val="24"/>
          <w:shd w:val="clear" w:color="auto" w:fill="FFFFFF"/>
          <w:lang w:val="en-GB" w:eastAsia="en-GB"/>
        </w:rPr>
      </w:pPr>
      <w:r w:rsidRPr="00446CEC">
        <w:rPr>
          <w:rFonts w:ascii="Calibri" w:eastAsia="Times New Roman" w:hAnsi="Calibri" w:cs="Times New Roman"/>
          <w:szCs w:val="24"/>
          <w:lang w:eastAsia="en-GB"/>
        </w:rPr>
        <w:t>Od pomenutih 10 projekata, tokom 2020. godine završena je realizacija četiri projekta. Oba projekta koji se odnose na podršku regulisanju finansijskih usluga, u okviru kojih je pripremljen set zakonskih i podzakonskih akata i sprovedene obuke za institucije korisnice projekta i uspostavljena softverska rješenja u Agenciji za nadzor osiguranja i Komisiji za tržište kapitala, uspješno su realizovani. Projekat „</w:t>
      </w:r>
      <w:r w:rsidRPr="00446CEC">
        <w:rPr>
          <w:rFonts w:ascii="Calibri" w:eastAsia="Times New Roman" w:hAnsi="Calibri" w:cs="Arial"/>
          <w:color w:val="000000"/>
          <w:szCs w:val="24"/>
          <w:shd w:val="clear" w:color="auto" w:fill="FFFFFF"/>
          <w:lang w:val="en-GB" w:eastAsia="en-GB"/>
        </w:rPr>
        <w:t xml:space="preserve">Razvoj i jačanje kapaciteta Državne revizorske institucije i Revizorskog tijela” završen je u septembru 2020. Realizovane su sve planirane aktivnosti i ostvareni definisani rezultati. </w:t>
      </w:r>
    </w:p>
    <w:p w:rsidR="00446CEC" w:rsidRPr="00446CEC" w:rsidRDefault="00446CEC" w:rsidP="00446CEC">
      <w:pPr>
        <w:spacing w:before="0" w:after="0" w:line="240" w:lineRule="auto"/>
        <w:contextualSpacing/>
        <w:rPr>
          <w:rFonts w:ascii="Calibri" w:eastAsia="Times New Roman" w:hAnsi="Calibri" w:cs="Times New Roman"/>
          <w:szCs w:val="24"/>
          <w:lang w:val="en-GB" w:eastAsia="en-GB"/>
        </w:rPr>
      </w:pPr>
      <w:r w:rsidRPr="00446CEC">
        <w:rPr>
          <w:rFonts w:ascii="Calibri" w:eastAsia="Times New Roman" w:hAnsi="Calibri" w:cs="Arial"/>
          <w:color w:val="000000"/>
          <w:szCs w:val="24"/>
          <w:shd w:val="clear" w:color="auto" w:fill="FFFFFF"/>
          <w:lang w:val="en-GB" w:eastAsia="en-GB"/>
        </w:rPr>
        <w:t>Pripremljeni su zahtjevi za produžetak realizacije ugovora/proširenje aktivnosti u projektima “</w:t>
      </w:r>
      <w:r w:rsidRPr="00446CEC">
        <w:rPr>
          <w:rFonts w:ascii="Calibri" w:eastAsia="Times New Roman" w:hAnsi="Calibri" w:cs="Times New Roman"/>
          <w:szCs w:val="24"/>
          <w:lang w:val="en-GB" w:eastAsia="en-GB"/>
        </w:rPr>
        <w:t xml:space="preserve">Unaprjeđenje i jačanje institucionalnog sistema i pravnog okvira u oblasti javnih nabavki i državne pomoći”, “Implementacija elektronskog sistema javnih nabavki” i </w:t>
      </w:r>
      <w:r w:rsidRPr="00446CEC">
        <w:rPr>
          <w:rFonts w:ascii="Calibri" w:eastAsia="Times New Roman" w:hAnsi="Calibri" w:cs="Times New Roman"/>
          <w:szCs w:val="24"/>
          <w:lang w:eastAsia="en-GB"/>
        </w:rPr>
        <w:t>„Unaprijeđenje budžetskog sistema, višegodišnjeg budžetskog planiranja i sistema javne finansijske interne kontrole“. Očekuje se da će navedeni zahtjevi biti odobreni u prvoj polovini 2021. godine.</w:t>
      </w:r>
    </w:p>
    <w:p w:rsidR="00446CEC" w:rsidRPr="00446CEC" w:rsidRDefault="00446CEC" w:rsidP="00446CEC">
      <w:pPr>
        <w:spacing w:before="0" w:after="0" w:line="240" w:lineRule="auto"/>
        <w:ind w:firstLine="709"/>
        <w:contextualSpacing/>
        <w:rPr>
          <w:rFonts w:ascii="Calibri" w:eastAsia="Times New Roman" w:hAnsi="Calibri" w:cs="Times New Roman"/>
          <w:szCs w:val="24"/>
          <w:lang w:eastAsia="en-GB"/>
        </w:rPr>
      </w:pPr>
      <w:r w:rsidRPr="00446CEC">
        <w:rPr>
          <w:rFonts w:ascii="Calibri" w:eastAsia="Times New Roman" w:hAnsi="Calibri" w:cs="Times New Roman"/>
          <w:szCs w:val="24"/>
          <w:lang w:eastAsia="en-GB"/>
        </w:rPr>
        <w:t xml:space="preserve">Svi projekti iz IPA 2014 godine se u velikoj mjeri realizuju u skladu sa definisanom dinamikom. Rokovi za određene aktivnosti koje se prevashodno odnose na obuke i treninge u svim projektima su morali biti pomjereni uslijed objektivnih okolnosti prouzrokovanih pandemijom korona virusa. </w:t>
      </w:r>
    </w:p>
    <w:p w:rsidR="00446CEC" w:rsidRPr="00446CEC" w:rsidRDefault="00446CEC" w:rsidP="00446CEC">
      <w:pPr>
        <w:spacing w:before="0" w:after="0" w:line="240" w:lineRule="auto"/>
        <w:ind w:firstLine="360"/>
        <w:contextualSpacing/>
        <w:rPr>
          <w:rFonts w:ascii="Calibri" w:eastAsia="Times New Roman" w:hAnsi="Calibri" w:cs="Arial"/>
          <w:color w:val="000000"/>
          <w:szCs w:val="24"/>
          <w:shd w:val="clear" w:color="auto" w:fill="FFFFFF"/>
          <w:lang w:val="en-GB" w:eastAsia="en-GB"/>
        </w:rPr>
      </w:pPr>
      <w:r w:rsidRPr="00446CEC">
        <w:rPr>
          <w:rFonts w:ascii="Calibri" w:eastAsia="Times New Roman" w:hAnsi="Calibri" w:cs="Arial"/>
          <w:bCs/>
          <w:color w:val="000000"/>
          <w:szCs w:val="24"/>
          <w:shd w:val="clear" w:color="auto" w:fill="FFFFFF"/>
          <w:lang w:val="en-GB" w:eastAsia="en-GB"/>
        </w:rPr>
        <w:t>U 2020. godini, Odjeljenje za evropske integracije je u saradnji sa korisničkim institucijama koordiniralo i pružilo podršku u pripremi tenderske dokumentacije za projekte koji se finansiraju iz sredstava Instrumenta za evropsku integraciju (IPA 2017):</w:t>
      </w:r>
    </w:p>
    <w:p w:rsidR="00446CEC" w:rsidRPr="00446CEC" w:rsidRDefault="00446CEC" w:rsidP="00146EBE">
      <w:pPr>
        <w:numPr>
          <w:ilvl w:val="0"/>
          <w:numId w:val="52"/>
        </w:numPr>
        <w:spacing w:before="0" w:after="0" w:line="240" w:lineRule="auto"/>
        <w:contextualSpacing/>
        <w:jc w:val="left"/>
        <w:rPr>
          <w:rFonts w:ascii="Calibri" w:eastAsia="Times New Roman" w:hAnsi="Calibri" w:cs="Times New Roman"/>
          <w:szCs w:val="24"/>
          <w:lang w:val="en-GB" w:eastAsia="en-GB"/>
        </w:rPr>
      </w:pPr>
      <w:r w:rsidRPr="00446CEC">
        <w:rPr>
          <w:rFonts w:ascii="Calibri" w:eastAsia="Times New Roman" w:hAnsi="Calibri" w:cs="Times New Roman"/>
          <w:szCs w:val="24"/>
          <w:u w:val="single"/>
          <w:lang w:val="en-GB" w:eastAsia="en-GB"/>
        </w:rPr>
        <w:t>“Nabavka hardverske opreme za funkcionisanje sistema centralizovanog obračuna zarada i novog informacionog sistema za planiranje budžeta” (</w:t>
      </w:r>
      <w:r w:rsidRPr="00446CEC">
        <w:rPr>
          <w:rFonts w:ascii="Calibri" w:eastAsia="Times New Roman" w:hAnsi="Calibri" w:cs="Times New Roman"/>
          <w:szCs w:val="24"/>
          <w:lang w:val="en-GB" w:eastAsia="en-GB"/>
        </w:rPr>
        <w:t>korisnik: Direktorat za državni budžet, Ministarstvo finansija)</w:t>
      </w:r>
    </w:p>
    <w:p w:rsidR="00446CEC" w:rsidRPr="00446CEC" w:rsidRDefault="00446CEC" w:rsidP="00146EBE">
      <w:pPr>
        <w:numPr>
          <w:ilvl w:val="0"/>
          <w:numId w:val="52"/>
        </w:numPr>
        <w:spacing w:before="0" w:after="0" w:line="240" w:lineRule="auto"/>
        <w:contextualSpacing/>
        <w:jc w:val="left"/>
        <w:rPr>
          <w:rFonts w:ascii="Calibri" w:eastAsia="Times New Roman" w:hAnsi="Calibri" w:cs="Times New Roman"/>
          <w:szCs w:val="24"/>
          <w:lang w:val="en-GB" w:eastAsia="en-GB"/>
        </w:rPr>
      </w:pPr>
      <w:r w:rsidRPr="00446CEC">
        <w:rPr>
          <w:rFonts w:ascii="Calibri" w:eastAsia="Times New Roman" w:hAnsi="Calibri" w:cs="Times New Roman"/>
          <w:szCs w:val="24"/>
          <w:u w:val="single"/>
          <w:lang w:val="en-GB" w:eastAsia="en-GB"/>
        </w:rPr>
        <w:t>“Evaluacija Programa reforme upravljanja javnim finansijama”</w:t>
      </w:r>
      <w:r w:rsidRPr="00446CEC">
        <w:rPr>
          <w:rFonts w:ascii="Calibri" w:eastAsia="Times New Roman" w:hAnsi="Calibri" w:cs="Times New Roman"/>
          <w:szCs w:val="24"/>
          <w:lang w:val="en-GB" w:eastAsia="en-GB"/>
        </w:rPr>
        <w:t xml:space="preserve"> (korisnik: Direktorat za državni budžet, Ministarstvo finansija)</w:t>
      </w:r>
    </w:p>
    <w:p w:rsidR="00446CEC" w:rsidRPr="00446CEC" w:rsidRDefault="00446CEC" w:rsidP="00446CEC">
      <w:pPr>
        <w:spacing w:before="0" w:after="0" w:line="240" w:lineRule="auto"/>
        <w:ind w:firstLine="360"/>
        <w:contextualSpacing/>
        <w:rPr>
          <w:rFonts w:ascii="Calibri" w:eastAsia="Times New Roman" w:hAnsi="Calibri" w:cs="Arial"/>
          <w:bCs/>
          <w:color w:val="000000"/>
          <w:szCs w:val="24"/>
          <w:shd w:val="clear" w:color="auto" w:fill="FFFFFF"/>
          <w:lang w:val="en-GB" w:eastAsia="en-GB"/>
        </w:rPr>
      </w:pPr>
      <w:r w:rsidRPr="00446CEC">
        <w:rPr>
          <w:rFonts w:ascii="Calibri" w:eastAsia="Times New Roman" w:hAnsi="Calibri" w:cs="Arial"/>
          <w:bCs/>
          <w:color w:val="000000"/>
          <w:szCs w:val="24"/>
          <w:shd w:val="clear" w:color="auto" w:fill="FFFFFF"/>
          <w:lang w:val="en-GB" w:eastAsia="en-GB"/>
        </w:rPr>
        <w:t xml:space="preserve">Projekti su uspješno ugovoreni. Projekat koji se odnosi na nabavku hardverske opreme za Direktorat državni za budžet je uspješno realizovan, čime su stvoreni preduslovi za uspješnu realizaciju dva IPA 2014 projekta koji se odnose na razvoj i uspostavljanje informacionih sistema za planiranje budžeta i centralizovani obračun zarada. Realizacija projekta koji se odnosi na evaluaciju PFM programa je u toku, a evaluacija PFM programa i preporuke koje će se dobiti kroz evaluaciju predstavljaće osnovu za izradu nove strategije reforme upravljanja javnim finansijama, koju će Ministarstvo finansija biti u obavezi da pripremi u 2021. godini. </w:t>
      </w:r>
    </w:p>
    <w:p w:rsidR="00446CEC" w:rsidRPr="00446CEC" w:rsidRDefault="00446CEC" w:rsidP="00446CEC">
      <w:pPr>
        <w:spacing w:before="0" w:after="0" w:line="240" w:lineRule="auto"/>
        <w:ind w:firstLine="360"/>
        <w:rPr>
          <w:rFonts w:ascii="Calibri" w:eastAsia="Calibri" w:hAnsi="Calibri" w:cs="Times New Roman"/>
          <w:szCs w:val="24"/>
          <w:lang w:val="en-GB"/>
        </w:rPr>
      </w:pPr>
      <w:r w:rsidRPr="00446CEC">
        <w:rPr>
          <w:rFonts w:ascii="Calibri" w:eastAsia="Calibri" w:hAnsi="Calibri" w:cs="Times New Roman"/>
          <w:szCs w:val="24"/>
          <w:lang w:val="en-GB"/>
        </w:rPr>
        <w:t xml:space="preserve">Realizovane su redovne aktivnosti koje se odnose na pripremu novih aplikacija za dobijanje sredstava iz </w:t>
      </w:r>
      <w:r w:rsidRPr="00446CEC">
        <w:rPr>
          <w:rFonts w:ascii="Calibri" w:eastAsia="Calibri" w:hAnsi="Calibri" w:cs="Times New Roman"/>
          <w:i/>
          <w:szCs w:val="24"/>
          <w:lang w:val="en-GB"/>
        </w:rPr>
        <w:t>Instrumenta za evropsku integraciju</w:t>
      </w:r>
      <w:r w:rsidRPr="00446CEC">
        <w:rPr>
          <w:rFonts w:ascii="Calibri" w:eastAsia="Calibri" w:hAnsi="Calibri" w:cs="Times New Roman"/>
          <w:szCs w:val="24"/>
          <w:lang w:val="en-GB"/>
        </w:rPr>
        <w:t xml:space="preserve"> (EU Integration Facility), u saradnji s korisničkim institucijama i Delegacijom EU, za sljedeće projekte:</w:t>
      </w:r>
    </w:p>
    <w:p w:rsidR="00446CEC" w:rsidRPr="00446CEC" w:rsidRDefault="00446CEC" w:rsidP="00146EBE">
      <w:pPr>
        <w:numPr>
          <w:ilvl w:val="0"/>
          <w:numId w:val="52"/>
        </w:numPr>
        <w:spacing w:before="0" w:after="0" w:line="240" w:lineRule="auto"/>
        <w:contextualSpacing/>
        <w:jc w:val="left"/>
        <w:rPr>
          <w:rFonts w:ascii="Calibri" w:eastAsia="Times New Roman" w:hAnsi="Calibri" w:cs="Times New Roman"/>
          <w:szCs w:val="24"/>
          <w:lang w:val="en-GB" w:eastAsia="en-GB"/>
        </w:rPr>
      </w:pPr>
      <w:r w:rsidRPr="00446CEC">
        <w:rPr>
          <w:rFonts w:ascii="Calibri" w:eastAsia="Times New Roman" w:hAnsi="Calibri" w:cs="Times New Roman"/>
          <w:szCs w:val="24"/>
          <w:u w:val="single"/>
          <w:lang w:val="en-GB" w:eastAsia="en-GB"/>
        </w:rPr>
        <w:t>“Establishing the EU own resources system in Montenegro”</w:t>
      </w:r>
      <w:r w:rsidRPr="00446CEC">
        <w:rPr>
          <w:rFonts w:ascii="Calibri" w:eastAsia="Times New Roman" w:hAnsi="Calibri" w:cs="Times New Roman"/>
          <w:szCs w:val="24"/>
          <w:lang w:val="en-GB" w:eastAsia="en-GB"/>
        </w:rPr>
        <w:t xml:space="preserve"> (korisnik: Direktorat za državni budžet, Ministarstvo finansija)</w:t>
      </w:r>
    </w:p>
    <w:p w:rsidR="00446CEC" w:rsidRPr="00446CEC" w:rsidRDefault="00446CEC" w:rsidP="00146EBE">
      <w:pPr>
        <w:numPr>
          <w:ilvl w:val="0"/>
          <w:numId w:val="52"/>
        </w:numPr>
        <w:spacing w:before="0" w:after="0" w:line="240" w:lineRule="auto"/>
        <w:contextualSpacing/>
        <w:jc w:val="left"/>
        <w:rPr>
          <w:rFonts w:ascii="Calibri" w:eastAsia="Times New Roman" w:hAnsi="Calibri" w:cs="Times New Roman"/>
          <w:szCs w:val="24"/>
          <w:lang w:val="en-GB" w:eastAsia="en-GB"/>
        </w:rPr>
      </w:pPr>
      <w:r w:rsidRPr="00446CEC">
        <w:rPr>
          <w:rFonts w:ascii="Calibri" w:eastAsia="Times New Roman" w:hAnsi="Calibri" w:cs="Times New Roman"/>
          <w:szCs w:val="24"/>
          <w:lang w:val="en-GB" w:eastAsia="en-GB"/>
        </w:rPr>
        <w:t xml:space="preserve"> </w:t>
      </w:r>
      <w:r w:rsidRPr="00446CEC">
        <w:rPr>
          <w:rFonts w:ascii="Calibri" w:eastAsia="Times New Roman" w:hAnsi="Calibri" w:cs="Times New Roman"/>
          <w:szCs w:val="24"/>
          <w:u w:val="single"/>
          <w:lang w:val="en-GB" w:eastAsia="en-GB"/>
        </w:rPr>
        <w:t>“Support to the Customs Administration for the implementation of Customs Decision System (CDS)”</w:t>
      </w:r>
      <w:r w:rsidRPr="00446CEC">
        <w:rPr>
          <w:rFonts w:ascii="Calibri" w:eastAsia="Times New Roman" w:hAnsi="Calibri" w:cs="Times New Roman"/>
          <w:szCs w:val="24"/>
          <w:lang w:val="en-GB" w:eastAsia="en-GB"/>
        </w:rPr>
        <w:t xml:space="preserve"> (korisnik: Uprava carina)</w:t>
      </w:r>
    </w:p>
    <w:p w:rsidR="00446CEC" w:rsidRPr="00446CEC" w:rsidRDefault="00446CEC" w:rsidP="00146EBE">
      <w:pPr>
        <w:numPr>
          <w:ilvl w:val="0"/>
          <w:numId w:val="52"/>
        </w:numPr>
        <w:spacing w:before="0" w:after="0" w:line="240" w:lineRule="auto"/>
        <w:contextualSpacing/>
        <w:jc w:val="left"/>
        <w:rPr>
          <w:rFonts w:ascii="Calibri" w:eastAsia="Times New Roman" w:hAnsi="Calibri" w:cs="Times New Roman"/>
          <w:szCs w:val="24"/>
          <w:lang w:val="en-GB" w:eastAsia="en-GB"/>
        </w:rPr>
      </w:pPr>
      <w:r w:rsidRPr="00446CEC">
        <w:rPr>
          <w:rFonts w:ascii="Calibri" w:eastAsia="Times New Roman" w:hAnsi="Calibri" w:cs="Times New Roman"/>
          <w:szCs w:val="24"/>
          <w:u w:val="single"/>
          <w:lang w:val="en-GB" w:eastAsia="en-GB"/>
        </w:rPr>
        <w:lastRenderedPageBreak/>
        <w:t>“Support to the Customs Administration in preparation for upgrading TARICG to EU TARIC latest version and related ITMS subsystems”</w:t>
      </w:r>
      <w:r w:rsidRPr="00446CEC">
        <w:rPr>
          <w:rFonts w:ascii="Calibri" w:eastAsia="Times New Roman" w:hAnsi="Calibri" w:cs="Times New Roman"/>
          <w:szCs w:val="24"/>
          <w:lang w:val="en-GB" w:eastAsia="en-GB"/>
        </w:rPr>
        <w:t xml:space="preserve"> (korisnik: Uprava carina)</w:t>
      </w:r>
    </w:p>
    <w:p w:rsidR="00446CEC" w:rsidRPr="00446CEC" w:rsidRDefault="00446CEC" w:rsidP="00446CEC">
      <w:pPr>
        <w:spacing w:before="0" w:after="0" w:line="240" w:lineRule="auto"/>
        <w:ind w:firstLine="360"/>
        <w:rPr>
          <w:rFonts w:ascii="Calibri" w:eastAsia="Calibri" w:hAnsi="Calibri" w:cs="Times New Roman"/>
          <w:szCs w:val="24"/>
          <w:lang w:val="en-GB"/>
        </w:rPr>
      </w:pPr>
      <w:r w:rsidRPr="00446CEC">
        <w:rPr>
          <w:rFonts w:ascii="Calibri" w:eastAsia="Calibri" w:hAnsi="Calibri" w:cs="Times New Roman"/>
          <w:szCs w:val="24"/>
          <w:lang w:val="en-GB"/>
        </w:rPr>
        <w:t xml:space="preserve">Sve navedene prijave projekata su odobrene. </w:t>
      </w:r>
    </w:p>
    <w:p w:rsidR="00446CEC" w:rsidRPr="00446CEC" w:rsidRDefault="00446CEC" w:rsidP="00446CEC">
      <w:pPr>
        <w:spacing w:before="0" w:after="0" w:line="240" w:lineRule="auto"/>
        <w:ind w:firstLine="360"/>
        <w:contextualSpacing/>
        <w:rPr>
          <w:rFonts w:ascii="Calibri" w:eastAsia="Times New Roman" w:hAnsi="Calibri" w:cs="Times New Roman"/>
          <w:szCs w:val="24"/>
          <w:lang w:val="en-GB" w:eastAsia="en-GB"/>
        </w:rPr>
      </w:pPr>
      <w:r w:rsidRPr="00446CEC">
        <w:rPr>
          <w:rFonts w:ascii="Calibri" w:eastAsia="Times New Roman" w:hAnsi="Calibri" w:cs="Arial"/>
          <w:bCs/>
          <w:color w:val="000000"/>
          <w:szCs w:val="24"/>
          <w:shd w:val="clear" w:color="auto" w:fill="FFFFFF"/>
          <w:lang w:val="en-GB" w:eastAsia="en-GB"/>
        </w:rPr>
        <w:t xml:space="preserve">Odjeljenje za evropske integracije je u 2020. godini koordiniralo pripremu tenderske dokumentacije za projekte Uprave carina koji se finansiraju u okviru </w:t>
      </w:r>
      <w:r w:rsidRPr="00446CEC">
        <w:rPr>
          <w:rFonts w:ascii="Calibri" w:eastAsia="Times New Roman" w:hAnsi="Calibri" w:cs="Times New Roman"/>
          <w:szCs w:val="24"/>
          <w:u w:val="single"/>
          <w:lang w:val="en-GB" w:eastAsia="en-GB"/>
        </w:rPr>
        <w:t>Godišnjeg akcionog programa IPA-e za Crnu Goru za 2018. godinu, u</w:t>
      </w:r>
      <w:r w:rsidRPr="00446CEC">
        <w:rPr>
          <w:rFonts w:ascii="Calibri" w:eastAsia="Times New Roman" w:hAnsi="Calibri" w:cs="Times New Roman"/>
          <w:szCs w:val="24"/>
          <w:lang w:val="en-GB" w:eastAsia="en-GB"/>
        </w:rPr>
        <w:t xml:space="preserve"> saradnji sa Upravom carina, Direktoratom za finansiranje i ugovaranje sredstava EU pomoći i Delegacije EU u Crnoj Gori. Raspisivanje tendera za projekte se očekuje u 2021. godini.</w:t>
      </w:r>
    </w:p>
    <w:p w:rsidR="00446CEC" w:rsidRPr="00446CEC" w:rsidRDefault="00446CEC" w:rsidP="00446CEC">
      <w:pPr>
        <w:spacing w:before="0" w:after="0" w:line="240" w:lineRule="auto"/>
        <w:ind w:firstLine="360"/>
        <w:contextualSpacing/>
        <w:rPr>
          <w:rFonts w:ascii="Calibri" w:eastAsia="Times New Roman" w:hAnsi="Calibri" w:cs="Arial"/>
          <w:bCs/>
          <w:color w:val="000000"/>
          <w:szCs w:val="24"/>
          <w:shd w:val="clear" w:color="auto" w:fill="FFFFFF"/>
          <w:lang w:val="en-GB" w:eastAsia="en-GB"/>
        </w:rPr>
      </w:pPr>
      <w:r w:rsidRPr="00446CEC">
        <w:rPr>
          <w:rFonts w:ascii="Calibri" w:eastAsia="Times New Roman" w:hAnsi="Calibri" w:cs="Arial"/>
          <w:bCs/>
          <w:color w:val="000000"/>
          <w:szCs w:val="24"/>
          <w:shd w:val="clear" w:color="auto" w:fill="FFFFFF"/>
          <w:lang w:val="en-GB" w:eastAsia="en-GB"/>
        </w:rPr>
        <w:t>Odjeljenje za evropske integracije je koordiniralo proces pripreme koncepata projekata koji su kandidovani za finansiranje iz sredstava IPA III - IPA 2021 i IPA 2022, u oblastima za koje je nadležno Ministarstvo finansija. Odgovor Evropske komisije je dobijen u decembru 2020. Dva kandidovana projekta su načelno podržani za finansiranje iz sredstava IPA 2021 i isti bi trebalo da budu finansirani iz sredstava sektorske budžetske podrške (SBS) za reformu javne uprave. Odjeljenje će u 2021. godini biti u obavezi da u saradnji sa korisničkim institucijama da doprinos u pripremi akcionog dokumenta za program sektorske budžetske podrške i relevantnih strateških dokumenata u dijelu nadležnosti Ministarstva finansija, kako bi se do kraja 2021. godine stekli uslovi za dobijanje sredstava iz SBS.</w:t>
      </w:r>
    </w:p>
    <w:p w:rsidR="00446CEC" w:rsidRPr="00446CEC" w:rsidRDefault="00446CEC" w:rsidP="00446CEC">
      <w:pPr>
        <w:spacing w:before="0" w:after="0" w:line="240" w:lineRule="auto"/>
        <w:ind w:firstLine="360"/>
        <w:rPr>
          <w:rFonts w:ascii="Calibri" w:eastAsia="Calibri" w:hAnsi="Calibri" w:cs="Times New Roman"/>
          <w:szCs w:val="24"/>
          <w:lang w:val="en-GB"/>
        </w:rPr>
      </w:pPr>
      <w:r w:rsidRPr="00446CEC">
        <w:rPr>
          <w:rFonts w:ascii="Calibri" w:eastAsia="Calibri" w:hAnsi="Calibri" w:cs="Times New Roman"/>
          <w:szCs w:val="24"/>
          <w:lang w:val="en-GB"/>
        </w:rPr>
        <w:t xml:space="preserve">U izvještajnom periodu je ostvarivana redovna komunikacija i saradnja s predstavnicima Delegacije Evropske unije, tijelima u okviru IPA strukture, ugovaračima i korisničkim institucijama. </w:t>
      </w:r>
    </w:p>
    <w:p w:rsidR="00446CEC" w:rsidRPr="00446CEC" w:rsidRDefault="00446CEC" w:rsidP="00446CEC">
      <w:pPr>
        <w:spacing w:before="0" w:after="0" w:line="240" w:lineRule="auto"/>
        <w:ind w:firstLine="360"/>
        <w:contextualSpacing/>
        <w:rPr>
          <w:rFonts w:ascii="Calibri" w:eastAsia="Times New Roman" w:hAnsi="Calibri" w:cs="Times New Roman"/>
          <w:szCs w:val="24"/>
          <w:lang w:val="en-GB" w:eastAsia="en-GB"/>
        </w:rPr>
      </w:pPr>
      <w:r w:rsidRPr="00446CEC">
        <w:rPr>
          <w:rFonts w:ascii="Calibri" w:eastAsia="Times New Roman" w:hAnsi="Calibri" w:cs="Times New Roman"/>
          <w:szCs w:val="24"/>
          <w:lang w:val="en-GB" w:eastAsia="en-GB"/>
        </w:rPr>
        <w:t xml:space="preserve">U skladu sa svojim nadležnostima, Odjeljenje je u 2020. godini koordiniralo pripremu </w:t>
      </w:r>
      <w:r w:rsidRPr="00446CEC">
        <w:rPr>
          <w:rFonts w:ascii="Calibri" w:eastAsia="Times New Roman" w:hAnsi="Calibri" w:cs="Times New Roman"/>
          <w:i/>
          <w:szCs w:val="24"/>
          <w:lang w:val="en-GB" w:eastAsia="en-GB"/>
        </w:rPr>
        <w:t>Izvještaja o makroekonomskoj stabilnosti i Izvještaja o budžetskoj transparentnosti</w:t>
      </w:r>
      <w:r w:rsidRPr="00446CEC">
        <w:rPr>
          <w:rFonts w:ascii="Calibri" w:eastAsia="Times New Roman" w:hAnsi="Calibri" w:cs="Times New Roman"/>
          <w:szCs w:val="24"/>
          <w:lang w:val="en-GB" w:eastAsia="en-GB"/>
        </w:rPr>
        <w:t xml:space="preserve">, koji su predstavljali dio zahtjeva za povlačenje sredstava iz COVID direktne budžetske podrške koji je upućen Evropskoj komisiji. </w:t>
      </w:r>
    </w:p>
    <w:p w:rsidR="00446CEC" w:rsidRPr="00446CEC" w:rsidRDefault="00446CEC" w:rsidP="00446CEC">
      <w:pPr>
        <w:spacing w:before="0" w:after="0" w:line="240" w:lineRule="auto"/>
        <w:ind w:firstLine="360"/>
        <w:rPr>
          <w:rFonts w:ascii="Calibri" w:eastAsia="Calibri" w:hAnsi="Calibri" w:cs="Times New Roman"/>
          <w:szCs w:val="24"/>
          <w:lang w:val="en-GB"/>
        </w:rPr>
      </w:pPr>
      <w:r w:rsidRPr="00446CEC">
        <w:rPr>
          <w:rFonts w:ascii="Calibri" w:eastAsia="Calibri" w:hAnsi="Calibri" w:cs="Times New Roman"/>
          <w:szCs w:val="24"/>
          <w:lang w:val="en-GB"/>
        </w:rPr>
        <w:t>Odjeljenje za evropske integracije je uspješno organizovalo XIII sastanak Pododbora za ekonomska i finansijska pitanja i statistiku koji je održan 22. oktobra 2020. godine putem WebEx platforme. U saradnji s predstavnicima nadležnih ministarstava, pripremljen je i Evropskoj komisiji u predviđenom roku dostavljen sveobuhvatan materijal koji sadrži informacije o napretku ostvarenom u oblasti javnih finansija, makroekonomske politike, finansijskog sistema, statistike, revizije, i odgovoreno na sva naknadno dostavljena pitanja nadležnih direktorata Evropske komisije. U skladu sa ustaljenom praksom i bliskom saradnjom Odjeljenja s nadležnim Direktoratom za ekonomska i finansijska pitanja u Evropskoj komisiji, u susret sastanku obezbijeđena su potencijalna pitanja i dodatne sugestije, što je omogućilo pripremu i uspješan nastup naših predstavnika na sastanku Pododbora i diskusiju koja je od strane EK ocijenjena kao sveobuhvatna i kvalitetna.</w:t>
      </w:r>
    </w:p>
    <w:p w:rsidR="00446CEC" w:rsidRPr="00446CEC" w:rsidRDefault="00446CEC" w:rsidP="00446CEC">
      <w:pPr>
        <w:spacing w:before="0" w:after="0" w:line="240" w:lineRule="auto"/>
        <w:ind w:firstLine="360"/>
        <w:rPr>
          <w:rFonts w:ascii="Calibri" w:eastAsia="Calibri" w:hAnsi="Calibri" w:cs="Times New Roman"/>
          <w:szCs w:val="24"/>
          <w:lang w:val="en-GB"/>
        </w:rPr>
      </w:pPr>
      <w:r w:rsidRPr="00446CEC">
        <w:rPr>
          <w:rFonts w:ascii="Calibri" w:eastAsia="Calibri" w:hAnsi="Calibri" w:cs="Times New Roman"/>
          <w:szCs w:val="24"/>
          <w:lang w:val="en-GB"/>
        </w:rPr>
        <w:t>Odjeljenje je koordiniralo i pripremu priloga iz nadležnosti Ministarstva finansija za sastanak Odbora za stabilizaciju i pridruživanje koji je održan 04. decembra 2020. putem WebEx platform.</w:t>
      </w:r>
    </w:p>
    <w:p w:rsidR="00446CEC" w:rsidRPr="00446CEC" w:rsidRDefault="00446CEC" w:rsidP="00446CEC">
      <w:pPr>
        <w:spacing w:before="0" w:after="0" w:line="240" w:lineRule="auto"/>
        <w:ind w:firstLine="360"/>
        <w:rPr>
          <w:rFonts w:ascii="Calibri" w:eastAsia="Calibri" w:hAnsi="Calibri" w:cs="Times New Roman"/>
          <w:szCs w:val="24"/>
          <w:lang w:val="en-GB"/>
        </w:rPr>
      </w:pPr>
      <w:r w:rsidRPr="00446CEC">
        <w:rPr>
          <w:rFonts w:ascii="Calibri" w:eastAsia="Calibri" w:hAnsi="Calibri" w:cs="Times New Roman"/>
          <w:szCs w:val="24"/>
          <w:lang w:val="en-GB"/>
        </w:rPr>
        <w:t>U svojstvu koordinatora za stručnu redakturu i člana Komisije za pripremu crnogorske verzije pravne tekovine Evropske unije, rukovodilac Odjeljenja je koordinirao aktivnosti u vezi sa stručnom redakturom prevoda pravnih akata EU u dijelu nadležnosti Ministarstva finansija i organa nad kojima Ministarstvo vrši nadzor.</w:t>
      </w:r>
    </w:p>
    <w:p w:rsidR="00B55665" w:rsidRDefault="00B55665" w:rsidP="008F659F">
      <w:pPr>
        <w:pStyle w:val="PlainText"/>
        <w:jc w:val="both"/>
        <w:rPr>
          <w:rFonts w:asciiTheme="minorHAnsi" w:hAnsiTheme="minorHAnsi" w:cs="Arial"/>
          <w:b/>
          <w:sz w:val="24"/>
          <w:szCs w:val="24"/>
        </w:rPr>
      </w:pPr>
    </w:p>
    <w:p w:rsidR="00B55665" w:rsidRDefault="007369A4" w:rsidP="008F659F">
      <w:pPr>
        <w:pStyle w:val="PlainText"/>
        <w:jc w:val="both"/>
        <w:rPr>
          <w:rFonts w:asciiTheme="minorHAnsi" w:hAnsiTheme="minorHAnsi" w:cs="Arial"/>
          <w:b/>
          <w:sz w:val="24"/>
          <w:szCs w:val="24"/>
        </w:rPr>
      </w:pPr>
      <w:r>
        <w:rPr>
          <w:rFonts w:asciiTheme="minorHAnsi" w:hAnsiTheme="minorHAnsi" w:cs="Arial"/>
          <w:b/>
          <w:sz w:val="24"/>
          <w:szCs w:val="24"/>
        </w:rPr>
        <w:tab/>
      </w:r>
      <w:r w:rsidRPr="00FB22BD">
        <w:rPr>
          <w:rFonts w:asciiTheme="minorHAnsi" w:hAnsiTheme="minorHAnsi" w:cs="Arial"/>
          <w:b/>
          <w:sz w:val="24"/>
          <w:szCs w:val="24"/>
          <w:shd w:val="clear" w:color="auto" w:fill="F9D8CD" w:themeFill="accent1" w:themeFillTint="33"/>
        </w:rPr>
        <w:t>14. ODJELJENJE ZA SUZBIJANJE NEPRAVILNOSTI I PREVARA</w:t>
      </w:r>
    </w:p>
    <w:p w:rsidR="007369A4" w:rsidRPr="007369A4" w:rsidRDefault="007369A4" w:rsidP="007369A4">
      <w:pPr>
        <w:tabs>
          <w:tab w:val="left" w:pos="0"/>
        </w:tabs>
        <w:spacing w:after="0" w:line="240" w:lineRule="auto"/>
        <w:rPr>
          <w:rFonts w:ascii="Calibri" w:eastAsia="Calibri" w:hAnsi="Calibri" w:cs="Times New Roman"/>
          <w:color w:val="000000"/>
          <w:szCs w:val="24"/>
          <w:lang w:val="en-GB" w:eastAsia="sr-Latn-CS"/>
        </w:rPr>
      </w:pPr>
      <w:r>
        <w:rPr>
          <w:rFonts w:eastAsia="Calibri" w:cs="Arial"/>
          <w:b/>
          <w:szCs w:val="24"/>
          <w:lang w:val="en-US"/>
        </w:rPr>
        <w:tab/>
      </w:r>
      <w:r w:rsidR="006E5F07">
        <w:rPr>
          <w:rFonts w:ascii="Calibri" w:eastAsia="Calibri" w:hAnsi="Calibri" w:cs="Times New Roman"/>
          <w:color w:val="000000"/>
          <w:szCs w:val="24"/>
          <w:lang w:val="en-GB" w:eastAsia="sr-Latn-CS"/>
        </w:rPr>
        <w:t xml:space="preserve">Programom rada Vlade za 2020. </w:t>
      </w:r>
      <w:r w:rsidRPr="007369A4">
        <w:rPr>
          <w:rFonts w:ascii="Calibri" w:eastAsia="Calibri" w:hAnsi="Calibri" w:cs="Times New Roman"/>
          <w:color w:val="000000"/>
          <w:szCs w:val="24"/>
          <w:lang w:val="en-GB" w:eastAsia="sr-Latn-CS"/>
        </w:rPr>
        <w:t>godinu nisu bile definisane aktivnosti Odjeljenja za suzbijanje nepravilnosti i prevara (AFCOS kancelarije).</w:t>
      </w:r>
    </w:p>
    <w:p w:rsidR="007369A4" w:rsidRPr="007369A4" w:rsidRDefault="007369A4" w:rsidP="007369A4">
      <w:pPr>
        <w:tabs>
          <w:tab w:val="left" w:pos="0"/>
        </w:tabs>
        <w:spacing w:before="0" w:after="0" w:line="240" w:lineRule="auto"/>
        <w:rPr>
          <w:rFonts w:ascii="Calibri" w:eastAsia="Calibri" w:hAnsi="Calibri" w:cs="Times New Roman"/>
          <w:color w:val="000000"/>
          <w:szCs w:val="24"/>
          <w:lang w:val="lt-LT"/>
        </w:rPr>
      </w:pPr>
      <w:r>
        <w:rPr>
          <w:rFonts w:ascii="Calibri" w:eastAsia="Calibri" w:hAnsi="Calibri" w:cs="Times New Roman"/>
          <w:color w:val="000000"/>
          <w:szCs w:val="24"/>
          <w:lang w:val="en-GB" w:eastAsia="sr-Latn-CS"/>
        </w:rPr>
        <w:tab/>
      </w:r>
      <w:r w:rsidRPr="007369A4">
        <w:rPr>
          <w:rFonts w:ascii="Calibri" w:eastAsia="Calibri" w:hAnsi="Calibri" w:cs="Times New Roman"/>
          <w:color w:val="000000"/>
          <w:szCs w:val="24"/>
          <w:lang w:val="en-GB" w:eastAsia="sr-Latn-CS"/>
        </w:rPr>
        <w:t xml:space="preserve">Dokumentom Program pristupanja Crne Gore Evropskoj uniji, u okviru poglavlja 32-Finansijska kontrola, za ispunjavanje 3. mjerila poglavlja-zaštita finansijskih interesa Evropske unije, u prethodnoj godini je bilo definisano usvajanje dva dokumenta: </w:t>
      </w:r>
      <w:r w:rsidRPr="007369A4">
        <w:rPr>
          <w:rFonts w:ascii="Calibri" w:eastAsia="Calibri" w:hAnsi="Calibri" w:cs="Times New Roman"/>
          <w:i/>
          <w:color w:val="000000"/>
          <w:szCs w:val="24"/>
          <w:lang w:val="en-GB" w:eastAsia="sr-Latn-CS"/>
        </w:rPr>
        <w:t>Odluka o obrazovanju AFCOS Savjetodavnog tijela</w:t>
      </w:r>
      <w:r w:rsidRPr="007369A4">
        <w:rPr>
          <w:rFonts w:ascii="Calibri" w:eastAsia="Calibri" w:hAnsi="Calibri" w:cs="Times New Roman"/>
          <w:color w:val="000000"/>
          <w:szCs w:val="24"/>
          <w:lang w:val="en-GB" w:eastAsia="sr-Latn-CS"/>
        </w:rPr>
        <w:t xml:space="preserve"> i </w:t>
      </w:r>
      <w:r w:rsidRPr="007369A4">
        <w:rPr>
          <w:rFonts w:ascii="Calibri" w:eastAsia="Calibri" w:hAnsi="Calibri" w:cs="Times New Roman"/>
          <w:i/>
          <w:color w:val="000000"/>
          <w:szCs w:val="24"/>
          <w:lang w:val="lt-LT"/>
        </w:rPr>
        <w:t>Uredba o institucionalnom okviru funkcionisanja sistema za suzbijanje nepravilnosti i prevara (AFCOS sistema) u Crnoj Gori</w:t>
      </w:r>
      <w:r w:rsidRPr="007369A4">
        <w:rPr>
          <w:rFonts w:ascii="Calibri" w:eastAsia="Calibri" w:hAnsi="Calibri" w:cs="Times New Roman"/>
          <w:color w:val="000000"/>
          <w:szCs w:val="24"/>
          <w:lang w:val="lt-LT"/>
        </w:rPr>
        <w:t xml:space="preserve">. </w:t>
      </w:r>
    </w:p>
    <w:p w:rsidR="007369A4" w:rsidRPr="007369A4" w:rsidRDefault="007369A4" w:rsidP="007369A4">
      <w:pPr>
        <w:tabs>
          <w:tab w:val="left" w:pos="0"/>
        </w:tabs>
        <w:spacing w:before="0" w:after="0" w:line="240" w:lineRule="auto"/>
        <w:rPr>
          <w:rFonts w:ascii="Calibri" w:eastAsia="Calibri" w:hAnsi="Calibri" w:cs="Times New Roman"/>
          <w:color w:val="000000"/>
          <w:szCs w:val="24"/>
          <w:lang w:val="lt-LT"/>
        </w:rPr>
      </w:pPr>
      <w:r>
        <w:rPr>
          <w:rFonts w:ascii="Calibri" w:eastAsia="Calibri" w:hAnsi="Calibri" w:cs="Times New Roman"/>
          <w:color w:val="000000"/>
          <w:szCs w:val="24"/>
          <w:lang w:val="lt-LT"/>
        </w:rPr>
        <w:lastRenderedPageBreak/>
        <w:tab/>
      </w:r>
      <w:r w:rsidRPr="007369A4">
        <w:rPr>
          <w:rFonts w:ascii="Calibri" w:eastAsia="Calibri" w:hAnsi="Calibri" w:cs="Times New Roman"/>
          <w:color w:val="000000"/>
          <w:szCs w:val="24"/>
          <w:lang w:val="lt-LT"/>
        </w:rPr>
        <w:t>Predviđeni rok za usvajanje i početak primjene ovih dokumenata je bio prvobitno definisan - IV kvartal 2020.godine.</w:t>
      </w:r>
    </w:p>
    <w:p w:rsidR="007369A4" w:rsidRPr="007369A4" w:rsidRDefault="007369A4" w:rsidP="007369A4">
      <w:pPr>
        <w:tabs>
          <w:tab w:val="left" w:pos="0"/>
        </w:tabs>
        <w:spacing w:before="0" w:after="0" w:line="240" w:lineRule="auto"/>
        <w:rPr>
          <w:rFonts w:ascii="Calibri" w:eastAsia="Calibri" w:hAnsi="Calibri" w:cs="Times New Roman"/>
          <w:color w:val="000000"/>
          <w:szCs w:val="24"/>
          <w:lang w:val="sr-Latn-ME"/>
        </w:rPr>
      </w:pPr>
      <w:r>
        <w:rPr>
          <w:rFonts w:ascii="Calibri" w:eastAsia="Calibri" w:hAnsi="Calibri" w:cs="Times New Roman"/>
          <w:color w:val="000000"/>
          <w:szCs w:val="24"/>
          <w:lang w:val="lt-LT"/>
        </w:rPr>
        <w:tab/>
      </w:r>
      <w:r w:rsidRPr="007369A4">
        <w:rPr>
          <w:rFonts w:ascii="Calibri" w:eastAsia="Calibri" w:hAnsi="Calibri" w:cs="Times New Roman"/>
          <w:color w:val="000000"/>
          <w:szCs w:val="24"/>
          <w:lang w:val="lt-LT"/>
        </w:rPr>
        <w:t xml:space="preserve">Neophodno je istaći da su ova dva dokumenta navedena i u </w:t>
      </w:r>
      <w:r w:rsidRPr="007369A4">
        <w:rPr>
          <w:rFonts w:ascii="Calibri" w:eastAsia="Calibri" w:hAnsi="Calibri" w:cs="Times New Roman"/>
          <w:color w:val="000000"/>
          <w:szCs w:val="24"/>
          <w:lang w:val="hr-HR"/>
        </w:rPr>
        <w:t>Strategiji za borbu protiv prevara i upravljanje nepravilnostima u clju zaštite finansijskih interesa Evropske unije za period 2019-2022, uključujući Akcioni plan za period 2019-2020, koja je usvojena na Sjednici Vlade Crne Gore, održanoj 30.maja 2019.godine.</w:t>
      </w:r>
      <w:r w:rsidRPr="007369A4">
        <w:rPr>
          <w:rFonts w:ascii="Calibri" w:eastAsia="Calibri" w:hAnsi="Calibri" w:cs="Times New Roman"/>
          <w:color w:val="000000"/>
          <w:szCs w:val="24"/>
          <w:lang w:val="sr-Latn-ME"/>
        </w:rPr>
        <w:t xml:space="preserve"> Iako su  Akcionim planom definisane mjere i konkretne aktivnosti koje je neophodno preduzeti da bi se ostvarili postavljeni operativni ciljevi, definisane nadležne osobe i institucije, kao i rokovi za ispunjenje ciljeva, većina aktivnosti koje su navedene u Akcionom planu su realizovane u prethodnom periodu, i to je potvrđeno usvajanjem sledećeg dokumenta: </w:t>
      </w:r>
      <w:r w:rsidRPr="007369A4">
        <w:rPr>
          <w:rFonts w:ascii="Calibri" w:eastAsia="Times New Roman" w:hAnsi="Calibri" w:cs="Times New Roman"/>
          <w:i/>
          <w:color w:val="000000"/>
          <w:szCs w:val="24"/>
          <w:lang w:val="en-US"/>
        </w:rPr>
        <w:t>Prvi izvještaj o realizaciji  mjera iz Akcionog plana za sprovođenje Strategije za borbu protiv prevara i upravljanje nepravilnostima koja se odnosi na period od 2019. do 2022. godine</w:t>
      </w:r>
      <w:r w:rsidRPr="007369A4">
        <w:rPr>
          <w:rFonts w:ascii="Calibri" w:eastAsia="Calibri" w:hAnsi="Calibri" w:cs="Times New Roman"/>
          <w:color w:val="000000"/>
          <w:szCs w:val="24"/>
          <w:lang w:val="sr-Latn-ME"/>
        </w:rPr>
        <w:t>. na sjednici Vlade Crne Gore u februaru 2020.godine.</w:t>
      </w:r>
    </w:p>
    <w:p w:rsidR="007369A4" w:rsidRPr="007369A4" w:rsidRDefault="007369A4" w:rsidP="007369A4">
      <w:pPr>
        <w:tabs>
          <w:tab w:val="left" w:pos="0"/>
        </w:tabs>
        <w:spacing w:before="0" w:after="0" w:line="240" w:lineRule="auto"/>
        <w:rPr>
          <w:rFonts w:ascii="Calibri" w:eastAsia="Calibri" w:hAnsi="Calibri" w:cs="Times New Roman"/>
          <w:color w:val="000000"/>
          <w:szCs w:val="24"/>
          <w:lang w:val="sr-Latn-ME"/>
        </w:rPr>
      </w:pPr>
    </w:p>
    <w:p w:rsidR="007369A4" w:rsidRPr="007369A4" w:rsidRDefault="006E5F07" w:rsidP="007369A4">
      <w:pPr>
        <w:tabs>
          <w:tab w:val="left" w:pos="0"/>
        </w:tabs>
        <w:spacing w:before="0" w:after="0" w:line="240" w:lineRule="auto"/>
        <w:rPr>
          <w:rFonts w:ascii="Calibri" w:eastAsia="Calibri" w:hAnsi="Calibri" w:cs="Times New Roman"/>
          <w:i/>
          <w:color w:val="000000"/>
          <w:szCs w:val="24"/>
          <w:lang w:val="sr-Latn-ME"/>
        </w:rPr>
      </w:pPr>
      <w:r>
        <w:rPr>
          <w:rFonts w:ascii="Calibri" w:eastAsia="Calibri" w:hAnsi="Calibri" w:cs="Times New Roman"/>
          <w:color w:val="000000"/>
          <w:szCs w:val="24"/>
          <w:lang w:val="sr-Latn-ME"/>
        </w:rPr>
        <w:tab/>
      </w:r>
      <w:r w:rsidR="007369A4" w:rsidRPr="007369A4">
        <w:rPr>
          <w:rFonts w:ascii="Calibri" w:eastAsia="Calibri" w:hAnsi="Calibri" w:cs="Times New Roman"/>
          <w:color w:val="000000"/>
          <w:szCs w:val="24"/>
          <w:lang w:val="sr-Latn-ME"/>
        </w:rPr>
        <w:t>Aktivnosti koje nisu realizovane –donošenje Uredbe i Odluke</w:t>
      </w:r>
      <w:r w:rsidR="007369A4" w:rsidRPr="007369A4">
        <w:rPr>
          <w:rFonts w:ascii="Calibri" w:eastAsia="Calibri" w:hAnsi="Calibri" w:cs="Times New Roman"/>
          <w:i/>
          <w:color w:val="000000"/>
          <w:szCs w:val="24"/>
          <w:lang w:val="sr-Latn-ME"/>
        </w:rPr>
        <w:t xml:space="preserve"> </w:t>
      </w:r>
      <w:r w:rsidR="007369A4" w:rsidRPr="007369A4">
        <w:rPr>
          <w:rFonts w:ascii="Calibri" w:eastAsia="Calibri" w:hAnsi="Calibri" w:cs="Times New Roman"/>
          <w:i/>
          <w:color w:val="000000"/>
          <w:szCs w:val="24"/>
          <w:u w:val="single"/>
          <w:lang w:val="sr-Latn-ME"/>
        </w:rPr>
        <w:t xml:space="preserve">su uslovljene donošenjem Zakona o izmjenama Zakona o budžetu i fiskalnoj odgovornosti </w:t>
      </w:r>
      <w:r w:rsidR="007369A4" w:rsidRPr="007369A4">
        <w:rPr>
          <w:rFonts w:ascii="Calibri" w:eastAsia="Calibri" w:hAnsi="Calibri" w:cs="Times New Roman"/>
          <w:i/>
          <w:color w:val="000000"/>
          <w:szCs w:val="24"/>
          <w:u w:val="single"/>
          <w:vertAlign w:val="superscript"/>
          <w:lang w:val="sr-Latn-ME"/>
        </w:rPr>
        <w:footnoteReference w:id="10"/>
      </w:r>
      <w:r w:rsidR="007369A4" w:rsidRPr="007369A4">
        <w:rPr>
          <w:rFonts w:ascii="Calibri" w:eastAsia="Calibri" w:hAnsi="Calibri" w:cs="Times New Roman"/>
          <w:i/>
          <w:color w:val="000000"/>
          <w:szCs w:val="24"/>
          <w:u w:val="single"/>
          <w:lang w:val="sr-Latn-ME"/>
        </w:rPr>
        <w:t>koje je prvobitno planirano za IV kvartal 2020. godine</w:t>
      </w:r>
      <w:r w:rsidR="007369A4" w:rsidRPr="007369A4">
        <w:rPr>
          <w:rFonts w:ascii="Calibri" w:eastAsia="Calibri" w:hAnsi="Calibri" w:cs="Times New Roman"/>
          <w:i/>
          <w:color w:val="000000"/>
          <w:szCs w:val="24"/>
          <w:lang w:val="sr-Latn-ME"/>
        </w:rPr>
        <w:t xml:space="preserve"> </w:t>
      </w:r>
      <w:r w:rsidR="007369A4" w:rsidRPr="007369A4">
        <w:rPr>
          <w:rFonts w:ascii="Calibri" w:eastAsia="Calibri" w:hAnsi="Calibri" w:cs="Times New Roman"/>
          <w:color w:val="000000"/>
          <w:szCs w:val="24"/>
          <w:lang w:val="sr-Latn-ME"/>
        </w:rPr>
        <w:t>ali i dalje nije realizovano</w:t>
      </w:r>
      <w:r w:rsidR="007369A4" w:rsidRPr="007369A4">
        <w:rPr>
          <w:rFonts w:ascii="Calibri" w:eastAsia="Calibri" w:hAnsi="Calibri" w:cs="Times New Roman"/>
          <w:i/>
          <w:color w:val="000000"/>
          <w:szCs w:val="24"/>
          <w:lang w:val="sr-Latn-ME"/>
        </w:rPr>
        <w:t>.</w:t>
      </w:r>
      <w:r w:rsidR="007369A4" w:rsidRPr="007369A4">
        <w:rPr>
          <w:rFonts w:ascii="Calibri" w:eastAsia="Calibri" w:hAnsi="Calibri" w:cs="Times New Roman"/>
          <w:color w:val="000000"/>
          <w:szCs w:val="24"/>
          <w:lang w:val="sr-Latn-ME"/>
        </w:rPr>
        <w:t xml:space="preserve"> Aktivnosti koje su navedene kao nerealizovane očekujemo da budu realizovane u narednom vremenskom periodu, u skladu sa planom i politikom rada i drugih jedinica u okviru organa sa kojima saradjujemo, a sve u cilju ostvarivanja zajedničkih interesa i obezbjeđivanja adekvatne zaštite finansijskih interesa EU. S tim u vezi, dokumentom Program pristupanja Crne Gore Evropskoj uniji 2021-2023 godine, novi rokovi za usvajanje i primjenu oba ova dokumenta su pomjerena za III  kvartal 2021 godine. </w:t>
      </w:r>
    </w:p>
    <w:p w:rsidR="007369A4" w:rsidRPr="007369A4" w:rsidRDefault="006E5F07" w:rsidP="007369A4">
      <w:pPr>
        <w:tabs>
          <w:tab w:val="left" w:pos="0"/>
        </w:tabs>
        <w:spacing w:before="0" w:after="0" w:line="240" w:lineRule="auto"/>
        <w:rPr>
          <w:rFonts w:ascii="Calibri" w:eastAsia="Calibri" w:hAnsi="Calibri" w:cs="Times New Roman"/>
          <w:color w:val="000000"/>
          <w:szCs w:val="24"/>
          <w:lang w:val="hr-HR"/>
        </w:rPr>
      </w:pPr>
      <w:r>
        <w:rPr>
          <w:rFonts w:ascii="Calibri" w:eastAsia="Calibri" w:hAnsi="Calibri" w:cs="Times New Roman"/>
          <w:color w:val="000000"/>
          <w:szCs w:val="24"/>
          <w:lang w:val="sr-Latn-ME"/>
        </w:rPr>
        <w:tab/>
      </w:r>
      <w:r w:rsidR="007369A4" w:rsidRPr="007369A4">
        <w:rPr>
          <w:rFonts w:ascii="Calibri" w:eastAsia="Calibri" w:hAnsi="Calibri" w:cs="Times New Roman"/>
          <w:color w:val="000000"/>
          <w:szCs w:val="24"/>
          <w:lang w:val="hr-HR"/>
        </w:rPr>
        <w:t xml:space="preserve">U narednom vremenskom periodu neophodno je uskladiti izrađene nacrte navedenih dokumenata, u koordinaciji sa tzv.zainteresovanim stranama, kao i Sekretarijatom za zakonodovstvo, radi objavljivanja u Službenom listu. </w:t>
      </w:r>
      <w:r w:rsidR="007369A4" w:rsidRPr="007369A4">
        <w:rPr>
          <w:rFonts w:ascii="Calibri" w:eastAsia="Times New Roman" w:hAnsi="Calibri" w:cs="Times New Roman"/>
          <w:color w:val="000000"/>
          <w:szCs w:val="24"/>
          <w:lang w:val="en-GB"/>
        </w:rPr>
        <w:t>Danom stupanja na snagu Odluke o obrazovanju AFCOS Savjetodavnog tijela prestaje važiti Odluka  o obrazovanju Koordinacijskog tijela za praćenje i upravljanje politikom prevencije i suzbijanja nepravilnosti u cilju zaštite finansijskih interesa Evropske unije (AFCOS mreža), Službeni list Crne Gore br. 60/2013, i Odluka o izmjeni Odluke o obrazovanju Koordinacijskog tijela za praćenje i upravljanje politikom prevencije i suzbijanja nepravilnosti u cilju zaštite finansijskih interesa Evropske unije (AFCOS mreža), Službeni list Crne Gore br. 06/2015.</w:t>
      </w:r>
    </w:p>
    <w:p w:rsidR="007369A4" w:rsidRPr="007369A4" w:rsidRDefault="006E5F07" w:rsidP="007369A4">
      <w:pPr>
        <w:tabs>
          <w:tab w:val="left" w:pos="0"/>
        </w:tabs>
        <w:spacing w:before="0" w:after="0" w:line="240" w:lineRule="auto"/>
        <w:rPr>
          <w:rFonts w:ascii="Calibri" w:eastAsia="Times New Roman" w:hAnsi="Calibri" w:cs="Times New Roman"/>
          <w:b/>
          <w:i/>
          <w:color w:val="000000"/>
          <w:szCs w:val="24"/>
          <w:lang w:val="en-GB"/>
        </w:rPr>
      </w:pPr>
      <w:r>
        <w:rPr>
          <w:rFonts w:ascii="Calibri" w:eastAsia="Calibri" w:hAnsi="Calibri" w:cs="Times New Roman"/>
          <w:i/>
          <w:color w:val="000000"/>
          <w:szCs w:val="24"/>
          <w:lang w:val="en-GB" w:eastAsia="sr-Latn-CS"/>
        </w:rPr>
        <w:tab/>
      </w:r>
      <w:r w:rsidR="007369A4" w:rsidRPr="007369A4">
        <w:rPr>
          <w:rFonts w:ascii="Calibri" w:eastAsia="Calibri" w:hAnsi="Calibri" w:cs="Times New Roman"/>
          <w:color w:val="000000"/>
          <w:szCs w:val="24"/>
          <w:lang w:val="sr-Latn-ME"/>
        </w:rPr>
        <w:t xml:space="preserve">Službenici AFCOS kancelarije rade kontinuirano na realizaciji aktivnosti definisanih  navedenom Strategijom i pratećim Akcionim planom. </w:t>
      </w:r>
    </w:p>
    <w:p w:rsidR="007369A4" w:rsidRPr="007369A4" w:rsidRDefault="006E5F07" w:rsidP="007369A4">
      <w:pPr>
        <w:tabs>
          <w:tab w:val="left" w:pos="0"/>
        </w:tabs>
        <w:spacing w:before="0" w:after="0" w:line="240" w:lineRule="auto"/>
        <w:rPr>
          <w:rFonts w:ascii="Calibri" w:eastAsia="Calibri" w:hAnsi="Calibri" w:cs="Times New Roman"/>
          <w:color w:val="000000"/>
          <w:szCs w:val="24"/>
          <w:lang w:val="hr-HR"/>
        </w:rPr>
      </w:pPr>
      <w:r>
        <w:rPr>
          <w:rFonts w:ascii="Calibri" w:eastAsia="Calibri" w:hAnsi="Calibri" w:cs="Times New Roman"/>
          <w:color w:val="000000"/>
          <w:szCs w:val="24"/>
          <w:lang w:val="sr-Latn-ME"/>
        </w:rPr>
        <w:tab/>
      </w:r>
      <w:r w:rsidR="007369A4" w:rsidRPr="007369A4">
        <w:rPr>
          <w:rFonts w:ascii="Calibri" w:eastAsia="Calibri" w:hAnsi="Calibri" w:cs="Times New Roman"/>
          <w:color w:val="000000"/>
          <w:szCs w:val="24"/>
          <w:lang w:val="en-GB" w:eastAsia="sr-Latn-CS"/>
        </w:rPr>
        <w:t>U skladu sa tim, tokom 2020.</w:t>
      </w:r>
      <w:r>
        <w:rPr>
          <w:rFonts w:ascii="Calibri" w:eastAsia="Calibri" w:hAnsi="Calibri" w:cs="Times New Roman"/>
          <w:color w:val="000000"/>
          <w:szCs w:val="24"/>
          <w:lang w:val="en-GB" w:eastAsia="sr-Latn-CS"/>
        </w:rPr>
        <w:t xml:space="preserve"> </w:t>
      </w:r>
      <w:r w:rsidR="007369A4" w:rsidRPr="007369A4">
        <w:rPr>
          <w:rFonts w:ascii="Calibri" w:eastAsia="Calibri" w:hAnsi="Calibri" w:cs="Times New Roman"/>
          <w:color w:val="000000"/>
          <w:szCs w:val="24"/>
          <w:lang w:val="en-GB" w:eastAsia="sr-Latn-CS"/>
        </w:rPr>
        <w:t xml:space="preserve">godine, izrađeni su </w:t>
      </w:r>
      <w:r w:rsidR="007369A4" w:rsidRPr="007369A4">
        <w:rPr>
          <w:rFonts w:ascii="Calibri" w:eastAsia="Calibri" w:hAnsi="Calibri" w:cs="Times New Roman"/>
          <w:color w:val="000000"/>
          <w:szCs w:val="24"/>
          <w:lang w:val="hr-HR"/>
        </w:rPr>
        <w:t xml:space="preserve">odgovarajući </w:t>
      </w:r>
      <w:r w:rsidR="007369A4" w:rsidRPr="007369A4">
        <w:rPr>
          <w:rFonts w:ascii="Calibri" w:eastAsia="Calibri" w:hAnsi="Calibri" w:cs="Times New Roman"/>
          <w:b/>
          <w:color w:val="000000"/>
          <w:szCs w:val="24"/>
          <w:lang w:val="hr-HR"/>
        </w:rPr>
        <w:t>Protokoli o saradnji</w:t>
      </w:r>
      <w:r w:rsidR="007369A4" w:rsidRPr="007369A4">
        <w:rPr>
          <w:rFonts w:ascii="Calibri" w:eastAsia="Calibri" w:hAnsi="Calibri" w:cs="Times New Roman"/>
          <w:color w:val="000000"/>
          <w:szCs w:val="24"/>
          <w:lang w:val="hr-HR"/>
        </w:rPr>
        <w:t xml:space="preserve"> s nadležnim institucijama (</w:t>
      </w:r>
      <w:r w:rsidR="007369A4" w:rsidRPr="007369A4">
        <w:rPr>
          <w:rFonts w:ascii="Calibri" w:eastAsia="Calibri" w:hAnsi="Calibri" w:cs="Times New Roman"/>
          <w:b/>
          <w:color w:val="000000"/>
          <w:szCs w:val="24"/>
          <w:lang w:val="hr-HR"/>
        </w:rPr>
        <w:t xml:space="preserve">Vrhovnim državnim tužilaštvom, Upravom policije, i Revizorskim tijelom), </w:t>
      </w:r>
      <w:r w:rsidR="007369A4" w:rsidRPr="007369A4">
        <w:rPr>
          <w:rFonts w:ascii="Calibri" w:eastAsia="Calibri" w:hAnsi="Calibri" w:cs="Times New Roman"/>
          <w:color w:val="000000"/>
          <w:szCs w:val="24"/>
          <w:lang w:val="hr-HR"/>
        </w:rPr>
        <w:t>čija se realizacija očekuje u narednom vremenskom periodu.</w:t>
      </w:r>
    </w:p>
    <w:p w:rsidR="007369A4" w:rsidRPr="007369A4" w:rsidRDefault="006E5F07" w:rsidP="007369A4">
      <w:pPr>
        <w:tabs>
          <w:tab w:val="left" w:pos="0"/>
        </w:tabs>
        <w:spacing w:before="0" w:after="0" w:line="240" w:lineRule="auto"/>
        <w:rPr>
          <w:rFonts w:ascii="Calibri" w:eastAsia="Calibri" w:hAnsi="Calibri" w:cs="Times New Roman"/>
          <w:color w:val="000000"/>
          <w:szCs w:val="24"/>
          <w:lang w:val="hr-HR"/>
        </w:rPr>
      </w:pPr>
      <w:r>
        <w:rPr>
          <w:rFonts w:ascii="Calibri" w:eastAsia="Times New Roman" w:hAnsi="Calibri" w:cs="Times New Roman"/>
          <w:noProof/>
          <w:color w:val="000000"/>
          <w:szCs w:val="24"/>
          <w:lang w:val="en-GB"/>
        </w:rPr>
        <w:tab/>
      </w:r>
      <w:r w:rsidR="007369A4" w:rsidRPr="007369A4">
        <w:rPr>
          <w:rFonts w:ascii="Calibri" w:eastAsia="Times New Roman" w:hAnsi="Calibri" w:cs="Times New Roman"/>
          <w:color w:val="000000"/>
          <w:szCs w:val="24"/>
          <w:lang w:val="hr-HR"/>
        </w:rPr>
        <w:t xml:space="preserve">Kako je  Crna Gora, </w:t>
      </w:r>
      <w:r w:rsidR="007369A4" w:rsidRPr="007369A4">
        <w:rPr>
          <w:rFonts w:ascii="Calibri" w:eastAsia="Calibri" w:hAnsi="Calibri" w:cs="Times New Roman"/>
          <w:color w:val="000000"/>
          <w:szCs w:val="24"/>
          <w:lang w:val="hr-HR"/>
        </w:rPr>
        <w:t>kao korisnica finansijskih sredstava iz pred-pristupnog programa pomoći IPA II, obavezna uspostaviti adekvatan sistem za suzbijanje nepravilnosti i prevara, kao i u okviru njega osigurati zaštitu finansijskih interesa EU, dakle osigurati zakonito i namjensko trošenje navedenih sredstava</w:t>
      </w:r>
      <w:r w:rsidR="007369A4" w:rsidRPr="007369A4">
        <w:rPr>
          <w:rFonts w:ascii="Calibri" w:eastAsia="Times New Roman" w:hAnsi="Calibri" w:cs="Times New Roman"/>
          <w:color w:val="000000"/>
          <w:szCs w:val="24"/>
          <w:lang w:val="hr-HR"/>
        </w:rPr>
        <w:t>, to je Odjeljenje za suzbijanje nepravilnosti i prevara u prethodnom periodu a</w:t>
      </w:r>
      <w:r w:rsidR="007369A4" w:rsidRPr="007369A4">
        <w:rPr>
          <w:rFonts w:ascii="Calibri" w:eastAsia="Calibri" w:hAnsi="Calibri" w:cs="Times New Roman"/>
          <w:color w:val="000000"/>
          <w:szCs w:val="24"/>
          <w:lang w:val="hr-HR"/>
        </w:rPr>
        <w:t>pliciralo za nekoliko projekata bilo da je riječ o vrsti ugovora o uslugama, twinning light projektu ili TAIEX/SIGMA projektu, pa su kao rezultat ovih projekata u 2019.</w:t>
      </w:r>
      <w:r>
        <w:rPr>
          <w:rFonts w:ascii="Calibri" w:eastAsia="Calibri" w:hAnsi="Calibri" w:cs="Times New Roman"/>
          <w:color w:val="000000"/>
          <w:szCs w:val="24"/>
          <w:lang w:val="hr-HR"/>
        </w:rPr>
        <w:t xml:space="preserve"> </w:t>
      </w:r>
      <w:r w:rsidR="007369A4" w:rsidRPr="007369A4">
        <w:rPr>
          <w:rFonts w:ascii="Calibri" w:eastAsia="Calibri" w:hAnsi="Calibri" w:cs="Times New Roman"/>
          <w:color w:val="000000"/>
          <w:szCs w:val="24"/>
          <w:lang w:val="hr-HR"/>
        </w:rPr>
        <w:t>i 2020. godini izrađena sl</w:t>
      </w:r>
      <w:r>
        <w:rPr>
          <w:rFonts w:ascii="Calibri" w:eastAsia="Calibri" w:hAnsi="Calibri" w:cs="Times New Roman"/>
          <w:color w:val="000000"/>
          <w:szCs w:val="24"/>
          <w:lang w:val="hr-HR"/>
        </w:rPr>
        <w:t>j</w:t>
      </w:r>
      <w:r w:rsidR="007369A4" w:rsidRPr="007369A4">
        <w:rPr>
          <w:rFonts w:ascii="Calibri" w:eastAsia="Calibri" w:hAnsi="Calibri" w:cs="Times New Roman"/>
          <w:color w:val="000000"/>
          <w:szCs w:val="24"/>
          <w:lang w:val="hr-HR"/>
        </w:rPr>
        <w:t>edeća dokumenta:</w:t>
      </w:r>
    </w:p>
    <w:p w:rsidR="007369A4" w:rsidRPr="007369A4" w:rsidRDefault="006E5F07" w:rsidP="006E5F07">
      <w:pPr>
        <w:shd w:val="clear" w:color="auto" w:fill="FFFFFF"/>
        <w:tabs>
          <w:tab w:val="left" w:pos="0"/>
        </w:tabs>
        <w:spacing w:before="0" w:after="0" w:line="240" w:lineRule="auto"/>
        <w:contextualSpacing/>
        <w:rPr>
          <w:rFonts w:ascii="Calibri" w:eastAsia="Calibri" w:hAnsi="Calibri" w:cs="Times New Roman"/>
          <w:color w:val="000000"/>
          <w:szCs w:val="24"/>
          <w:lang w:val="hr-HR" w:eastAsia="x-none"/>
        </w:rPr>
      </w:pPr>
      <w:r>
        <w:rPr>
          <w:rFonts w:ascii="Calibri" w:eastAsia="Calibri" w:hAnsi="Calibri" w:cs="Times New Roman"/>
          <w:color w:val="000000"/>
          <w:szCs w:val="24"/>
          <w:lang w:val="hr-HR" w:eastAsia="x-none"/>
        </w:rPr>
        <w:t xml:space="preserve"> - </w:t>
      </w:r>
      <w:r w:rsidR="007369A4" w:rsidRPr="007369A4">
        <w:rPr>
          <w:rFonts w:ascii="Calibri" w:eastAsia="Calibri" w:hAnsi="Calibri" w:cs="Times New Roman"/>
          <w:color w:val="000000"/>
          <w:szCs w:val="24"/>
          <w:lang w:val="hr-HR" w:eastAsia="x-none"/>
        </w:rPr>
        <w:t>Analiza institucionalnog uređenja i pravnog okvira u Crnoj Gori, u kontekstu funkcionisanja AFCOS sistema.</w:t>
      </w:r>
    </w:p>
    <w:p w:rsidR="007369A4" w:rsidRPr="007369A4" w:rsidRDefault="006E5F07" w:rsidP="006E5F07">
      <w:pPr>
        <w:shd w:val="clear" w:color="auto" w:fill="FFFFFF"/>
        <w:tabs>
          <w:tab w:val="left" w:pos="0"/>
        </w:tabs>
        <w:spacing w:before="0" w:after="0" w:line="240" w:lineRule="auto"/>
        <w:contextualSpacing/>
        <w:rPr>
          <w:rFonts w:ascii="Calibri" w:eastAsia="Calibri" w:hAnsi="Calibri" w:cs="Times New Roman"/>
          <w:color w:val="000000"/>
          <w:szCs w:val="24"/>
          <w:lang w:val="hr-HR" w:eastAsia="x-none"/>
        </w:rPr>
      </w:pPr>
      <w:r>
        <w:rPr>
          <w:rFonts w:ascii="Calibri" w:eastAsia="Calibri" w:hAnsi="Calibri" w:cs="Times New Roman"/>
          <w:color w:val="000000"/>
          <w:szCs w:val="24"/>
          <w:lang w:val="hr-HR" w:eastAsia="x-none"/>
        </w:rPr>
        <w:t xml:space="preserve"> - </w:t>
      </w:r>
      <w:r w:rsidR="007369A4" w:rsidRPr="007369A4">
        <w:rPr>
          <w:rFonts w:ascii="Calibri" w:eastAsia="Calibri" w:hAnsi="Calibri" w:cs="Times New Roman"/>
          <w:color w:val="000000"/>
          <w:szCs w:val="24"/>
          <w:lang w:val="hr-HR" w:eastAsia="x-none"/>
        </w:rPr>
        <w:t>Smjernice</w:t>
      </w:r>
      <w:r>
        <w:rPr>
          <w:rFonts w:ascii="Calibri" w:eastAsia="Calibri" w:hAnsi="Calibri" w:cs="Times New Roman"/>
          <w:color w:val="000000"/>
          <w:szCs w:val="24"/>
          <w:lang w:val="hr-HR" w:eastAsia="x-none"/>
        </w:rPr>
        <w:t xml:space="preserve"> o upravljanju nepravilnostima,</w:t>
      </w:r>
      <w:r w:rsidR="007369A4" w:rsidRPr="007369A4">
        <w:rPr>
          <w:rFonts w:ascii="Calibri" w:eastAsia="Calibri" w:hAnsi="Calibri" w:cs="Times New Roman"/>
          <w:color w:val="000000"/>
          <w:szCs w:val="24"/>
          <w:lang w:val="hr-HR" w:eastAsia="x-none"/>
        </w:rPr>
        <w:t xml:space="preserve"> koje su predstavljale adekvatnu podlogu za izmjenu Priručnika za postupanje u svim IPA tijelima, u poglavlju " Nepravilnosti", koji se u toku 2020. godine više puta usaglašavao u komunikaciji sa ekspertima i svim relevantnim tijelima u sistemu na koje se </w:t>
      </w:r>
      <w:r w:rsidR="007369A4" w:rsidRPr="007369A4">
        <w:rPr>
          <w:rFonts w:ascii="Calibri" w:eastAsia="Calibri" w:hAnsi="Calibri" w:cs="Times New Roman"/>
          <w:color w:val="000000"/>
          <w:szCs w:val="24"/>
          <w:lang w:val="hr-HR" w:eastAsia="x-none"/>
        </w:rPr>
        <w:lastRenderedPageBreak/>
        <w:t xml:space="preserve">taj Priručnik odnosi. Ovaj dokument predstavlja osnovu za rad AFCOS kancelarije i svih tijela u strukturi za izvještavanje o nepravilnostima, i kao takav bio je predmet revizije Revizorskog tijela, pa je i ocijenjen pozitivno. </w:t>
      </w:r>
    </w:p>
    <w:p w:rsidR="007369A4" w:rsidRPr="007369A4" w:rsidRDefault="006E5F07" w:rsidP="006E5F07">
      <w:pPr>
        <w:shd w:val="clear" w:color="auto" w:fill="FFFFFF"/>
        <w:tabs>
          <w:tab w:val="left" w:pos="0"/>
        </w:tabs>
        <w:spacing w:before="0" w:after="0" w:line="240" w:lineRule="auto"/>
        <w:contextualSpacing/>
        <w:rPr>
          <w:rFonts w:ascii="Calibri" w:eastAsia="Times New Roman" w:hAnsi="Calibri" w:cs="Times New Roman"/>
          <w:color w:val="000000"/>
          <w:szCs w:val="24"/>
          <w:lang w:val="en-US" w:eastAsia="x-none"/>
        </w:rPr>
      </w:pPr>
      <w:r>
        <w:rPr>
          <w:rFonts w:ascii="Calibri" w:eastAsia="Calibri" w:hAnsi="Calibri" w:cs="Times New Roman"/>
          <w:color w:val="000000"/>
          <w:szCs w:val="24"/>
          <w:lang w:val="hr-HR" w:eastAsia="x-none"/>
        </w:rPr>
        <w:t xml:space="preserve"> - </w:t>
      </w:r>
      <w:r w:rsidR="007369A4" w:rsidRPr="007369A4">
        <w:rPr>
          <w:rFonts w:ascii="Calibri" w:eastAsia="Calibri" w:hAnsi="Calibri" w:cs="Times New Roman"/>
          <w:color w:val="000000"/>
          <w:szCs w:val="24"/>
          <w:lang w:val="hr-HR" w:eastAsia="x-none"/>
        </w:rPr>
        <w:t xml:space="preserve">Metodologija analize rizika u oblasti upravljanja nepravilnostima, kao i Interne procedure za rad AFCOS kancelarije. </w:t>
      </w:r>
    </w:p>
    <w:p w:rsidR="007369A4" w:rsidRPr="007369A4" w:rsidRDefault="006E5F07" w:rsidP="006E5F07">
      <w:pPr>
        <w:shd w:val="clear" w:color="auto" w:fill="FFFFFF"/>
        <w:tabs>
          <w:tab w:val="left" w:pos="0"/>
        </w:tabs>
        <w:spacing w:before="0" w:after="0" w:line="240" w:lineRule="auto"/>
        <w:contextualSpacing/>
        <w:rPr>
          <w:rFonts w:ascii="Calibri" w:eastAsia="Times New Roman" w:hAnsi="Calibri" w:cs="Times New Roman"/>
          <w:color w:val="000000"/>
          <w:szCs w:val="24"/>
          <w:lang w:val="x-none" w:eastAsia="x-none"/>
        </w:rPr>
      </w:pPr>
      <w:r>
        <w:rPr>
          <w:rFonts w:ascii="Calibri" w:eastAsia="Calibri" w:hAnsi="Calibri" w:cs="Times New Roman"/>
          <w:color w:val="000000"/>
          <w:szCs w:val="24"/>
          <w:lang w:val="hr-HR" w:eastAsia="x-none"/>
        </w:rPr>
        <w:t xml:space="preserve"> - </w:t>
      </w:r>
      <w:r w:rsidR="007369A4" w:rsidRPr="007369A4">
        <w:rPr>
          <w:rFonts w:ascii="Calibri" w:eastAsia="Calibri" w:hAnsi="Calibri" w:cs="Times New Roman"/>
          <w:color w:val="000000"/>
          <w:szCs w:val="24"/>
          <w:lang w:val="hr-HR" w:eastAsia="x-none"/>
        </w:rPr>
        <w:t>na osnovu rezultata analize potreba za treninzima u oblasti upravljanja nepravilnostima, izrađen je Izvještaj koji uključuje Katalog treninga za period 2019.</w:t>
      </w:r>
      <w:r>
        <w:rPr>
          <w:rFonts w:ascii="Calibri" w:eastAsia="Calibri" w:hAnsi="Calibri" w:cs="Times New Roman"/>
          <w:color w:val="000000"/>
          <w:szCs w:val="24"/>
          <w:lang w:val="hr-HR" w:eastAsia="x-none"/>
        </w:rPr>
        <w:t xml:space="preserve"> </w:t>
      </w:r>
      <w:r w:rsidR="007369A4" w:rsidRPr="007369A4">
        <w:rPr>
          <w:rFonts w:ascii="Calibri" w:eastAsia="Calibri" w:hAnsi="Calibri" w:cs="Times New Roman"/>
          <w:color w:val="000000"/>
          <w:szCs w:val="24"/>
          <w:lang w:val="hr-HR" w:eastAsia="x-none"/>
        </w:rPr>
        <w:t>-2021. u kojem je naveden sadržaj pojedinih trening aktivnosti i izrađeni su Indikativni plan treninga za period 2019.-2021. godine. Iako je u Godišnjem planu treninga za 2020.</w:t>
      </w:r>
      <w:r>
        <w:rPr>
          <w:rFonts w:ascii="Calibri" w:eastAsia="Calibri" w:hAnsi="Calibri" w:cs="Times New Roman"/>
          <w:color w:val="000000"/>
          <w:szCs w:val="24"/>
          <w:lang w:val="hr-HR" w:eastAsia="x-none"/>
        </w:rPr>
        <w:t xml:space="preserve"> </w:t>
      </w:r>
      <w:r w:rsidR="007369A4" w:rsidRPr="007369A4">
        <w:rPr>
          <w:rFonts w:ascii="Calibri" w:eastAsia="Calibri" w:hAnsi="Calibri" w:cs="Times New Roman"/>
          <w:color w:val="000000"/>
          <w:szCs w:val="24"/>
          <w:lang w:val="hr-HR" w:eastAsia="x-none"/>
        </w:rPr>
        <w:t>godinu, prvobitno bilo naznačeno planirano vrijeme održavanja trening aktivnosti, za razliku od prethodne 2019.</w:t>
      </w:r>
      <w:r>
        <w:rPr>
          <w:rFonts w:ascii="Calibri" w:eastAsia="Calibri" w:hAnsi="Calibri" w:cs="Times New Roman"/>
          <w:color w:val="000000"/>
          <w:szCs w:val="24"/>
          <w:lang w:val="hr-HR" w:eastAsia="x-none"/>
        </w:rPr>
        <w:t xml:space="preserve">  </w:t>
      </w:r>
      <w:r w:rsidR="007369A4" w:rsidRPr="007369A4">
        <w:rPr>
          <w:rFonts w:ascii="Calibri" w:eastAsia="Calibri" w:hAnsi="Calibri" w:cs="Times New Roman"/>
          <w:color w:val="000000"/>
          <w:szCs w:val="24"/>
          <w:lang w:val="hr-HR" w:eastAsia="x-none"/>
        </w:rPr>
        <w:t xml:space="preserve">godine, veliki broj planiranih </w:t>
      </w:r>
      <w:r w:rsidR="007369A4" w:rsidRPr="007369A4">
        <w:rPr>
          <w:rFonts w:ascii="Calibri" w:eastAsia="Calibri" w:hAnsi="Calibri" w:cs="Times New Roman"/>
          <w:bCs/>
          <w:color w:val="000000"/>
          <w:szCs w:val="24"/>
          <w:lang w:val="hr-HR" w:eastAsia="x-none"/>
        </w:rPr>
        <w:t>edukacija se nisu realizovale zbog dobro poznatih zdravstvenih razloga tj pandemije. Ipak, nekoliko</w:t>
      </w:r>
      <w:r w:rsidR="007369A4" w:rsidRPr="007369A4">
        <w:rPr>
          <w:rFonts w:ascii="Calibri" w:eastAsia="Times New Roman" w:hAnsi="Calibri" w:cs="Times New Roman"/>
          <w:color w:val="000000"/>
          <w:szCs w:val="24"/>
          <w:lang w:val="x-none" w:eastAsia="x-none"/>
        </w:rPr>
        <w:t xml:space="preserve"> edukacij</w:t>
      </w:r>
      <w:r w:rsidR="007369A4" w:rsidRPr="007369A4">
        <w:rPr>
          <w:rFonts w:ascii="Calibri" w:eastAsia="Times New Roman" w:hAnsi="Calibri" w:cs="Times New Roman"/>
          <w:color w:val="000000"/>
          <w:szCs w:val="24"/>
          <w:lang w:eastAsia="x-none"/>
        </w:rPr>
        <w:t>a koje su se održale putem Zoom aplikacije</w:t>
      </w:r>
      <w:r w:rsidR="007369A4" w:rsidRPr="007369A4">
        <w:rPr>
          <w:rFonts w:ascii="Calibri" w:eastAsia="Times New Roman" w:hAnsi="Calibri" w:cs="Times New Roman"/>
          <w:color w:val="000000"/>
          <w:szCs w:val="24"/>
          <w:lang w:val="x-none" w:eastAsia="x-none"/>
        </w:rPr>
        <w:t xml:space="preserve"> su se odnosile na sledeću tematiku: pojmovi nepravilnosti, prevara; tzv red flags; upravljanje rizicima nepravilnosti i prevara; najčešće nepravilnosti u sektoru poljoprivrede; najčešće nepravilnosti u implementaciji raznih vrsta ugovora; nepravilnosti u implementaciji ugovora o izvođenju radova (infrastrukturni projekti) itd.</w:t>
      </w:r>
      <w:r w:rsidR="007369A4" w:rsidRPr="007369A4">
        <w:rPr>
          <w:rFonts w:ascii="Calibri" w:eastAsia="Times New Roman" w:hAnsi="Calibri" w:cs="Times New Roman"/>
          <w:color w:val="000000"/>
          <w:szCs w:val="24"/>
          <w:lang w:eastAsia="x-none"/>
        </w:rPr>
        <w:t xml:space="preserve"> </w:t>
      </w:r>
    </w:p>
    <w:p w:rsidR="007369A4" w:rsidRPr="007369A4" w:rsidRDefault="006E5F07" w:rsidP="007369A4">
      <w:pPr>
        <w:tabs>
          <w:tab w:val="left" w:pos="0"/>
        </w:tabs>
        <w:spacing w:before="0" w:after="0" w:line="240" w:lineRule="auto"/>
        <w:rPr>
          <w:rFonts w:ascii="Calibri" w:eastAsia="Calibri" w:hAnsi="Calibri" w:cs="Times New Roman"/>
          <w:color w:val="000000"/>
          <w:szCs w:val="24"/>
          <w:lang w:val="hr-HR"/>
        </w:rPr>
      </w:pPr>
      <w:r>
        <w:rPr>
          <w:rFonts w:ascii="Calibri" w:eastAsia="Calibri" w:hAnsi="Calibri" w:cs="Times New Roman"/>
          <w:bCs/>
          <w:color w:val="000000"/>
          <w:szCs w:val="24"/>
          <w:lang w:val="hr-HR"/>
        </w:rPr>
        <w:tab/>
      </w:r>
      <w:r w:rsidR="007369A4" w:rsidRPr="007369A4">
        <w:rPr>
          <w:rFonts w:ascii="Calibri" w:eastAsia="Calibri" w:hAnsi="Calibri" w:cs="Times New Roman"/>
          <w:bCs/>
          <w:color w:val="000000"/>
          <w:szCs w:val="24"/>
          <w:lang w:val="hr-HR"/>
        </w:rPr>
        <w:t xml:space="preserve">Jedna od preporuka OLAF-a je i konstantno sprovođenje edukacija za službenike tijela svih AFCOS sistema zemalja korisnica, pa samim tim i Crne Gore (Strukture za izvještavanje o nepravilnostima, AFCOS Savjetodavnog tijela i AFCOS kancelarije) </w:t>
      </w:r>
      <w:r w:rsidR="007369A4" w:rsidRPr="007369A4">
        <w:rPr>
          <w:rFonts w:ascii="Calibri" w:eastAsia="Calibri" w:hAnsi="Calibri" w:cs="Times New Roman"/>
          <w:bCs/>
          <w:i/>
          <w:color w:val="000000"/>
          <w:szCs w:val="24"/>
          <w:lang w:val="hr-HR"/>
        </w:rPr>
        <w:t>vezano za ispravno korišćenje IMS sistema</w:t>
      </w:r>
      <w:r w:rsidR="007369A4" w:rsidRPr="007369A4">
        <w:rPr>
          <w:rFonts w:ascii="Calibri" w:eastAsia="Calibri" w:hAnsi="Calibri" w:cs="Times New Roman"/>
          <w:bCs/>
          <w:i/>
          <w:color w:val="000000"/>
          <w:szCs w:val="24"/>
          <w:vertAlign w:val="superscript"/>
          <w:lang w:val="hr-HR"/>
        </w:rPr>
        <w:footnoteReference w:id="11"/>
      </w:r>
      <w:r w:rsidR="007369A4" w:rsidRPr="007369A4">
        <w:rPr>
          <w:rFonts w:ascii="Calibri" w:eastAsia="Calibri" w:hAnsi="Calibri" w:cs="Times New Roman"/>
          <w:bCs/>
          <w:i/>
          <w:color w:val="000000"/>
          <w:szCs w:val="24"/>
          <w:lang w:val="hr-HR"/>
        </w:rPr>
        <w:t xml:space="preserve"> za sve korisničke uloge (creator, manager i observer), </w:t>
      </w:r>
      <w:r w:rsidR="007369A4" w:rsidRPr="007369A4">
        <w:rPr>
          <w:rFonts w:ascii="Calibri" w:eastAsia="Calibri" w:hAnsi="Calibri" w:cs="Times New Roman"/>
          <w:bCs/>
          <w:color w:val="000000"/>
          <w:szCs w:val="24"/>
          <w:lang w:val="hr-HR"/>
        </w:rPr>
        <w:t>kako bi se postigao visok kvalitet izvještaja o nepravilnostima. S tim u vezi, službenici AFCOS kancelarije su održali niz sastanaka sa navedenim  strukturama, kako bi im instalirali sve sertifikate koji su neophodni za pristupanje IMS sistemu, bolje objasnili i približili novi način fukncionisanja IMS sistema za sve uloge (kreator, menadžer i posmatrač) i tako o</w:t>
      </w:r>
      <w:r w:rsidR="007369A4" w:rsidRPr="007369A4">
        <w:rPr>
          <w:rFonts w:ascii="Calibri" w:eastAsia="Calibri" w:hAnsi="Calibri" w:cs="Times New Roman"/>
          <w:color w:val="000000"/>
          <w:szCs w:val="24"/>
          <w:lang w:val="hr-HR"/>
        </w:rPr>
        <w:t xml:space="preserve">sigurali funkcionalniji sistem izvještavanja. </w:t>
      </w:r>
    </w:p>
    <w:p w:rsidR="007369A4" w:rsidRPr="007369A4" w:rsidRDefault="006E5F07" w:rsidP="007369A4">
      <w:pPr>
        <w:tabs>
          <w:tab w:val="left" w:pos="0"/>
        </w:tabs>
        <w:spacing w:before="0" w:after="0" w:line="240" w:lineRule="auto"/>
        <w:rPr>
          <w:rFonts w:ascii="Calibri" w:eastAsia="Calibri" w:hAnsi="Calibri" w:cs="Times New Roman"/>
          <w:color w:val="000000"/>
          <w:szCs w:val="24"/>
          <w:lang w:val="sr-Latn-ME"/>
        </w:rPr>
      </w:pPr>
      <w:r>
        <w:rPr>
          <w:rFonts w:ascii="Calibri" w:eastAsia="Times New Roman" w:hAnsi="Calibri" w:cs="Times New Roman"/>
          <w:color w:val="000000"/>
          <w:szCs w:val="24"/>
          <w:lang w:val="en-GB"/>
        </w:rPr>
        <w:tab/>
      </w:r>
      <w:r w:rsidR="007369A4" w:rsidRPr="007369A4">
        <w:rPr>
          <w:rFonts w:ascii="Calibri" w:eastAsia="Calibri" w:hAnsi="Calibri" w:cs="Times New Roman"/>
          <w:color w:val="000000"/>
          <w:szCs w:val="24"/>
          <w:lang w:val="sr-Latn-ME"/>
        </w:rPr>
        <w:t>AFCOS kancelarija je aplicirala za projekat</w:t>
      </w:r>
      <w:r w:rsidR="007369A4" w:rsidRPr="007369A4">
        <w:rPr>
          <w:rFonts w:ascii="Calibri" w:eastAsia="Calibri" w:hAnsi="Calibri" w:cs="Times New Roman"/>
          <w:color w:val="000000"/>
          <w:szCs w:val="24"/>
          <w:vertAlign w:val="superscript"/>
          <w:lang w:val="sr-Latn-ME"/>
        </w:rPr>
        <w:footnoteReference w:id="12"/>
      </w:r>
      <w:r w:rsidR="007369A4" w:rsidRPr="007369A4">
        <w:rPr>
          <w:rFonts w:ascii="Calibri" w:eastAsia="Calibri" w:hAnsi="Calibri" w:cs="Times New Roman"/>
          <w:color w:val="000000"/>
          <w:szCs w:val="24"/>
          <w:lang w:val="sr-Latn-ME"/>
        </w:rPr>
        <w:t xml:space="preserve"> pod nazivom „Obuka službenika tijela AFCOS sistema u oblasti upravljanja nepravilnostima“. Trajanje ovog projekta ugovora o uslugama će biti 12 mjeseci, a njegova vrijednost je 32.000,00 €.</w:t>
      </w:r>
      <w:r w:rsidR="007369A4" w:rsidRPr="007369A4">
        <w:rPr>
          <w:rFonts w:ascii="Calibri" w:eastAsia="Times New Roman" w:hAnsi="Calibri" w:cs="Times New Roman"/>
          <w:color w:val="000000"/>
          <w:szCs w:val="24"/>
          <w:lang w:val="en-GB"/>
        </w:rPr>
        <w:t xml:space="preserve"> U sklopu navedenog projekta AFCOS kancelarija je učestvovala u izradi tenderske dokumentacije koju čini: Projektni zadatak, Obavještenje o ugovoru, Budžet, Evaluciona mreža, Lista potencijalnih ponuđaca i Izjava o objektivnosti i povjerljivosti.</w:t>
      </w:r>
    </w:p>
    <w:p w:rsidR="007369A4" w:rsidRPr="007369A4" w:rsidRDefault="006E5F07" w:rsidP="007369A4">
      <w:pPr>
        <w:tabs>
          <w:tab w:val="left" w:pos="0"/>
        </w:tabs>
        <w:spacing w:before="0" w:after="0" w:line="240" w:lineRule="auto"/>
        <w:rPr>
          <w:rFonts w:ascii="Calibri" w:eastAsia="Calibri" w:hAnsi="Calibri" w:cs="Times New Roman"/>
          <w:color w:val="000000"/>
          <w:szCs w:val="24"/>
          <w:lang w:val="sr-Latn-ME"/>
        </w:rPr>
      </w:pPr>
      <w:r>
        <w:rPr>
          <w:rFonts w:ascii="Calibri" w:eastAsia="Calibri" w:hAnsi="Calibri" w:cs="Times New Roman"/>
          <w:color w:val="000000"/>
          <w:szCs w:val="24"/>
          <w:lang w:val="sr-Latn-ME"/>
        </w:rPr>
        <w:tab/>
      </w:r>
      <w:r w:rsidR="007369A4" w:rsidRPr="007369A4">
        <w:rPr>
          <w:rFonts w:ascii="Calibri" w:eastAsia="Calibri" w:hAnsi="Calibri" w:cs="Times New Roman"/>
          <w:color w:val="000000"/>
          <w:szCs w:val="24"/>
          <w:lang w:val="sr-Latn-ME"/>
        </w:rPr>
        <w:t>U organizaciji Njemačke konsultantske kuće Lexxion Publisher, sa sjedištem u Berlinu, koji je posvećen širenju znanja i analizi pravnog i regulatornog sistema EU putem časopisa, knjiga, seminara i konferencija, predstavnik AFCOS kancelarije učestvovao je, tokom 2020.godine, tri puta, u online kursevima (putem Zoom aplikacije), na temu „Finansijsko upravljanje, kontrola i revizija ESI fondova“</w:t>
      </w:r>
      <w:r w:rsidR="007369A4" w:rsidRPr="007369A4">
        <w:rPr>
          <w:rFonts w:ascii="Calibri" w:eastAsia="Calibri" w:hAnsi="Calibri" w:cs="Times New Roman"/>
          <w:color w:val="000000"/>
          <w:szCs w:val="24"/>
          <w:vertAlign w:val="superscript"/>
          <w:lang w:val="sr-Latn-ME"/>
        </w:rPr>
        <w:footnoteReference w:id="13"/>
      </w:r>
      <w:r w:rsidR="007369A4" w:rsidRPr="007369A4">
        <w:rPr>
          <w:rFonts w:ascii="Calibri" w:eastAsia="Calibri" w:hAnsi="Calibri" w:cs="Times New Roman"/>
          <w:color w:val="000000"/>
          <w:szCs w:val="24"/>
          <w:lang w:val="sr-Latn-ME"/>
        </w:rPr>
        <w:t xml:space="preserve">. </w:t>
      </w:r>
      <w:r w:rsidR="007369A4" w:rsidRPr="007369A4">
        <w:rPr>
          <w:rFonts w:ascii="Calibri" w:eastAsia="Calibri" w:hAnsi="Calibri" w:cs="Times New Roman"/>
          <w:i/>
          <w:color w:val="000000"/>
          <w:szCs w:val="24"/>
          <w:lang w:val="sr-Latn-ME"/>
        </w:rPr>
        <w:t>Predstavnik AFCOS kancelarije je u sklopu seminara održao predavanje na temu „Uspostavljanje i funkcionisanje AFCOS sistema na nacionalnom nivou- Iskustvo Crne Gore</w:t>
      </w:r>
      <w:r w:rsidR="007369A4" w:rsidRPr="007369A4">
        <w:rPr>
          <w:rFonts w:ascii="Calibri" w:eastAsia="Calibri" w:hAnsi="Calibri" w:cs="Times New Roman"/>
          <w:color w:val="000000"/>
          <w:szCs w:val="24"/>
          <w:lang w:val="sr-Latn-ME"/>
        </w:rPr>
        <w:t xml:space="preserve">“, na kojem je predstavnicima zemalja iz okruženja, zemljama kandidatima, ali i zemljama EU, </w:t>
      </w:r>
      <w:r w:rsidR="007369A4" w:rsidRPr="007369A4">
        <w:rPr>
          <w:rFonts w:ascii="Calibri" w:eastAsia="Calibri" w:hAnsi="Calibri" w:cs="Times New Roman"/>
          <w:i/>
          <w:color w:val="000000"/>
          <w:szCs w:val="24"/>
          <w:lang w:val="sr-Latn-ME"/>
        </w:rPr>
        <w:t xml:space="preserve">predstavljen crnogorski sistem finansijskog upravljanja i kontrole, kao i prezentovana nacionalna Strategija za borbu protiv prevara i upravljanje nepravilnostima u cilju zaštite finansijskih interesa Evropske unije. </w:t>
      </w:r>
      <w:r w:rsidR="007369A4" w:rsidRPr="007369A4">
        <w:rPr>
          <w:rFonts w:ascii="Calibri" w:eastAsia="Calibri" w:hAnsi="Calibri" w:cs="Times New Roman"/>
          <w:color w:val="000000"/>
          <w:szCs w:val="24"/>
          <w:lang w:val="sr-Latn-ME"/>
        </w:rPr>
        <w:t>Ovaj događaj omogućio je razmjenu informacija i sticanje iskustva svih predstavnika bilo da riječ o predpristupnim ili strukturnim fondovima EU.</w:t>
      </w:r>
    </w:p>
    <w:p w:rsidR="007369A4" w:rsidRPr="007369A4" w:rsidRDefault="006E5F07" w:rsidP="007369A4">
      <w:pPr>
        <w:tabs>
          <w:tab w:val="left" w:pos="0"/>
        </w:tabs>
        <w:spacing w:before="0" w:after="0" w:line="240" w:lineRule="auto"/>
        <w:rPr>
          <w:rFonts w:ascii="Calibri" w:eastAsia="Calibri" w:hAnsi="Calibri" w:cs="Times New Roman"/>
          <w:color w:val="000000"/>
          <w:szCs w:val="24"/>
          <w:lang w:val="sr-Latn-ME"/>
        </w:rPr>
      </w:pPr>
      <w:r>
        <w:rPr>
          <w:rFonts w:ascii="Calibri" w:eastAsia="Calibri" w:hAnsi="Calibri" w:cs="Times New Roman"/>
          <w:color w:val="000000"/>
          <w:szCs w:val="24"/>
          <w:lang w:val="sr-Latn-ME"/>
        </w:rPr>
        <w:tab/>
      </w:r>
      <w:r w:rsidR="007369A4" w:rsidRPr="007369A4">
        <w:rPr>
          <w:rFonts w:ascii="Calibri" w:eastAsia="Calibri" w:hAnsi="Calibri" w:cs="Times New Roman"/>
          <w:color w:val="000000"/>
          <w:szCs w:val="24"/>
          <w:lang w:val="sr-Latn-ME"/>
        </w:rPr>
        <w:t>Predstavnici AFCOS kancelarije prisustvovali su online sastanku Pododbora za ekonomska i finansijska pitanja i statistiku</w:t>
      </w:r>
      <w:r w:rsidR="007369A4" w:rsidRPr="007369A4">
        <w:rPr>
          <w:rFonts w:ascii="Calibri" w:eastAsia="Calibri" w:hAnsi="Calibri" w:cs="Times New Roman"/>
          <w:color w:val="000000"/>
          <w:szCs w:val="24"/>
          <w:vertAlign w:val="superscript"/>
          <w:lang w:val="sr-Latn-ME"/>
        </w:rPr>
        <w:footnoteReference w:id="14"/>
      </w:r>
      <w:r w:rsidR="007369A4" w:rsidRPr="007369A4">
        <w:rPr>
          <w:rFonts w:ascii="Calibri" w:eastAsia="Calibri" w:hAnsi="Calibri" w:cs="Times New Roman"/>
          <w:color w:val="000000"/>
          <w:szCs w:val="24"/>
          <w:lang w:val="sr-Latn-ME"/>
        </w:rPr>
        <w:t xml:space="preserve">, koji je održan 22.10.2020. godine, na kojem su se, između ostalih, razmatrale tekuće aktivnosti, dostignuća, ali i izazovi u predstojećem periodu u oblasti zaštite </w:t>
      </w:r>
      <w:r w:rsidR="007369A4" w:rsidRPr="007369A4">
        <w:rPr>
          <w:rFonts w:ascii="Calibri" w:eastAsia="Calibri" w:hAnsi="Calibri" w:cs="Times New Roman"/>
          <w:color w:val="000000"/>
          <w:szCs w:val="24"/>
          <w:lang w:val="sr-Latn-ME"/>
        </w:rPr>
        <w:lastRenderedPageBreak/>
        <w:t>finansijskih interesa EU.  Na navedenom sastanku prezentovan je prilog koji je pripremljen i dostavljen Evropskoj komisiji, u skladu sa uobičajenom praksom.</w:t>
      </w:r>
    </w:p>
    <w:p w:rsidR="007369A4" w:rsidRPr="007369A4" w:rsidRDefault="006E5F07" w:rsidP="007369A4">
      <w:pPr>
        <w:tabs>
          <w:tab w:val="left" w:pos="0"/>
        </w:tabs>
        <w:spacing w:before="0" w:after="0" w:line="240" w:lineRule="auto"/>
        <w:rPr>
          <w:rFonts w:ascii="Calibri" w:eastAsia="Calibri" w:hAnsi="Calibri" w:cs="Times New Roman"/>
          <w:color w:val="000000"/>
          <w:szCs w:val="24"/>
          <w:lang w:val="sr-Latn-ME"/>
        </w:rPr>
      </w:pPr>
      <w:r>
        <w:rPr>
          <w:rFonts w:ascii="Calibri" w:eastAsia="Calibri" w:hAnsi="Calibri" w:cs="Times New Roman"/>
          <w:color w:val="000000"/>
          <w:szCs w:val="24"/>
          <w:lang w:val="sr-Latn-ME"/>
        </w:rPr>
        <w:tab/>
      </w:r>
      <w:r w:rsidR="007369A4" w:rsidRPr="007369A4">
        <w:rPr>
          <w:rFonts w:ascii="Calibri" w:eastAsia="Calibri" w:hAnsi="Calibri" w:cs="Times New Roman"/>
          <w:color w:val="000000"/>
          <w:szCs w:val="24"/>
          <w:lang w:val="sr-Latn-ME"/>
        </w:rPr>
        <w:t>Takođe, u decembru 2020. godine, službenici</w:t>
      </w:r>
      <w:r w:rsidR="007369A4" w:rsidRPr="007369A4">
        <w:rPr>
          <w:rFonts w:ascii="Calibri" w:eastAsia="Calibri" w:hAnsi="Calibri" w:cs="Times New Roman"/>
          <w:color w:val="FF0000"/>
          <w:szCs w:val="24"/>
          <w:lang w:val="sr-Latn-ME"/>
        </w:rPr>
        <w:t xml:space="preserve"> </w:t>
      </w:r>
      <w:r w:rsidR="007369A4" w:rsidRPr="007369A4">
        <w:rPr>
          <w:rFonts w:ascii="Calibri" w:eastAsia="Calibri" w:hAnsi="Calibri" w:cs="Times New Roman"/>
          <w:color w:val="000000"/>
          <w:szCs w:val="24"/>
          <w:lang w:val="sr-Latn-ME"/>
        </w:rPr>
        <w:t>AFCOS kancelarije održali su obuku službenicima Direktorata za finansiranje i ugovaranje sredstava EU pomoći (CFCU) na temu upravljanja nepravilnostima (prevencija, detekcija, identifikacija i prijavljivanje nepravilnosti), sa ciljem unapređenja znanja  učesnika u sistemu upravljanja nepravilnosti. Na pomenutoj obuci pažnja je posvećena i pravilnoj upotrebi Elektronskog sistema za prijavljivanje nepravilnosti (IMS-a).</w:t>
      </w:r>
    </w:p>
    <w:p w:rsidR="007369A4" w:rsidRPr="007369A4" w:rsidRDefault="006E5F07" w:rsidP="007369A4">
      <w:pPr>
        <w:tabs>
          <w:tab w:val="left" w:pos="0"/>
        </w:tabs>
        <w:spacing w:before="0" w:after="0" w:line="240" w:lineRule="auto"/>
        <w:rPr>
          <w:rFonts w:ascii="Calibri" w:eastAsia="Times New Roman" w:hAnsi="Calibri" w:cs="Times New Roman"/>
          <w:color w:val="000000"/>
          <w:szCs w:val="24"/>
          <w:lang w:val="en-GB"/>
        </w:rPr>
      </w:pPr>
      <w:r>
        <w:rPr>
          <w:rFonts w:ascii="Calibri" w:eastAsia="Calibri" w:hAnsi="Calibri" w:cs="Times New Roman"/>
          <w:color w:val="000000"/>
          <w:szCs w:val="24"/>
          <w:lang w:val="sr-Latn-ME"/>
        </w:rPr>
        <w:tab/>
      </w:r>
      <w:r w:rsidR="007369A4" w:rsidRPr="007369A4">
        <w:rPr>
          <w:rFonts w:ascii="Calibri" w:eastAsia="Calibri" w:hAnsi="Calibri" w:cs="Times New Roman"/>
          <w:color w:val="000000"/>
          <w:szCs w:val="24"/>
          <w:lang w:val="sr-Latn-ME"/>
        </w:rPr>
        <w:t>Kada je riječ o redovnim aktivnostima AFCOS kancelarije- izvještavanje prema OLAF-u, u</w:t>
      </w:r>
      <w:r w:rsidR="007369A4" w:rsidRPr="007369A4">
        <w:rPr>
          <w:rFonts w:ascii="Calibri" w:eastAsia="Times New Roman" w:hAnsi="Calibri" w:cs="Times New Roman"/>
          <w:color w:val="000000"/>
          <w:szCs w:val="24"/>
          <w:lang w:val="en-GB"/>
        </w:rPr>
        <w:t xml:space="preserve"> toku 2020</w:t>
      </w:r>
      <w:r>
        <w:rPr>
          <w:rFonts w:ascii="Calibri" w:eastAsia="Times New Roman" w:hAnsi="Calibri" w:cs="Times New Roman"/>
          <w:color w:val="000000"/>
          <w:szCs w:val="24"/>
          <w:lang w:val="en-GB"/>
        </w:rPr>
        <w:t>.</w:t>
      </w:r>
      <w:r w:rsidR="007369A4" w:rsidRPr="007369A4">
        <w:rPr>
          <w:rFonts w:ascii="Calibri" w:eastAsia="Times New Roman" w:hAnsi="Calibri" w:cs="Times New Roman"/>
          <w:color w:val="000000"/>
          <w:szCs w:val="24"/>
          <w:lang w:val="en-GB"/>
        </w:rPr>
        <w:t xml:space="preserve"> godine AFCOS kancelarija je OLAF kancelariji putem IMS sistema prijavila ukupno 18 nepravilnosti koje su nastale prilikom implementacije projekata koji se finansiraju iz IPA fondova. U navedenom periodu je poslato i 4 Zero notification reports</w:t>
      </w:r>
      <w:r w:rsidR="007369A4" w:rsidRPr="007369A4">
        <w:rPr>
          <w:rFonts w:ascii="Calibri" w:eastAsia="Times New Roman" w:hAnsi="Calibri" w:cs="Times New Roman"/>
          <w:color w:val="000000"/>
          <w:szCs w:val="24"/>
          <w:vertAlign w:val="superscript"/>
          <w:lang w:val="en-GB"/>
        </w:rPr>
        <w:footnoteReference w:id="15"/>
      </w:r>
      <w:r w:rsidR="007369A4" w:rsidRPr="007369A4">
        <w:rPr>
          <w:rFonts w:ascii="Calibri" w:eastAsia="Times New Roman" w:hAnsi="Calibri" w:cs="Times New Roman"/>
          <w:color w:val="000000"/>
          <w:szCs w:val="24"/>
          <w:lang w:val="en-GB"/>
        </w:rPr>
        <w:t>. Kada je riječ o anonimnim prijavama i postupanju po istima, neophodno je istaći da je dana 01.06.2020. godine AFCOS kancelarija primila</w:t>
      </w:r>
      <w:r>
        <w:rPr>
          <w:rFonts w:ascii="Calibri" w:eastAsia="Times New Roman" w:hAnsi="Calibri" w:cs="Times New Roman"/>
          <w:color w:val="000000"/>
          <w:szCs w:val="24"/>
          <w:lang w:val="en-GB"/>
        </w:rPr>
        <w:t xml:space="preserve"> </w:t>
      </w:r>
      <w:r w:rsidR="007369A4" w:rsidRPr="007369A4">
        <w:rPr>
          <w:rFonts w:ascii="Calibri" w:eastAsia="Times New Roman" w:hAnsi="Calibri" w:cs="Times New Roman"/>
          <w:color w:val="000000"/>
          <w:szCs w:val="24"/>
          <w:lang w:val="en-GB"/>
        </w:rPr>
        <w:t>Anonimnu prijavu u ime grupe građana Herceg Novog o eventualnim zloupotrebama EU sredstava u slučaju projekta ADRINET – Jadranska mreža za morski ekosistem, koji se finansira iz trilateralnog programa Italija-Albanija-Crna Gora</w:t>
      </w:r>
      <w:r w:rsidR="007369A4" w:rsidRPr="007369A4">
        <w:rPr>
          <w:rFonts w:ascii="Calibri" w:eastAsia="Times New Roman" w:hAnsi="Calibri" w:cs="Times New Roman"/>
          <w:color w:val="000000"/>
          <w:szCs w:val="24"/>
          <w:vertAlign w:val="superscript"/>
          <w:lang w:val="en-GB"/>
        </w:rPr>
        <w:footnoteReference w:id="16"/>
      </w:r>
      <w:r w:rsidR="007369A4" w:rsidRPr="007369A4">
        <w:rPr>
          <w:rFonts w:ascii="Calibri" w:eastAsia="Times New Roman" w:hAnsi="Calibri" w:cs="Times New Roman"/>
          <w:color w:val="000000"/>
          <w:szCs w:val="24"/>
          <w:lang w:val="en-GB"/>
        </w:rPr>
        <w:t>. Takođe, dana 30.10.2020. godine Direkcija za prvi nivo kontrole (CFCU), dobila je dopis od strane Sindikata Kraljevskog pozorišta „Zetski dom“, a u vezi potencijalnih nepravilnosti na projektu „ADNICH</w:t>
      </w:r>
      <w:r w:rsidR="007369A4" w:rsidRPr="007369A4">
        <w:rPr>
          <w:rFonts w:ascii="Calibri" w:eastAsia="Times New Roman" w:hAnsi="Calibri" w:cs="Times New Roman"/>
          <w:color w:val="000000"/>
          <w:szCs w:val="24"/>
          <w:vertAlign w:val="superscript"/>
          <w:lang w:val="en-GB"/>
        </w:rPr>
        <w:footnoteReference w:id="17"/>
      </w:r>
      <w:r w:rsidR="007369A4" w:rsidRPr="007369A4">
        <w:rPr>
          <w:rFonts w:ascii="Calibri" w:eastAsia="Times New Roman" w:hAnsi="Calibri" w:cs="Times New Roman"/>
          <w:color w:val="000000"/>
          <w:szCs w:val="24"/>
          <w:lang w:val="en-GB"/>
        </w:rPr>
        <w:t>“. U oba slučaja, u skladu sa procedurom, AFCOS kancelarija je uputila dopis i organizovala sastanak sa predstavnicima Direktorata za finansiranje i ugovaranje sredstava EU pomoci MFSS i Kancelarije za Evropske integracije- Odsjeka za Evropsku teritorijalnu saradnju, na kojem je informisala kolege o prijavi i na kojem se raspravljalo o daljim koracima koje je neophodno preuzeti u cilju utvrđivanja eventualne nepravilnosti ili prevara.</w:t>
      </w:r>
    </w:p>
    <w:p w:rsidR="007369A4" w:rsidRPr="007369A4" w:rsidRDefault="006E5F07" w:rsidP="007369A4">
      <w:pPr>
        <w:tabs>
          <w:tab w:val="left" w:pos="0"/>
        </w:tabs>
        <w:spacing w:before="0" w:after="0" w:line="240" w:lineRule="auto"/>
        <w:rPr>
          <w:rFonts w:ascii="Calibri" w:eastAsia="Calibri" w:hAnsi="Calibri" w:cs="Times New Roman"/>
          <w:color w:val="000000"/>
          <w:szCs w:val="24"/>
          <w:lang w:val="sr-Latn-ME"/>
        </w:rPr>
      </w:pPr>
      <w:r>
        <w:rPr>
          <w:rFonts w:ascii="Calibri" w:eastAsia="Times New Roman" w:hAnsi="Calibri" w:cs="Times New Roman"/>
          <w:color w:val="000000"/>
          <w:szCs w:val="24"/>
          <w:lang w:val="en-GB"/>
        </w:rPr>
        <w:tab/>
      </w:r>
      <w:r w:rsidR="007369A4" w:rsidRPr="007369A4">
        <w:rPr>
          <w:rFonts w:ascii="Calibri" w:eastAsia="Calibri" w:hAnsi="Calibri" w:cs="Times New Roman"/>
          <w:color w:val="000000"/>
          <w:szCs w:val="24"/>
          <w:lang w:val="hr-HR"/>
        </w:rPr>
        <w:t>Pored registra treninga, AFCOS kancelarija je izradila i registar rizika, ali registar nepravilnosti, koje redovno ažurira i obavještava OLAF o svim promjenama u skladu sa pristiglim informacijama od strane tijela uključenih u proces izvještavanja.</w:t>
      </w:r>
      <w:r w:rsidR="007369A4" w:rsidRPr="007369A4">
        <w:rPr>
          <w:rFonts w:ascii="Calibri" w:eastAsia="Calibri" w:hAnsi="Calibri" w:cs="Times New Roman"/>
          <w:color w:val="000000"/>
          <w:szCs w:val="24"/>
          <w:lang w:val="sr-Latn-ME"/>
        </w:rPr>
        <w:t xml:space="preserve"> </w:t>
      </w:r>
    </w:p>
    <w:p w:rsidR="007369A4" w:rsidRPr="007369A4" w:rsidRDefault="006E5F07" w:rsidP="007369A4">
      <w:pPr>
        <w:tabs>
          <w:tab w:val="left" w:pos="0"/>
        </w:tabs>
        <w:spacing w:before="0" w:after="0" w:line="240" w:lineRule="auto"/>
        <w:rPr>
          <w:rFonts w:ascii="Calibri" w:eastAsia="Calibri" w:hAnsi="Calibri" w:cs="Times New Roman"/>
          <w:color w:val="000000"/>
          <w:szCs w:val="24"/>
          <w:lang w:val="sr-Latn-ME"/>
        </w:rPr>
      </w:pPr>
      <w:r>
        <w:rPr>
          <w:rFonts w:ascii="Calibri" w:eastAsia="Calibri" w:hAnsi="Calibri" w:cs="Times New Roman"/>
          <w:color w:val="000000"/>
          <w:szCs w:val="24"/>
          <w:lang w:val="sr-Latn-ME"/>
        </w:rPr>
        <w:tab/>
      </w:r>
      <w:r w:rsidR="007369A4" w:rsidRPr="007369A4">
        <w:rPr>
          <w:rFonts w:ascii="Calibri" w:eastAsia="Calibri" w:hAnsi="Calibri" w:cs="Times New Roman"/>
          <w:color w:val="000000"/>
          <w:szCs w:val="24"/>
          <w:lang w:val="sr-Latn-ME"/>
        </w:rPr>
        <w:t>Crna Gora osigurava saradnju sa Evropskom komisijom u vidu izvještavanja o utvrđenim nepravilnostima i pruža svu relevantnu podršku kada je to potrebno. Izvještavanje o nepravilnostima će se voditi i u budućnosti, prema postupcima opisanim u Smjernicama o upravljanju nepravilnostima.</w:t>
      </w:r>
    </w:p>
    <w:p w:rsidR="00B55665" w:rsidRDefault="00B55665" w:rsidP="008F659F">
      <w:pPr>
        <w:pStyle w:val="PlainText"/>
        <w:jc w:val="both"/>
        <w:rPr>
          <w:rFonts w:asciiTheme="minorHAnsi" w:hAnsiTheme="minorHAnsi" w:cs="Arial"/>
          <w:b/>
          <w:sz w:val="24"/>
          <w:szCs w:val="24"/>
        </w:rPr>
      </w:pPr>
    </w:p>
    <w:p w:rsidR="00B55665" w:rsidRDefault="006E5F07" w:rsidP="006E5F07">
      <w:pPr>
        <w:pStyle w:val="PlainText"/>
        <w:shd w:val="clear" w:color="auto" w:fill="F9D8CD" w:themeFill="accent1" w:themeFillTint="33"/>
        <w:ind w:firstLine="709"/>
        <w:jc w:val="both"/>
        <w:rPr>
          <w:rFonts w:asciiTheme="minorHAnsi" w:hAnsiTheme="minorHAnsi" w:cs="Arial"/>
          <w:b/>
          <w:sz w:val="24"/>
          <w:szCs w:val="24"/>
        </w:rPr>
      </w:pPr>
      <w:r>
        <w:rPr>
          <w:rFonts w:asciiTheme="minorHAnsi" w:hAnsiTheme="minorHAnsi" w:cs="Arial"/>
          <w:b/>
          <w:sz w:val="24"/>
          <w:szCs w:val="24"/>
        </w:rPr>
        <w:t>15. ODJELJENJE ZA UNUTRAŠNJU REVIZIJU</w:t>
      </w:r>
    </w:p>
    <w:p w:rsidR="002E0ED2" w:rsidRPr="002E0ED2" w:rsidRDefault="002E0ED2" w:rsidP="00333987">
      <w:pPr>
        <w:shd w:val="clear" w:color="auto" w:fill="FFFFFF"/>
        <w:spacing w:after="0" w:line="240" w:lineRule="auto"/>
        <w:ind w:firstLine="709"/>
        <w:rPr>
          <w:rFonts w:ascii="Calibri" w:eastAsia="Calibri" w:hAnsi="Calibri" w:cs="Times New Roman"/>
          <w:szCs w:val="24"/>
          <w:shd w:val="clear" w:color="auto" w:fill="FFFFFF"/>
        </w:rPr>
      </w:pPr>
      <w:r w:rsidRPr="002E0ED2">
        <w:rPr>
          <w:rFonts w:ascii="Calibri" w:eastAsia="Calibri" w:hAnsi="Calibri" w:cs="Times New Roman"/>
          <w:szCs w:val="24"/>
          <w:lang w:val="sr-Latn-RS"/>
        </w:rPr>
        <w:t xml:space="preserve">U toku 2020. godine revizori Odjeljenja za unutrašnju reviziju su obavili 6 revizija. Dvije revizije su obavljene u Ministarstvu finansija, a 4 revizije kod subjekata javnog sektora koji su bili u nadležnosti Ministarstva finansija i to: Zaštitnik imovinsko pravnih interesa Crne Gore, Uprava za nekretnine, Uprava carina i Poreska </w:t>
      </w:r>
      <w:r w:rsidRPr="002E0ED2">
        <w:rPr>
          <w:rFonts w:ascii="Calibri" w:eastAsia="Calibri" w:hAnsi="Calibri" w:cs="Times New Roman"/>
          <w:szCs w:val="24"/>
          <w:shd w:val="clear" w:color="auto" w:fill="FFFFFF"/>
          <w:lang w:val="sr-Latn-RS"/>
        </w:rPr>
        <w:t xml:space="preserve">uprava. Od 1. septembra 2020. godine u Ministarstvu finansija je formirano </w:t>
      </w:r>
      <w:r w:rsidRPr="002E0ED2">
        <w:rPr>
          <w:rFonts w:ascii="Calibri" w:eastAsia="Calibri" w:hAnsi="Calibri" w:cs="Times New Roman"/>
          <w:szCs w:val="24"/>
          <w:shd w:val="clear" w:color="auto" w:fill="FFFFFF"/>
        </w:rPr>
        <w:t>novo Odjeljenje za unutrašnju reviziju Fondova EU u javnom sektoru i shodno tome, dvije revizije koje su planirane u III i IV kvartalu, a odnosile su se na revizije EU fondova, nisu urađene već su prešle u nadležnost novoosnovanog Odjeljenja.</w:t>
      </w:r>
    </w:p>
    <w:p w:rsidR="002E0ED2" w:rsidRDefault="002E0ED2" w:rsidP="002E0ED2">
      <w:pPr>
        <w:tabs>
          <w:tab w:val="left" w:pos="2265"/>
        </w:tabs>
        <w:spacing w:before="0" w:after="0" w:line="240" w:lineRule="auto"/>
        <w:rPr>
          <w:rFonts w:ascii="Calibri" w:eastAsia="Calibri" w:hAnsi="Calibri" w:cs="Times New Roman"/>
          <w:color w:val="000000"/>
          <w:szCs w:val="24"/>
          <w:lang w:val="en-GB" w:eastAsia="x-none"/>
        </w:rPr>
      </w:pPr>
      <w:r>
        <w:rPr>
          <w:rFonts w:ascii="Calibri" w:eastAsia="Calibri" w:hAnsi="Calibri" w:cs="Times New Roman"/>
          <w:color w:val="000000"/>
          <w:szCs w:val="24"/>
          <w:lang w:val="en-GB" w:eastAsia="x-none"/>
        </w:rPr>
        <w:t xml:space="preserve">            </w:t>
      </w:r>
      <w:r w:rsidRPr="002E0ED2">
        <w:rPr>
          <w:rFonts w:ascii="Calibri" w:eastAsia="Calibri" w:hAnsi="Calibri" w:cs="Times New Roman"/>
          <w:color w:val="000000"/>
          <w:szCs w:val="24"/>
          <w:lang w:val="en-GB" w:eastAsia="x-none"/>
        </w:rPr>
        <w:t>Shodno Uredbi o uspostavljanju unutrašnje revizije u javnom sektoru od 23.12.2019.</w:t>
      </w:r>
      <w:r>
        <w:rPr>
          <w:rFonts w:ascii="Calibri" w:eastAsia="Calibri" w:hAnsi="Calibri" w:cs="Times New Roman"/>
          <w:color w:val="000000"/>
          <w:szCs w:val="24"/>
          <w:lang w:val="en-GB" w:eastAsia="x-none"/>
        </w:rPr>
        <w:t xml:space="preserve"> </w:t>
      </w:r>
      <w:r w:rsidRPr="002E0ED2">
        <w:rPr>
          <w:rFonts w:ascii="Calibri" w:eastAsia="Calibri" w:hAnsi="Calibri" w:cs="Times New Roman"/>
          <w:color w:val="000000"/>
          <w:szCs w:val="24"/>
          <w:lang w:val="en-GB" w:eastAsia="x-none"/>
        </w:rPr>
        <w:t xml:space="preserve">godine (Službeni list CG”, br.070/19), Odjeljenju su dati pod nazor 10 organa državne uprave i potpisana 3 </w:t>
      </w:r>
      <w:r w:rsidRPr="002E0ED2">
        <w:rPr>
          <w:rFonts w:ascii="Calibri" w:eastAsia="Calibri" w:hAnsi="Calibri" w:cs="Times New Roman"/>
          <w:color w:val="000000"/>
          <w:szCs w:val="24"/>
          <w:lang w:val="en-GB" w:eastAsia="x-none"/>
        </w:rPr>
        <w:lastRenderedPageBreak/>
        <w:t>Sporazuma o povjeravanju poslova unutrašnje revizije. (državni organi, potpisnici Sporazuma iz ranijih go</w:t>
      </w:r>
      <w:r w:rsidR="00AD3BDB">
        <w:rPr>
          <w:rFonts w:ascii="Calibri" w:eastAsia="Calibri" w:hAnsi="Calibri" w:cs="Times New Roman"/>
          <w:color w:val="000000"/>
          <w:szCs w:val="24"/>
          <w:lang w:val="en-GB" w:eastAsia="x-none"/>
        </w:rPr>
        <w:t>dina dužni su da iste i obnove).</w:t>
      </w:r>
    </w:p>
    <w:p w:rsidR="00AD3BDB" w:rsidRDefault="00AD3BDB" w:rsidP="002E0ED2">
      <w:pPr>
        <w:tabs>
          <w:tab w:val="left" w:pos="2265"/>
        </w:tabs>
        <w:spacing w:before="0" w:after="0" w:line="240" w:lineRule="auto"/>
        <w:rPr>
          <w:rFonts w:ascii="Calibri" w:eastAsia="Calibri" w:hAnsi="Calibri" w:cs="Times New Roman"/>
          <w:color w:val="000000"/>
          <w:szCs w:val="24"/>
          <w:lang w:val="en-GB" w:eastAsia="x-none"/>
        </w:rPr>
      </w:pPr>
    </w:p>
    <w:p w:rsidR="00AD3BDB" w:rsidRPr="00AD3BDB" w:rsidRDefault="00AD3BDB" w:rsidP="002E0ED2">
      <w:pPr>
        <w:tabs>
          <w:tab w:val="left" w:pos="2265"/>
        </w:tabs>
        <w:spacing w:before="0" w:after="0" w:line="240" w:lineRule="auto"/>
        <w:rPr>
          <w:rFonts w:ascii="Calibri" w:eastAsia="Calibri" w:hAnsi="Calibri" w:cs="Times New Roman"/>
          <w:b/>
          <w:color w:val="000000"/>
          <w:szCs w:val="24"/>
          <w:lang w:val="en-GB" w:eastAsia="x-none"/>
        </w:rPr>
      </w:pPr>
      <w:r>
        <w:rPr>
          <w:rFonts w:ascii="Calibri" w:eastAsia="Calibri" w:hAnsi="Calibri" w:cs="Times New Roman"/>
          <w:color w:val="000000"/>
          <w:szCs w:val="24"/>
          <w:lang w:val="en-GB" w:eastAsia="x-none"/>
        </w:rPr>
        <w:t xml:space="preserve">            </w:t>
      </w:r>
      <w:r w:rsidRPr="00AD3BDB">
        <w:rPr>
          <w:rFonts w:ascii="Calibri" w:eastAsia="Calibri" w:hAnsi="Calibri" w:cs="Times New Roman"/>
          <w:b/>
          <w:color w:val="000000"/>
          <w:szCs w:val="24"/>
          <w:shd w:val="clear" w:color="auto" w:fill="F9D8CD" w:themeFill="accent1" w:themeFillTint="33"/>
          <w:lang w:val="en-GB" w:eastAsia="x-none"/>
        </w:rPr>
        <w:t xml:space="preserve">16. </w:t>
      </w:r>
      <w:r>
        <w:rPr>
          <w:rFonts w:ascii="Calibri" w:eastAsia="Calibri" w:hAnsi="Calibri" w:cs="Times New Roman"/>
          <w:b/>
          <w:color w:val="000000"/>
          <w:szCs w:val="24"/>
          <w:shd w:val="clear" w:color="auto" w:fill="F9D8CD" w:themeFill="accent1" w:themeFillTint="33"/>
          <w:lang w:val="en-GB" w:eastAsia="x-none"/>
        </w:rPr>
        <w:t>ODJELJENJE ZA UNUTRAŠNJU</w:t>
      </w:r>
      <w:r w:rsidR="00C60869">
        <w:rPr>
          <w:rFonts w:ascii="Calibri" w:eastAsia="Calibri" w:hAnsi="Calibri" w:cs="Times New Roman"/>
          <w:b/>
          <w:color w:val="000000"/>
          <w:szCs w:val="24"/>
          <w:shd w:val="clear" w:color="auto" w:fill="F9D8CD" w:themeFill="accent1" w:themeFillTint="33"/>
          <w:lang w:val="en-GB" w:eastAsia="x-none"/>
        </w:rPr>
        <w:t xml:space="preserve"> REVIZIJU</w:t>
      </w:r>
      <w:r w:rsidRPr="00AD3BDB">
        <w:rPr>
          <w:rFonts w:ascii="Calibri" w:eastAsia="Calibri" w:hAnsi="Calibri" w:cs="Times New Roman"/>
          <w:b/>
          <w:color w:val="000000"/>
          <w:szCs w:val="24"/>
          <w:shd w:val="clear" w:color="auto" w:fill="F9D8CD" w:themeFill="accent1" w:themeFillTint="33"/>
          <w:lang w:val="en-GB" w:eastAsia="x-none"/>
        </w:rPr>
        <w:t xml:space="preserve"> FONDOVA</w:t>
      </w:r>
      <w:r>
        <w:rPr>
          <w:rFonts w:ascii="Calibri" w:eastAsia="Calibri" w:hAnsi="Calibri" w:cs="Times New Roman"/>
          <w:b/>
          <w:color w:val="000000"/>
          <w:szCs w:val="24"/>
          <w:shd w:val="clear" w:color="auto" w:fill="F9D8CD" w:themeFill="accent1" w:themeFillTint="33"/>
          <w:lang w:val="en-GB" w:eastAsia="x-none"/>
        </w:rPr>
        <w:t xml:space="preserve"> EU</w:t>
      </w:r>
      <w:r w:rsidRPr="00AD3BDB">
        <w:rPr>
          <w:rFonts w:ascii="Calibri" w:eastAsia="Calibri" w:hAnsi="Calibri" w:cs="Times New Roman"/>
          <w:b/>
          <w:color w:val="000000"/>
          <w:szCs w:val="24"/>
          <w:shd w:val="clear" w:color="auto" w:fill="F9D8CD" w:themeFill="accent1" w:themeFillTint="33"/>
          <w:lang w:val="en-GB" w:eastAsia="x-none"/>
        </w:rPr>
        <w:t xml:space="preserve"> U JAVNOM SEKTORU</w:t>
      </w:r>
    </w:p>
    <w:p w:rsidR="00AD3BDB" w:rsidRPr="00AD3BDB" w:rsidRDefault="00AD3BDB" w:rsidP="00AD3BDB">
      <w:pPr>
        <w:spacing w:after="0" w:line="240" w:lineRule="auto"/>
        <w:ind w:firstLine="709"/>
        <w:rPr>
          <w:rFonts w:ascii="Calibri" w:eastAsia="Calibri" w:hAnsi="Calibri" w:cs="Times New Roman"/>
          <w:szCs w:val="24"/>
          <w:lang w:val="en-GB"/>
        </w:rPr>
      </w:pPr>
      <w:r w:rsidRPr="00AD3BDB">
        <w:rPr>
          <w:rFonts w:ascii="Calibri" w:eastAsia="Calibri" w:hAnsi="Calibri" w:cs="Times New Roman"/>
          <w:szCs w:val="24"/>
          <w:lang w:val="en-GB"/>
        </w:rPr>
        <w:t>U skladu sa Uredbom o uspostavljanju unutrašnje revizije u javnom sektoru od 21. novembra 2019.</w:t>
      </w:r>
      <w:r>
        <w:rPr>
          <w:rFonts w:ascii="Calibri" w:eastAsia="Calibri" w:hAnsi="Calibri" w:cs="Times New Roman"/>
          <w:szCs w:val="24"/>
          <w:lang w:val="en-GB"/>
        </w:rPr>
        <w:t xml:space="preserve"> </w:t>
      </w:r>
      <w:r w:rsidRPr="00AD3BDB">
        <w:rPr>
          <w:rFonts w:ascii="Calibri" w:eastAsia="Calibri" w:hAnsi="Calibri" w:cs="Times New Roman"/>
          <w:szCs w:val="24"/>
          <w:lang w:val="en-GB"/>
        </w:rPr>
        <w:t>godine i Pravilnikom o unutrašnjoj organizaciji i sitematizaciji Ministarstva finansija, verifikovanog zaključcima Vlade od 20. avgusta 2020. godine, uspostavljeno je Odjeljenje za unutrašnju reviz</w:t>
      </w:r>
      <w:r>
        <w:rPr>
          <w:rFonts w:ascii="Calibri" w:eastAsia="Calibri" w:hAnsi="Calibri" w:cs="Times New Roman"/>
          <w:szCs w:val="24"/>
          <w:lang w:val="en-GB"/>
        </w:rPr>
        <w:t xml:space="preserve">iju fondova EU u javnom sektoru. </w:t>
      </w:r>
      <w:r w:rsidRPr="00AD3BDB">
        <w:rPr>
          <w:rFonts w:ascii="Calibri" w:eastAsia="Calibri" w:hAnsi="Calibri" w:cs="Times New Roman"/>
          <w:szCs w:val="24"/>
          <w:lang w:val="en-GB"/>
        </w:rPr>
        <w:t>Odjeljenje će vršiti revizije kod svih sadašnjih i budućih korisnika fondova EU kao i drugih fondova i sredstava koja obezbjeđuju druga međunarodna tijela i institucije. Iz priloženog se može zaključiti da je Odjeljenje osnovano u trećem kvartalu 2020. godine pa u trenutku izvještavanja postojanje istog je manje od godinu dana, tačnije osam mjeseci.</w:t>
      </w:r>
    </w:p>
    <w:p w:rsidR="00AD3BDB" w:rsidRPr="00AD3BDB" w:rsidRDefault="00AD3BDB" w:rsidP="00AD3BDB">
      <w:pPr>
        <w:spacing w:before="0" w:after="0" w:line="240" w:lineRule="auto"/>
        <w:rPr>
          <w:rFonts w:ascii="Calibri" w:eastAsia="Calibri" w:hAnsi="Calibri" w:cs="Times New Roman"/>
          <w:szCs w:val="24"/>
          <w:lang w:val="en-GB"/>
        </w:rPr>
      </w:pPr>
      <w:r w:rsidRPr="00AD3BDB">
        <w:rPr>
          <w:rFonts w:ascii="Calibri" w:eastAsia="Calibri" w:hAnsi="Calibri" w:cs="Times New Roman"/>
          <w:szCs w:val="24"/>
          <w:lang w:val="en-GB"/>
        </w:rPr>
        <w:t xml:space="preserve">U nastavku su nabrojane najznačajnije aktivnosti od osnivanja do perioda izvještavanja: </w:t>
      </w:r>
    </w:p>
    <w:p w:rsidR="00AD3BDB" w:rsidRPr="00AD3BDB" w:rsidRDefault="00AD3BDB" w:rsidP="00146EBE">
      <w:pPr>
        <w:numPr>
          <w:ilvl w:val="0"/>
          <w:numId w:val="53"/>
        </w:numPr>
        <w:spacing w:before="0" w:after="0" w:line="240" w:lineRule="auto"/>
        <w:contextualSpacing/>
        <w:rPr>
          <w:rFonts w:ascii="Calibri" w:eastAsia="Calibri" w:hAnsi="Calibri" w:cs="Times New Roman"/>
          <w:szCs w:val="24"/>
          <w:lang w:val="en-GB"/>
        </w:rPr>
      </w:pPr>
      <w:r w:rsidRPr="00AD3BDB">
        <w:rPr>
          <w:rFonts w:ascii="Calibri" w:eastAsia="Calibri" w:hAnsi="Calibri" w:cs="Times New Roman"/>
          <w:szCs w:val="24"/>
          <w:lang w:val="en-GB"/>
        </w:rPr>
        <w:t xml:space="preserve">potpisana je Povelja unutrašnje revizije kao najznačajniji strateški dokument Odjeljenja; </w:t>
      </w:r>
    </w:p>
    <w:p w:rsidR="00AD3BDB" w:rsidRPr="00AD3BDB" w:rsidRDefault="00AD3BDB" w:rsidP="00146EBE">
      <w:pPr>
        <w:numPr>
          <w:ilvl w:val="0"/>
          <w:numId w:val="53"/>
        </w:numPr>
        <w:spacing w:before="0" w:after="0" w:line="240" w:lineRule="auto"/>
        <w:contextualSpacing/>
        <w:rPr>
          <w:rFonts w:ascii="Calibri" w:eastAsia="Calibri" w:hAnsi="Calibri" w:cs="Times New Roman"/>
          <w:szCs w:val="24"/>
          <w:lang w:val="en-GB"/>
        </w:rPr>
      </w:pPr>
      <w:r w:rsidRPr="00AD3BDB">
        <w:rPr>
          <w:rFonts w:ascii="Calibri" w:eastAsia="Calibri" w:hAnsi="Calibri" w:cs="Times New Roman"/>
          <w:szCs w:val="24"/>
          <w:lang w:val="en-GB"/>
        </w:rPr>
        <w:t>Strateški i godišnji planovi su iz</w:t>
      </w:r>
      <w:r w:rsidRPr="00AD3BDB">
        <w:rPr>
          <w:rFonts w:ascii="Calibri" w:eastAsia="Calibri" w:hAnsi="Calibri" w:cs="Times New Roman"/>
          <w:szCs w:val="24"/>
          <w:lang w:val="sr-Latn-ME"/>
        </w:rPr>
        <w:t>rađeni i čeka se na komentare od strane DG Near</w:t>
      </w:r>
      <w:r w:rsidRPr="00AD3BDB">
        <w:rPr>
          <w:rFonts w:ascii="Calibri" w:eastAsia="Calibri" w:hAnsi="Calibri" w:cs="Times New Roman"/>
          <w:szCs w:val="24"/>
          <w:lang w:val="en-GB"/>
        </w:rPr>
        <w:t>, nakon čega će se potpisati od strane relevantih službenika;</w:t>
      </w:r>
    </w:p>
    <w:p w:rsidR="00AD3BDB" w:rsidRPr="00AD3BDB" w:rsidRDefault="00AD3BDB" w:rsidP="00146EBE">
      <w:pPr>
        <w:numPr>
          <w:ilvl w:val="0"/>
          <w:numId w:val="53"/>
        </w:numPr>
        <w:spacing w:before="0" w:after="0" w:line="240" w:lineRule="auto"/>
        <w:contextualSpacing/>
        <w:rPr>
          <w:rFonts w:ascii="Calibri" w:eastAsia="Calibri" w:hAnsi="Calibri" w:cs="Times New Roman"/>
          <w:szCs w:val="24"/>
          <w:lang w:val="en-GB"/>
        </w:rPr>
      </w:pPr>
      <w:r w:rsidRPr="00AD3BDB">
        <w:rPr>
          <w:rFonts w:ascii="Calibri" w:eastAsia="Calibri" w:hAnsi="Calibri" w:cs="Times New Roman"/>
          <w:szCs w:val="24"/>
          <w:lang w:val="en-GB"/>
        </w:rPr>
        <w:t>U okviru strateškog i godišnjeg planiranja urađene su analize rizika za Operativnu strukturu koja će biti predmet budućih revizija;</w:t>
      </w:r>
    </w:p>
    <w:p w:rsidR="00AD3BDB" w:rsidRPr="00AD3BDB" w:rsidRDefault="00AD3BDB" w:rsidP="00146EBE">
      <w:pPr>
        <w:numPr>
          <w:ilvl w:val="0"/>
          <w:numId w:val="53"/>
        </w:numPr>
        <w:spacing w:before="0" w:after="0" w:line="240" w:lineRule="auto"/>
        <w:contextualSpacing/>
        <w:rPr>
          <w:rFonts w:ascii="Calibri" w:eastAsia="Calibri" w:hAnsi="Calibri" w:cs="Times New Roman"/>
          <w:szCs w:val="24"/>
          <w:lang w:val="en-GB"/>
        </w:rPr>
      </w:pPr>
      <w:r w:rsidRPr="00AD3BDB">
        <w:rPr>
          <w:rFonts w:ascii="Calibri" w:eastAsia="Calibri" w:hAnsi="Calibri" w:cs="Times New Roman"/>
          <w:szCs w:val="24"/>
          <w:lang w:val="en-GB"/>
        </w:rPr>
        <w:t>Odjeljenje je apliciralo kroz tehničku pomoć projekat vrijedan 100.000 € čiji će budući korisnici biti revizori Odjeljenja Ministarstva finansija i socijalnog staranja (očekuje se odobrenje Delegacije EU nakon popunjavanja slobodnih radnih mjesta u Odjeljenju);</w:t>
      </w:r>
    </w:p>
    <w:p w:rsidR="00AD3BDB" w:rsidRPr="00AD3BDB" w:rsidRDefault="00AD3BDB" w:rsidP="00146EBE">
      <w:pPr>
        <w:numPr>
          <w:ilvl w:val="0"/>
          <w:numId w:val="53"/>
        </w:numPr>
        <w:spacing w:before="0" w:after="0" w:line="240" w:lineRule="auto"/>
        <w:contextualSpacing/>
        <w:rPr>
          <w:rFonts w:ascii="Calibri" w:eastAsia="Calibri" w:hAnsi="Calibri" w:cs="Times New Roman"/>
          <w:szCs w:val="24"/>
          <w:lang w:val="en-GB"/>
        </w:rPr>
      </w:pPr>
      <w:r w:rsidRPr="00AD3BDB">
        <w:rPr>
          <w:rFonts w:ascii="Calibri" w:eastAsia="Calibri" w:hAnsi="Calibri" w:cs="Times New Roman"/>
          <w:szCs w:val="24"/>
          <w:lang w:val="en-GB"/>
        </w:rPr>
        <w:t>Odobreno putovanje za studijsku posjetu Ministarstvu financija Hrvatske u trajanju od 5 dana (usljed korona virusa isto je odloženo da se realizuje tokom 2021. godine ukoliko se stvore uslovi);</w:t>
      </w:r>
    </w:p>
    <w:p w:rsidR="00AD3BDB" w:rsidRPr="00AD3BDB" w:rsidRDefault="00AD3BDB" w:rsidP="00146EBE">
      <w:pPr>
        <w:numPr>
          <w:ilvl w:val="0"/>
          <w:numId w:val="53"/>
        </w:numPr>
        <w:spacing w:before="0" w:after="0" w:line="240" w:lineRule="auto"/>
        <w:contextualSpacing/>
        <w:rPr>
          <w:rFonts w:ascii="Calibri" w:eastAsia="Calibri" w:hAnsi="Calibri" w:cs="Times New Roman"/>
          <w:szCs w:val="24"/>
          <w:lang w:val="en-GB"/>
        </w:rPr>
      </w:pPr>
      <w:r w:rsidRPr="00AD3BDB">
        <w:rPr>
          <w:rFonts w:ascii="Calibri" w:eastAsia="Calibri" w:hAnsi="Calibri" w:cs="Times New Roman"/>
          <w:szCs w:val="24"/>
          <w:lang w:val="en-GB"/>
        </w:rPr>
        <w:t>Izrađen je GI-UR (godišnji izvještaj unutrašnje revizije za Ministra i CHU) čiji je rok za slanje 15.</w:t>
      </w:r>
      <w:r>
        <w:rPr>
          <w:rFonts w:ascii="Calibri" w:eastAsia="Calibri" w:hAnsi="Calibri" w:cs="Times New Roman"/>
          <w:szCs w:val="24"/>
          <w:lang w:val="en-GB"/>
        </w:rPr>
        <w:t xml:space="preserve"> </w:t>
      </w:r>
      <w:r w:rsidRPr="00AD3BDB">
        <w:rPr>
          <w:rFonts w:ascii="Calibri" w:eastAsia="Calibri" w:hAnsi="Calibri" w:cs="Times New Roman"/>
          <w:szCs w:val="24"/>
          <w:lang w:val="en-GB"/>
        </w:rPr>
        <w:t>februar 2021.godine u skladu sa Zakonom o upravljanju i unutrašnjim kontrolama u javnom sektoru;</w:t>
      </w:r>
    </w:p>
    <w:p w:rsidR="00AD3BDB" w:rsidRPr="00AD3BDB" w:rsidRDefault="00AD3BDB" w:rsidP="00146EBE">
      <w:pPr>
        <w:numPr>
          <w:ilvl w:val="0"/>
          <w:numId w:val="53"/>
        </w:numPr>
        <w:spacing w:before="0" w:after="0" w:line="240" w:lineRule="auto"/>
        <w:contextualSpacing/>
        <w:rPr>
          <w:rFonts w:ascii="Calibri" w:eastAsia="Calibri" w:hAnsi="Calibri" w:cs="Times New Roman"/>
          <w:szCs w:val="24"/>
          <w:lang w:val="en-GB"/>
        </w:rPr>
      </w:pPr>
      <w:r w:rsidRPr="00AD3BDB">
        <w:rPr>
          <w:rFonts w:ascii="Calibri" w:eastAsia="Calibri" w:hAnsi="Calibri" w:cs="Times New Roman"/>
          <w:szCs w:val="24"/>
          <w:lang w:val="en-GB"/>
        </w:rPr>
        <w:t xml:space="preserve">Revizori prisustvuju obukama domaćih i stranih predavača (CHU i SIGMA) čime ostvaruju potreban broj obuka u skladu sa Pravilnikom o posebnom programu profesionalnog usavršavanja unutrašnjih revizora u javnom sektoru; </w:t>
      </w:r>
    </w:p>
    <w:p w:rsidR="00AD3BDB" w:rsidRPr="00AD3BDB" w:rsidRDefault="00AD3BDB" w:rsidP="00146EBE">
      <w:pPr>
        <w:numPr>
          <w:ilvl w:val="0"/>
          <w:numId w:val="53"/>
        </w:numPr>
        <w:spacing w:before="0" w:after="0" w:line="240" w:lineRule="auto"/>
        <w:contextualSpacing/>
        <w:rPr>
          <w:rFonts w:ascii="Calibri" w:eastAsia="Calibri" w:hAnsi="Calibri" w:cs="Times New Roman"/>
          <w:szCs w:val="24"/>
          <w:lang w:val="en-GB"/>
        </w:rPr>
      </w:pPr>
      <w:r w:rsidRPr="00AD3BDB">
        <w:rPr>
          <w:rFonts w:ascii="Calibri" w:eastAsia="Calibri" w:hAnsi="Calibri" w:cs="Times New Roman"/>
          <w:szCs w:val="24"/>
          <w:lang w:val="en-GB"/>
        </w:rPr>
        <w:t>Jedan revizor (mlađi unutrašnji revizor) prisustvuje sertifikaciji za unutrašnjeg revizora koji će trajati u periodu od godinu dana počevši od mjeseca februara 2021.godine</w:t>
      </w:r>
      <w:r>
        <w:rPr>
          <w:rFonts w:ascii="Calibri" w:eastAsia="Calibri" w:hAnsi="Calibri" w:cs="Times New Roman"/>
          <w:szCs w:val="24"/>
          <w:lang w:val="en-GB"/>
        </w:rPr>
        <w:t>.</w:t>
      </w:r>
    </w:p>
    <w:p w:rsidR="00093262" w:rsidRDefault="00093262" w:rsidP="00AD3BDB">
      <w:pPr>
        <w:pStyle w:val="NoSpacing"/>
        <w:jc w:val="both"/>
        <w:rPr>
          <w:rFonts w:asciiTheme="minorHAnsi" w:hAnsiTheme="minorHAnsi" w:cs="Arial"/>
          <w:b/>
          <w:sz w:val="24"/>
          <w:szCs w:val="24"/>
        </w:rPr>
      </w:pPr>
    </w:p>
    <w:p w:rsidR="007B3939" w:rsidRPr="007B3939" w:rsidRDefault="00AD3BDB" w:rsidP="00AD3BDB">
      <w:pPr>
        <w:pStyle w:val="NoSpacing"/>
        <w:shd w:val="clear" w:color="auto" w:fill="F9D8CD" w:themeFill="accent1" w:themeFillTint="33"/>
        <w:ind w:firstLine="709"/>
        <w:jc w:val="both"/>
        <w:rPr>
          <w:rFonts w:asciiTheme="minorHAnsi" w:hAnsiTheme="minorHAnsi" w:cs="Arial"/>
          <w:b/>
          <w:sz w:val="24"/>
          <w:szCs w:val="24"/>
        </w:rPr>
      </w:pPr>
      <w:r>
        <w:rPr>
          <w:rFonts w:asciiTheme="minorHAnsi" w:hAnsiTheme="minorHAnsi" w:cs="Arial"/>
          <w:b/>
          <w:sz w:val="24"/>
          <w:szCs w:val="24"/>
        </w:rPr>
        <w:t xml:space="preserve">17. </w:t>
      </w:r>
      <w:r w:rsidR="007B3939" w:rsidRPr="007B3939">
        <w:rPr>
          <w:rFonts w:asciiTheme="minorHAnsi" w:hAnsiTheme="minorHAnsi" w:cs="Arial"/>
          <w:b/>
          <w:sz w:val="24"/>
          <w:szCs w:val="24"/>
        </w:rPr>
        <w:t xml:space="preserve">SLUŽBA ZA OPŠTE POSLOVE </w:t>
      </w:r>
    </w:p>
    <w:p w:rsidR="007B3939" w:rsidRDefault="007B3939" w:rsidP="00413BBD">
      <w:pPr>
        <w:tabs>
          <w:tab w:val="left" w:pos="1050"/>
        </w:tabs>
        <w:spacing w:after="0"/>
        <w:rPr>
          <w:rFonts w:eastAsia="Calibri" w:cs="Arial"/>
          <w:szCs w:val="24"/>
          <w:lang w:val="it-IT"/>
        </w:rPr>
      </w:pPr>
      <w:r>
        <w:rPr>
          <w:rFonts w:ascii="Calibri" w:hAnsi="Calibri"/>
          <w:color w:val="212121"/>
          <w:szCs w:val="24"/>
          <w:shd w:val="clear" w:color="auto" w:fill="FFFFFF"/>
        </w:rPr>
        <w:t xml:space="preserve">             </w:t>
      </w:r>
      <w:r w:rsidRPr="007B3939">
        <w:rPr>
          <w:rFonts w:ascii="Calibri" w:hAnsi="Calibri"/>
          <w:color w:val="212121"/>
          <w:szCs w:val="24"/>
          <w:shd w:val="clear" w:color="auto" w:fill="FFFFFF"/>
        </w:rPr>
        <w:t>Služba za opšte poslove kroz svakodnevne aktivnosti i redovne radne zadatke obavlja poslove koji se odnose na izradu rješenja o raznim vrstama pomoći, raspoređivanje službenika po raznim osnovama u skladu sa propisima o radu, ocjenjivanje službenika i lica iz kategorije visoko – rukovodnog kadra, rješenja o godišnjim odmorima, rješenja o plaćenom i neplaćenom odsustvu itd. Takođe, ova Služba je radila na izradi akta o unutrašnjoj organizaciji i sistematizaciji, izradi Kadrovskog plana, pripremi Plana integriteta, vođenje centralne kadrovske evidencije, sprovođenje konkursa  i oglasa za potrebe Ministarstva, zatim poslovi iz nadležnosti Pisarnice  (prijem i zavođenje akata) i ostale redovne aktivnosti iz djelokruga rada Ministarstva i ove Službe.</w:t>
      </w:r>
    </w:p>
    <w:p w:rsidR="00413BBD" w:rsidRDefault="00413BBD" w:rsidP="00413BBD">
      <w:pPr>
        <w:tabs>
          <w:tab w:val="left" w:pos="1050"/>
        </w:tabs>
        <w:spacing w:before="0" w:after="0" w:line="240" w:lineRule="auto"/>
        <w:rPr>
          <w:rFonts w:eastAsia="Calibri" w:cs="Arial"/>
          <w:szCs w:val="24"/>
          <w:lang w:val="it-IT"/>
        </w:rPr>
      </w:pPr>
    </w:p>
    <w:p w:rsidR="007B3939" w:rsidRDefault="007B3939" w:rsidP="00AD3BDB">
      <w:pPr>
        <w:shd w:val="clear" w:color="auto" w:fill="F9D8CD" w:themeFill="accent1" w:themeFillTint="33"/>
        <w:tabs>
          <w:tab w:val="left" w:pos="1050"/>
        </w:tabs>
        <w:spacing w:after="0"/>
        <w:rPr>
          <w:rFonts w:eastAsia="Calibri" w:cs="Arial"/>
          <w:b/>
          <w:szCs w:val="24"/>
          <w:lang w:val="it-IT"/>
        </w:rPr>
      </w:pPr>
      <w:r w:rsidRPr="00AD3BDB">
        <w:rPr>
          <w:rFonts w:eastAsia="Calibri" w:cs="Arial"/>
          <w:b/>
          <w:szCs w:val="24"/>
          <w:lang w:val="it-IT"/>
        </w:rPr>
        <w:t xml:space="preserve">             </w:t>
      </w:r>
      <w:r w:rsidR="00AD3BDB" w:rsidRPr="00AD3BDB">
        <w:rPr>
          <w:rFonts w:eastAsia="Calibri" w:cs="Arial"/>
          <w:b/>
          <w:szCs w:val="24"/>
          <w:lang w:val="it-IT"/>
        </w:rPr>
        <w:t>18.</w:t>
      </w:r>
      <w:r w:rsidR="00AD3BDB">
        <w:rPr>
          <w:rFonts w:eastAsia="Calibri" w:cs="Arial"/>
          <w:szCs w:val="24"/>
          <w:lang w:val="it-IT"/>
        </w:rPr>
        <w:t xml:space="preserve"> </w:t>
      </w:r>
      <w:r w:rsidRPr="007B3939">
        <w:rPr>
          <w:rFonts w:eastAsia="Calibri" w:cs="Arial"/>
          <w:b/>
          <w:szCs w:val="24"/>
          <w:lang w:val="it-IT"/>
        </w:rPr>
        <w:t>SLUŽBA ZA MATERIJALNO</w:t>
      </w:r>
      <w:r w:rsidR="00C36B6E">
        <w:rPr>
          <w:rFonts w:eastAsia="Calibri" w:cs="Arial"/>
          <w:b/>
          <w:szCs w:val="24"/>
          <w:lang w:val="it-IT"/>
        </w:rPr>
        <w:t xml:space="preserve"> </w:t>
      </w:r>
      <w:r w:rsidRPr="007B3939">
        <w:rPr>
          <w:rFonts w:eastAsia="Calibri" w:cs="Arial"/>
          <w:b/>
          <w:szCs w:val="24"/>
          <w:lang w:val="it-IT"/>
        </w:rPr>
        <w:t>-</w:t>
      </w:r>
      <w:r w:rsidR="00C36B6E">
        <w:rPr>
          <w:rFonts w:eastAsia="Calibri" w:cs="Arial"/>
          <w:b/>
          <w:szCs w:val="24"/>
          <w:lang w:val="it-IT"/>
        </w:rPr>
        <w:t xml:space="preserve"> </w:t>
      </w:r>
      <w:r w:rsidRPr="007B3939">
        <w:rPr>
          <w:rFonts w:eastAsia="Calibri" w:cs="Arial"/>
          <w:b/>
          <w:szCs w:val="24"/>
          <w:lang w:val="it-IT"/>
        </w:rPr>
        <w:t>FINANSIJSKE, RAČUNOVODSTVENE POSLOVE I JAVNE NABAVKE</w:t>
      </w:r>
    </w:p>
    <w:p w:rsidR="001F07C9" w:rsidRPr="001F07C9" w:rsidRDefault="001F07C9" w:rsidP="00C36B6E">
      <w:pPr>
        <w:pStyle w:val="NoSpacing"/>
        <w:spacing w:before="240"/>
        <w:jc w:val="both"/>
        <w:rPr>
          <w:rFonts w:asciiTheme="minorHAnsi" w:hAnsiTheme="minorHAnsi" w:cs="Arial"/>
          <w:sz w:val="24"/>
          <w:szCs w:val="24"/>
          <w:lang w:val="sr-Latn-RS"/>
        </w:rPr>
      </w:pPr>
      <w:r>
        <w:rPr>
          <w:rFonts w:cs="Arial"/>
          <w:b/>
          <w:szCs w:val="24"/>
          <w:lang w:val="it-IT"/>
        </w:rPr>
        <w:lastRenderedPageBreak/>
        <w:tab/>
      </w:r>
      <w:r>
        <w:rPr>
          <w:rFonts w:asciiTheme="minorHAnsi" w:hAnsiTheme="minorHAnsi" w:cs="Arial"/>
          <w:sz w:val="24"/>
          <w:szCs w:val="24"/>
          <w:lang w:val="sr-Latn-RS"/>
        </w:rPr>
        <w:t>U skladu sa novim aktom o sistematizaciji koji je Vlada usvojila u avgustu 2020. godine, dvije dotadašnje službe, Služba za javne nabavke i Služba za materijalno-finansijske i računovodstvene poslove, integrisane su u Službu za materijalno – finansijske, računovodstvene poslove i javne nabvke.</w:t>
      </w:r>
    </w:p>
    <w:p w:rsidR="001F07C9" w:rsidRPr="001F07C9" w:rsidRDefault="001C13C3" w:rsidP="00974960">
      <w:pPr>
        <w:pStyle w:val="NoSpacing"/>
        <w:jc w:val="both"/>
        <w:rPr>
          <w:rFonts w:asciiTheme="minorHAnsi" w:hAnsiTheme="minorHAnsi" w:cs="Arial"/>
          <w:sz w:val="24"/>
          <w:szCs w:val="24"/>
          <w:lang w:val="sr-Latn-RS"/>
        </w:rPr>
      </w:pPr>
      <w:r>
        <w:rPr>
          <w:rFonts w:asciiTheme="minorHAnsi" w:hAnsiTheme="minorHAnsi" w:cs="Arial"/>
          <w:sz w:val="24"/>
          <w:szCs w:val="24"/>
        </w:rPr>
        <w:t xml:space="preserve">            </w:t>
      </w:r>
      <w:r w:rsidR="001F07C9">
        <w:rPr>
          <w:rFonts w:asciiTheme="minorHAnsi" w:hAnsiTheme="minorHAnsi" w:cs="Arial"/>
          <w:sz w:val="24"/>
          <w:szCs w:val="24"/>
        </w:rPr>
        <w:t xml:space="preserve">U okviru ove službe, u izvještajnom periodu, obavljali su se tekući poslovi kao što su: </w:t>
      </w:r>
      <w:r w:rsidR="001F07C9">
        <w:rPr>
          <w:rFonts w:asciiTheme="minorHAnsi" w:hAnsiTheme="minorHAnsi" w:cs="Arial"/>
          <w:sz w:val="24"/>
          <w:szCs w:val="24"/>
          <w:lang w:val="sr-Latn-CS"/>
        </w:rPr>
        <w:t>interno računovodstvo i nadzor nad izvršenjem Budžeta Ministarstva finansija, praćenje utroška finansijskih sredstava koji se godišnjim zakonom o budžetu opredjeljuju za rad ministarstva, kao i praćenje propisa iz oblasti računovodstva i finansija. Tako</w:t>
      </w:r>
      <w:r w:rsidR="001F07C9">
        <w:rPr>
          <w:rFonts w:asciiTheme="minorHAnsi" w:hAnsiTheme="minorHAnsi" w:cs="Arial"/>
          <w:sz w:val="24"/>
          <w:szCs w:val="24"/>
          <w:lang w:val="sr-Latn-RS"/>
        </w:rPr>
        <w:t>đe, Služba je u 2020. godini radila na poslovima realizacije Programa pružanja podrške privredi i zaposlenima u cilju ublažavanja negativnih efekata epidemije novog virusa.</w:t>
      </w:r>
    </w:p>
    <w:p w:rsidR="004C001E" w:rsidRPr="004C001E" w:rsidRDefault="001C13C3" w:rsidP="004C001E">
      <w:pPr>
        <w:pStyle w:val="NoSpacing"/>
        <w:ind w:firstLine="709"/>
        <w:jc w:val="both"/>
        <w:rPr>
          <w:rFonts w:asciiTheme="minorHAnsi" w:hAnsiTheme="minorHAnsi" w:cs="Arial"/>
          <w:sz w:val="24"/>
          <w:szCs w:val="24"/>
        </w:rPr>
      </w:pPr>
      <w:r>
        <w:rPr>
          <w:rFonts w:asciiTheme="minorHAnsi" w:hAnsiTheme="minorHAnsi" w:cs="Arial"/>
          <w:sz w:val="24"/>
          <w:szCs w:val="24"/>
        </w:rPr>
        <w:t xml:space="preserve"> </w:t>
      </w:r>
      <w:r w:rsidR="00C60869">
        <w:rPr>
          <w:rFonts w:asciiTheme="minorHAnsi" w:hAnsiTheme="minorHAnsi" w:cs="Arial"/>
          <w:sz w:val="24"/>
          <w:szCs w:val="24"/>
        </w:rPr>
        <w:t>Pored navedenog,</w:t>
      </w:r>
      <w:r w:rsidR="001F07C9">
        <w:rPr>
          <w:rFonts w:asciiTheme="minorHAnsi" w:hAnsiTheme="minorHAnsi" w:cs="Arial"/>
          <w:sz w:val="24"/>
          <w:szCs w:val="24"/>
        </w:rPr>
        <w:t xml:space="preserve"> u </w:t>
      </w:r>
      <w:r w:rsidR="00C60869">
        <w:rPr>
          <w:rFonts w:asciiTheme="minorHAnsi" w:hAnsiTheme="minorHAnsi" w:cs="Arial"/>
          <w:sz w:val="24"/>
          <w:szCs w:val="24"/>
        </w:rPr>
        <w:t xml:space="preserve">izvještajnom period u Službi su se obavljali </w:t>
      </w:r>
      <w:r>
        <w:rPr>
          <w:rFonts w:asciiTheme="minorHAnsi" w:hAnsiTheme="minorHAnsi" w:cs="Arial"/>
          <w:sz w:val="24"/>
          <w:szCs w:val="24"/>
          <w:lang w:val="sr-Latn-CS"/>
        </w:rPr>
        <w:t xml:space="preserve">poslovi </w:t>
      </w:r>
      <w:r w:rsidRPr="001C13C3">
        <w:rPr>
          <w:rFonts w:asciiTheme="minorHAnsi" w:hAnsiTheme="minorHAnsi" w:cs="Arial"/>
          <w:sz w:val="24"/>
          <w:szCs w:val="24"/>
          <w:lang w:val="sr-Latn-CS"/>
        </w:rPr>
        <w:t xml:space="preserve">koji se odnose na </w:t>
      </w:r>
      <w:r w:rsidRPr="001C13C3">
        <w:rPr>
          <w:rFonts w:asciiTheme="minorHAnsi" w:hAnsiTheme="minorHAnsi" w:cs="Arial"/>
          <w:sz w:val="24"/>
          <w:szCs w:val="24"/>
        </w:rPr>
        <w:t>planiranje javnih nabavki roba, radova i usluga, kao i sprovođenje procedura za realizaciju nabavki istih, koji su propisani Zakonom o javnim nabavkama. Na bazi dostavljenih zahtjeva Organizacionih cjelina, vršeno je izdavanje potrošnog materijala. Redovno je praćena realizacija svih Ugovora za nabavljene robe i usluge za potrebe ministarstva. Obrađeni su i dostavljeni Upravi za imovinu računi za troškove kancelarijskog materijala, goriva, kancelarijskog namještaja</w:t>
      </w:r>
      <w:r>
        <w:rPr>
          <w:rFonts w:asciiTheme="minorHAnsi" w:hAnsiTheme="minorHAnsi" w:cs="Arial"/>
          <w:sz w:val="24"/>
          <w:szCs w:val="24"/>
        </w:rPr>
        <w:t>, računarske opreme</w:t>
      </w:r>
      <w:r w:rsidRPr="001C13C3">
        <w:rPr>
          <w:rFonts w:asciiTheme="minorHAnsi" w:hAnsiTheme="minorHAnsi" w:cs="Arial"/>
          <w:sz w:val="24"/>
          <w:szCs w:val="24"/>
        </w:rPr>
        <w:t xml:space="preserve"> i troškove za usluge osiguranja zaposlenih i imovine, kao i mobilne i fiksne telefonije u skladu sa Uredbom o objedinjavanju javnih nabavki roba i usluga.</w:t>
      </w:r>
    </w:p>
    <w:p w:rsidR="009A31A5" w:rsidRPr="00E46C80" w:rsidRDefault="002464CE" w:rsidP="00C60869">
      <w:pPr>
        <w:spacing w:before="0" w:after="0" w:line="240" w:lineRule="auto"/>
        <w:ind w:right="360" w:firstLine="708"/>
        <w:textAlignment w:val="baseline"/>
        <w:rPr>
          <w:rFonts w:eastAsia="Times New Roman" w:cs="Times New Roman"/>
          <w:szCs w:val="24"/>
          <w:lang w:val="sl-SI"/>
        </w:rPr>
      </w:pPr>
      <w:r w:rsidRPr="001C13C3">
        <w:rPr>
          <w:rFonts w:cs="Arial"/>
          <w:szCs w:val="24"/>
        </w:rPr>
        <w:t xml:space="preserve">U skladu sa zakonskim odredbama i rokovima, </w:t>
      </w:r>
      <w:r>
        <w:rPr>
          <w:rFonts w:cs="Arial"/>
          <w:szCs w:val="24"/>
        </w:rPr>
        <w:t>u saradnji sa Službenicima za javne nab</w:t>
      </w:r>
      <w:r w:rsidR="003D693D">
        <w:rPr>
          <w:rFonts w:cs="Arial"/>
          <w:szCs w:val="24"/>
        </w:rPr>
        <w:t>a</w:t>
      </w:r>
      <w:r>
        <w:rPr>
          <w:rFonts w:cs="Arial"/>
          <w:szCs w:val="24"/>
        </w:rPr>
        <w:t xml:space="preserve">vke Ministarstvo </w:t>
      </w:r>
      <w:r w:rsidR="00C22332">
        <w:rPr>
          <w:rFonts w:cs="Arial"/>
          <w:szCs w:val="24"/>
        </w:rPr>
        <w:t xml:space="preserve">finansija </w:t>
      </w:r>
      <w:r>
        <w:rPr>
          <w:rFonts w:cs="Arial"/>
          <w:szCs w:val="24"/>
        </w:rPr>
        <w:t>je pripremilo</w:t>
      </w:r>
      <w:r w:rsidRPr="001C13C3">
        <w:rPr>
          <w:rFonts w:cs="Arial"/>
          <w:szCs w:val="24"/>
        </w:rPr>
        <w:t xml:space="preserve"> </w:t>
      </w:r>
      <w:r w:rsidR="004C001E">
        <w:rPr>
          <w:rFonts w:cs="Arial"/>
          <w:szCs w:val="24"/>
        </w:rPr>
        <w:t xml:space="preserve">i usvojilo </w:t>
      </w:r>
      <w:r w:rsidRPr="005F74DF">
        <w:rPr>
          <w:rFonts w:eastAsia="Times New Roman" w:cs="Times New Roman"/>
          <w:i/>
          <w:szCs w:val="24"/>
          <w:u w:val="single"/>
          <w:lang w:val="sl-SI"/>
        </w:rPr>
        <w:t>Plan javnih nabavki za 2020. godinu</w:t>
      </w:r>
      <w:r w:rsidRPr="00E46C80">
        <w:rPr>
          <w:rFonts w:eastAsia="Times New Roman" w:cs="Times New Roman"/>
          <w:szCs w:val="24"/>
          <w:lang w:val="sl-SI"/>
        </w:rPr>
        <w:t xml:space="preserve">, </w:t>
      </w:r>
      <w:r>
        <w:rPr>
          <w:rFonts w:eastAsia="Times New Roman" w:cs="Times New Roman"/>
          <w:szCs w:val="24"/>
          <w:lang w:val="sl-SI"/>
        </w:rPr>
        <w:t xml:space="preserve">koji je objavljen </w:t>
      </w:r>
      <w:r w:rsidRPr="00E46C80">
        <w:rPr>
          <w:rFonts w:eastAsia="Times New Roman" w:cs="Times New Roman"/>
          <w:szCs w:val="24"/>
          <w:lang w:val="sl-SI"/>
        </w:rPr>
        <w:t xml:space="preserve">na portalu </w:t>
      </w:r>
      <w:r>
        <w:rPr>
          <w:rFonts w:eastAsia="Times New Roman" w:cs="Times New Roman"/>
          <w:szCs w:val="24"/>
          <w:lang w:val="sl-SI"/>
        </w:rPr>
        <w:t xml:space="preserve">nadležnog organa </w:t>
      </w:r>
      <w:r w:rsidRPr="00E46C80">
        <w:rPr>
          <w:rFonts w:eastAsia="Times New Roman" w:cs="Times New Roman"/>
          <w:szCs w:val="24"/>
          <w:lang w:val="sl-SI"/>
        </w:rPr>
        <w:t xml:space="preserve">za javne nabavke 31.01.2020. godine, uz </w:t>
      </w:r>
      <w:r w:rsidR="004C001E">
        <w:rPr>
          <w:rFonts w:eastAsia="Times New Roman" w:cs="Times New Roman"/>
          <w:szCs w:val="24"/>
          <w:lang w:val="sl-SI"/>
        </w:rPr>
        <w:t xml:space="preserve">prethodno </w:t>
      </w:r>
      <w:r w:rsidRPr="00E46C80">
        <w:rPr>
          <w:rFonts w:eastAsia="Times New Roman" w:cs="Times New Roman"/>
          <w:szCs w:val="24"/>
          <w:lang w:val="sl-SI"/>
        </w:rPr>
        <w:t xml:space="preserve">dobijenu saglasnost </w:t>
      </w:r>
      <w:r>
        <w:rPr>
          <w:rFonts w:eastAsia="Times New Roman" w:cs="Times New Roman"/>
          <w:szCs w:val="24"/>
          <w:lang w:val="sl-SI"/>
        </w:rPr>
        <w:t xml:space="preserve">od </w:t>
      </w:r>
      <w:r w:rsidRPr="00E46C80">
        <w:rPr>
          <w:rFonts w:eastAsia="Times New Roman" w:cs="Times New Roman"/>
          <w:szCs w:val="24"/>
          <w:lang w:val="sl-SI"/>
        </w:rPr>
        <w:t xml:space="preserve">strane </w:t>
      </w:r>
      <w:r>
        <w:rPr>
          <w:rFonts w:eastAsia="Times New Roman" w:cs="Times New Roman"/>
          <w:szCs w:val="24"/>
          <w:lang w:val="sl-SI"/>
        </w:rPr>
        <w:t xml:space="preserve">Direktorata za </w:t>
      </w:r>
      <w:r w:rsidR="00C60869">
        <w:rPr>
          <w:rFonts w:eastAsia="Times New Roman" w:cs="Times New Roman"/>
          <w:szCs w:val="24"/>
          <w:lang w:val="sl-SI"/>
        </w:rPr>
        <w:t xml:space="preserve">državni </w:t>
      </w:r>
      <w:r>
        <w:rPr>
          <w:rFonts w:eastAsia="Times New Roman" w:cs="Times New Roman"/>
          <w:szCs w:val="24"/>
          <w:lang w:val="sl-SI"/>
        </w:rPr>
        <w:t>budžet</w:t>
      </w:r>
      <w:r w:rsidRPr="00E46C80">
        <w:rPr>
          <w:rFonts w:eastAsia="Times New Roman" w:cs="Times New Roman"/>
          <w:szCs w:val="24"/>
          <w:lang w:val="sl-SI"/>
        </w:rPr>
        <w:t xml:space="preserve">. </w:t>
      </w:r>
      <w:r w:rsidRPr="002B2743">
        <w:rPr>
          <w:rFonts w:eastAsia="Times New Roman" w:cs="Times New Roman"/>
          <w:szCs w:val="24"/>
          <w:lang w:val="sl-SI"/>
        </w:rPr>
        <w:t xml:space="preserve">Procijenjena vrijednost Plana br. </w:t>
      </w:r>
      <w:r w:rsidR="002B2743" w:rsidRPr="002B2743">
        <w:rPr>
          <w:rFonts w:eastAsia="Times New Roman" w:cs="Times New Roman"/>
          <w:szCs w:val="24"/>
          <w:lang w:val="sl-SI"/>
        </w:rPr>
        <w:t>12-1322</w:t>
      </w:r>
      <w:r w:rsidRPr="002B2743">
        <w:rPr>
          <w:rFonts w:eastAsia="Times New Roman" w:cs="Times New Roman"/>
          <w:szCs w:val="24"/>
          <w:lang w:val="sl-SI"/>
        </w:rPr>
        <w:t xml:space="preserve">  iznosila je </w:t>
      </w:r>
      <w:r w:rsidR="002B2743" w:rsidRPr="002B2743">
        <w:rPr>
          <w:rFonts w:eastAsia="Times New Roman" w:cs="Times New Roman"/>
          <w:szCs w:val="24"/>
          <w:lang w:val="sl-SI"/>
        </w:rPr>
        <w:t>1</w:t>
      </w:r>
      <w:r w:rsidR="004C001E">
        <w:rPr>
          <w:rFonts w:eastAsia="Times New Roman" w:cs="Times New Roman"/>
          <w:szCs w:val="24"/>
          <w:lang w:val="sl-SI"/>
        </w:rPr>
        <w:t>.</w:t>
      </w:r>
      <w:r w:rsidR="002B2743" w:rsidRPr="002B2743">
        <w:rPr>
          <w:rFonts w:eastAsia="Times New Roman" w:cs="Times New Roman"/>
          <w:szCs w:val="24"/>
          <w:lang w:val="sl-SI"/>
        </w:rPr>
        <w:t>187</w:t>
      </w:r>
      <w:r w:rsidR="004C001E">
        <w:rPr>
          <w:rFonts w:eastAsia="Times New Roman" w:cs="Times New Roman"/>
          <w:szCs w:val="24"/>
          <w:lang w:val="sl-SI"/>
        </w:rPr>
        <w:t>.658,</w:t>
      </w:r>
      <w:r w:rsidR="002B2743" w:rsidRPr="002B2743">
        <w:rPr>
          <w:rFonts w:eastAsia="Times New Roman" w:cs="Times New Roman"/>
          <w:szCs w:val="24"/>
          <w:lang w:val="sl-SI"/>
        </w:rPr>
        <w:t>00 €</w:t>
      </w:r>
      <w:r w:rsidR="00760788">
        <w:rPr>
          <w:rFonts w:eastAsia="Times New Roman" w:cs="Times New Roman"/>
          <w:szCs w:val="24"/>
          <w:lang w:val="sl-SI"/>
        </w:rPr>
        <w:t>,</w:t>
      </w:r>
      <w:r w:rsidR="002B2743" w:rsidRPr="002B2743">
        <w:rPr>
          <w:rFonts w:eastAsia="Times New Roman" w:cs="Times New Roman"/>
          <w:szCs w:val="24"/>
          <w:lang w:val="sl-SI"/>
        </w:rPr>
        <w:t xml:space="preserve"> za 26</w:t>
      </w:r>
      <w:r w:rsidRPr="002B2743">
        <w:rPr>
          <w:rFonts w:eastAsia="Times New Roman" w:cs="Times New Roman"/>
          <w:szCs w:val="24"/>
          <w:lang w:val="sl-SI"/>
        </w:rPr>
        <w:t xml:space="preserve"> postupaka ukupno.</w:t>
      </w:r>
    </w:p>
    <w:p w:rsidR="002B2743" w:rsidRPr="00E46C80" w:rsidRDefault="0035593C" w:rsidP="00C60869">
      <w:pPr>
        <w:spacing w:before="0" w:after="0" w:line="240" w:lineRule="auto"/>
        <w:ind w:right="360" w:firstLine="708"/>
        <w:textAlignment w:val="baseline"/>
        <w:rPr>
          <w:rFonts w:eastAsia="Times New Roman" w:cs="Times New Roman"/>
          <w:szCs w:val="24"/>
          <w:lang w:val="sl-SI"/>
        </w:rPr>
      </w:pPr>
      <w:r>
        <w:rPr>
          <w:rFonts w:eastAsia="Times New Roman" w:cs="Times New Roman"/>
          <w:szCs w:val="24"/>
          <w:lang w:val="sl-SI"/>
        </w:rPr>
        <w:t>U toku 202</w:t>
      </w:r>
      <w:r w:rsidR="00D609B3">
        <w:rPr>
          <w:rFonts w:eastAsia="Times New Roman" w:cs="Times New Roman"/>
          <w:szCs w:val="24"/>
          <w:lang w:val="sl-SI"/>
        </w:rPr>
        <w:t>0. godine Plan javnih nabavki se mijenjao</w:t>
      </w:r>
      <w:r>
        <w:rPr>
          <w:rFonts w:eastAsia="Times New Roman" w:cs="Times New Roman"/>
          <w:szCs w:val="24"/>
          <w:lang w:val="sl-SI"/>
        </w:rPr>
        <w:t xml:space="preserve"> dva puta. Prvom izmjenom</w:t>
      </w:r>
      <w:r w:rsidR="002464CE" w:rsidRPr="00E46C80">
        <w:rPr>
          <w:rFonts w:eastAsia="Times New Roman" w:cs="Times New Roman"/>
          <w:szCs w:val="24"/>
          <w:lang w:val="sl-SI"/>
        </w:rPr>
        <w:t xml:space="preserve"> od </w:t>
      </w:r>
      <w:r w:rsidR="002B2743">
        <w:rPr>
          <w:rFonts w:eastAsia="Times New Roman" w:cs="Times New Roman"/>
          <w:szCs w:val="24"/>
          <w:lang w:val="sl-SI"/>
        </w:rPr>
        <w:t>6.3.2020</w:t>
      </w:r>
      <w:r w:rsidR="002464CE" w:rsidRPr="00E46C80">
        <w:rPr>
          <w:rFonts w:eastAsia="Times New Roman" w:cs="Times New Roman"/>
          <w:szCs w:val="24"/>
          <w:lang w:val="sl-SI"/>
        </w:rPr>
        <w:t>.</w:t>
      </w:r>
      <w:r w:rsidR="002B2743">
        <w:rPr>
          <w:rFonts w:eastAsia="Times New Roman" w:cs="Times New Roman"/>
          <w:szCs w:val="24"/>
          <w:lang w:val="sl-SI"/>
        </w:rPr>
        <w:t xml:space="preserve"> </w:t>
      </w:r>
      <w:r w:rsidR="002464CE" w:rsidRPr="00E46C80">
        <w:rPr>
          <w:rFonts w:eastAsia="Times New Roman" w:cs="Times New Roman"/>
          <w:szCs w:val="24"/>
          <w:lang w:val="sl-SI"/>
        </w:rPr>
        <w:t xml:space="preserve">godine, Plan </w:t>
      </w:r>
      <w:r w:rsidR="002B2743">
        <w:rPr>
          <w:rFonts w:eastAsia="Times New Roman" w:cs="Times New Roman"/>
          <w:szCs w:val="24"/>
          <w:lang w:val="sl-SI"/>
        </w:rPr>
        <w:t xml:space="preserve">je uvećan za 200.000,00 eura i </w:t>
      </w:r>
      <w:r w:rsidR="002464CE" w:rsidRPr="00E46C80">
        <w:rPr>
          <w:rFonts w:eastAsia="Times New Roman" w:cs="Times New Roman"/>
          <w:szCs w:val="24"/>
          <w:lang w:val="sl-SI"/>
        </w:rPr>
        <w:t>iznosi</w:t>
      </w:r>
      <w:r w:rsidR="004C001E">
        <w:rPr>
          <w:rFonts w:eastAsia="Times New Roman" w:cs="Times New Roman"/>
          <w:szCs w:val="24"/>
          <w:lang w:val="sl-SI"/>
        </w:rPr>
        <w:t>o je</w:t>
      </w:r>
      <w:r w:rsidR="002464CE" w:rsidRPr="00E46C80">
        <w:rPr>
          <w:rFonts w:eastAsia="Times New Roman" w:cs="Times New Roman"/>
          <w:szCs w:val="24"/>
          <w:lang w:val="sl-SI"/>
        </w:rPr>
        <w:t xml:space="preserve"> </w:t>
      </w:r>
      <w:r w:rsidR="002B2743" w:rsidRPr="002B2743">
        <w:rPr>
          <w:rFonts w:eastAsia="Times New Roman" w:cs="Times New Roman"/>
          <w:szCs w:val="24"/>
          <w:lang w:val="sl-SI"/>
        </w:rPr>
        <w:t>1387658.00 €</w:t>
      </w:r>
      <w:r w:rsidR="002B2743">
        <w:rPr>
          <w:rFonts w:eastAsia="Times New Roman" w:cs="Times New Roman"/>
          <w:szCs w:val="24"/>
          <w:lang w:val="sl-SI"/>
        </w:rPr>
        <w:t xml:space="preserve">, za </w:t>
      </w:r>
      <w:r w:rsidR="00C60869">
        <w:rPr>
          <w:rFonts w:eastAsia="Times New Roman" w:cs="Times New Roman"/>
          <w:szCs w:val="24"/>
          <w:lang w:val="sl-SI"/>
        </w:rPr>
        <w:t xml:space="preserve">ukupno </w:t>
      </w:r>
      <w:r w:rsidR="002B2743">
        <w:rPr>
          <w:rFonts w:eastAsia="Times New Roman" w:cs="Times New Roman"/>
          <w:szCs w:val="24"/>
          <w:lang w:val="sl-SI"/>
        </w:rPr>
        <w:t>27</w:t>
      </w:r>
      <w:r w:rsidR="002464CE" w:rsidRPr="00E46C80">
        <w:rPr>
          <w:rFonts w:eastAsia="Times New Roman" w:cs="Times New Roman"/>
          <w:szCs w:val="24"/>
          <w:lang w:val="sl-SI"/>
        </w:rPr>
        <w:t xml:space="preserve"> postupka javne nabavke.</w:t>
      </w:r>
      <w:r w:rsidR="004C001E">
        <w:rPr>
          <w:rFonts w:eastAsia="Times New Roman" w:cs="Times New Roman"/>
          <w:szCs w:val="24"/>
          <w:lang w:val="sl-SI"/>
        </w:rPr>
        <w:t xml:space="preserve"> Dana</w:t>
      </w:r>
      <w:r w:rsidR="002B2743">
        <w:rPr>
          <w:rFonts w:eastAsia="Times New Roman" w:cs="Times New Roman"/>
          <w:szCs w:val="24"/>
          <w:lang w:val="sl-SI"/>
        </w:rPr>
        <w:t xml:space="preserve"> 16.7.2020. godine</w:t>
      </w:r>
      <w:r w:rsidR="004C001E">
        <w:rPr>
          <w:rFonts w:eastAsia="Times New Roman" w:cs="Times New Roman"/>
          <w:szCs w:val="24"/>
          <w:lang w:val="sl-SI"/>
        </w:rPr>
        <w:t xml:space="preserve"> Plan je</w:t>
      </w:r>
      <w:r w:rsidR="002B2743">
        <w:rPr>
          <w:rFonts w:eastAsia="Times New Roman" w:cs="Times New Roman"/>
          <w:szCs w:val="24"/>
          <w:lang w:val="sl-SI"/>
        </w:rPr>
        <w:t xml:space="preserve"> usklađen sa novim Zakono o javnim nab</w:t>
      </w:r>
      <w:r w:rsidR="00C22332">
        <w:rPr>
          <w:rFonts w:eastAsia="Times New Roman" w:cs="Times New Roman"/>
          <w:szCs w:val="24"/>
          <w:lang w:val="sl-SI"/>
        </w:rPr>
        <w:t>a</w:t>
      </w:r>
      <w:r w:rsidR="002B2743">
        <w:rPr>
          <w:rFonts w:eastAsia="Times New Roman" w:cs="Times New Roman"/>
          <w:szCs w:val="24"/>
          <w:lang w:val="sl-SI"/>
        </w:rPr>
        <w:t>vkama (»Sl.list CG« broj 74/19), na način što je utvđen iznos P</w:t>
      </w:r>
      <w:r w:rsidR="004C001E">
        <w:rPr>
          <w:rFonts w:eastAsia="Times New Roman" w:cs="Times New Roman"/>
          <w:szCs w:val="24"/>
          <w:lang w:val="sl-SI"/>
        </w:rPr>
        <w:t>lana bez uračunat</w:t>
      </w:r>
      <w:r w:rsidR="002B2743">
        <w:rPr>
          <w:rFonts w:eastAsia="Times New Roman" w:cs="Times New Roman"/>
          <w:szCs w:val="24"/>
          <w:lang w:val="sl-SI"/>
        </w:rPr>
        <w:t xml:space="preserve">og pdv-a i pdv posebno. </w:t>
      </w:r>
      <w:r>
        <w:rPr>
          <w:rFonts w:eastAsia="Times New Roman" w:cs="Times New Roman"/>
          <w:szCs w:val="24"/>
          <w:lang w:val="sl-SI"/>
        </w:rPr>
        <w:t>Osim toga</w:t>
      </w:r>
      <w:r w:rsidR="00760788">
        <w:rPr>
          <w:rFonts w:eastAsia="Times New Roman" w:cs="Times New Roman"/>
          <w:szCs w:val="24"/>
          <w:lang w:val="sl-SI"/>
        </w:rPr>
        <w:t>, usklađeni Plan nij</w:t>
      </w:r>
      <w:r w:rsidR="002B2743">
        <w:rPr>
          <w:rFonts w:eastAsia="Times New Roman" w:cs="Times New Roman"/>
          <w:szCs w:val="24"/>
          <w:lang w:val="sl-SI"/>
        </w:rPr>
        <w:t>e sadržao one postupke koji su već pokrenuti ili realizovani.</w:t>
      </w:r>
      <w:r w:rsidR="004C001E">
        <w:rPr>
          <w:rFonts w:eastAsia="Times New Roman" w:cs="Times New Roman"/>
          <w:szCs w:val="24"/>
          <w:lang w:val="sl-SI"/>
        </w:rPr>
        <w:t xml:space="preserve"> </w:t>
      </w:r>
      <w:r>
        <w:rPr>
          <w:rFonts w:eastAsia="Times New Roman" w:cs="Times New Roman"/>
          <w:szCs w:val="24"/>
          <w:lang w:val="sl-SI"/>
        </w:rPr>
        <w:t xml:space="preserve">Drugom izmjenom Plana od </w:t>
      </w:r>
      <w:r>
        <w:rPr>
          <w:rFonts w:cs="Arial"/>
          <w:szCs w:val="24"/>
          <w:lang w:val="sr-Latn-ME"/>
        </w:rPr>
        <w:t>19.11.2020. godine,</w:t>
      </w:r>
      <w:r>
        <w:rPr>
          <w:rFonts w:eastAsia="Times New Roman" w:cs="Times New Roman"/>
          <w:szCs w:val="24"/>
          <w:lang w:val="sl-SI"/>
        </w:rPr>
        <w:t xml:space="preserve"> </w:t>
      </w:r>
      <w:r w:rsidR="00760788">
        <w:rPr>
          <w:rFonts w:eastAsia="Times New Roman" w:cs="Times New Roman"/>
          <w:szCs w:val="24"/>
          <w:lang w:val="sl-SI"/>
        </w:rPr>
        <w:t xml:space="preserve">dodata je jedna stvavka, a </w:t>
      </w:r>
      <w:r>
        <w:rPr>
          <w:rFonts w:eastAsia="Times New Roman" w:cs="Times New Roman"/>
          <w:szCs w:val="24"/>
          <w:lang w:val="sl-SI"/>
        </w:rPr>
        <w:t>iznos je uveć</w:t>
      </w:r>
      <w:r w:rsidR="00760788">
        <w:rPr>
          <w:rFonts w:eastAsia="Times New Roman" w:cs="Times New Roman"/>
          <w:szCs w:val="24"/>
          <w:lang w:val="sl-SI"/>
        </w:rPr>
        <w:t>an za 84.700,00 eura, sa pdv-om.</w:t>
      </w:r>
    </w:p>
    <w:p w:rsidR="002464CE" w:rsidRDefault="004C001E" w:rsidP="0035593C">
      <w:pPr>
        <w:pStyle w:val="NoSpacing"/>
        <w:ind w:firstLine="709"/>
        <w:jc w:val="both"/>
        <w:rPr>
          <w:rFonts w:asciiTheme="minorHAnsi" w:hAnsiTheme="minorHAnsi" w:cs="Arial"/>
          <w:sz w:val="24"/>
          <w:szCs w:val="24"/>
          <w:lang w:val="sr-Latn-CS"/>
        </w:rPr>
      </w:pPr>
      <w:r w:rsidRPr="001C13C3">
        <w:rPr>
          <w:rFonts w:asciiTheme="minorHAnsi" w:hAnsiTheme="minorHAnsi" w:cs="Arial"/>
          <w:sz w:val="24"/>
          <w:szCs w:val="24"/>
          <w:lang w:val="sr-Latn-ME"/>
        </w:rPr>
        <w:t>U okviru redovnih aktivnosti, Služb</w:t>
      </w:r>
      <w:r w:rsidR="00760788">
        <w:rPr>
          <w:rFonts w:asciiTheme="minorHAnsi" w:hAnsiTheme="minorHAnsi" w:cs="Arial"/>
          <w:sz w:val="24"/>
          <w:szCs w:val="24"/>
          <w:lang w:val="sr-Latn-ME"/>
        </w:rPr>
        <w:t>a je aktivno</w:t>
      </w:r>
      <w:r w:rsidR="00C22332">
        <w:rPr>
          <w:rFonts w:asciiTheme="minorHAnsi" w:hAnsiTheme="minorHAnsi" w:cs="Arial"/>
          <w:sz w:val="24"/>
          <w:szCs w:val="24"/>
          <w:lang w:val="sr-Latn-ME"/>
        </w:rPr>
        <w:t xml:space="preserve"> sprovodila </w:t>
      </w:r>
      <w:r w:rsidR="00760788">
        <w:rPr>
          <w:rFonts w:asciiTheme="minorHAnsi" w:hAnsiTheme="minorHAnsi" w:cs="Arial"/>
          <w:sz w:val="24"/>
          <w:szCs w:val="24"/>
          <w:lang w:val="sr-Latn-ME"/>
        </w:rPr>
        <w:t xml:space="preserve">svakodnevne </w:t>
      </w:r>
      <w:r w:rsidRPr="001C13C3">
        <w:rPr>
          <w:rFonts w:asciiTheme="minorHAnsi" w:hAnsiTheme="minorHAnsi" w:cs="Arial"/>
          <w:sz w:val="24"/>
          <w:szCs w:val="24"/>
          <w:lang w:val="sr-Latn-ME"/>
        </w:rPr>
        <w:t xml:space="preserve">aktivnosti iz domena svoje </w:t>
      </w:r>
      <w:r w:rsidR="0035593C">
        <w:rPr>
          <w:rFonts w:asciiTheme="minorHAnsi" w:hAnsiTheme="minorHAnsi" w:cs="Arial"/>
          <w:sz w:val="24"/>
          <w:szCs w:val="24"/>
          <w:lang w:val="sr-Latn-ME"/>
        </w:rPr>
        <w:t>n</w:t>
      </w:r>
      <w:r w:rsidRPr="001C13C3">
        <w:rPr>
          <w:rFonts w:asciiTheme="minorHAnsi" w:hAnsiTheme="minorHAnsi" w:cs="Arial"/>
          <w:sz w:val="24"/>
          <w:szCs w:val="24"/>
          <w:lang w:val="sr-Latn-ME"/>
        </w:rPr>
        <w:t xml:space="preserve">adležnosti. </w:t>
      </w:r>
      <w:r w:rsidRPr="001C13C3">
        <w:rPr>
          <w:rFonts w:asciiTheme="minorHAnsi" w:hAnsiTheme="minorHAnsi" w:cs="Arial"/>
          <w:sz w:val="24"/>
          <w:szCs w:val="24"/>
          <w:lang w:val="sr-Latn-CS"/>
        </w:rPr>
        <w:t>Službenici za j</w:t>
      </w:r>
      <w:r w:rsidR="005F74DF">
        <w:rPr>
          <w:rFonts w:asciiTheme="minorHAnsi" w:hAnsiTheme="minorHAnsi" w:cs="Arial"/>
          <w:sz w:val="24"/>
          <w:szCs w:val="24"/>
          <w:lang w:val="sr-Latn-CS"/>
        </w:rPr>
        <w:t xml:space="preserve">avne nabavke redovno su vodili </w:t>
      </w:r>
      <w:r w:rsidR="005F74DF" w:rsidRPr="004927B7">
        <w:rPr>
          <w:rFonts w:asciiTheme="minorHAnsi" w:hAnsiTheme="minorHAnsi" w:cs="Arial"/>
          <w:i/>
          <w:sz w:val="24"/>
          <w:szCs w:val="24"/>
          <w:u w:val="single"/>
          <w:lang w:val="sr-Latn-CS"/>
        </w:rPr>
        <w:t>E</w:t>
      </w:r>
      <w:r w:rsidRPr="004927B7">
        <w:rPr>
          <w:rFonts w:asciiTheme="minorHAnsi" w:hAnsiTheme="minorHAnsi" w:cs="Arial"/>
          <w:i/>
          <w:sz w:val="24"/>
          <w:szCs w:val="24"/>
          <w:u w:val="single"/>
          <w:lang w:val="sr-Latn-CS"/>
        </w:rPr>
        <w:t>videnciju sprovedenih postupaka</w:t>
      </w:r>
      <w:r w:rsidR="004927B7" w:rsidRPr="004927B7">
        <w:rPr>
          <w:rFonts w:asciiTheme="minorHAnsi" w:hAnsiTheme="minorHAnsi" w:cs="Arial"/>
          <w:i/>
          <w:sz w:val="24"/>
          <w:szCs w:val="24"/>
          <w:u w:val="single"/>
          <w:lang w:val="sr-Latn-CS"/>
        </w:rPr>
        <w:t xml:space="preserve"> javnih nabavki</w:t>
      </w:r>
      <w:r w:rsidR="005F74DF">
        <w:rPr>
          <w:rFonts w:asciiTheme="minorHAnsi" w:hAnsiTheme="minorHAnsi" w:cs="Arial"/>
          <w:sz w:val="24"/>
          <w:szCs w:val="24"/>
          <w:lang w:val="sr-Latn-CS"/>
        </w:rPr>
        <w:t xml:space="preserve">, kao i </w:t>
      </w:r>
      <w:r w:rsidR="005F74DF" w:rsidRPr="004927B7">
        <w:rPr>
          <w:rFonts w:asciiTheme="minorHAnsi" w:hAnsiTheme="minorHAnsi" w:cs="Arial"/>
          <w:i/>
          <w:sz w:val="24"/>
          <w:szCs w:val="24"/>
          <w:u w:val="single"/>
          <w:lang w:val="sr-Latn-CS"/>
        </w:rPr>
        <w:t>E</w:t>
      </w:r>
      <w:r w:rsidRPr="004927B7">
        <w:rPr>
          <w:rFonts w:asciiTheme="minorHAnsi" w:hAnsiTheme="minorHAnsi" w:cs="Arial"/>
          <w:i/>
          <w:sz w:val="24"/>
          <w:szCs w:val="24"/>
          <w:u w:val="single"/>
          <w:lang w:val="sr-Latn-CS"/>
        </w:rPr>
        <w:t>videnciju</w:t>
      </w:r>
      <w:r w:rsidR="004927B7" w:rsidRPr="004927B7">
        <w:rPr>
          <w:rFonts w:asciiTheme="minorHAnsi" w:hAnsiTheme="minorHAnsi" w:cs="Arial"/>
          <w:i/>
          <w:sz w:val="24"/>
          <w:szCs w:val="24"/>
          <w:u w:val="single"/>
          <w:lang w:val="sr-Latn-CS"/>
        </w:rPr>
        <w:t xml:space="preserve"> jednostavnih nabavki</w:t>
      </w:r>
      <w:r w:rsidR="004927B7">
        <w:rPr>
          <w:rFonts w:asciiTheme="minorHAnsi" w:hAnsiTheme="minorHAnsi" w:cs="Arial"/>
          <w:i/>
          <w:sz w:val="24"/>
          <w:szCs w:val="24"/>
          <w:lang w:val="sr-Latn-CS"/>
        </w:rPr>
        <w:t xml:space="preserve"> </w:t>
      </w:r>
      <w:r w:rsidR="004927B7" w:rsidRPr="004927B7">
        <w:rPr>
          <w:rFonts w:asciiTheme="minorHAnsi" w:hAnsiTheme="minorHAnsi" w:cs="Arial"/>
          <w:sz w:val="24"/>
          <w:szCs w:val="24"/>
          <w:lang w:val="sr-Latn-CS"/>
        </w:rPr>
        <w:t>i</w:t>
      </w:r>
      <w:r w:rsidR="004927B7">
        <w:rPr>
          <w:rFonts w:asciiTheme="minorHAnsi" w:hAnsiTheme="minorHAnsi" w:cs="Arial"/>
          <w:i/>
          <w:sz w:val="24"/>
          <w:szCs w:val="24"/>
          <w:lang w:val="sr-Latn-CS"/>
        </w:rPr>
        <w:t xml:space="preserve"> </w:t>
      </w:r>
      <w:r w:rsidR="004927B7" w:rsidRPr="004927B7">
        <w:rPr>
          <w:rFonts w:asciiTheme="minorHAnsi" w:hAnsiTheme="minorHAnsi" w:cs="Arial"/>
          <w:i/>
          <w:sz w:val="24"/>
          <w:szCs w:val="24"/>
          <w:u w:val="single"/>
          <w:lang w:val="sr-Latn-CS"/>
        </w:rPr>
        <w:t>Evidenciju</w:t>
      </w:r>
      <w:r w:rsidRPr="004927B7">
        <w:rPr>
          <w:rFonts w:asciiTheme="minorHAnsi" w:hAnsiTheme="minorHAnsi" w:cs="Arial"/>
          <w:i/>
          <w:sz w:val="24"/>
          <w:szCs w:val="24"/>
          <w:u w:val="single"/>
          <w:lang w:val="sr-Latn-CS"/>
        </w:rPr>
        <w:t xml:space="preserve"> izuzeća</w:t>
      </w:r>
      <w:r>
        <w:rPr>
          <w:rFonts w:asciiTheme="minorHAnsi" w:hAnsiTheme="minorHAnsi" w:cs="Arial"/>
          <w:sz w:val="24"/>
          <w:szCs w:val="24"/>
          <w:lang w:val="sr-Latn-CS"/>
        </w:rPr>
        <w:t xml:space="preserve"> u skladu sa </w:t>
      </w:r>
      <w:r w:rsidR="004927B7" w:rsidRPr="004927B7">
        <w:rPr>
          <w:rFonts w:asciiTheme="minorHAnsi" w:hAnsiTheme="minorHAnsi" w:cs="Arial"/>
          <w:i/>
          <w:sz w:val="24"/>
          <w:szCs w:val="24"/>
          <w:lang w:val="sr-Latn-CS"/>
        </w:rPr>
        <w:t>članom 180 Zakona</w:t>
      </w:r>
      <w:r w:rsidRPr="004927B7">
        <w:rPr>
          <w:rFonts w:asciiTheme="minorHAnsi" w:hAnsiTheme="minorHAnsi" w:cs="Arial"/>
          <w:i/>
          <w:sz w:val="24"/>
          <w:szCs w:val="24"/>
          <w:lang w:val="sr-Latn-CS"/>
        </w:rPr>
        <w:t xml:space="preserve"> o javnim nabavkama</w:t>
      </w:r>
      <w:r>
        <w:rPr>
          <w:rFonts w:asciiTheme="minorHAnsi" w:hAnsiTheme="minorHAnsi" w:cs="Arial"/>
          <w:sz w:val="24"/>
          <w:szCs w:val="24"/>
          <w:lang w:val="sr-Latn-CS"/>
        </w:rPr>
        <w:t>.</w:t>
      </w:r>
    </w:p>
    <w:p w:rsidR="001C13C3" w:rsidRPr="00965D3B" w:rsidRDefault="001C13C3" w:rsidP="00965D3B">
      <w:pPr>
        <w:pStyle w:val="NoSpacing"/>
        <w:ind w:firstLine="709"/>
        <w:jc w:val="both"/>
        <w:rPr>
          <w:rFonts w:asciiTheme="minorHAnsi" w:hAnsiTheme="minorHAnsi" w:cs="Arial"/>
          <w:sz w:val="24"/>
          <w:szCs w:val="24"/>
          <w:lang w:val="sr-Latn-CS"/>
        </w:rPr>
      </w:pPr>
      <w:r w:rsidRPr="0069081D">
        <w:rPr>
          <w:rFonts w:asciiTheme="minorHAnsi" w:hAnsiTheme="minorHAnsi" w:cs="Arial"/>
          <w:sz w:val="24"/>
          <w:szCs w:val="24"/>
          <w:lang w:val="sr-Latn-CS"/>
        </w:rPr>
        <w:t>U toku 2020</w:t>
      </w:r>
      <w:r w:rsidR="003138D5" w:rsidRPr="0069081D">
        <w:rPr>
          <w:rFonts w:asciiTheme="minorHAnsi" w:hAnsiTheme="minorHAnsi" w:cs="Arial"/>
          <w:sz w:val="24"/>
          <w:szCs w:val="24"/>
          <w:lang w:val="sr-Latn-CS"/>
        </w:rPr>
        <w:t>.</w:t>
      </w:r>
      <w:r w:rsidR="0095769A" w:rsidRPr="0069081D">
        <w:rPr>
          <w:rFonts w:asciiTheme="minorHAnsi" w:hAnsiTheme="minorHAnsi" w:cs="Arial"/>
          <w:sz w:val="24"/>
          <w:szCs w:val="24"/>
          <w:lang w:val="sr-Latn-CS"/>
        </w:rPr>
        <w:t xml:space="preserve"> godine sprovedeno je</w:t>
      </w:r>
      <w:r w:rsidR="003138D5" w:rsidRPr="0069081D">
        <w:rPr>
          <w:rFonts w:asciiTheme="minorHAnsi" w:hAnsiTheme="minorHAnsi" w:cs="Arial"/>
          <w:sz w:val="24"/>
          <w:szCs w:val="24"/>
          <w:lang w:val="sr-Latn-CS"/>
        </w:rPr>
        <w:t xml:space="preserve"> </w:t>
      </w:r>
      <w:r w:rsidR="003138D5" w:rsidRPr="004927B7">
        <w:rPr>
          <w:rFonts w:asciiTheme="minorHAnsi" w:hAnsiTheme="minorHAnsi" w:cs="Arial"/>
          <w:b/>
          <w:sz w:val="24"/>
          <w:szCs w:val="24"/>
          <w:lang w:val="sr-Latn-CS"/>
        </w:rPr>
        <w:t>6</w:t>
      </w:r>
      <w:r w:rsidR="0095769A" w:rsidRPr="004927B7">
        <w:rPr>
          <w:rFonts w:asciiTheme="minorHAnsi" w:hAnsiTheme="minorHAnsi" w:cs="Arial"/>
          <w:b/>
          <w:sz w:val="24"/>
          <w:szCs w:val="24"/>
          <w:lang w:val="sr-Latn-CS"/>
        </w:rPr>
        <w:t xml:space="preserve"> otvorenih postupaka</w:t>
      </w:r>
      <w:r w:rsidR="0095769A" w:rsidRPr="0069081D">
        <w:rPr>
          <w:rFonts w:asciiTheme="minorHAnsi" w:hAnsiTheme="minorHAnsi" w:cs="Arial"/>
          <w:sz w:val="24"/>
          <w:szCs w:val="24"/>
          <w:lang w:val="sr-Latn-CS"/>
        </w:rPr>
        <w:t xml:space="preserve">. Svi postupci su realizovani bez izjavljenih žalbi. </w:t>
      </w:r>
      <w:r w:rsidR="00760788">
        <w:rPr>
          <w:rFonts w:asciiTheme="minorHAnsi" w:hAnsiTheme="minorHAnsi" w:cs="Arial"/>
          <w:sz w:val="24"/>
          <w:szCs w:val="24"/>
          <w:lang w:val="sr-Latn-CS"/>
        </w:rPr>
        <w:t>Pored navedenih, u</w:t>
      </w:r>
      <w:r w:rsidR="0095769A" w:rsidRPr="0069081D">
        <w:rPr>
          <w:rFonts w:asciiTheme="minorHAnsi" w:hAnsiTheme="minorHAnsi" w:cs="Arial"/>
          <w:sz w:val="24"/>
          <w:szCs w:val="24"/>
          <w:lang w:val="sr-Latn-CS"/>
        </w:rPr>
        <w:t xml:space="preserve"> skladu sa Pravilnikom Ministarstva fin</w:t>
      </w:r>
      <w:r w:rsidR="00D609B3" w:rsidRPr="0069081D">
        <w:rPr>
          <w:rFonts w:asciiTheme="minorHAnsi" w:hAnsiTheme="minorHAnsi" w:cs="Arial"/>
          <w:sz w:val="24"/>
          <w:szCs w:val="24"/>
          <w:lang w:val="sr-Latn-CS"/>
        </w:rPr>
        <w:t>ansija o nabavkama malih vrijedn</w:t>
      </w:r>
      <w:r w:rsidR="0095769A" w:rsidRPr="0069081D">
        <w:rPr>
          <w:rFonts w:asciiTheme="minorHAnsi" w:hAnsiTheme="minorHAnsi" w:cs="Arial"/>
          <w:sz w:val="24"/>
          <w:szCs w:val="24"/>
          <w:lang w:val="sr-Latn-CS"/>
        </w:rPr>
        <w:t xml:space="preserve">osti, Pravilnikom Ministarstva finansija o hitnim nabavkama i u skladu sa Zakonom o javnm nabavkama, </w:t>
      </w:r>
      <w:r w:rsidR="00965D3B" w:rsidRPr="0069081D">
        <w:rPr>
          <w:rFonts w:asciiTheme="minorHAnsi" w:hAnsiTheme="minorHAnsi" w:cs="Arial"/>
          <w:sz w:val="24"/>
          <w:szCs w:val="24"/>
          <w:lang w:val="sr-Latn-CS"/>
        </w:rPr>
        <w:t>koji se</w:t>
      </w:r>
      <w:r w:rsidR="0095769A" w:rsidRPr="0069081D">
        <w:rPr>
          <w:rFonts w:asciiTheme="minorHAnsi" w:hAnsiTheme="minorHAnsi" w:cs="Arial"/>
          <w:sz w:val="24"/>
          <w:szCs w:val="24"/>
          <w:lang w:val="sr-Latn-CS"/>
        </w:rPr>
        <w:t xml:space="preserve"> </w:t>
      </w:r>
      <w:r w:rsidR="00965D3B" w:rsidRPr="0069081D">
        <w:rPr>
          <w:rFonts w:asciiTheme="minorHAnsi" w:hAnsiTheme="minorHAnsi" w:cs="Arial"/>
          <w:sz w:val="24"/>
          <w:szCs w:val="24"/>
          <w:lang w:val="sr-Latn-CS"/>
        </w:rPr>
        <w:t>primjenjivao do</w:t>
      </w:r>
      <w:r w:rsidR="0095769A" w:rsidRPr="0069081D">
        <w:rPr>
          <w:rFonts w:asciiTheme="minorHAnsi" w:hAnsiTheme="minorHAnsi" w:cs="Arial"/>
          <w:sz w:val="24"/>
          <w:szCs w:val="24"/>
          <w:lang w:val="sr-Latn-CS"/>
        </w:rPr>
        <w:t xml:space="preserve"> 7</w:t>
      </w:r>
      <w:r w:rsidR="00965D3B" w:rsidRPr="0069081D">
        <w:rPr>
          <w:rFonts w:asciiTheme="minorHAnsi" w:hAnsiTheme="minorHAnsi" w:cs="Arial"/>
          <w:sz w:val="24"/>
          <w:szCs w:val="24"/>
          <w:lang w:val="sr-Latn-CS"/>
        </w:rPr>
        <w:t>.</w:t>
      </w:r>
      <w:r w:rsidR="0095769A" w:rsidRPr="0069081D">
        <w:rPr>
          <w:rFonts w:asciiTheme="minorHAnsi" w:hAnsiTheme="minorHAnsi" w:cs="Arial"/>
          <w:sz w:val="24"/>
          <w:szCs w:val="24"/>
          <w:lang w:val="sr-Latn-CS"/>
        </w:rPr>
        <w:t xml:space="preserve"> jula 2020. godine</w:t>
      </w:r>
      <w:r w:rsidR="00965D3B" w:rsidRPr="0069081D">
        <w:rPr>
          <w:rFonts w:asciiTheme="minorHAnsi" w:hAnsiTheme="minorHAnsi" w:cs="Arial"/>
          <w:sz w:val="24"/>
          <w:szCs w:val="24"/>
          <w:lang w:val="sr-Latn-CS"/>
        </w:rPr>
        <w:t xml:space="preserve">, </w:t>
      </w:r>
      <w:r w:rsidR="0095769A" w:rsidRPr="0069081D">
        <w:rPr>
          <w:rFonts w:asciiTheme="minorHAnsi" w:hAnsiTheme="minorHAnsi" w:cs="Arial"/>
          <w:sz w:val="24"/>
          <w:szCs w:val="24"/>
          <w:lang w:val="sr-Latn-CS"/>
        </w:rPr>
        <w:t>sproveden</w:t>
      </w:r>
      <w:r w:rsidR="00965D3B" w:rsidRPr="0069081D">
        <w:rPr>
          <w:rFonts w:asciiTheme="minorHAnsi" w:hAnsiTheme="minorHAnsi" w:cs="Arial"/>
          <w:sz w:val="24"/>
          <w:szCs w:val="24"/>
          <w:lang w:val="sr-Latn-CS"/>
        </w:rPr>
        <w:t>i su sljedeći postupci:</w:t>
      </w:r>
      <w:r w:rsidR="0095769A" w:rsidRPr="0069081D">
        <w:rPr>
          <w:rFonts w:asciiTheme="minorHAnsi" w:hAnsiTheme="minorHAnsi" w:cs="Arial"/>
          <w:sz w:val="24"/>
          <w:szCs w:val="24"/>
          <w:lang w:val="sr-Latn-CS"/>
        </w:rPr>
        <w:t xml:space="preserve"> </w:t>
      </w:r>
      <w:r w:rsidR="0095769A" w:rsidRPr="004927B7">
        <w:rPr>
          <w:rFonts w:asciiTheme="minorHAnsi" w:hAnsiTheme="minorHAnsi" w:cs="Arial"/>
          <w:b/>
          <w:sz w:val="24"/>
          <w:szCs w:val="24"/>
          <w:lang w:val="sr-Latn-CS"/>
        </w:rPr>
        <w:t xml:space="preserve">1 </w:t>
      </w:r>
      <w:r w:rsidR="00760788" w:rsidRPr="004927B7">
        <w:rPr>
          <w:rFonts w:asciiTheme="minorHAnsi" w:hAnsiTheme="minorHAnsi" w:cs="Arial"/>
          <w:b/>
          <w:sz w:val="24"/>
          <w:szCs w:val="24"/>
          <w:lang w:val="sr-Latn-CS"/>
        </w:rPr>
        <w:t>hitna nabavka</w:t>
      </w:r>
      <w:r w:rsidR="00760788">
        <w:rPr>
          <w:rFonts w:asciiTheme="minorHAnsi" w:hAnsiTheme="minorHAnsi" w:cs="Arial"/>
          <w:sz w:val="24"/>
          <w:szCs w:val="24"/>
          <w:lang w:val="sr-Latn-CS"/>
        </w:rPr>
        <w:t>,</w:t>
      </w:r>
      <w:r w:rsidR="003138D5" w:rsidRPr="0069081D">
        <w:rPr>
          <w:rFonts w:asciiTheme="minorHAnsi" w:hAnsiTheme="minorHAnsi" w:cs="Arial"/>
          <w:sz w:val="24"/>
          <w:szCs w:val="24"/>
          <w:lang w:val="sr-Latn-CS"/>
        </w:rPr>
        <w:t xml:space="preserve"> </w:t>
      </w:r>
      <w:r w:rsidR="0069081D" w:rsidRPr="004927B7">
        <w:rPr>
          <w:rFonts w:asciiTheme="minorHAnsi" w:hAnsiTheme="minorHAnsi" w:cs="Arial"/>
          <w:b/>
          <w:sz w:val="24"/>
          <w:szCs w:val="24"/>
          <w:lang w:val="sr-Latn-CS"/>
        </w:rPr>
        <w:t>11</w:t>
      </w:r>
      <w:r w:rsidRPr="004927B7">
        <w:rPr>
          <w:rFonts w:asciiTheme="minorHAnsi" w:hAnsiTheme="minorHAnsi" w:cs="Arial"/>
          <w:b/>
          <w:sz w:val="24"/>
          <w:szCs w:val="24"/>
          <w:lang w:val="sr-Latn-CS"/>
        </w:rPr>
        <w:t xml:space="preserve"> </w:t>
      </w:r>
      <w:r w:rsidR="00965D3B" w:rsidRPr="004927B7">
        <w:rPr>
          <w:rFonts w:asciiTheme="minorHAnsi" w:hAnsiTheme="minorHAnsi" w:cs="Arial"/>
          <w:b/>
          <w:sz w:val="24"/>
          <w:szCs w:val="24"/>
          <w:lang w:val="sr-Latn-CS"/>
        </w:rPr>
        <w:t xml:space="preserve">postupaka </w:t>
      </w:r>
      <w:r w:rsidRPr="004927B7">
        <w:rPr>
          <w:rFonts w:asciiTheme="minorHAnsi" w:hAnsiTheme="minorHAnsi" w:cs="Arial"/>
          <w:b/>
          <w:sz w:val="24"/>
          <w:szCs w:val="24"/>
          <w:lang w:val="sr-Latn-CS"/>
        </w:rPr>
        <w:t>nabavki malih</w:t>
      </w:r>
      <w:r w:rsidRPr="0069081D">
        <w:rPr>
          <w:rFonts w:asciiTheme="minorHAnsi" w:hAnsiTheme="minorHAnsi" w:cs="Arial"/>
          <w:sz w:val="24"/>
          <w:szCs w:val="24"/>
          <w:lang w:val="sr-Latn-CS"/>
        </w:rPr>
        <w:t xml:space="preserve"> vrijednosti čija vr</w:t>
      </w:r>
      <w:r w:rsidR="00965D3B" w:rsidRPr="0069081D">
        <w:rPr>
          <w:rFonts w:asciiTheme="minorHAnsi" w:hAnsiTheme="minorHAnsi" w:cs="Arial"/>
          <w:sz w:val="24"/>
          <w:szCs w:val="24"/>
          <w:lang w:val="sr-Latn-CS"/>
        </w:rPr>
        <w:t>ijednost ne pr</w:t>
      </w:r>
      <w:r w:rsidR="0069081D" w:rsidRPr="0069081D">
        <w:rPr>
          <w:rFonts w:asciiTheme="minorHAnsi" w:hAnsiTheme="minorHAnsi" w:cs="Arial"/>
          <w:sz w:val="24"/>
          <w:szCs w:val="24"/>
          <w:lang w:val="sr-Latn-CS"/>
        </w:rPr>
        <w:t xml:space="preserve">elazi 15.000,00 eura sa pdv-om </w:t>
      </w:r>
      <w:r w:rsidRPr="0069081D">
        <w:rPr>
          <w:rFonts w:asciiTheme="minorHAnsi" w:hAnsiTheme="minorHAnsi" w:cs="Arial"/>
          <w:sz w:val="24"/>
          <w:szCs w:val="24"/>
          <w:lang w:val="sr-Latn-CS"/>
        </w:rPr>
        <w:t xml:space="preserve">i </w:t>
      </w:r>
      <w:r w:rsidR="0069081D" w:rsidRPr="004927B7">
        <w:rPr>
          <w:rFonts w:asciiTheme="minorHAnsi" w:hAnsiTheme="minorHAnsi" w:cs="Arial"/>
          <w:b/>
          <w:sz w:val="24"/>
          <w:szCs w:val="24"/>
          <w:lang w:val="sr-Latn-CS"/>
        </w:rPr>
        <w:t>77</w:t>
      </w:r>
      <w:r w:rsidRPr="004927B7">
        <w:rPr>
          <w:rFonts w:asciiTheme="minorHAnsi" w:hAnsiTheme="minorHAnsi" w:cs="Arial"/>
          <w:b/>
          <w:sz w:val="24"/>
          <w:szCs w:val="24"/>
          <w:lang w:val="sr-Latn-CS"/>
        </w:rPr>
        <w:t xml:space="preserve"> nabavke mali</w:t>
      </w:r>
      <w:r w:rsidR="0095769A" w:rsidRPr="004927B7">
        <w:rPr>
          <w:rFonts w:asciiTheme="minorHAnsi" w:hAnsiTheme="minorHAnsi" w:cs="Arial"/>
          <w:b/>
          <w:sz w:val="24"/>
          <w:szCs w:val="24"/>
          <w:lang w:val="sr-Latn-CS"/>
        </w:rPr>
        <w:t>h vrijednosti</w:t>
      </w:r>
      <w:r w:rsidR="0095769A" w:rsidRPr="0069081D">
        <w:rPr>
          <w:rFonts w:asciiTheme="minorHAnsi" w:hAnsiTheme="minorHAnsi" w:cs="Arial"/>
          <w:sz w:val="24"/>
          <w:szCs w:val="24"/>
          <w:lang w:val="sr-Latn-CS"/>
        </w:rPr>
        <w:t xml:space="preserve"> do 5.0</w:t>
      </w:r>
      <w:r w:rsidR="00965D3B" w:rsidRPr="0069081D">
        <w:rPr>
          <w:rFonts w:asciiTheme="minorHAnsi" w:hAnsiTheme="minorHAnsi" w:cs="Arial"/>
          <w:sz w:val="24"/>
          <w:szCs w:val="24"/>
          <w:lang w:val="sr-Latn-CS"/>
        </w:rPr>
        <w:t>00,00 eura, realizovane direktnim dogovorom</w:t>
      </w:r>
      <w:r w:rsidR="00F160E5" w:rsidRPr="0069081D">
        <w:rPr>
          <w:rFonts w:asciiTheme="minorHAnsi" w:hAnsiTheme="minorHAnsi" w:cs="Arial"/>
          <w:sz w:val="24"/>
          <w:szCs w:val="24"/>
          <w:lang w:val="sr-Latn-CS"/>
        </w:rPr>
        <w:t xml:space="preserve"> između ponuđača i naručioca</w:t>
      </w:r>
      <w:r w:rsidR="00965D3B" w:rsidRPr="0069081D">
        <w:rPr>
          <w:rFonts w:asciiTheme="minorHAnsi" w:hAnsiTheme="minorHAnsi" w:cs="Arial"/>
          <w:sz w:val="24"/>
          <w:szCs w:val="24"/>
          <w:lang w:val="sr-Latn-CS"/>
        </w:rPr>
        <w:t>. U skladu sa novim</w:t>
      </w:r>
      <w:r w:rsidR="00965D3B">
        <w:rPr>
          <w:rFonts w:asciiTheme="minorHAnsi" w:hAnsiTheme="minorHAnsi" w:cs="Arial"/>
          <w:sz w:val="24"/>
          <w:szCs w:val="24"/>
          <w:lang w:val="sr-Latn-CS"/>
        </w:rPr>
        <w:t xml:space="preserve"> Zakono o javnim nabavkama, koji se primjenjuje od 7. jula 2020. godine, </w:t>
      </w:r>
      <w:r w:rsidR="00965D3B" w:rsidRPr="00965D3B">
        <w:rPr>
          <w:rFonts w:asciiTheme="minorHAnsi" w:hAnsiTheme="minorHAnsi" w:cs="Arial"/>
          <w:sz w:val="24"/>
          <w:szCs w:val="24"/>
          <w:lang w:val="sr-Latn-CS"/>
        </w:rPr>
        <w:t>sprovedeni su sljedeći postupci:</w:t>
      </w:r>
      <w:r w:rsidR="00965D3B">
        <w:rPr>
          <w:rFonts w:asciiTheme="minorHAnsi" w:hAnsiTheme="minorHAnsi" w:cs="Arial"/>
          <w:sz w:val="24"/>
          <w:szCs w:val="24"/>
          <w:lang w:val="sr-Latn-CS"/>
        </w:rPr>
        <w:t xml:space="preserve"> </w:t>
      </w:r>
      <w:r w:rsidR="0069081D" w:rsidRPr="004927B7">
        <w:rPr>
          <w:rFonts w:asciiTheme="minorHAnsi" w:hAnsiTheme="minorHAnsi" w:cs="Arial"/>
          <w:b/>
          <w:sz w:val="24"/>
          <w:szCs w:val="24"/>
          <w:lang w:val="sr-Latn-CS"/>
        </w:rPr>
        <w:t>7</w:t>
      </w:r>
      <w:r w:rsidR="00965D3B" w:rsidRPr="004927B7">
        <w:rPr>
          <w:rFonts w:asciiTheme="minorHAnsi" w:hAnsiTheme="minorHAnsi" w:cs="Arial"/>
          <w:b/>
          <w:sz w:val="24"/>
          <w:szCs w:val="24"/>
          <w:lang w:val="sr-Latn-CS"/>
        </w:rPr>
        <w:t xml:space="preserve"> postupaka jednostavne nabavke</w:t>
      </w:r>
      <w:r w:rsidR="00965D3B">
        <w:rPr>
          <w:rFonts w:asciiTheme="minorHAnsi" w:hAnsiTheme="minorHAnsi" w:cs="Arial"/>
          <w:sz w:val="24"/>
          <w:szCs w:val="24"/>
          <w:lang w:val="sr-Latn-CS"/>
        </w:rPr>
        <w:t>, čija vrijedn</w:t>
      </w:r>
      <w:r w:rsidR="00F160E5">
        <w:rPr>
          <w:rFonts w:asciiTheme="minorHAnsi" w:hAnsiTheme="minorHAnsi" w:cs="Arial"/>
          <w:sz w:val="24"/>
          <w:szCs w:val="24"/>
          <w:lang w:val="sr-Latn-CS"/>
        </w:rPr>
        <w:t>ost ne prelazi 20.000,00 eura</w:t>
      </w:r>
      <w:r w:rsidR="00965D3B">
        <w:rPr>
          <w:rFonts w:asciiTheme="minorHAnsi" w:hAnsiTheme="minorHAnsi" w:cs="Arial"/>
          <w:sz w:val="24"/>
          <w:szCs w:val="24"/>
          <w:lang w:val="sr-Latn-CS"/>
        </w:rPr>
        <w:t xml:space="preserve"> bez pdv-a i </w:t>
      </w:r>
      <w:r w:rsidR="0069081D" w:rsidRPr="004927B7">
        <w:rPr>
          <w:rFonts w:asciiTheme="minorHAnsi" w:hAnsiTheme="minorHAnsi" w:cs="Arial"/>
          <w:b/>
          <w:sz w:val="24"/>
          <w:szCs w:val="24"/>
          <w:lang w:val="sr-Latn-CS"/>
        </w:rPr>
        <w:t xml:space="preserve">104 </w:t>
      </w:r>
      <w:r w:rsidR="00965D3B" w:rsidRPr="004927B7">
        <w:rPr>
          <w:rFonts w:asciiTheme="minorHAnsi" w:hAnsiTheme="minorHAnsi" w:cs="Arial"/>
          <w:b/>
          <w:sz w:val="24"/>
          <w:szCs w:val="24"/>
          <w:lang w:val="sr-Latn-CS"/>
        </w:rPr>
        <w:t>jednostavne nabav</w:t>
      </w:r>
      <w:r w:rsidR="00F160E5" w:rsidRPr="004927B7">
        <w:rPr>
          <w:rFonts w:asciiTheme="minorHAnsi" w:hAnsiTheme="minorHAnsi" w:cs="Arial"/>
          <w:b/>
          <w:sz w:val="24"/>
          <w:szCs w:val="24"/>
          <w:lang w:val="sr-Latn-CS"/>
        </w:rPr>
        <w:t>ke</w:t>
      </w:r>
      <w:r w:rsidR="00F160E5">
        <w:rPr>
          <w:rFonts w:asciiTheme="minorHAnsi" w:hAnsiTheme="minorHAnsi" w:cs="Arial"/>
          <w:sz w:val="24"/>
          <w:szCs w:val="24"/>
          <w:lang w:val="sr-Latn-CS"/>
        </w:rPr>
        <w:t>, čija vrijedno</w:t>
      </w:r>
      <w:r w:rsidR="00965D3B">
        <w:rPr>
          <w:rFonts w:asciiTheme="minorHAnsi" w:hAnsiTheme="minorHAnsi" w:cs="Arial"/>
          <w:sz w:val="24"/>
          <w:szCs w:val="24"/>
          <w:lang w:val="sr-Latn-CS"/>
        </w:rPr>
        <w:t xml:space="preserve">st </w:t>
      </w:r>
      <w:r w:rsidR="00F160E5">
        <w:rPr>
          <w:rFonts w:asciiTheme="minorHAnsi" w:hAnsiTheme="minorHAnsi" w:cs="Arial"/>
          <w:sz w:val="24"/>
          <w:szCs w:val="24"/>
          <w:lang w:val="sr-Latn-CS"/>
        </w:rPr>
        <w:t xml:space="preserve">je manja od 5.000,00 eura bez pdv-a, </w:t>
      </w:r>
      <w:r w:rsidR="00D609B3">
        <w:rPr>
          <w:rFonts w:asciiTheme="minorHAnsi" w:hAnsiTheme="minorHAnsi" w:cs="Arial"/>
          <w:sz w:val="24"/>
          <w:szCs w:val="24"/>
          <w:lang w:val="sr-Latn-CS"/>
        </w:rPr>
        <w:t xml:space="preserve">a </w:t>
      </w:r>
      <w:r w:rsidR="00F160E5">
        <w:rPr>
          <w:rFonts w:asciiTheme="minorHAnsi" w:hAnsiTheme="minorHAnsi" w:cs="Arial"/>
          <w:sz w:val="24"/>
          <w:szCs w:val="24"/>
          <w:lang w:val="sr-Latn-CS"/>
        </w:rPr>
        <w:t>koje su realizovane direktnim dogovorom.</w:t>
      </w:r>
    </w:p>
    <w:p w:rsidR="001C13C3" w:rsidRDefault="001C13C3" w:rsidP="00974960">
      <w:pPr>
        <w:pStyle w:val="NoSpacing"/>
        <w:ind w:firstLine="709"/>
        <w:jc w:val="both"/>
        <w:rPr>
          <w:rFonts w:asciiTheme="minorHAnsi" w:hAnsiTheme="minorHAnsi" w:cs="Arial"/>
          <w:bCs/>
          <w:sz w:val="24"/>
          <w:szCs w:val="24"/>
          <w:lang w:val="pl-PL"/>
        </w:rPr>
      </w:pPr>
      <w:r w:rsidRPr="001C13C3">
        <w:rPr>
          <w:rFonts w:asciiTheme="minorHAnsi" w:hAnsiTheme="minorHAnsi" w:cs="Arial"/>
          <w:sz w:val="24"/>
          <w:szCs w:val="24"/>
          <w:lang w:val="sr-Latn-CS"/>
        </w:rPr>
        <w:t>U skladu sa zakonsk</w:t>
      </w:r>
      <w:r w:rsidR="002464CE">
        <w:rPr>
          <w:rFonts w:asciiTheme="minorHAnsi" w:hAnsiTheme="minorHAnsi" w:cs="Arial"/>
          <w:sz w:val="24"/>
          <w:szCs w:val="24"/>
          <w:lang w:val="sr-Latn-CS"/>
        </w:rPr>
        <w:t>im odredbama i rokovima, Službenici za javne nabavke pripremili su</w:t>
      </w:r>
      <w:r w:rsidRPr="001C13C3">
        <w:rPr>
          <w:rFonts w:asciiTheme="minorHAnsi" w:hAnsiTheme="minorHAnsi" w:cs="Arial"/>
          <w:sz w:val="24"/>
          <w:szCs w:val="24"/>
          <w:lang w:val="sr-Latn-CS"/>
        </w:rPr>
        <w:t xml:space="preserve"> </w:t>
      </w:r>
      <w:r w:rsidRPr="005F74DF">
        <w:rPr>
          <w:rFonts w:asciiTheme="minorHAnsi" w:hAnsiTheme="minorHAnsi" w:cs="Arial"/>
          <w:i/>
          <w:sz w:val="24"/>
          <w:szCs w:val="24"/>
          <w:u w:val="single"/>
          <w:lang w:val="sr-Latn-CS"/>
        </w:rPr>
        <w:t>Izvještaj o sprovedenim postupcima javnih nabavki i zaključenim ugovorima za 2019. godinu</w:t>
      </w:r>
      <w:r w:rsidRPr="001C13C3">
        <w:rPr>
          <w:rFonts w:asciiTheme="minorHAnsi" w:hAnsiTheme="minorHAnsi" w:cs="Arial"/>
          <w:sz w:val="24"/>
          <w:szCs w:val="24"/>
          <w:lang w:val="sr-Latn-CS"/>
        </w:rPr>
        <w:t xml:space="preserve"> – </w:t>
      </w:r>
      <w:r w:rsidR="002464CE">
        <w:rPr>
          <w:rFonts w:asciiTheme="minorHAnsi" w:hAnsiTheme="minorHAnsi" w:cs="Arial"/>
          <w:sz w:val="24"/>
          <w:szCs w:val="24"/>
          <w:lang w:val="sr-Latn-CS"/>
        </w:rPr>
        <w:t xml:space="preserve">koji je </w:t>
      </w:r>
      <w:r w:rsidR="00B70C51">
        <w:rPr>
          <w:rFonts w:asciiTheme="minorHAnsi" w:hAnsiTheme="minorHAnsi" w:cs="Arial"/>
          <w:sz w:val="24"/>
          <w:szCs w:val="24"/>
          <w:lang w:val="sr-Latn-CS"/>
        </w:rPr>
        <w:t xml:space="preserve">potpisan od strane ovlašćenog lica Ministarstva i </w:t>
      </w:r>
      <w:r w:rsidR="002464CE">
        <w:rPr>
          <w:rFonts w:asciiTheme="minorHAnsi" w:hAnsiTheme="minorHAnsi" w:cs="Arial"/>
          <w:sz w:val="24"/>
          <w:szCs w:val="24"/>
          <w:lang w:val="sr-Latn-CS"/>
        </w:rPr>
        <w:t xml:space="preserve">dostavljen nadležnom organu za javne nabavke – Direktoratu za politiku javnih nabavki </w:t>
      </w:r>
      <w:r w:rsidRPr="00B70C51">
        <w:rPr>
          <w:rFonts w:asciiTheme="minorHAnsi" w:hAnsiTheme="minorHAnsi" w:cs="Arial"/>
          <w:sz w:val="24"/>
          <w:szCs w:val="24"/>
          <w:lang w:val="sr-Latn-CS"/>
        </w:rPr>
        <w:t>28. februara</w:t>
      </w:r>
      <w:r>
        <w:rPr>
          <w:rFonts w:asciiTheme="minorHAnsi" w:hAnsiTheme="minorHAnsi" w:cs="Arial"/>
          <w:sz w:val="24"/>
          <w:szCs w:val="24"/>
          <w:lang w:val="sr-Latn-CS"/>
        </w:rPr>
        <w:t xml:space="preserve"> 2020</w:t>
      </w:r>
      <w:r w:rsidRPr="001C13C3">
        <w:rPr>
          <w:rFonts w:asciiTheme="minorHAnsi" w:hAnsiTheme="minorHAnsi" w:cs="Arial"/>
          <w:sz w:val="24"/>
          <w:szCs w:val="24"/>
          <w:lang w:val="sr-Latn-CS"/>
        </w:rPr>
        <w:t xml:space="preserve">. godine. </w:t>
      </w:r>
      <w:r w:rsidRPr="001C13C3">
        <w:rPr>
          <w:rFonts w:asciiTheme="minorHAnsi" w:hAnsiTheme="minorHAnsi" w:cs="Arial"/>
          <w:bCs/>
          <w:sz w:val="24"/>
          <w:szCs w:val="24"/>
          <w:lang w:val="pl-PL"/>
        </w:rPr>
        <w:t>Izvještaj sadrži sve relevantne info</w:t>
      </w:r>
      <w:r w:rsidR="00965D3B">
        <w:rPr>
          <w:rFonts w:asciiTheme="minorHAnsi" w:hAnsiTheme="minorHAnsi" w:cs="Arial"/>
          <w:bCs/>
          <w:sz w:val="24"/>
          <w:szCs w:val="24"/>
          <w:lang w:val="pl-PL"/>
        </w:rPr>
        <w:t>rmacije vezane za javne nabavke</w:t>
      </w:r>
      <w:r w:rsidR="00F160E5">
        <w:rPr>
          <w:rFonts w:asciiTheme="minorHAnsi" w:hAnsiTheme="minorHAnsi" w:cs="Arial"/>
          <w:bCs/>
          <w:sz w:val="24"/>
          <w:szCs w:val="24"/>
          <w:lang w:val="pl-PL"/>
        </w:rPr>
        <w:t>.</w:t>
      </w:r>
    </w:p>
    <w:p w:rsidR="003138D5" w:rsidRDefault="003138D5" w:rsidP="00974960">
      <w:pPr>
        <w:pStyle w:val="NoSpacing"/>
        <w:ind w:firstLine="709"/>
        <w:jc w:val="both"/>
        <w:rPr>
          <w:rFonts w:asciiTheme="minorHAnsi" w:hAnsiTheme="minorHAnsi" w:cs="Arial"/>
          <w:bCs/>
          <w:sz w:val="24"/>
          <w:szCs w:val="24"/>
          <w:lang w:val="pl-PL"/>
        </w:rPr>
      </w:pPr>
      <w:r>
        <w:rPr>
          <w:rFonts w:asciiTheme="minorHAnsi" w:hAnsiTheme="minorHAnsi" w:cs="Arial"/>
          <w:bCs/>
          <w:sz w:val="24"/>
          <w:szCs w:val="24"/>
          <w:lang w:val="pl-PL"/>
        </w:rPr>
        <w:lastRenderedPageBreak/>
        <w:t xml:space="preserve">Pored navedenih aktivnosti </w:t>
      </w:r>
      <w:r w:rsidR="001C2C33">
        <w:rPr>
          <w:rFonts w:asciiTheme="minorHAnsi" w:hAnsiTheme="minorHAnsi" w:cs="Arial"/>
          <w:bCs/>
          <w:sz w:val="24"/>
          <w:szCs w:val="24"/>
          <w:lang w:val="pl-PL"/>
        </w:rPr>
        <w:t>u S</w:t>
      </w:r>
      <w:r w:rsidR="00E74629">
        <w:rPr>
          <w:rFonts w:asciiTheme="minorHAnsi" w:hAnsiTheme="minorHAnsi" w:cs="Arial"/>
          <w:bCs/>
          <w:sz w:val="24"/>
          <w:szCs w:val="24"/>
          <w:lang w:val="pl-PL"/>
        </w:rPr>
        <w:t xml:space="preserve">lužbi su blagovremeno i u skladu sa zakonskim rokovima sačinjeni i sljedeći </w:t>
      </w:r>
      <w:r w:rsidR="00AA4499">
        <w:rPr>
          <w:rFonts w:asciiTheme="minorHAnsi" w:hAnsiTheme="minorHAnsi" w:cs="Arial"/>
          <w:bCs/>
          <w:sz w:val="24"/>
          <w:szCs w:val="24"/>
          <w:lang w:val="pl-PL"/>
        </w:rPr>
        <w:t>akti</w:t>
      </w:r>
      <w:r w:rsidR="00E74629">
        <w:rPr>
          <w:rFonts w:asciiTheme="minorHAnsi" w:hAnsiTheme="minorHAnsi" w:cs="Arial"/>
          <w:bCs/>
          <w:sz w:val="24"/>
          <w:szCs w:val="24"/>
          <w:lang w:val="pl-PL"/>
        </w:rPr>
        <w:t>:</w:t>
      </w:r>
    </w:p>
    <w:p w:rsidR="00E74629" w:rsidRDefault="00E74629" w:rsidP="00974960">
      <w:pPr>
        <w:pStyle w:val="NoSpacing"/>
        <w:ind w:firstLine="709"/>
        <w:jc w:val="both"/>
        <w:rPr>
          <w:rFonts w:asciiTheme="minorHAnsi" w:hAnsiTheme="minorHAnsi" w:cs="Arial"/>
          <w:bCs/>
          <w:sz w:val="24"/>
          <w:szCs w:val="24"/>
          <w:lang w:val="pl-PL"/>
        </w:rPr>
      </w:pPr>
      <w:r>
        <w:rPr>
          <w:rFonts w:asciiTheme="minorHAnsi" w:hAnsiTheme="minorHAnsi" w:cs="Arial"/>
          <w:bCs/>
          <w:sz w:val="24"/>
          <w:szCs w:val="24"/>
          <w:lang w:val="pl-PL"/>
        </w:rPr>
        <w:t xml:space="preserve">- </w:t>
      </w:r>
      <w:r w:rsidRPr="005F74DF">
        <w:rPr>
          <w:rFonts w:asciiTheme="minorHAnsi" w:hAnsiTheme="minorHAnsi" w:cs="Arial"/>
          <w:bCs/>
          <w:i/>
          <w:sz w:val="24"/>
          <w:szCs w:val="24"/>
          <w:u w:val="single"/>
          <w:lang w:val="pl-PL"/>
        </w:rPr>
        <w:t>Izvještaj</w:t>
      </w:r>
      <w:r w:rsidR="001C2C33" w:rsidRPr="005F74DF">
        <w:rPr>
          <w:rFonts w:asciiTheme="minorHAnsi" w:hAnsiTheme="minorHAnsi" w:cs="Arial"/>
          <w:bCs/>
          <w:i/>
          <w:sz w:val="24"/>
          <w:szCs w:val="24"/>
          <w:u w:val="single"/>
          <w:lang w:val="pl-PL"/>
        </w:rPr>
        <w:t xml:space="preserve"> Ministarstva</w:t>
      </w:r>
      <w:r w:rsidRPr="005F74DF">
        <w:rPr>
          <w:rFonts w:asciiTheme="minorHAnsi" w:hAnsiTheme="minorHAnsi" w:cs="Arial"/>
          <w:bCs/>
          <w:i/>
          <w:sz w:val="24"/>
          <w:szCs w:val="24"/>
          <w:u w:val="single"/>
          <w:lang w:val="pl-PL"/>
        </w:rPr>
        <w:t xml:space="preserve"> o </w:t>
      </w:r>
      <w:r w:rsidR="005F74DF" w:rsidRPr="005F74DF">
        <w:rPr>
          <w:rFonts w:asciiTheme="minorHAnsi" w:hAnsiTheme="minorHAnsi" w:cs="Arial"/>
          <w:bCs/>
          <w:i/>
          <w:sz w:val="24"/>
          <w:szCs w:val="24"/>
          <w:u w:val="single"/>
          <w:lang w:val="pl-PL"/>
        </w:rPr>
        <w:t>kršenju antikorupcijskih pravila</w:t>
      </w:r>
      <w:r w:rsidRPr="005F74DF">
        <w:rPr>
          <w:rFonts w:asciiTheme="minorHAnsi" w:hAnsiTheme="minorHAnsi" w:cs="Arial"/>
          <w:bCs/>
          <w:i/>
          <w:sz w:val="24"/>
          <w:szCs w:val="24"/>
          <w:u w:val="single"/>
          <w:lang w:val="pl-PL"/>
        </w:rPr>
        <w:t xml:space="preserve"> za 2020. godinu</w:t>
      </w:r>
      <w:r w:rsidRPr="005F74DF">
        <w:rPr>
          <w:rFonts w:asciiTheme="minorHAnsi" w:hAnsiTheme="minorHAnsi" w:cs="Arial"/>
          <w:bCs/>
          <w:sz w:val="24"/>
          <w:szCs w:val="24"/>
          <w:lang w:val="pl-PL"/>
        </w:rPr>
        <w:t xml:space="preserve"> i </w:t>
      </w:r>
      <w:r w:rsidRPr="005F74DF">
        <w:rPr>
          <w:rFonts w:asciiTheme="minorHAnsi" w:hAnsiTheme="minorHAnsi" w:cs="Arial"/>
          <w:bCs/>
          <w:i/>
          <w:sz w:val="24"/>
          <w:szCs w:val="24"/>
          <w:u w:val="single"/>
          <w:lang w:val="pl-PL"/>
        </w:rPr>
        <w:t xml:space="preserve">Metodologija </w:t>
      </w:r>
      <w:r w:rsidR="005F74DF" w:rsidRPr="005F74DF">
        <w:rPr>
          <w:rFonts w:asciiTheme="minorHAnsi" w:hAnsiTheme="minorHAnsi" w:cs="Arial"/>
          <w:bCs/>
          <w:i/>
          <w:sz w:val="24"/>
          <w:szCs w:val="24"/>
          <w:u w:val="single"/>
          <w:lang w:val="pl-PL"/>
        </w:rPr>
        <w:t xml:space="preserve">analize </w:t>
      </w:r>
      <w:r w:rsidRPr="005F74DF">
        <w:rPr>
          <w:rFonts w:asciiTheme="minorHAnsi" w:hAnsiTheme="minorHAnsi" w:cs="Arial"/>
          <w:bCs/>
          <w:i/>
          <w:sz w:val="24"/>
          <w:szCs w:val="24"/>
          <w:u w:val="single"/>
          <w:lang w:val="pl-PL"/>
        </w:rPr>
        <w:t>rizika</w:t>
      </w:r>
      <w:r w:rsidR="005F74DF" w:rsidRPr="005F74DF">
        <w:rPr>
          <w:rFonts w:asciiTheme="minorHAnsi" w:hAnsiTheme="minorHAnsi" w:cs="Arial"/>
          <w:bCs/>
          <w:i/>
          <w:sz w:val="24"/>
          <w:szCs w:val="24"/>
          <w:u w:val="single"/>
          <w:lang w:val="pl-PL"/>
        </w:rPr>
        <w:t xml:space="preserve"> u vršenju kontrole u postupcima javnih nabvki</w:t>
      </w:r>
      <w:r>
        <w:rPr>
          <w:rFonts w:asciiTheme="minorHAnsi" w:hAnsiTheme="minorHAnsi" w:cs="Arial"/>
          <w:bCs/>
          <w:sz w:val="24"/>
          <w:szCs w:val="24"/>
          <w:lang w:val="pl-PL"/>
        </w:rPr>
        <w:t xml:space="preserve">, </w:t>
      </w:r>
      <w:r w:rsidR="00AA4499">
        <w:rPr>
          <w:rFonts w:asciiTheme="minorHAnsi" w:hAnsiTheme="minorHAnsi" w:cs="Arial"/>
          <w:bCs/>
          <w:sz w:val="24"/>
          <w:szCs w:val="24"/>
          <w:lang w:val="pl-PL"/>
        </w:rPr>
        <w:t xml:space="preserve">u skladu sa </w:t>
      </w:r>
      <w:r w:rsidR="005F74DF" w:rsidRPr="005F74DF">
        <w:rPr>
          <w:rFonts w:asciiTheme="minorHAnsi" w:hAnsiTheme="minorHAnsi" w:cs="Arial"/>
          <w:bCs/>
          <w:i/>
          <w:sz w:val="24"/>
          <w:szCs w:val="24"/>
          <w:lang w:val="pl-PL"/>
        </w:rPr>
        <w:t>članom 38</w:t>
      </w:r>
      <w:r w:rsidR="005F74DF">
        <w:rPr>
          <w:rFonts w:asciiTheme="minorHAnsi" w:hAnsiTheme="minorHAnsi" w:cs="Arial"/>
          <w:bCs/>
          <w:sz w:val="24"/>
          <w:szCs w:val="24"/>
          <w:lang w:val="pl-PL"/>
        </w:rPr>
        <w:t xml:space="preserve"> </w:t>
      </w:r>
      <w:r w:rsidR="005F74DF">
        <w:rPr>
          <w:rFonts w:asciiTheme="minorHAnsi" w:hAnsiTheme="minorHAnsi" w:cs="Arial"/>
          <w:bCs/>
          <w:i/>
          <w:sz w:val="24"/>
          <w:szCs w:val="24"/>
          <w:lang w:val="pl-PL"/>
        </w:rPr>
        <w:t>Zakona</w:t>
      </w:r>
      <w:r w:rsidR="00AA4499" w:rsidRPr="00AA4499">
        <w:rPr>
          <w:rFonts w:asciiTheme="minorHAnsi" w:hAnsiTheme="minorHAnsi" w:cs="Arial"/>
          <w:bCs/>
          <w:i/>
          <w:sz w:val="24"/>
          <w:szCs w:val="24"/>
          <w:lang w:val="pl-PL"/>
        </w:rPr>
        <w:t xml:space="preserve"> o javnim nabavkma</w:t>
      </w:r>
      <w:r w:rsidR="00407184">
        <w:rPr>
          <w:rFonts w:asciiTheme="minorHAnsi" w:hAnsiTheme="minorHAnsi" w:cs="Arial"/>
          <w:bCs/>
          <w:i/>
          <w:sz w:val="24"/>
          <w:szCs w:val="24"/>
          <w:lang w:val="pl-PL"/>
        </w:rPr>
        <w:t>,</w:t>
      </w:r>
      <w:r w:rsidR="00AA4499">
        <w:rPr>
          <w:rFonts w:asciiTheme="minorHAnsi" w:hAnsiTheme="minorHAnsi" w:cs="Arial"/>
          <w:bCs/>
          <w:sz w:val="24"/>
          <w:szCs w:val="24"/>
          <w:lang w:val="pl-PL"/>
        </w:rPr>
        <w:t xml:space="preserve"> </w:t>
      </w:r>
      <w:r w:rsidR="00405DBC">
        <w:rPr>
          <w:rFonts w:asciiTheme="minorHAnsi" w:hAnsiTheme="minorHAnsi" w:cs="Arial"/>
          <w:bCs/>
          <w:sz w:val="24"/>
          <w:szCs w:val="24"/>
          <w:lang w:val="pl-PL"/>
        </w:rPr>
        <w:t xml:space="preserve">a koji su </w:t>
      </w:r>
      <w:r>
        <w:rPr>
          <w:rFonts w:asciiTheme="minorHAnsi" w:hAnsiTheme="minorHAnsi" w:cs="Arial"/>
          <w:bCs/>
          <w:sz w:val="24"/>
          <w:szCs w:val="24"/>
          <w:lang w:val="pl-PL"/>
        </w:rPr>
        <w:t xml:space="preserve">predati nadležnom </w:t>
      </w:r>
      <w:r w:rsidR="00AA4499">
        <w:rPr>
          <w:rFonts w:asciiTheme="minorHAnsi" w:hAnsiTheme="minorHAnsi" w:cs="Arial"/>
          <w:bCs/>
          <w:sz w:val="24"/>
          <w:szCs w:val="24"/>
          <w:lang w:val="pl-PL"/>
        </w:rPr>
        <w:t>organu za javne nabavke 31. dec</w:t>
      </w:r>
      <w:r>
        <w:rPr>
          <w:rFonts w:asciiTheme="minorHAnsi" w:hAnsiTheme="minorHAnsi" w:cs="Arial"/>
          <w:bCs/>
          <w:sz w:val="24"/>
          <w:szCs w:val="24"/>
          <w:lang w:val="pl-PL"/>
        </w:rPr>
        <w:t>embra 2020. godine;</w:t>
      </w:r>
    </w:p>
    <w:p w:rsidR="00E74629" w:rsidRPr="002A3AD1" w:rsidRDefault="00E74629" w:rsidP="00602D75">
      <w:pPr>
        <w:spacing w:before="0" w:after="0" w:line="240" w:lineRule="auto"/>
        <w:rPr>
          <w:rFonts w:eastAsia="Times New Roman" w:cs="Arial"/>
          <w:bCs/>
          <w:szCs w:val="24"/>
          <w:lang w:val="en-US"/>
        </w:rPr>
      </w:pPr>
      <w:r>
        <w:rPr>
          <w:rFonts w:cs="Arial"/>
          <w:bCs/>
          <w:szCs w:val="24"/>
          <w:lang w:val="pl-PL"/>
        </w:rPr>
        <w:t xml:space="preserve">- </w:t>
      </w:r>
      <w:r w:rsidRPr="005F74DF">
        <w:rPr>
          <w:rFonts w:cs="Arial"/>
          <w:bCs/>
          <w:i/>
          <w:szCs w:val="24"/>
          <w:u w:val="single"/>
          <w:lang w:val="pl-PL"/>
        </w:rPr>
        <w:t xml:space="preserve">Registar rizika za </w:t>
      </w:r>
      <w:r w:rsidR="001C2C33" w:rsidRPr="005F74DF">
        <w:rPr>
          <w:rFonts w:cs="Arial"/>
          <w:bCs/>
          <w:i/>
          <w:szCs w:val="24"/>
          <w:u w:val="single"/>
          <w:lang w:val="pl-PL"/>
        </w:rPr>
        <w:t xml:space="preserve">navedenu organizacionu jedinicu za </w:t>
      </w:r>
      <w:r w:rsidRPr="005F74DF">
        <w:rPr>
          <w:rFonts w:cs="Arial"/>
          <w:bCs/>
          <w:i/>
          <w:szCs w:val="24"/>
          <w:u w:val="single"/>
          <w:lang w:val="pl-PL"/>
        </w:rPr>
        <w:t>2020. godinu</w:t>
      </w:r>
      <w:r>
        <w:rPr>
          <w:rFonts w:cs="Arial"/>
          <w:bCs/>
          <w:szCs w:val="24"/>
          <w:lang w:val="pl-PL"/>
        </w:rPr>
        <w:t>, sa pregledom postojećih kontrola i predlogom za reagovanje na utvđene rizike</w:t>
      </w:r>
      <w:r w:rsidR="00D7121E">
        <w:rPr>
          <w:rFonts w:cs="Arial"/>
          <w:bCs/>
          <w:szCs w:val="24"/>
          <w:lang w:val="pl-PL"/>
        </w:rPr>
        <w:t xml:space="preserve">, u skladu sa </w:t>
      </w:r>
      <w:r w:rsidR="00D7121E" w:rsidRPr="00AA4499">
        <w:rPr>
          <w:rFonts w:cs="Arial"/>
          <w:bCs/>
          <w:i/>
          <w:szCs w:val="24"/>
          <w:lang w:val="pl-PL"/>
        </w:rPr>
        <w:t>Zakonom o upravljanju i unutrašnjim kontrolama</w:t>
      </w:r>
      <w:r w:rsidR="00D7121E">
        <w:rPr>
          <w:rFonts w:cs="Arial"/>
          <w:bCs/>
          <w:szCs w:val="24"/>
          <w:lang w:val="pl-PL"/>
        </w:rPr>
        <w:t>.</w:t>
      </w:r>
      <w:r w:rsidR="002A3AD1" w:rsidRPr="002A3AD1">
        <w:rPr>
          <w:rFonts w:ascii="Times New Roman" w:eastAsia="Times New Roman" w:hAnsi="Times New Roman" w:cs="Arial"/>
          <w:bCs/>
          <w:szCs w:val="24"/>
          <w:lang w:val="en-US"/>
        </w:rPr>
        <w:t xml:space="preserve"> </w:t>
      </w:r>
      <w:r w:rsidR="00602D75">
        <w:rPr>
          <w:rFonts w:eastAsia="Times New Roman" w:cs="Arial"/>
          <w:bCs/>
          <w:szCs w:val="24"/>
          <w:lang w:val="en-US"/>
        </w:rPr>
        <w:t>Registar je</w:t>
      </w:r>
      <w:r w:rsidR="002A3AD1" w:rsidRPr="002A3AD1">
        <w:rPr>
          <w:rFonts w:eastAsia="Times New Roman" w:cs="Arial"/>
          <w:bCs/>
          <w:szCs w:val="24"/>
          <w:lang w:val="en-US"/>
        </w:rPr>
        <w:t xml:space="preserve"> dostavl</w:t>
      </w:r>
      <w:r w:rsidR="00602D75">
        <w:rPr>
          <w:rFonts w:eastAsia="Times New Roman" w:cs="Arial"/>
          <w:bCs/>
          <w:szCs w:val="24"/>
          <w:lang w:val="en-US"/>
        </w:rPr>
        <w:t>jen</w:t>
      </w:r>
      <w:r w:rsidR="002A3AD1" w:rsidRPr="002A3AD1">
        <w:rPr>
          <w:rFonts w:eastAsia="Times New Roman" w:cs="Arial"/>
          <w:bCs/>
          <w:szCs w:val="24"/>
          <w:lang w:val="en-US"/>
        </w:rPr>
        <w:t xml:space="preserve"> koordinatoru, koji objedinjava regist</w:t>
      </w:r>
      <w:r w:rsidR="00602D75">
        <w:rPr>
          <w:rFonts w:eastAsia="Times New Roman" w:cs="Arial"/>
          <w:bCs/>
          <w:szCs w:val="24"/>
          <w:lang w:val="en-US"/>
        </w:rPr>
        <w:t>re</w:t>
      </w:r>
      <w:r w:rsidR="002A3AD1" w:rsidRPr="002A3AD1">
        <w:rPr>
          <w:rFonts w:eastAsia="Times New Roman" w:cs="Arial"/>
          <w:bCs/>
          <w:szCs w:val="24"/>
          <w:lang w:val="en-US"/>
        </w:rPr>
        <w:t xml:space="preserve"> rizika svih organizacionih jedinica i dostavlja ih ministru.</w:t>
      </w:r>
    </w:p>
    <w:p w:rsidR="001C2C33" w:rsidRPr="00D7121E" w:rsidRDefault="001C2C33" w:rsidP="00D7121E">
      <w:pPr>
        <w:pStyle w:val="NoSpacing"/>
        <w:ind w:firstLine="709"/>
        <w:jc w:val="both"/>
        <w:rPr>
          <w:rFonts w:asciiTheme="minorHAnsi" w:hAnsiTheme="minorHAnsi" w:cs="Arial"/>
          <w:bCs/>
          <w:sz w:val="24"/>
          <w:szCs w:val="24"/>
          <w:lang w:val="pl-PL"/>
        </w:rPr>
      </w:pPr>
      <w:r>
        <w:rPr>
          <w:rFonts w:asciiTheme="minorHAnsi" w:hAnsiTheme="minorHAnsi" w:cs="Arial"/>
          <w:bCs/>
          <w:sz w:val="24"/>
          <w:szCs w:val="24"/>
          <w:lang w:val="pl-PL"/>
        </w:rPr>
        <w:t xml:space="preserve">- </w:t>
      </w:r>
      <w:r w:rsidRPr="005F74DF">
        <w:rPr>
          <w:rFonts w:asciiTheme="minorHAnsi" w:hAnsiTheme="minorHAnsi" w:cs="Arial"/>
          <w:bCs/>
          <w:i/>
          <w:sz w:val="24"/>
          <w:szCs w:val="24"/>
          <w:u w:val="single"/>
          <w:lang w:val="pl-PL"/>
        </w:rPr>
        <w:t xml:space="preserve">Plan integriteta za navedenu organizacionu jedinicu za </w:t>
      </w:r>
      <w:r w:rsidR="00D7121E" w:rsidRPr="005F74DF">
        <w:rPr>
          <w:rFonts w:asciiTheme="minorHAnsi" w:hAnsiTheme="minorHAnsi" w:cs="Arial"/>
          <w:bCs/>
          <w:i/>
          <w:sz w:val="24"/>
          <w:szCs w:val="24"/>
          <w:u w:val="single"/>
          <w:lang w:val="pl-PL"/>
        </w:rPr>
        <w:t>2020</w:t>
      </w:r>
      <w:r w:rsidRPr="005F74DF">
        <w:rPr>
          <w:rFonts w:asciiTheme="minorHAnsi" w:hAnsiTheme="minorHAnsi" w:cs="Arial"/>
          <w:bCs/>
          <w:i/>
          <w:sz w:val="24"/>
          <w:szCs w:val="24"/>
          <w:u w:val="single"/>
          <w:lang w:val="pl-PL"/>
        </w:rPr>
        <w:t>. godinu</w:t>
      </w:r>
      <w:r>
        <w:rPr>
          <w:rFonts w:asciiTheme="minorHAnsi" w:hAnsiTheme="minorHAnsi" w:cs="Arial"/>
          <w:bCs/>
          <w:sz w:val="24"/>
          <w:szCs w:val="24"/>
          <w:lang w:val="pl-PL"/>
        </w:rPr>
        <w:t xml:space="preserve">, kao i </w:t>
      </w:r>
      <w:r w:rsidRPr="005F74DF">
        <w:rPr>
          <w:rFonts w:asciiTheme="minorHAnsi" w:hAnsiTheme="minorHAnsi" w:cs="Arial"/>
          <w:bCs/>
          <w:i/>
          <w:sz w:val="24"/>
          <w:szCs w:val="24"/>
          <w:u w:val="single"/>
          <w:lang w:val="pl-PL"/>
        </w:rPr>
        <w:t xml:space="preserve">Godišnji Izvještaj </w:t>
      </w:r>
      <w:r w:rsidR="00713845" w:rsidRPr="005F74DF">
        <w:rPr>
          <w:rFonts w:asciiTheme="minorHAnsi" w:hAnsiTheme="minorHAnsi" w:cs="Arial"/>
          <w:bCs/>
          <w:i/>
          <w:sz w:val="24"/>
          <w:szCs w:val="24"/>
          <w:u w:val="single"/>
          <w:lang w:val="pl-PL"/>
        </w:rPr>
        <w:t>sprovođenja</w:t>
      </w:r>
      <w:r w:rsidRPr="005F74DF">
        <w:rPr>
          <w:rFonts w:asciiTheme="minorHAnsi" w:hAnsiTheme="minorHAnsi" w:cs="Arial"/>
          <w:bCs/>
          <w:i/>
          <w:sz w:val="24"/>
          <w:szCs w:val="24"/>
          <w:u w:val="single"/>
          <w:lang w:val="pl-PL"/>
        </w:rPr>
        <w:t xml:space="preserve"> Plana integriteta</w:t>
      </w:r>
      <w:r w:rsidR="00D7121E" w:rsidRPr="005F74DF">
        <w:rPr>
          <w:rFonts w:asciiTheme="minorHAnsi" w:hAnsiTheme="minorHAnsi" w:cs="Arial"/>
          <w:bCs/>
          <w:i/>
          <w:sz w:val="24"/>
          <w:szCs w:val="24"/>
          <w:u w:val="single"/>
          <w:lang w:val="pl-PL"/>
        </w:rPr>
        <w:t xml:space="preserve"> za 2019</w:t>
      </w:r>
      <w:r w:rsidR="00AA4499" w:rsidRPr="005F74DF">
        <w:rPr>
          <w:rFonts w:asciiTheme="minorHAnsi" w:hAnsiTheme="minorHAnsi" w:cs="Arial"/>
          <w:bCs/>
          <w:sz w:val="24"/>
          <w:szCs w:val="24"/>
          <w:u w:val="single"/>
          <w:lang w:val="pl-PL"/>
        </w:rPr>
        <w:t xml:space="preserve">. </w:t>
      </w:r>
      <w:r w:rsidR="00AA4499" w:rsidRPr="005F74DF">
        <w:rPr>
          <w:rFonts w:asciiTheme="minorHAnsi" w:hAnsiTheme="minorHAnsi" w:cs="Arial"/>
          <w:bCs/>
          <w:i/>
          <w:sz w:val="24"/>
          <w:szCs w:val="24"/>
          <w:u w:val="single"/>
          <w:lang w:val="pl-PL"/>
        </w:rPr>
        <w:t>godinu</w:t>
      </w:r>
      <w:r w:rsidR="00D7121E">
        <w:rPr>
          <w:rFonts w:asciiTheme="minorHAnsi" w:hAnsiTheme="minorHAnsi" w:cs="Arial"/>
          <w:bCs/>
          <w:sz w:val="24"/>
          <w:szCs w:val="24"/>
          <w:lang w:val="pl-PL"/>
        </w:rPr>
        <w:t xml:space="preserve">, u skladu sa </w:t>
      </w:r>
      <w:r w:rsidR="00D7121E" w:rsidRPr="00AA4499">
        <w:rPr>
          <w:rFonts w:asciiTheme="minorHAnsi" w:eastAsia="Times New Roman" w:hAnsiTheme="minorHAnsi" w:cs="Times New Roman"/>
          <w:i/>
          <w:sz w:val="24"/>
          <w:szCs w:val="24"/>
        </w:rPr>
        <w:t>Zakonom o sprječavanju korupcije</w:t>
      </w:r>
      <w:r w:rsidR="00D7121E">
        <w:rPr>
          <w:rFonts w:asciiTheme="minorHAnsi" w:eastAsia="Times New Roman" w:hAnsiTheme="minorHAnsi" w:cs="Times New Roman"/>
          <w:sz w:val="24"/>
          <w:szCs w:val="24"/>
        </w:rPr>
        <w:t>.</w:t>
      </w:r>
    </w:p>
    <w:p w:rsidR="007B3939" w:rsidRDefault="001F07C9" w:rsidP="00DE46BD">
      <w:pPr>
        <w:spacing w:before="0" w:after="0" w:line="240" w:lineRule="auto"/>
        <w:ind w:firstLine="709"/>
        <w:rPr>
          <w:rFonts w:cs="Arial"/>
          <w:szCs w:val="24"/>
          <w:lang w:val="sr-Latn-ME"/>
        </w:rPr>
      </w:pPr>
      <w:r>
        <w:rPr>
          <w:rFonts w:cs="Arial"/>
          <w:szCs w:val="24"/>
          <w:lang w:val="sr-Latn-ME"/>
        </w:rPr>
        <w:t>Tokom 2020</w:t>
      </w:r>
      <w:r w:rsidR="001C13C3" w:rsidRPr="001C13C3">
        <w:rPr>
          <w:rFonts w:cs="Arial"/>
          <w:szCs w:val="24"/>
          <w:lang w:val="sr-Latn-ME"/>
        </w:rPr>
        <w:t xml:space="preserve">. godine, Služba je intezivno radila i na otklanjanju preporuka iz revizorskih izvještaja Revizorskog tijela Crne Gore, a sve u cilju unapređenja </w:t>
      </w:r>
      <w:r w:rsidR="003138D5">
        <w:rPr>
          <w:rFonts w:cs="Arial"/>
          <w:szCs w:val="24"/>
          <w:lang w:val="sr-Latn-ME"/>
        </w:rPr>
        <w:t>rada službe.</w:t>
      </w:r>
    </w:p>
    <w:p w:rsidR="00F87CD1" w:rsidRDefault="00F87CD1" w:rsidP="00DE46BD">
      <w:pPr>
        <w:spacing w:before="0" w:after="0" w:line="240" w:lineRule="auto"/>
        <w:ind w:firstLine="709"/>
        <w:rPr>
          <w:rFonts w:cs="Arial"/>
          <w:szCs w:val="24"/>
          <w:lang w:val="sr-Latn-ME"/>
        </w:rPr>
      </w:pPr>
    </w:p>
    <w:p w:rsidR="00DE46BD" w:rsidRPr="00DE46BD" w:rsidRDefault="00DE46BD" w:rsidP="000C66F9">
      <w:pPr>
        <w:spacing w:before="0" w:after="0" w:line="240" w:lineRule="auto"/>
        <w:rPr>
          <w:rFonts w:cs="Arial"/>
          <w:szCs w:val="24"/>
          <w:lang w:val="sr-Latn-ME"/>
        </w:rPr>
      </w:pPr>
    </w:p>
    <w:p w:rsidR="0035286B" w:rsidRPr="00BA7C7C" w:rsidRDefault="0035286B" w:rsidP="0035286B">
      <w:pPr>
        <w:shd w:val="clear" w:color="auto" w:fill="EE8C69" w:themeFill="accent1" w:themeFillTint="99"/>
        <w:tabs>
          <w:tab w:val="left" w:pos="1050"/>
        </w:tabs>
        <w:spacing w:before="0" w:after="0"/>
        <w:jc w:val="center"/>
        <w:rPr>
          <w:rFonts w:eastAsia="Calibri" w:cs="Arial"/>
          <w:b/>
          <w:sz w:val="26"/>
          <w:szCs w:val="26"/>
          <w:lang w:val="it-IT"/>
        </w:rPr>
      </w:pPr>
      <w:r w:rsidRPr="00BA7C7C">
        <w:rPr>
          <w:rFonts w:eastAsia="Calibri" w:cs="Arial"/>
          <w:b/>
          <w:sz w:val="26"/>
          <w:szCs w:val="26"/>
          <w:lang w:val="it-IT"/>
        </w:rPr>
        <w:t xml:space="preserve"> V</w:t>
      </w:r>
      <w:r w:rsidR="00316886" w:rsidRPr="00BA7C7C">
        <w:rPr>
          <w:rFonts w:eastAsia="Calibri" w:cs="Arial"/>
          <w:b/>
          <w:sz w:val="26"/>
          <w:szCs w:val="26"/>
          <w:lang w:val="it-IT"/>
        </w:rPr>
        <w:t>I</w:t>
      </w:r>
      <w:r w:rsidRPr="00BA7C7C">
        <w:rPr>
          <w:rFonts w:eastAsia="Calibri" w:cs="Arial"/>
          <w:b/>
          <w:sz w:val="26"/>
          <w:szCs w:val="26"/>
          <w:lang w:val="it-IT"/>
        </w:rPr>
        <w:t xml:space="preserve"> PREDLOG MJERA ZA UNAPREĐENJE</w:t>
      </w:r>
    </w:p>
    <w:p w:rsidR="00CF7512" w:rsidRDefault="00502700" w:rsidP="00101664">
      <w:pPr>
        <w:spacing w:after="0" w:line="240" w:lineRule="auto"/>
        <w:ind w:firstLine="709"/>
        <w:rPr>
          <w:rFonts w:eastAsia="Calibri" w:cs="Arial"/>
          <w:szCs w:val="24"/>
          <w:lang w:val="en-US"/>
        </w:rPr>
      </w:pPr>
      <w:r w:rsidRPr="00502700">
        <w:rPr>
          <w:rFonts w:eastAsia="Calibri" w:cs="Arial"/>
          <w:szCs w:val="24"/>
          <w:lang w:val="en-US"/>
        </w:rPr>
        <w:t>Ministarstvo će, u narednom periodu, nastaviti aktivnosti u cilju unapređenja stanja u upravnoj oblasti, u skladu sa projektovanim ciljevima i očekivanjima: izvršavanje obaveza iz Programa rada Vlade Crne Gore i Programa rad</w:t>
      </w:r>
      <w:r>
        <w:rPr>
          <w:rFonts w:eastAsia="Calibri" w:cs="Arial"/>
          <w:szCs w:val="24"/>
          <w:lang w:val="en-US"/>
        </w:rPr>
        <w:t xml:space="preserve">a Ministarstva finansija </w:t>
      </w:r>
      <w:r w:rsidR="000C66F9">
        <w:rPr>
          <w:rFonts w:eastAsia="Calibri" w:cs="Arial"/>
          <w:szCs w:val="24"/>
          <w:lang w:val="en-US"/>
        </w:rPr>
        <w:t xml:space="preserve">i socijalnog staranja </w:t>
      </w:r>
      <w:r>
        <w:rPr>
          <w:rFonts w:eastAsia="Calibri" w:cs="Arial"/>
          <w:szCs w:val="24"/>
          <w:lang w:val="en-US"/>
        </w:rPr>
        <w:t>za 2021</w:t>
      </w:r>
      <w:r w:rsidRPr="00502700">
        <w:rPr>
          <w:rFonts w:eastAsia="Calibri" w:cs="Arial"/>
          <w:szCs w:val="24"/>
          <w:lang w:val="en-US"/>
        </w:rPr>
        <w:t xml:space="preserve">. godinu, izvršavanje zaključaka Vlade Crne Gore, kao uslova za sprovođenje programskih aktivnosti i politike Vlade, dalji razvoj i unapređenje postojećeg makroekonomskog modela, učešće u pregovorima za pristupanje Evropskoj uniji i ispunjavanje ostalih prioritetnih zadataka </w:t>
      </w:r>
      <w:r w:rsidRPr="00502700">
        <w:rPr>
          <w:rFonts w:eastAsia="Calibri" w:cs="Arial"/>
          <w:szCs w:val="24"/>
          <w:lang w:val="sl-SI"/>
        </w:rPr>
        <w:t>iz svoje nadležnosti</w:t>
      </w:r>
      <w:r>
        <w:rPr>
          <w:rFonts w:eastAsia="Calibri" w:cs="Arial"/>
          <w:szCs w:val="24"/>
          <w:lang w:val="en-US"/>
        </w:rPr>
        <w:t>.</w:t>
      </w:r>
    </w:p>
    <w:p w:rsidR="00311192" w:rsidRDefault="001D5D25" w:rsidP="001D5D25">
      <w:pPr>
        <w:spacing w:before="0" w:after="0" w:line="240" w:lineRule="auto"/>
        <w:ind w:firstLine="709"/>
        <w:rPr>
          <w:rFonts w:eastAsia="Times New Roman" w:cs="Times New Roman"/>
          <w:color w:val="000000"/>
          <w:szCs w:val="24"/>
          <w:lang w:val="sr-Latn-ME"/>
        </w:rPr>
      </w:pPr>
      <w:r>
        <w:rPr>
          <w:rFonts w:eastAsia="Times New Roman" w:cs="Times New Roman"/>
          <w:color w:val="000000"/>
          <w:szCs w:val="24"/>
          <w:lang w:val="sr-Latn-ME"/>
        </w:rPr>
        <w:t>Mišljenja smo da s</w:t>
      </w:r>
      <w:r w:rsidR="00311192" w:rsidRPr="00A75BD9">
        <w:rPr>
          <w:rFonts w:eastAsia="Times New Roman" w:cs="Times New Roman"/>
          <w:color w:val="000000"/>
          <w:szCs w:val="24"/>
          <w:lang w:val="sr-Latn-ME"/>
        </w:rPr>
        <w:t>tvaranje predvidljivog i transparentnog poslovnog ambijenta, zasnovanog na vladavini prava, predstavlja osnov za privlačenje renomiranih stranih investitora i podsticanje ekonomskog rasta i razvoja države.</w:t>
      </w:r>
      <w:r w:rsidR="00311192" w:rsidRPr="00311192">
        <w:rPr>
          <w:rFonts w:eastAsia="Times New Roman" w:cs="Times New Roman"/>
          <w:color w:val="000000"/>
          <w:szCs w:val="24"/>
          <w:lang w:val="sr-Latn-ME"/>
        </w:rPr>
        <w:t xml:space="preserve"> Ekonomski rast i razvoj </w:t>
      </w:r>
      <w:r w:rsidR="00311192" w:rsidRPr="00A75BD9">
        <w:rPr>
          <w:rFonts w:eastAsia="Times New Roman" w:cs="Times New Roman"/>
          <w:color w:val="000000"/>
          <w:szCs w:val="24"/>
          <w:lang w:val="sr-Latn-ME"/>
        </w:rPr>
        <w:t>najbolje</w:t>
      </w:r>
      <w:r w:rsidR="00311192" w:rsidRPr="00311192">
        <w:rPr>
          <w:rFonts w:eastAsia="Times New Roman" w:cs="Times New Roman"/>
          <w:color w:val="000000"/>
          <w:szCs w:val="24"/>
          <w:lang w:val="sr-Latn-ME"/>
        </w:rPr>
        <w:t xml:space="preserve"> se</w:t>
      </w:r>
      <w:r w:rsidR="00311192" w:rsidRPr="00A75BD9">
        <w:rPr>
          <w:rFonts w:eastAsia="Times New Roman" w:cs="Times New Roman"/>
          <w:color w:val="000000"/>
          <w:szCs w:val="24"/>
          <w:lang w:val="sr-Latn-ME"/>
        </w:rPr>
        <w:t xml:space="preserve"> mogu postići ukoliko postoji saradnja sa svim sektorima i relevantnim institucijama i tijelima</w:t>
      </w:r>
      <w:r w:rsidR="00311192" w:rsidRPr="00311192">
        <w:rPr>
          <w:rFonts w:eastAsia="Times New Roman" w:cs="Times New Roman"/>
          <w:color w:val="000000"/>
          <w:szCs w:val="24"/>
          <w:lang w:val="sr-Latn-ME"/>
        </w:rPr>
        <w:t xml:space="preserve">. </w:t>
      </w:r>
      <w:r w:rsidR="00311192" w:rsidRPr="00A75BD9">
        <w:rPr>
          <w:rFonts w:eastAsia="Times New Roman" w:cs="Times New Roman"/>
          <w:color w:val="000000"/>
          <w:szCs w:val="24"/>
          <w:lang w:val="sr-Latn-ME"/>
        </w:rPr>
        <w:t>Saradnja sa Ministarstvom finansija i socijalnog staranja ostvarivaće se naročito kroz Komitet za poreze i Komitet za suzbijanje sive ekonomije, a u okviru AmCham programa „Partnerstvo za bolje poslovno okruženje“, čiji je osnovni cilj podizanje nivoa uzajamnog razumijevanja između privatnog i javnog sektora, kroz blagovremeno uključivanje poslovne zajednice u proceduru izrade zakona i drugih propisa.</w:t>
      </w:r>
    </w:p>
    <w:p w:rsidR="00301FE8" w:rsidRPr="00301FE8" w:rsidRDefault="00301FE8" w:rsidP="001D5D25">
      <w:pPr>
        <w:spacing w:before="0" w:after="0" w:line="240" w:lineRule="auto"/>
        <w:ind w:firstLine="709"/>
        <w:rPr>
          <w:szCs w:val="24"/>
          <w:lang w:val="sr-Latn-ME" w:eastAsia="sr-Latn-CS"/>
        </w:rPr>
      </w:pPr>
      <w:r w:rsidRPr="00301FE8">
        <w:rPr>
          <w:rFonts w:eastAsia="Times New Roman" w:cs="Times New Roman"/>
          <w:color w:val="000000"/>
          <w:szCs w:val="24"/>
          <w:lang w:val="sr-Latn-ME"/>
        </w:rPr>
        <w:t>U narednom periodu</w:t>
      </w:r>
      <w:r w:rsidRPr="00301FE8">
        <w:rPr>
          <w:rFonts w:eastAsia="Calibri" w:cs="Arial"/>
          <w:color w:val="000000"/>
          <w:szCs w:val="24"/>
          <w:shd w:val="clear" w:color="auto" w:fill="FFFFFF"/>
          <w:lang w:val="en-US"/>
        </w:rPr>
        <w:t xml:space="preserve"> radiće se i na unapređivanju saradnje sa privatnim sektorom, u dijelu koji se odnosi na kreiranje trgovinske politike, identifikovanje prioriteta privrede i razumijevanja njenih komercijalnih interesa u procesu formulisanja i sprovođenja reformi.</w:t>
      </w:r>
    </w:p>
    <w:p w:rsidR="00101664" w:rsidRPr="00101664" w:rsidRDefault="00101664" w:rsidP="00ED3D61">
      <w:pPr>
        <w:spacing w:before="0" w:after="0" w:line="240" w:lineRule="auto"/>
        <w:ind w:firstLine="709"/>
        <w:rPr>
          <w:rFonts w:eastAsia="Times New Roman" w:cs="Arial"/>
          <w:color w:val="000000"/>
          <w:szCs w:val="24"/>
          <w:lang w:val="sr-Latn-ME"/>
        </w:rPr>
      </w:pPr>
      <w:r w:rsidRPr="00101664">
        <w:rPr>
          <w:rFonts w:eastAsia="Times New Roman" w:cs="Arial"/>
          <w:color w:val="000000"/>
          <w:szCs w:val="24"/>
          <w:lang w:val="sr-Latn-ME"/>
        </w:rPr>
        <w:t xml:space="preserve">Značajan dio aktivnosti </w:t>
      </w:r>
      <w:r w:rsidR="0071300D">
        <w:rPr>
          <w:rFonts w:eastAsia="Times New Roman" w:cs="Arial"/>
          <w:color w:val="000000"/>
          <w:szCs w:val="24"/>
          <w:lang w:val="sr-Latn-ME"/>
        </w:rPr>
        <w:t xml:space="preserve">Ministarstva - </w:t>
      </w:r>
      <w:r w:rsidRPr="00101664">
        <w:rPr>
          <w:rFonts w:eastAsia="Times New Roman" w:cs="Arial"/>
          <w:color w:val="000000"/>
          <w:szCs w:val="24"/>
          <w:lang w:val="sr-Latn-ME"/>
        </w:rPr>
        <w:t xml:space="preserve">Direktorata </w:t>
      </w:r>
      <w:r w:rsidR="0071300D">
        <w:rPr>
          <w:rFonts w:eastAsia="Times New Roman" w:cs="Arial"/>
          <w:color w:val="000000"/>
          <w:szCs w:val="24"/>
          <w:lang w:val="sr-Latn-ME"/>
        </w:rPr>
        <w:t xml:space="preserve">za </w:t>
      </w:r>
      <w:r w:rsidRPr="00101664">
        <w:rPr>
          <w:rFonts w:eastAsia="Times New Roman" w:cs="Arial"/>
          <w:color w:val="000000"/>
          <w:szCs w:val="24"/>
          <w:lang w:val="sr-Latn-ME"/>
        </w:rPr>
        <w:t xml:space="preserve">državni budžet usmjeren je ka unapređenju procesa planiranja budžeta </w:t>
      </w:r>
      <w:r w:rsidR="00ED3D61">
        <w:rPr>
          <w:rFonts w:eastAsia="Times New Roman" w:cs="Arial"/>
          <w:color w:val="000000"/>
          <w:szCs w:val="24"/>
          <w:lang w:val="sr-Latn-ME"/>
        </w:rPr>
        <w:t xml:space="preserve">kroz realizaciju tri projekta: </w:t>
      </w:r>
    </w:p>
    <w:p w:rsidR="00101664" w:rsidRPr="00101664" w:rsidRDefault="00101664" w:rsidP="00101664">
      <w:pPr>
        <w:spacing w:before="0" w:after="0" w:line="240" w:lineRule="auto"/>
        <w:ind w:firstLine="709"/>
        <w:rPr>
          <w:rFonts w:eastAsia="Times New Roman" w:cs="Arial"/>
          <w:color w:val="000000"/>
          <w:szCs w:val="24"/>
          <w:lang w:val="sr-Latn-ME"/>
        </w:rPr>
      </w:pPr>
      <w:r w:rsidRPr="00101664">
        <w:rPr>
          <w:rFonts w:eastAsia="Times New Roman" w:cs="Arial"/>
          <w:color w:val="000000"/>
          <w:szCs w:val="24"/>
          <w:u w:val="single"/>
          <w:lang w:val="sr-Latn-ME"/>
        </w:rPr>
        <w:t>Unapređenje budžetskog sistema, višegodišnjeg budžetskog planiranja i sistema javne finansijske interne kontrole</w:t>
      </w:r>
      <w:r w:rsidRPr="00101664">
        <w:rPr>
          <w:rFonts w:eastAsia="Times New Roman" w:cs="Arial"/>
          <w:color w:val="000000"/>
          <w:szCs w:val="24"/>
          <w:lang w:val="sr-Latn-ME"/>
        </w:rPr>
        <w:t xml:space="preserve"> i ima za cilj unaprijeđenje fiskalne održivosti i odgovorno upravljanje javnim finansijama u skladu sa najvišim standradima EU, kroz implementaciju višegodišnjeg okvira budžeta i programskog budžeta, zatim budžetiranje shodno učinku kroz definisanje indikatora.</w:t>
      </w:r>
    </w:p>
    <w:p w:rsidR="00101664" w:rsidRPr="00101664" w:rsidRDefault="00101664" w:rsidP="00101664">
      <w:pPr>
        <w:spacing w:before="0" w:after="0" w:line="240" w:lineRule="auto"/>
        <w:ind w:firstLine="709"/>
        <w:rPr>
          <w:rFonts w:eastAsia="Times New Roman" w:cs="Arial"/>
          <w:color w:val="000000"/>
          <w:szCs w:val="24"/>
          <w:lang w:val="sr-Latn-ME"/>
        </w:rPr>
      </w:pPr>
      <w:r w:rsidRPr="00101664">
        <w:rPr>
          <w:rFonts w:eastAsia="Times New Roman" w:cs="Arial"/>
          <w:color w:val="000000"/>
          <w:szCs w:val="24"/>
          <w:u w:val="single"/>
          <w:lang w:val="sr-Latn-ME"/>
        </w:rPr>
        <w:t>Unaprijeđenje IT sistema za planiranje budžeta</w:t>
      </w:r>
      <w:r w:rsidR="0071300D">
        <w:rPr>
          <w:rFonts w:eastAsia="Times New Roman" w:cs="Arial"/>
          <w:color w:val="000000"/>
          <w:szCs w:val="24"/>
          <w:lang w:val="sr-Latn-ME"/>
        </w:rPr>
        <w:t xml:space="preserve"> </w:t>
      </w:r>
      <w:r w:rsidRPr="00101664">
        <w:rPr>
          <w:rFonts w:eastAsia="Times New Roman" w:cs="Arial"/>
          <w:color w:val="000000"/>
          <w:szCs w:val="24"/>
          <w:lang w:val="sr-Latn-ME"/>
        </w:rPr>
        <w:t xml:space="preserve">u skladu sa međunarodnim iskustvima i predstavlja koncept od presudnog značaja za podršku programskom budžetiranju. Kako bi se omogućila adekvatna realizacija obaveza </w:t>
      </w:r>
      <w:r w:rsidR="0071300D">
        <w:rPr>
          <w:rFonts w:eastAsia="Times New Roman" w:cs="Arial"/>
          <w:color w:val="000000"/>
          <w:szCs w:val="24"/>
          <w:lang w:val="sr-Latn-ME"/>
        </w:rPr>
        <w:t>BMIS je dostupan u resornim mini</w:t>
      </w:r>
      <w:r w:rsidRPr="00101664">
        <w:rPr>
          <w:rFonts w:eastAsia="Times New Roman" w:cs="Arial"/>
          <w:color w:val="000000"/>
          <w:szCs w:val="24"/>
          <w:lang w:val="sr-Latn-ME"/>
        </w:rPr>
        <w:t>starstvima i ostalim potrošačkim jedinicama.</w:t>
      </w:r>
    </w:p>
    <w:p w:rsidR="00392D56" w:rsidRDefault="00101664" w:rsidP="00A112FE">
      <w:pPr>
        <w:spacing w:before="0" w:after="0" w:line="240" w:lineRule="auto"/>
        <w:ind w:firstLine="709"/>
        <w:rPr>
          <w:rFonts w:eastAsia="Times New Roman" w:cs="Arial"/>
          <w:color w:val="000000"/>
          <w:szCs w:val="24"/>
          <w:lang w:val="sr-Latn-ME"/>
        </w:rPr>
      </w:pPr>
      <w:r w:rsidRPr="00101664">
        <w:rPr>
          <w:rFonts w:eastAsia="Times New Roman" w:cs="Arial"/>
          <w:color w:val="000000"/>
          <w:szCs w:val="24"/>
          <w:lang w:val="sr-Latn-ME"/>
        </w:rPr>
        <w:t xml:space="preserve">Opšti cilj projekta </w:t>
      </w:r>
      <w:r w:rsidRPr="00101664">
        <w:rPr>
          <w:rFonts w:eastAsia="Times New Roman" w:cs="Arial"/>
          <w:color w:val="000000"/>
          <w:szCs w:val="24"/>
          <w:u w:val="single"/>
          <w:lang w:val="sr-Latn-ME"/>
        </w:rPr>
        <w:t>„Implementacija Sistema za centralizovani obračun zarada”</w:t>
      </w:r>
      <w:r w:rsidRPr="00101664">
        <w:rPr>
          <w:rFonts w:eastAsia="Times New Roman" w:cs="Arial"/>
          <w:color w:val="000000"/>
          <w:szCs w:val="24"/>
          <w:lang w:val="sr-Latn-ME"/>
        </w:rPr>
        <w:t xml:space="preserve"> koji je finansiran kroz Instrumente pretpristupne pomoći (IPA II) 2014-2020 u sklopu politike podrške upravljanja javnim finansijama (PFM)</w:t>
      </w:r>
      <w:r w:rsidR="0071300D">
        <w:rPr>
          <w:rFonts w:eastAsia="Times New Roman" w:cs="Arial"/>
          <w:color w:val="000000"/>
          <w:szCs w:val="24"/>
          <w:lang w:val="sr-Latn-ME"/>
        </w:rPr>
        <w:t>,</w:t>
      </w:r>
      <w:r w:rsidRPr="00101664">
        <w:rPr>
          <w:rFonts w:eastAsia="Times New Roman" w:cs="Arial"/>
          <w:color w:val="000000"/>
          <w:szCs w:val="24"/>
          <w:lang w:val="sr-Latn-ME"/>
        </w:rPr>
        <w:t xml:space="preserve"> je implementacije sistema koji će doprinijeti fiskalnoj održivosti i zdravom upravljanju javnim finansijama u skladu sa zahtjevima EU. Sistem će omogućiti </w:t>
      </w:r>
      <w:r w:rsidRPr="00101664">
        <w:rPr>
          <w:rFonts w:eastAsia="Times New Roman" w:cs="Arial"/>
          <w:color w:val="000000"/>
          <w:szCs w:val="24"/>
          <w:lang w:val="sr-Latn-ME"/>
        </w:rPr>
        <w:lastRenderedPageBreak/>
        <w:t xml:space="preserve">znatno viši stepen kontrole, smanjiti broj mogućih grešaka i automatizovati brojne procese koji </w:t>
      </w:r>
      <w:r w:rsidR="00A112FE">
        <w:rPr>
          <w:rFonts w:eastAsia="Times New Roman" w:cs="Arial"/>
          <w:color w:val="000000"/>
          <w:szCs w:val="24"/>
          <w:lang w:val="sr-Latn-ME"/>
        </w:rPr>
        <w:t xml:space="preserve">se trenutno obavljaju manuelno. </w:t>
      </w:r>
      <w:r w:rsidRPr="00101664">
        <w:rPr>
          <w:rFonts w:eastAsia="Times New Roman" w:cs="Arial"/>
          <w:color w:val="000000"/>
          <w:szCs w:val="24"/>
          <w:lang w:val="sr-Latn-ME"/>
        </w:rPr>
        <w:t>Predlog mjera je sproveđenje obuka krajnjih korisnika iz svih potrošačkih jedinica koje se finansiraju iz Budžeta CG i nakon završene obuke postepeno uključivanje korisnika radi prelaska na Centralizovan obračun zarada, koji će obuhvatiti zaposlene u javnom sektoru koji se finansiraju iz Budžeta Crne Gore i na taj način kontrolisati rashode i izvršene isplate za sve zaposlene u javnom sektoru u realnom vremenu.</w:t>
      </w:r>
    </w:p>
    <w:p w:rsidR="00F328F8" w:rsidRDefault="00A112FE" w:rsidP="00311192">
      <w:pPr>
        <w:spacing w:before="0" w:after="0" w:line="240" w:lineRule="auto"/>
        <w:ind w:firstLine="709"/>
        <w:rPr>
          <w:szCs w:val="24"/>
          <w:lang w:eastAsia="sr-Latn-CS"/>
        </w:rPr>
      </w:pPr>
      <w:r>
        <w:rPr>
          <w:rFonts w:eastAsia="Times New Roman" w:cs="Arial"/>
          <w:color w:val="000000"/>
          <w:szCs w:val="24"/>
          <w:lang w:val="sr-Latn-ME"/>
        </w:rPr>
        <w:t>Z</w:t>
      </w:r>
      <w:r w:rsidR="00392D56" w:rsidRPr="00392D56">
        <w:rPr>
          <w:szCs w:val="24"/>
          <w:lang w:eastAsia="sr-Latn-CS"/>
        </w:rPr>
        <w:t>a efikasniju realizaciju zadataka iz nadležnosti Direktorata za ekonomsku i razvojnu politiku</w:t>
      </w:r>
      <w:r w:rsidR="00392D56">
        <w:rPr>
          <w:rFonts w:eastAsia="Times New Roman" w:cs="Arial"/>
          <w:color w:val="000000"/>
          <w:szCs w:val="24"/>
          <w:lang w:val="sr-Latn-ME"/>
        </w:rPr>
        <w:t xml:space="preserve"> </w:t>
      </w:r>
      <w:r w:rsidR="00392D56">
        <w:rPr>
          <w:szCs w:val="24"/>
          <w:lang w:eastAsia="sr-Latn-CS"/>
        </w:rPr>
        <w:t>planiraju se dodatne obuke</w:t>
      </w:r>
      <w:r w:rsidR="00392D56" w:rsidRPr="00392D56">
        <w:rPr>
          <w:szCs w:val="24"/>
          <w:lang w:eastAsia="sr-Latn-CS"/>
        </w:rPr>
        <w:t xml:space="preserve"> zaposlenih; obuke</w:t>
      </w:r>
      <w:r w:rsidR="00392D56">
        <w:rPr>
          <w:szCs w:val="24"/>
          <w:lang w:eastAsia="sr-Latn-CS"/>
        </w:rPr>
        <w:t xml:space="preserve"> na radnom mjestu; on line obuke</w:t>
      </w:r>
      <w:r w:rsidR="00392D56" w:rsidRPr="00392D56">
        <w:rPr>
          <w:szCs w:val="24"/>
          <w:lang w:eastAsia="sr-Latn-CS"/>
        </w:rPr>
        <w:t xml:space="preserve"> iz makroekonomije, ekonomskog modeliranja, statistike i ekonometrije; pohađanje stručnih seminara; </w:t>
      </w:r>
      <w:r w:rsidR="00392D56">
        <w:rPr>
          <w:szCs w:val="24"/>
          <w:lang w:eastAsia="sr-Latn-CS"/>
        </w:rPr>
        <w:t xml:space="preserve">kao i </w:t>
      </w:r>
      <w:r w:rsidR="00392D56" w:rsidRPr="00392D56">
        <w:rPr>
          <w:szCs w:val="24"/>
          <w:lang w:eastAsia="sr-Latn-CS"/>
        </w:rPr>
        <w:t>unaprj</w:t>
      </w:r>
      <w:r w:rsidR="00392D56">
        <w:rPr>
          <w:szCs w:val="24"/>
          <w:lang w:eastAsia="sr-Latn-CS"/>
        </w:rPr>
        <w:t>eđenje znanja engleskog jezika.</w:t>
      </w:r>
    </w:p>
    <w:p w:rsidR="003708A9" w:rsidRPr="003708A9" w:rsidRDefault="003708A9" w:rsidP="003708A9">
      <w:pPr>
        <w:spacing w:before="0" w:after="0" w:line="240" w:lineRule="auto"/>
        <w:ind w:firstLine="709"/>
        <w:rPr>
          <w:szCs w:val="24"/>
          <w:lang w:val="sr-Latn-ME" w:eastAsia="sr-Latn-CS"/>
        </w:rPr>
      </w:pPr>
      <w:r>
        <w:rPr>
          <w:rFonts w:cs="Arial"/>
          <w:szCs w:val="24"/>
          <w:lang w:val="it-IT"/>
        </w:rPr>
        <w:t xml:space="preserve">U skladu sa novom </w:t>
      </w:r>
      <w:r w:rsidRPr="00F938E8">
        <w:rPr>
          <w:rFonts w:cs="Arial"/>
          <w:szCs w:val="24"/>
          <w:lang w:val="it-IT"/>
        </w:rPr>
        <w:t>Uredbom o organizaciji i načinu rada državne uprave</w:t>
      </w:r>
      <w:r>
        <w:rPr>
          <w:rFonts w:cs="Arial"/>
          <w:szCs w:val="24"/>
          <w:lang w:val="it-IT"/>
        </w:rPr>
        <w:t xml:space="preserve">, koja važi od decembra 2020. godine, Ministarstvo finansija i dio resora </w:t>
      </w:r>
      <w:r w:rsidRPr="003708A9">
        <w:rPr>
          <w:rFonts w:ascii="Calibri" w:eastAsia="Times New Roman" w:hAnsi="Calibri" w:cs="Calibri"/>
          <w:color w:val="000000"/>
          <w:szCs w:val="24"/>
          <w:lang w:val="sr-Latn-RS" w:eastAsia="sr-Latn-RS"/>
        </w:rPr>
        <w:t>Ministarstva rada i socijalnog staranja, koji se odnosi na socijalno staranje</w:t>
      </w:r>
      <w:r>
        <w:rPr>
          <w:rFonts w:ascii="Calibri" w:eastAsia="Times New Roman" w:hAnsi="Calibri" w:cs="Calibri"/>
          <w:color w:val="000000"/>
          <w:szCs w:val="24"/>
          <w:lang w:val="sr-Latn-RS" w:eastAsia="sr-Latn-RS"/>
        </w:rPr>
        <w:t xml:space="preserve">, integrisani su u Ministarstvo finansija i socijalnog staranja. </w:t>
      </w:r>
      <w:r w:rsidRPr="003708A9">
        <w:rPr>
          <w:rFonts w:ascii="Calibri" w:eastAsia="Times New Roman" w:hAnsi="Calibri" w:cs="Calibri"/>
          <w:color w:val="000000"/>
          <w:szCs w:val="24"/>
          <w:lang w:val="sr-Latn-RS" w:eastAsia="sr-Latn-RS"/>
        </w:rPr>
        <w:t xml:space="preserve">Cilj spajanja bio je da socijalno staranje direktno uvežemo sa javnim finansijama. Ministarstvo </w:t>
      </w:r>
      <w:r>
        <w:rPr>
          <w:rFonts w:ascii="Calibri" w:eastAsia="Times New Roman" w:hAnsi="Calibri" w:cs="Calibri"/>
          <w:color w:val="000000"/>
          <w:szCs w:val="24"/>
          <w:lang w:val="sr-Latn-RS" w:eastAsia="sr-Latn-RS"/>
        </w:rPr>
        <w:t xml:space="preserve">će se </w:t>
      </w:r>
      <w:r w:rsidR="006C5125">
        <w:rPr>
          <w:rFonts w:ascii="Calibri" w:eastAsia="Times New Roman" w:hAnsi="Calibri" w:cs="Calibri"/>
          <w:color w:val="000000"/>
          <w:szCs w:val="24"/>
          <w:lang w:val="sr-Latn-RS" w:eastAsia="sr-Latn-RS"/>
        </w:rPr>
        <w:t xml:space="preserve">u narednom periodu </w:t>
      </w:r>
      <w:r>
        <w:rPr>
          <w:rFonts w:ascii="Calibri" w:eastAsia="Times New Roman" w:hAnsi="Calibri" w:cs="Calibri"/>
          <w:color w:val="000000"/>
          <w:szCs w:val="24"/>
          <w:lang w:val="sr-Latn-RS" w:eastAsia="sr-Latn-RS"/>
        </w:rPr>
        <w:t>zalagati</w:t>
      </w:r>
      <w:r w:rsidRPr="003708A9">
        <w:rPr>
          <w:rFonts w:ascii="Calibri" w:eastAsia="Times New Roman" w:hAnsi="Calibri" w:cs="Calibri"/>
          <w:color w:val="000000"/>
          <w:szCs w:val="24"/>
          <w:lang w:val="sr-Latn-RS" w:eastAsia="sr-Latn-RS"/>
        </w:rPr>
        <w:t xml:space="preserve"> za unapređenje položaja osoba sa invaliditetom, kao i za reformu sistema koji će, u krajnjem, osigurati da svi građani ovog društva imaju iste mogućnosti u svim životnim sferama. </w:t>
      </w:r>
    </w:p>
    <w:p w:rsidR="003708A9" w:rsidRPr="003708A9" w:rsidRDefault="003708A9" w:rsidP="003708A9">
      <w:pPr>
        <w:spacing w:before="0" w:after="0" w:line="240" w:lineRule="auto"/>
        <w:ind w:firstLine="708"/>
        <w:rPr>
          <w:rFonts w:ascii="Calibri" w:eastAsia="Times New Roman" w:hAnsi="Calibri" w:cs="Calibri"/>
          <w:color w:val="000000"/>
          <w:szCs w:val="24"/>
          <w:lang w:val="sr-Latn-RS" w:eastAsia="sr-Latn-RS"/>
        </w:rPr>
      </w:pPr>
      <w:r w:rsidRPr="003708A9">
        <w:rPr>
          <w:rFonts w:ascii="Calibri" w:eastAsia="Times New Roman" w:hAnsi="Calibri" w:cs="Calibri"/>
          <w:color w:val="000000"/>
          <w:szCs w:val="24"/>
          <w:lang w:val="sr-Latn-ME" w:eastAsia="sr-Latn-RS"/>
        </w:rPr>
        <w:t>U saradnji sa predstavništvom UNICEF-a u Crnoj Gori, Vlada Crne Gore sprovodi Analizu sistema socijalne zaštite. Ova analiza fokusirana je na materijalna davanja i usluge iz oblasti socijalne i dječje zaštite koje su od posebnog značaja za siromašne i isključene grupe i obuhvata sve programe socijalne zaštite. Završni element analize biće konkretna mapa puta za reforme sistema socijalne i dječje zaštite, koju će kreirati partneri koji doprinose socijalnoj i dječjoj zaštiti.</w:t>
      </w:r>
      <w:r w:rsidRPr="003708A9">
        <w:rPr>
          <w:rFonts w:ascii="Calibri" w:eastAsia="Times New Roman" w:hAnsi="Calibri" w:cs="Calibri"/>
          <w:color w:val="000000"/>
          <w:szCs w:val="24"/>
          <w:lang w:val="sr-Latn-RS" w:eastAsia="sr-Latn-RS"/>
        </w:rPr>
        <w:t xml:space="preserve"> </w:t>
      </w:r>
      <w:r w:rsidRPr="003708A9">
        <w:rPr>
          <w:rFonts w:ascii="Calibri" w:eastAsia="Times New Roman" w:hAnsi="Calibri" w:cs="Calibri"/>
          <w:color w:val="000000"/>
          <w:szCs w:val="24"/>
          <w:lang w:val="sr-Latn-ME" w:eastAsia="sr-Latn-RS"/>
        </w:rPr>
        <w:t>Mapa puta biće usmjerena na definisanje razvojne politike socijalne i dječje zaštite, koja će biti povezana sa drugim sistemima i djelatnostima u društvu i usklađena sa međunarodnim propisima i standardima. Fokus će, između ostalog, biti na prevenciji socijalnih problema, efikasnijim materijalnim davanjima u socijalnoj i dječjoj zaštiti i obezbjeđivanju kvalitetnih usluga u socijalnoj i dječjoj zaštiti. Osnovni cilj je smanjenje siromaštva i pružanje podrške u zadovoljavanju osnovnih životnih potreba svima kojima je neophodno.</w:t>
      </w:r>
    </w:p>
    <w:p w:rsidR="00F87CD1" w:rsidRPr="00311192" w:rsidRDefault="00F87CD1" w:rsidP="00311192">
      <w:pPr>
        <w:spacing w:before="0" w:after="0" w:line="240" w:lineRule="auto"/>
        <w:ind w:firstLine="709"/>
        <w:rPr>
          <w:szCs w:val="24"/>
          <w:lang w:val="sr-Latn-ME" w:eastAsia="sr-Latn-CS"/>
        </w:rPr>
      </w:pPr>
    </w:p>
    <w:p w:rsidR="00F87CD1" w:rsidRDefault="00F87CD1" w:rsidP="00CF7512">
      <w:pPr>
        <w:spacing w:before="0" w:after="0" w:line="240" w:lineRule="auto"/>
        <w:ind w:firstLine="709"/>
        <w:rPr>
          <w:szCs w:val="24"/>
          <w:lang w:val="sr-Latn-ME" w:eastAsia="sr-Latn-CS"/>
        </w:rPr>
      </w:pPr>
    </w:p>
    <w:p w:rsidR="00F87CD1" w:rsidRDefault="00F87CD1" w:rsidP="00CF7512">
      <w:pPr>
        <w:spacing w:before="0" w:after="0" w:line="240" w:lineRule="auto"/>
        <w:ind w:firstLine="709"/>
        <w:rPr>
          <w:szCs w:val="24"/>
          <w:lang w:val="sr-Latn-ME" w:eastAsia="sr-Latn-CS"/>
        </w:rPr>
      </w:pPr>
    </w:p>
    <w:p w:rsidR="00F87CD1" w:rsidRDefault="00F87CD1" w:rsidP="00CF7512">
      <w:pPr>
        <w:spacing w:before="0" w:after="0" w:line="240" w:lineRule="auto"/>
        <w:ind w:firstLine="709"/>
        <w:rPr>
          <w:szCs w:val="24"/>
          <w:lang w:val="sr-Latn-ME" w:eastAsia="sr-Latn-CS"/>
        </w:rPr>
      </w:pPr>
    </w:p>
    <w:p w:rsidR="00F87CD1" w:rsidRDefault="00F87CD1" w:rsidP="00CF7512">
      <w:pPr>
        <w:spacing w:before="0" w:after="0" w:line="240" w:lineRule="auto"/>
        <w:ind w:firstLine="709"/>
        <w:rPr>
          <w:szCs w:val="24"/>
          <w:lang w:val="sr-Latn-ME" w:eastAsia="sr-Latn-CS"/>
        </w:rPr>
      </w:pPr>
    </w:p>
    <w:p w:rsidR="00F87CD1" w:rsidRDefault="00F87CD1" w:rsidP="00CF7512">
      <w:pPr>
        <w:spacing w:before="0" w:after="0" w:line="240" w:lineRule="auto"/>
        <w:ind w:firstLine="709"/>
        <w:rPr>
          <w:szCs w:val="24"/>
          <w:lang w:val="sr-Latn-ME" w:eastAsia="sr-Latn-CS"/>
        </w:rPr>
      </w:pPr>
    </w:p>
    <w:p w:rsidR="00F87CD1" w:rsidRDefault="00F87CD1" w:rsidP="00CF7512">
      <w:pPr>
        <w:spacing w:before="0" w:after="0" w:line="240" w:lineRule="auto"/>
        <w:ind w:firstLine="709"/>
        <w:rPr>
          <w:szCs w:val="24"/>
          <w:lang w:val="sr-Latn-ME" w:eastAsia="sr-Latn-CS"/>
        </w:rPr>
      </w:pPr>
    </w:p>
    <w:p w:rsidR="006D1F13" w:rsidRDefault="006D1F13" w:rsidP="00301FE8">
      <w:pPr>
        <w:spacing w:before="0" w:after="0" w:line="240" w:lineRule="auto"/>
        <w:rPr>
          <w:szCs w:val="24"/>
          <w:lang w:val="sr-Latn-ME" w:eastAsia="sr-Latn-CS"/>
        </w:rPr>
      </w:pPr>
    </w:p>
    <w:p w:rsidR="00F328F8" w:rsidRDefault="00F328F8" w:rsidP="00301FE8">
      <w:pPr>
        <w:spacing w:before="0" w:after="0" w:line="240" w:lineRule="auto"/>
        <w:rPr>
          <w:szCs w:val="24"/>
          <w:lang w:val="sr-Latn-ME" w:eastAsia="sr-Latn-CS"/>
        </w:rPr>
      </w:pPr>
    </w:p>
    <w:p w:rsidR="00F328F8" w:rsidRDefault="00F328F8" w:rsidP="00301FE8">
      <w:pPr>
        <w:spacing w:before="0" w:after="0" w:line="240" w:lineRule="auto"/>
        <w:rPr>
          <w:szCs w:val="24"/>
          <w:lang w:val="sr-Latn-ME" w:eastAsia="sr-Latn-CS"/>
        </w:rPr>
      </w:pPr>
    </w:p>
    <w:p w:rsidR="00F328F8" w:rsidRDefault="00F328F8" w:rsidP="00301FE8">
      <w:pPr>
        <w:spacing w:before="0" w:after="0" w:line="240" w:lineRule="auto"/>
        <w:rPr>
          <w:szCs w:val="24"/>
          <w:lang w:val="sr-Latn-ME" w:eastAsia="sr-Latn-CS"/>
        </w:rPr>
      </w:pPr>
    </w:p>
    <w:p w:rsidR="00F328F8" w:rsidRDefault="00F328F8" w:rsidP="00301FE8">
      <w:pPr>
        <w:spacing w:before="0" w:after="0" w:line="240" w:lineRule="auto"/>
        <w:rPr>
          <w:szCs w:val="24"/>
          <w:lang w:val="sr-Latn-ME" w:eastAsia="sr-Latn-CS"/>
        </w:rPr>
      </w:pPr>
    </w:p>
    <w:p w:rsidR="00F328F8" w:rsidRDefault="00F328F8" w:rsidP="00301FE8">
      <w:pPr>
        <w:spacing w:before="0" w:after="0" w:line="240" w:lineRule="auto"/>
        <w:rPr>
          <w:szCs w:val="24"/>
          <w:lang w:val="sr-Latn-ME" w:eastAsia="sr-Latn-CS"/>
        </w:rPr>
      </w:pPr>
    </w:p>
    <w:p w:rsidR="00F328F8" w:rsidRDefault="00F328F8" w:rsidP="00301FE8">
      <w:pPr>
        <w:spacing w:before="0" w:after="0" w:line="240" w:lineRule="auto"/>
        <w:rPr>
          <w:szCs w:val="24"/>
          <w:lang w:val="sr-Latn-ME" w:eastAsia="sr-Latn-CS"/>
        </w:rPr>
      </w:pPr>
    </w:p>
    <w:p w:rsidR="00F328F8" w:rsidRDefault="00F328F8" w:rsidP="00301FE8">
      <w:pPr>
        <w:spacing w:before="0" w:after="0" w:line="240" w:lineRule="auto"/>
        <w:rPr>
          <w:szCs w:val="24"/>
          <w:lang w:val="sr-Latn-ME" w:eastAsia="sr-Latn-CS"/>
        </w:rPr>
      </w:pPr>
    </w:p>
    <w:p w:rsidR="00F328F8" w:rsidRDefault="00F328F8" w:rsidP="00301FE8">
      <w:pPr>
        <w:spacing w:before="0" w:after="0" w:line="240" w:lineRule="auto"/>
        <w:rPr>
          <w:szCs w:val="24"/>
          <w:lang w:val="sr-Latn-ME" w:eastAsia="sr-Latn-CS"/>
        </w:rPr>
      </w:pPr>
    </w:p>
    <w:p w:rsidR="00F328F8" w:rsidRDefault="00F328F8" w:rsidP="00301FE8">
      <w:pPr>
        <w:spacing w:before="0" w:after="0" w:line="240" w:lineRule="auto"/>
        <w:rPr>
          <w:szCs w:val="24"/>
          <w:lang w:val="sr-Latn-ME" w:eastAsia="sr-Latn-CS"/>
        </w:rPr>
      </w:pPr>
    </w:p>
    <w:p w:rsidR="003708A9" w:rsidRDefault="003708A9" w:rsidP="00301FE8">
      <w:pPr>
        <w:spacing w:before="0" w:after="0" w:line="240" w:lineRule="auto"/>
        <w:rPr>
          <w:szCs w:val="24"/>
          <w:lang w:val="sr-Latn-ME" w:eastAsia="sr-Latn-CS"/>
        </w:rPr>
      </w:pPr>
    </w:p>
    <w:p w:rsidR="00F328F8" w:rsidRDefault="00F328F8" w:rsidP="00301FE8">
      <w:pPr>
        <w:spacing w:before="0" w:after="0" w:line="240" w:lineRule="auto"/>
        <w:rPr>
          <w:szCs w:val="24"/>
          <w:lang w:val="sr-Latn-ME" w:eastAsia="sr-Latn-CS"/>
        </w:rPr>
      </w:pPr>
    </w:p>
    <w:p w:rsidR="00301FE8" w:rsidRPr="00CF7512" w:rsidRDefault="00301FE8" w:rsidP="00301FE8">
      <w:pPr>
        <w:spacing w:before="0" w:after="0" w:line="240" w:lineRule="auto"/>
        <w:rPr>
          <w:szCs w:val="24"/>
          <w:lang w:eastAsia="sr-Latn-CS"/>
        </w:rPr>
      </w:pPr>
    </w:p>
    <w:p w:rsidR="00B135BD" w:rsidRPr="00BA7C7C" w:rsidRDefault="0015012A" w:rsidP="00B135BD">
      <w:pPr>
        <w:pStyle w:val="BodyText2"/>
        <w:shd w:val="clear" w:color="auto" w:fill="EE8C69" w:themeFill="accent1" w:themeFillTint="99"/>
        <w:spacing w:line="240" w:lineRule="auto"/>
        <w:jc w:val="center"/>
        <w:rPr>
          <w:rFonts w:eastAsia="Calibri" w:cs="Arial"/>
          <w:b/>
          <w:sz w:val="26"/>
          <w:szCs w:val="26"/>
          <w:lang w:val="it-IT"/>
        </w:rPr>
      </w:pPr>
      <w:r w:rsidRPr="00BA7C7C">
        <w:rPr>
          <w:rFonts w:eastAsia="Calibri" w:cs="Arial"/>
          <w:b/>
          <w:sz w:val="26"/>
          <w:szCs w:val="26"/>
          <w:lang w:val="it-IT"/>
        </w:rPr>
        <w:lastRenderedPageBreak/>
        <w:t>VII</w:t>
      </w:r>
      <w:r w:rsidR="00B135BD" w:rsidRPr="00BA7C7C">
        <w:rPr>
          <w:rFonts w:eastAsia="Calibri" w:cs="Arial"/>
          <w:b/>
          <w:sz w:val="26"/>
          <w:szCs w:val="26"/>
          <w:lang w:val="it-IT"/>
        </w:rPr>
        <w:t xml:space="preserve"> </w:t>
      </w:r>
      <w:r w:rsidR="006D1F13" w:rsidRPr="00BA7C7C">
        <w:rPr>
          <w:rFonts w:eastAsia="Calibri" w:cs="Arial"/>
          <w:b/>
          <w:sz w:val="26"/>
          <w:szCs w:val="26"/>
          <w:lang w:val="it-IT"/>
        </w:rPr>
        <w:t>IZVJEŠTAJ O RADU UPRAVE</w:t>
      </w:r>
      <w:r w:rsidR="00B135BD" w:rsidRPr="00BA7C7C">
        <w:rPr>
          <w:rFonts w:eastAsia="Calibri" w:cs="Arial"/>
          <w:b/>
          <w:sz w:val="26"/>
          <w:szCs w:val="26"/>
          <w:lang w:val="it-IT"/>
        </w:rPr>
        <w:t xml:space="preserve"> CARINA</w:t>
      </w:r>
    </w:p>
    <w:p w:rsidR="00B135BD" w:rsidRPr="00B135BD" w:rsidRDefault="00B135BD" w:rsidP="00B135BD">
      <w:pPr>
        <w:pStyle w:val="BodyText2"/>
        <w:spacing w:line="240" w:lineRule="auto"/>
        <w:rPr>
          <w:rFonts w:ascii="Calibri" w:eastAsia="Times New Roman" w:hAnsi="Calibri" w:cs="Arial"/>
          <w:b/>
          <w:szCs w:val="24"/>
          <w:lang w:val="sl-SI"/>
        </w:rPr>
      </w:pPr>
      <w:r w:rsidRPr="00B135BD">
        <w:rPr>
          <w:rFonts w:ascii="Calibri" w:eastAsia="Times New Roman" w:hAnsi="Calibri" w:cs="Arial"/>
          <w:b/>
          <w:szCs w:val="24"/>
          <w:lang w:val="sl-SI"/>
        </w:rPr>
        <w:t>Podaci o realizaciji ciljeva i programa rada Uprave carina:</w:t>
      </w:r>
    </w:p>
    <w:p w:rsidR="00B135BD" w:rsidRPr="00B135BD" w:rsidRDefault="00B135BD" w:rsidP="00B135BD">
      <w:pPr>
        <w:spacing w:before="0" w:after="0" w:line="240" w:lineRule="auto"/>
        <w:ind w:firstLine="720"/>
        <w:rPr>
          <w:rFonts w:ascii="Calibri" w:eastAsia="Calibri" w:hAnsi="Calibri" w:cs="Arial"/>
          <w:szCs w:val="24"/>
          <w:lang w:val="pl-PL"/>
        </w:rPr>
      </w:pPr>
      <w:r w:rsidRPr="00B135BD">
        <w:rPr>
          <w:rFonts w:ascii="Calibri" w:eastAsia="Calibri" w:hAnsi="Calibri" w:cs="Arial"/>
          <w:szCs w:val="24"/>
          <w:lang w:val="pl-PL"/>
        </w:rPr>
        <w:t>Godišnjim planom za 2020.</w:t>
      </w:r>
      <w:r w:rsidR="00E572FF">
        <w:rPr>
          <w:rFonts w:ascii="Calibri" w:eastAsia="Calibri" w:hAnsi="Calibri" w:cs="Arial"/>
          <w:szCs w:val="24"/>
          <w:lang w:val="pl-PL"/>
        </w:rPr>
        <w:t xml:space="preserve"> </w:t>
      </w:r>
      <w:r w:rsidRPr="00B135BD">
        <w:rPr>
          <w:rFonts w:ascii="Calibri" w:eastAsia="Calibri" w:hAnsi="Calibri" w:cs="Arial"/>
          <w:szCs w:val="24"/>
          <w:lang w:val="pl-PL"/>
        </w:rPr>
        <w:t>godinu predviđeno je 413 pokazatelja učinka, od kojih je 350 realizovano, što predstavlja 84,75%. Od 63 pokazatelja učinka koji nisu u potpunosti realizovani: 15 su u završnoj fazi, za 22 je započeto ostvarivanje, 10 je u pripremi i 16 nije realizovano (pandemija Covid 19 je najčešći razlog).</w:t>
      </w:r>
      <w:r w:rsidRPr="00B135BD">
        <w:rPr>
          <w:rFonts w:ascii="Calibri" w:eastAsia="Calibri" w:hAnsi="Calibri" w:cs="Arial"/>
          <w:color w:val="00B050"/>
          <w:szCs w:val="24"/>
          <w:lang w:val="pl-PL"/>
        </w:rPr>
        <w:tab/>
      </w:r>
    </w:p>
    <w:p w:rsidR="00B135BD" w:rsidRPr="00B135BD" w:rsidRDefault="00B135BD" w:rsidP="00B135BD">
      <w:pPr>
        <w:spacing w:before="0" w:after="0" w:line="240" w:lineRule="auto"/>
        <w:ind w:firstLine="720"/>
        <w:rPr>
          <w:rFonts w:ascii="Calibri" w:eastAsia="Calibri" w:hAnsi="Calibri" w:cs="Arial"/>
          <w:szCs w:val="24"/>
          <w:lang w:val="pl-PL"/>
        </w:rPr>
      </w:pPr>
      <w:r w:rsidRPr="00B135BD">
        <w:rPr>
          <w:rFonts w:ascii="Calibri" w:eastAsia="Calibri" w:hAnsi="Calibri" w:cs="Arial"/>
          <w:szCs w:val="24"/>
          <w:lang w:val="pl-PL"/>
        </w:rPr>
        <w:t>Od ukupno 143 indikatora predviđenih Akcionim planom Poslovne strategije za 2020. godinu, realizovan je 101 što predstavlja 70,63%. Od 42 indikatora koji nisu u potpunosti realizovani: 8 je u završnoj fazi, za 18 je započeto ostvarivanje, 6 je u pripremi i 10 nije realizovano.</w:t>
      </w:r>
    </w:p>
    <w:p w:rsidR="00B135BD" w:rsidRPr="00B135BD" w:rsidRDefault="00B135BD" w:rsidP="00B135BD">
      <w:pPr>
        <w:spacing w:before="0" w:after="0" w:line="240" w:lineRule="auto"/>
        <w:ind w:firstLine="720"/>
        <w:rPr>
          <w:rFonts w:ascii="Calibri" w:eastAsia="Times New Roman" w:hAnsi="Calibri" w:cs="Arial"/>
          <w:color w:val="00B050"/>
          <w:szCs w:val="24"/>
          <w:lang w:val="sl-SI"/>
        </w:rPr>
      </w:pPr>
    </w:p>
    <w:p w:rsidR="00B135BD" w:rsidRPr="00B135BD" w:rsidRDefault="00B135BD" w:rsidP="00B135BD">
      <w:pPr>
        <w:spacing w:before="0" w:after="0" w:line="240" w:lineRule="auto"/>
        <w:rPr>
          <w:rFonts w:ascii="Calibri" w:eastAsia="Times New Roman" w:hAnsi="Calibri" w:cs="Arial"/>
          <w:i/>
          <w:color w:val="00B050"/>
          <w:szCs w:val="24"/>
          <w:lang w:val="sl-SI"/>
        </w:rPr>
      </w:pPr>
      <w:r w:rsidRPr="00B135BD">
        <w:rPr>
          <w:rFonts w:ascii="Calibri" w:eastAsia="Calibri" w:hAnsi="Calibri" w:cs="Arial"/>
          <w:b/>
          <w:szCs w:val="24"/>
          <w:lang w:val="pl-PL"/>
        </w:rPr>
        <w:t>Pregled mjera i aktivnosti preduzetih za izvršavanje postavljenih ciljeva</w:t>
      </w:r>
      <w:r w:rsidRPr="00B135BD">
        <w:rPr>
          <w:rFonts w:ascii="Calibri" w:eastAsia="Times New Roman" w:hAnsi="Calibri" w:cs="Arial"/>
          <w:b/>
          <w:szCs w:val="24"/>
          <w:lang w:val="sl-SI"/>
        </w:rPr>
        <w:t>:</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b/>
          <w:szCs w:val="24"/>
          <w:lang w:val="sl-SI"/>
        </w:rPr>
        <w:t>Strateški cilj 1:</w:t>
      </w:r>
      <w:r w:rsidRPr="00B135BD">
        <w:rPr>
          <w:rFonts w:ascii="Calibri" w:eastAsia="Calibri" w:hAnsi="Calibri" w:cs="Arial"/>
          <w:szCs w:val="24"/>
          <w:lang w:val="sl-SI"/>
        </w:rPr>
        <w:t xml:space="preserve"> Usklađivanje zakonodavstva sa pravnom tekovinom EU i razvoj informacionih sistema</w:t>
      </w:r>
    </w:p>
    <w:p w:rsidR="00B135BD" w:rsidRPr="00B135BD" w:rsidRDefault="00B135BD" w:rsidP="00B135BD">
      <w:pPr>
        <w:spacing w:before="0" w:after="0" w:line="240" w:lineRule="auto"/>
        <w:ind w:firstLine="720"/>
        <w:rPr>
          <w:rFonts w:ascii="Calibri" w:eastAsia="Calibri" w:hAnsi="Calibri" w:cs="Arial"/>
          <w:i/>
          <w:szCs w:val="24"/>
          <w:u w:val="single"/>
          <w:lang w:val="sl-SI"/>
        </w:rPr>
      </w:pPr>
      <w:r w:rsidRPr="00B135BD">
        <w:rPr>
          <w:rFonts w:ascii="Calibri" w:eastAsia="Calibri" w:hAnsi="Calibri" w:cs="Arial"/>
          <w:i/>
          <w:szCs w:val="24"/>
          <w:u w:val="single"/>
          <w:lang w:val="sl-SI"/>
        </w:rPr>
        <w:t>Iniciranje izmjena i dopuna carinskih i drugih propisa</w:t>
      </w:r>
    </w:p>
    <w:p w:rsidR="00B135BD" w:rsidRPr="00B135BD" w:rsidRDefault="00B135BD" w:rsidP="00B135BD">
      <w:pPr>
        <w:spacing w:before="0" w:after="0" w:line="240" w:lineRule="auto"/>
        <w:ind w:firstLine="720"/>
        <w:rPr>
          <w:rFonts w:ascii="Calibri" w:eastAsia="Calibri" w:hAnsi="Calibri" w:cs="Arial"/>
          <w:szCs w:val="24"/>
          <w:lang w:val="en-US"/>
        </w:rPr>
      </w:pPr>
      <w:r w:rsidRPr="00B135BD">
        <w:rPr>
          <w:rFonts w:ascii="Calibri" w:eastAsia="Calibri" w:hAnsi="Calibri" w:cs="Arial"/>
          <w:szCs w:val="24"/>
          <w:lang w:val="en-US"/>
        </w:rPr>
        <w:t>Inicirano je usklađivanje carinskog zakona sa Uredbom EU br.952/2013 (UCC). Radna grupa je izradila nacrt Carinskog zakona u decembru 2019.godine, uz pomoć eksperta iz Srbije, kojeg je obezbijedila Uprava carina preko GIZ-a.</w:t>
      </w:r>
      <w:r w:rsidRPr="00B135BD">
        <w:rPr>
          <w:rFonts w:ascii="Calibri" w:eastAsia="Calibri" w:hAnsi="Calibri" w:cs="Arial"/>
          <w:color w:val="FF0000"/>
          <w:szCs w:val="24"/>
          <w:lang w:val="en-US"/>
        </w:rPr>
        <w:t xml:space="preserve"> </w:t>
      </w:r>
      <w:r w:rsidRPr="00B135BD">
        <w:rPr>
          <w:rFonts w:ascii="Calibri" w:eastAsia="Calibri" w:hAnsi="Calibri" w:cs="Arial"/>
          <w:szCs w:val="24"/>
          <w:lang w:val="en-US"/>
        </w:rPr>
        <w:t xml:space="preserve">MF I SC je, nakon dobijanja pozitivnog mišljenja od Sekretarijata za zakonodavstvo, dostavilo Predlog carinskog zakona evropskoj komisiji na eventualne komentare. Započet je rad Radne grupe za izradu Uredbe za sprovođenje carinskog zakona. Nacrt Pravilnika o obliku sadržaju, načinu podnošenja i popunjavanja carinske deklaracije i zbirne prijave upućen je Ministarstvu finansija na donošenje. Donešena je Uredba o carinskoj tarifi za 2020.god. i implementirana je u TARICG.   </w:t>
      </w:r>
    </w:p>
    <w:p w:rsidR="00B135BD" w:rsidRPr="00B135BD" w:rsidRDefault="00B135BD" w:rsidP="00B135BD">
      <w:pPr>
        <w:spacing w:before="0" w:after="0" w:line="240" w:lineRule="auto"/>
        <w:ind w:firstLine="720"/>
        <w:rPr>
          <w:rFonts w:ascii="Calibri" w:eastAsia="Calibri" w:hAnsi="Calibri" w:cs="Arial"/>
          <w:i/>
          <w:szCs w:val="24"/>
          <w:u w:val="single"/>
          <w:lang w:val="sl-SI"/>
        </w:rPr>
      </w:pPr>
      <w:r w:rsidRPr="00B135BD">
        <w:rPr>
          <w:rFonts w:ascii="Calibri" w:eastAsia="Calibri" w:hAnsi="Calibri" w:cs="Arial"/>
          <w:i/>
          <w:szCs w:val="24"/>
          <w:u w:val="single"/>
          <w:lang w:val="sl-SI"/>
        </w:rPr>
        <w:t>Iniciranje izmjena i dopuna poreskih propisa,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 xml:space="preserve">Zakon o izmjenama i dopunama  Zakona o porezu na dodatu vrijednost je objavljen u Službenom listu 80/20 04.08.2020.godine. </w:t>
      </w:r>
    </w:p>
    <w:p w:rsidR="00B135BD" w:rsidRPr="00B135BD" w:rsidRDefault="00B135BD" w:rsidP="00B135BD">
      <w:pPr>
        <w:spacing w:before="0" w:after="0" w:line="240" w:lineRule="auto"/>
        <w:ind w:firstLine="720"/>
        <w:rPr>
          <w:rFonts w:ascii="Calibri" w:eastAsia="Calibri" w:hAnsi="Calibri" w:cs="Arial"/>
          <w:i/>
          <w:szCs w:val="24"/>
          <w:u w:val="single"/>
          <w:lang w:val="sl-SI"/>
        </w:rPr>
      </w:pPr>
      <w:r w:rsidRPr="00B135BD">
        <w:rPr>
          <w:rFonts w:ascii="Calibri" w:eastAsia="Calibri" w:hAnsi="Calibri" w:cs="Arial"/>
          <w:i/>
          <w:szCs w:val="24"/>
          <w:u w:val="single"/>
          <w:lang w:val="sl-SI"/>
        </w:rPr>
        <w:t>Iniciranje izmjena i dopuna akciznih propisa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Zakon o izmjenama i dopunama Zakona o akcizama je objavljen u Službenom listu 76/20 28.07.2020.godine.</w:t>
      </w:r>
      <w:r w:rsidRPr="00B135BD">
        <w:rPr>
          <w:rFonts w:ascii="Calibri" w:eastAsia="Times New Roman" w:hAnsi="Calibri" w:cs="Times New Roman"/>
          <w:szCs w:val="24"/>
          <w:lang w:val="en-US"/>
        </w:rPr>
        <w:t xml:space="preserve"> </w:t>
      </w:r>
      <w:r w:rsidRPr="00B135BD">
        <w:rPr>
          <w:rFonts w:ascii="Calibri" w:eastAsia="Calibri" w:hAnsi="Calibri" w:cs="Arial"/>
          <w:szCs w:val="24"/>
          <w:lang w:val="sl-SI"/>
        </w:rPr>
        <w:t>Usvojen je Pravilnik o bližem načinu funkcionisanja informacionog sistema za elektronsku razmjenu podataka i postupku elektronske razmjene podataka o akcizama.</w:t>
      </w:r>
      <w:r w:rsidRPr="00B135BD">
        <w:rPr>
          <w:rFonts w:ascii="Calibri" w:eastAsia="Times New Roman" w:hAnsi="Calibri" w:cs="Times New Roman"/>
          <w:szCs w:val="24"/>
          <w:lang w:val="en-US"/>
        </w:rPr>
        <w:t xml:space="preserve"> </w:t>
      </w:r>
      <w:r w:rsidRPr="00B135BD">
        <w:rPr>
          <w:rFonts w:ascii="Calibri" w:eastAsia="Calibri" w:hAnsi="Calibri" w:cs="Arial"/>
          <w:szCs w:val="24"/>
          <w:lang w:val="sl-SI"/>
        </w:rPr>
        <w:t>Predlog izmjena/dopuna Uredbe o obilježavanju duvanskih proizvoda i alkoholnih pića kontrolnim akciznim markicama je dostavljen Ministarstvu finansija i socijalnog staranja krajem 2020.godine.</w:t>
      </w:r>
      <w:r w:rsidRPr="00B135BD">
        <w:rPr>
          <w:rFonts w:ascii="Calibri" w:eastAsia="Times New Roman" w:hAnsi="Calibri" w:cs="Times New Roman"/>
          <w:szCs w:val="24"/>
          <w:lang w:val="en-US"/>
        </w:rPr>
        <w:t xml:space="preserve"> </w:t>
      </w:r>
      <w:r w:rsidRPr="00B135BD">
        <w:rPr>
          <w:rFonts w:ascii="Calibri" w:eastAsia="Calibri" w:hAnsi="Calibri" w:cs="Arial"/>
          <w:szCs w:val="24"/>
          <w:lang w:val="sl-SI"/>
        </w:rPr>
        <w:t>Poslovna pravila su kreirana u skladu sa izmjenama Zakona.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i/>
          <w:szCs w:val="24"/>
          <w:u w:val="single"/>
          <w:lang w:val="sl-SI"/>
        </w:rPr>
        <w:t>IT podrška u procesu implementacije definisanih planova izmjena i dopuna propisa</w:t>
      </w:r>
      <w:r w:rsidRPr="00B135BD">
        <w:rPr>
          <w:rFonts w:ascii="Calibri" w:eastAsia="Calibri" w:hAnsi="Calibri" w:cs="Arial"/>
          <w:i/>
          <w:szCs w:val="24"/>
          <w:u w:val="single"/>
          <w:lang w:val="sl-SI"/>
        </w:rPr>
        <w:cr/>
      </w:r>
      <w:r w:rsidRPr="00B135BD">
        <w:rPr>
          <w:rFonts w:ascii="Calibri" w:eastAsia="Calibri" w:hAnsi="Calibri" w:cs="Arial"/>
          <w:szCs w:val="24"/>
          <w:lang w:val="sl-SI"/>
        </w:rPr>
        <w:tab/>
        <w:t>Nastavljena je automatizacija poslovnih procesa i definisana arhitektura budućih sistema. Kandidivani su projekti u okviru EU podrške. U cilju rekonstrukcije server sale, kroz projekat Vladavina prava i temeljna prava iz IPA 2018 obezbijeđena su sredstva u vrijednosti od 300.000€. Imenovan je Radni tim koji treba da pripremi tehničku specifikaciju i učestvuje u realizaciji rekonstrukcije server sale.</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U toku je izrada politike upotrebe elektronskog potpisa i izrada specifikacije rješenja izmjene aplikacija u cilju uspostavljanja bespapirnog poslovanja u carinskim postupcima. U završnoj fazi je izrada tehničke specifikacije za poboljšanje (tehničkih i drugih) mehanizama za brzu razmjenu informacija sa Upravom policije, USPNFT, i drugim nacionalnim agencijama (kroz IFC i druge projekte). U toku je izrada tehničke specifikacije za poboljšanje (tehničkih i drugih) mehanizama za brzu razmjenu informacija sa drugim državnim organima preko MJU- Government Service Bus (GSB), dalja nadogradnja web servisa.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Izvršena je Migracija sistemskog softvera na aplikativnim i baznim serverima (test i produkcija), kao i Migracija carinskih aplikacija na nove verzije aplikativnih softevra (test i produkcija)</w:t>
      </w:r>
      <w:r w:rsidRPr="00B135BD">
        <w:rPr>
          <w:rFonts w:ascii="Calibri" w:eastAsia="Times New Roman" w:hAnsi="Calibri" w:cs="Times New Roman"/>
          <w:szCs w:val="24"/>
          <w:lang w:val="en-US"/>
        </w:rPr>
        <w:t xml:space="preserve"> </w:t>
      </w:r>
      <w:r w:rsidRPr="00B135BD">
        <w:rPr>
          <w:rFonts w:ascii="Calibri" w:eastAsia="Calibri" w:hAnsi="Calibri" w:cs="Arial"/>
          <w:szCs w:val="24"/>
          <w:lang w:val="sl-SI"/>
        </w:rPr>
        <w:t>na novu tehnološku osnovu.</w:t>
      </w:r>
      <w:r w:rsidRPr="00B135BD">
        <w:rPr>
          <w:rFonts w:ascii="Calibri" w:eastAsia="Times New Roman" w:hAnsi="Calibri" w:cs="Times New Roman"/>
          <w:szCs w:val="24"/>
          <w:lang w:val="en-US"/>
        </w:rPr>
        <w:t xml:space="preserve"> </w:t>
      </w:r>
      <w:r w:rsidRPr="00B135BD">
        <w:rPr>
          <w:rFonts w:ascii="Calibri" w:eastAsia="Calibri" w:hAnsi="Calibri" w:cs="Arial"/>
          <w:szCs w:val="24"/>
          <w:lang w:val="sl-SI"/>
        </w:rPr>
        <w:t>Čeka se prihvatanje Pravilnika (zakonodavni dio).</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lastRenderedPageBreak/>
        <w:t>Uprava carina je u 2020. godini obezbijedila budžetska sredstva u iznosu od 55.000€ za održavanje sistemskog dijela CIS-a (održavanje i hardversku podršku postojeće i buduće serverske opreme, održavanje i hardversku podršku postojeće serverske opreme, održavanje i hardversku podršku računarske desktop opreme). U cilju obnove IT opreme koja pruža podršku carinskim službenicima u svakodnevnom radu (radne stanice, štampači i prenosni računari) izvršena je nabavka opreme vrijednosti 38.244,47€. Kako bi se produžile podrške za licence potpisani su ugovori za: Veritas Backup Exec support, VMware support, cPanel i Cloud Linux support, Antivirus softevrski paket, Supporta Juniper JSE Bundle (App Secure + Sky Atp). Takođe, nabavljen je novi softver za monitoring i administarciju mrežnih i serverskih resursa.</w:t>
      </w:r>
      <w:r w:rsidRPr="00B135BD">
        <w:rPr>
          <w:rFonts w:ascii="Calibri" w:eastAsia="Times New Roman" w:hAnsi="Calibri" w:cs="Times New Roman"/>
          <w:szCs w:val="24"/>
          <w:lang w:val="en-US"/>
        </w:rPr>
        <w:t xml:space="preserve"> </w:t>
      </w:r>
      <w:r w:rsidRPr="00B135BD">
        <w:rPr>
          <w:rFonts w:ascii="Calibri" w:eastAsia="Calibri" w:hAnsi="Calibri" w:cs="Arial"/>
          <w:szCs w:val="24"/>
          <w:lang w:val="sl-SI"/>
        </w:rPr>
        <w:t xml:space="preserve">Nabavljeni i licencirani su novi alati za praćenje TEMPO/ITIL/RUP aktivnosti i usluga. </w:t>
      </w:r>
    </w:p>
    <w:p w:rsidR="00B135BD" w:rsidRPr="00B135BD" w:rsidRDefault="00B135BD" w:rsidP="00B135BD">
      <w:pPr>
        <w:spacing w:before="0" w:after="0" w:line="240" w:lineRule="auto"/>
        <w:ind w:firstLine="720"/>
        <w:rPr>
          <w:rFonts w:ascii="Calibri" w:eastAsia="Times New Roman" w:hAnsi="Calibri" w:cs="Times New Roman"/>
          <w:szCs w:val="24"/>
          <w:lang w:val="en-US"/>
        </w:rPr>
      </w:pPr>
      <w:r w:rsidRPr="00B135BD">
        <w:rPr>
          <w:rFonts w:ascii="Calibri" w:eastAsia="Calibri" w:hAnsi="Calibri" w:cs="Arial"/>
          <w:i/>
          <w:szCs w:val="24"/>
          <w:u w:val="single"/>
          <w:lang w:val="sl-SI"/>
        </w:rPr>
        <w:t>IT podrška u automatizaciji poslovnih procesa</w:t>
      </w:r>
      <w:r w:rsidRPr="00B135BD">
        <w:rPr>
          <w:rFonts w:ascii="Calibri" w:eastAsia="Times New Roman" w:hAnsi="Calibri" w:cs="Times New Roman"/>
          <w:szCs w:val="24"/>
          <w:lang w:val="en-US"/>
        </w:rPr>
        <w:t xml:space="preserve"> </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Realizovane su aktivnosti na razvoju novog IT sistema za akcize i implementaciji sistema kontrole kretanja akciznih proizvoda i to Projekat »Podrška Upravi carina u oblasti akciza“, i »Projekat uvođenja sistema za elektronsko upravljanje akciznim markicama«.</w:t>
      </w:r>
    </w:p>
    <w:p w:rsidR="00B135BD" w:rsidRPr="00B135BD" w:rsidRDefault="00B135BD" w:rsidP="00B135BD">
      <w:pPr>
        <w:spacing w:before="0" w:after="0" w:line="240" w:lineRule="auto"/>
        <w:ind w:firstLine="720"/>
        <w:rPr>
          <w:rFonts w:ascii="Calibri" w:eastAsia="Calibri" w:hAnsi="Calibri" w:cs="Arial"/>
          <w:szCs w:val="24"/>
          <w:u w:val="single"/>
          <w:lang w:val="sl-SI"/>
        </w:rPr>
      </w:pPr>
      <w:r w:rsidRPr="00B135BD">
        <w:rPr>
          <w:rFonts w:ascii="Calibri" w:eastAsia="Calibri" w:hAnsi="Calibri" w:cs="Arial"/>
          <w:i/>
          <w:szCs w:val="24"/>
          <w:u w:val="single"/>
          <w:lang w:val="sl-SI"/>
        </w:rPr>
        <w:t>Korišćenje predpristupne podrške EU u procesu evropskih integracija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Pripremljena je dokumentacija za buduće projekte Uprave carina iz sredstava predpristupne podrške IPA i EUIF, u cilju ispunjavanja mjerila iz Poglavlja 29 Carinska unija.</w:t>
      </w:r>
      <w:r w:rsidRPr="00B135BD">
        <w:rPr>
          <w:rFonts w:ascii="Calibri" w:eastAsia="Times New Roman" w:hAnsi="Calibri" w:cs="Times New Roman"/>
          <w:szCs w:val="24"/>
          <w:lang w:val="en-US"/>
        </w:rPr>
        <w:t xml:space="preserve"> </w:t>
      </w:r>
      <w:r w:rsidRPr="00B135BD">
        <w:rPr>
          <w:rFonts w:ascii="Calibri" w:eastAsia="Calibri" w:hAnsi="Calibri" w:cs="Arial"/>
          <w:szCs w:val="24"/>
          <w:lang w:val="sl-SI"/>
        </w:rPr>
        <w:t>Uprava carina je nastavila sa aktivnostima na finalizaciji projektnih zadataka i tehničkih specifikacija za aktivnosti čija je realizacija odobrena iz sredstava IPA 2018 u iznosu od 1.900.000€. Aktivnosti se odnose na: nabavku specijalizovanog kontejnera DATA CENTRE, radove na adaptaciji/rekonstrukciji Upravne zgrade, Područne jedinice Carinarnica Bar, CI Putnički terminal Bar i CI Zelenika, usluge za unapređenje informacionih sistema, nabavku opreme za vršenje kontrolne funkcije Uprave carina, nabavku serverske i storage opreme i usluge za obuku carinskih službenika. Krajem decembra 2020.godine započeta je i realizacija Projekta “Izrada glavnog projekta /tehničke dokumentacije za adaptaciju/rekonstrukciju objekata koje koristi Uprava carina“ iz sredstava EUIF. Realizacijom ovog Ugovora će biti pripremljena tenderska dokumentacija po PRAG pravilima za raspisivanje tendera za radove adaptacije/rekonstrukcije Upravne zgrade, Područne jedinice Carinarnica Bar, CI Putnički terminal Bar i CI Zelenika.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Pripremljeni su i upućeni predlozi za dva projekta za realizaciju iz sredstava EUIF 2017. Od strane Evropske Komisije odobreni su predlozi projekata “Implementacija carinskih odluka na nacionalnom nivou”, i “Podrška Upravi carina za pripremu za nadogradnju TARICG do TARIC EU poslednje verzije i odnosnih ITMS podsistema”. U toku je priprema projektnih zadataka za oba projekta. Takođe, dostavljen je nadležnim organima i predlog projekta koji obuhvata aktivnosti planirane da se realizuju iz sredstava IPA III u okviru programiranja za IPA 2021 i IPA 2022. Planirane aktivnosti su usmjerene na dalju modernizaciju službe, posebno kada je u pitanju razvoj IT sistema Uprave carina za podršku pojednostavljenima i olakšanju carinskih procedura, a ujedno na uspostavljanje sistema koji bi bili interkonektivni i interoperabilni sa sistemima EU. Međutim, predlog je od strane EK ocijenjen kao relevantan ali rano predložen.</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Pokrenut je postupak osavremenjavanja načina obilježavanja duvanskih proizvoda i alkoholnih pića akciznim markicama razvojem sistema za elektronsko upravljanje akciznim markicama, koji će omogućiti elektronsko odobravanje, narudžbu i izdavanje akciznih markica, kao i elektronsko vođenje evidencije o izdatim, iskorišćenim i neiskorišćenim akciznim markicama. Uvođenjem navedenog sistema unaprijediće se efikasnost carinske službe u suzbijanju nezakonite trgovine duvanskim proizvodima.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 xml:space="preserve">Projekat Podrška regionalnoj ekonomskoj integraciji / GIZ Open Regional Fund Foreign Trade, koji je započeo u junu 2020.godine i trajaće do jula 2023.godine podržaće implementaciju zajedničkog upravljanja rizikom u CEFTA regionu i implementaciju Strategije za upravljanje rizikom u CEFTA zemljama. Tokom 2020 godine održano je više regionalnih online sastanaka i završene sve obaveze Uprave carina u dosadašnjem toku projekta. </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lastRenderedPageBreak/>
        <w:t xml:space="preserve">Započet je »Projekat podrške digitalizaciji trgovinskih procedura u poštanskom i pomorskom saobraćaju« uz podršku BMZ-GIZ, koji će doprinijeti modernizaciji procedura, efikasnosti analize rizika i ubrzanju procesuiranja pošiljki u pomorskom i poštanskom saobraćaju. </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Realizovan je i Projekat "Izrada administrativnih kapaciteta Uprave carina za punu implementaciju informacionog sistema za upravljanje inspekcijskim nadzorom", kojim se omogućavaju funkcionalnosti za analitički rad i izvještavanje za potrebe upravljanja inspekcijskim nadzorom, evidencija vođenja predmeta kao i izrada objektivnog i nepristrasnog godišnjeg plana naknadnih kontrola. Implementacijom navedenih projekata, Uprava carina integriše svoje sisteme sa EU i međunarodnim carinskim i bezbjednosnim sistemima što je jedan od kompleksnijih zahtjeva koje Crna Gora mora ispuniti na putu ka Evropskoj uniji. Istovremeno, unaprijediće se efikasnost carinske službe u suzbijanju nezakonite trgovine svim robama, a posebno duvanskim proizvodima i alkoholnim pićima.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Uveden je novi moderan informativni servis »Info portal« u cilju većeg stepena informisanosti fizičkih lica. Servis je prilagođen svim uređajima i omogućava fizičkim licima da se, na lak i brz način, informišu o carinskim procedurama. Na Info portalu je dostupan carinski kalkulator putem kojeg fizička lica mogu brzo i jednostavno izračunati iznos carinskih dažbina za robu koju su poručili putem interneta. U dijelu informacija za putnike su postavljene najbitnije informacije u pogledu unosa i iznosa gotovog novca, unosa ljekova, iznošenja kulturnih dobara i umjetnina, unosa hrane, bilja i biljnih proizvoda, životinja i kućnih ljubimaca, oružja i municije, kao i informacije o zabrani prometa CITES vrstama bez dozvole. Takođe, dostupne su i informacije o robi koja može biti predmet oslobođenja od plaćanja carine i PDV-a, kao i uslovima za ostvarivanje ovih oslobođenja. Posjetioci ovog portala takođe imaju mogućnost uvida u odgovore na najčešće postavljena pitanja (FAQs) koje pripremaju organizacione jedinice Uprave carina.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 xml:space="preserve">Uprava carina je uspješno okončala projekat u cilju modernizacije Carinske laboratorije. Kao jedna od korisnica sektorske budžetske podrške EU (IPA SBS IBM 2015), u okviru Projekta »Podrška Strategiji integrisanog upravljanja granicom«, realizovala je nabavku opreme za Carinsku laboratoriju za analizu mineralnih ulja i naftnih derivata. Ovim je postignut značajan iskorak u dostizanju evropskih standarda u carinskoj oblasti u okviru Pregovaračkog poglavlja 29 “Carinska unija”. Pored najsavremenije opreme za analizu mineralnih ulja i naftnih derivata koja je instalirana u Carinskoj laboratoriji, Uprava carina posjeduje i nove „mobilne analizatore za goriva“ kojim će se na terenu vršiti brze analize nafte i naftnih derivata. Izrađena je Instrukcija o načinu uzimanja uzoraka „tečnih naftnih proizvoda“ uz pomoć uzorkivača „Dippinig bottle Ex“, količini i načinu pakovanja uzoraka. </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 xml:space="preserve">Projekat prethodne obrade podataka za ekspresne pošiljke, realizovan je u saradnji sa operaterom brze pošte - DHL-om, a uz finansijsku podršku Saveznog Ministarstva za ekonomsku saradnju i razvoj Njemačke i njihove kancelarije u Crnoj Gori - GIZ-om. Crnogorski model privatno-javnog partnerstva na ovom Projektu predstavlja primjer najbolje prakse, ne samo za države regiona nego i šire. Projektom je postavljen cilj da većina pošiljki koje se isporučuju brzom poštom, od strane carine budu obrađene i prije nego se dopreme na carinsko područje Crne Gore i da u krajnjem budu brzo isporučene naručiocu, što je, u današnjim uslovima modernog poslovanja od suštinske važnosti. Prije implementacije Projekta procedure su bile bazirane na papirnoj osnovi i započinjale su tek nakon dospijeća robe, a analiza rizika je bila moguća jedino na podacima iz carinske deklaracije, što je uzrokovalo nepotrebne troškove i zadržavanja robe na granici. Ovakve procedure nisu mogle zadovoljiti potrebu za brzom isporukom robe, stoga je to bio glavni motivirajući faktor za Upravu carina da ubrza procedure i time poveća procenat carinjenja pošiljki sa 25 % na 65% u okviru jednog sata. Glavni izazov je bio kako na najbolji način uvažiti zahtjeve carinske kontrole sa jedne strane i potrebe privrede sa druge strane. Da bi uspostavili odgovarajući balans u podjeli odgovornosti od suštinskog značaja je bilo učešće privatnog partnera – DHL-a najprije u potrebi izmjena zakonske regulative, a onda dalje u kreiranju procedura i odgovarajućeg IT rješenja. Potrebne procedure su </w:t>
      </w:r>
      <w:r w:rsidRPr="00B135BD">
        <w:rPr>
          <w:rFonts w:ascii="Calibri" w:eastAsia="Calibri" w:hAnsi="Calibri" w:cs="Arial"/>
          <w:szCs w:val="24"/>
          <w:lang w:val="sl-SI"/>
        </w:rPr>
        <w:lastRenderedPageBreak/>
        <w:t xml:space="preserve">razvijane u skladu sa EU standardima pa su u definisanju crnogorskog modela korištene najbolje prakse Slovenije i Njemačke, usvajajući rješenja primjenjiva za crnogorsko okruženje. Razvojem dodatnih funkcionalnosti carinskog informacionog sistema, prateća dokumenta sa podacima neophodnim za sprovođenje analize rizika, sada se podnose i obrađuju elektronskim putem. </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Projekat „Podrška Upravi carina u oblasti akciza“ koji se finansira iz sredstava podrške EU(EUIF) je u završnoj fazi (plan završetka je 01.02.2021.godine). Cilj Projekta je izrada nove aplikacije za akcize i implementacija iste u Carinski informacioni sistem. Novom aplikacijom, u web okruženju, akciznim obveznicima je omogućeno jednostavnije i brže ispunjavanje zakonskih obaveza. Aplikacija ima sledeće funkcionalnosti koje su od značaja za privrednike: elektronsko podnošenje i prijem zahtjeva za upis u registar akciznih obveznika, elektronsko podnošenje i prijem mjesečnih specifikacija, elektronsko podnošenje i prijem mjesečnih izvještaja, elektronsko podnošenje i prijem mjesečnih obračuna akcize, evidencije kretanja akcizne robe i zahtjeve za povraćaj dijela plaćene akcize. Na ovaj način povećava se efikasnost i kvalitet u pružanju usluga prema privrednim subjektima, čime se značajno doprinosi stvaranju povoljnijeg poslovnog okruženja i omogućava akciznim obveznicima da na efikasan i jednostavan način uz smanjenje troškova, obavljaju svoje poslovanje.</w:t>
      </w:r>
    </w:p>
    <w:p w:rsidR="00B135BD" w:rsidRPr="00B135BD" w:rsidRDefault="00B135BD" w:rsidP="00814D21">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Nastavljena je realizacija  programa CUSTOMS 2020 i tehničke podrške EU -TAIEX. Sprovođene su aktivnosti na izradi aplikacije za TAIEX podršku u vidu ekspertske misije za izradu godišnjeg plana naknadnih kontrola i upoznavanje sa iskustvom UC Hrvatske u ovoj oblasti, kao i na izradi aplikacije za TAIEX podršku u vidu studijske posjete Slovačkoj službenika UC CG u cilju sagledavanja iskustva  u korišćenju  kontrolne opreme. Obje aplikacije su odobrene od strane DG NEAR-a, ali je realizacija ovih projekata odložena zbog pandemije Covid-19.</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b/>
          <w:szCs w:val="24"/>
          <w:lang w:val="sl-SI"/>
        </w:rPr>
        <w:t>Strateški cilj 2</w:t>
      </w:r>
      <w:r w:rsidRPr="00B135BD">
        <w:rPr>
          <w:rFonts w:ascii="Calibri" w:eastAsia="Calibri" w:hAnsi="Calibri" w:cs="Arial"/>
          <w:szCs w:val="24"/>
          <w:lang w:val="sl-SI"/>
        </w:rPr>
        <w:t>: Zaštita društva, sigurnost i olakšavanje međunarodne trgovine, uključujući pojednostavljenje i harmonizaciju carinskih procedura</w:t>
      </w:r>
    </w:p>
    <w:p w:rsidR="00B135BD" w:rsidRPr="00B135BD" w:rsidRDefault="00B135BD" w:rsidP="00B135BD">
      <w:pPr>
        <w:spacing w:before="0" w:after="0" w:line="240" w:lineRule="auto"/>
        <w:ind w:firstLine="720"/>
        <w:rPr>
          <w:rFonts w:ascii="Calibri" w:eastAsia="Calibri" w:hAnsi="Calibri" w:cs="Arial"/>
          <w:i/>
          <w:szCs w:val="24"/>
          <w:u w:val="single"/>
          <w:lang w:val="sl-SI"/>
        </w:rPr>
      </w:pPr>
      <w:r w:rsidRPr="00B135BD">
        <w:rPr>
          <w:rFonts w:ascii="Calibri" w:eastAsia="Calibri" w:hAnsi="Calibri" w:cs="Arial"/>
          <w:i/>
          <w:szCs w:val="24"/>
          <w:u w:val="single"/>
          <w:lang w:val="sl-SI"/>
        </w:rPr>
        <w:t>Razvoj i primjena sistema za upravljanje rizikom u skladu sa smjernicama WCO, EU pravnom tekovinom i najboljom praksom</w:t>
      </w:r>
    </w:p>
    <w:p w:rsidR="00B135BD" w:rsidRPr="00B135BD" w:rsidRDefault="00B135BD" w:rsidP="00B135BD">
      <w:pPr>
        <w:spacing w:before="0" w:after="0" w:line="240" w:lineRule="auto"/>
        <w:ind w:firstLine="720"/>
        <w:rPr>
          <w:rFonts w:ascii="Calibri" w:eastAsia="Times New Roman" w:hAnsi="Calibri" w:cs="Times New Roman"/>
          <w:szCs w:val="24"/>
          <w:lang w:val="en-US"/>
        </w:rPr>
      </w:pPr>
      <w:r w:rsidRPr="00B135BD">
        <w:rPr>
          <w:rFonts w:ascii="Calibri" w:eastAsia="Calibri" w:hAnsi="Calibri" w:cs="Arial"/>
          <w:szCs w:val="24"/>
          <w:lang w:val="sl-SI"/>
        </w:rPr>
        <w:t>Kreirano je 40 novih profila rizika  u skladu sa smjernicama WCO, EU pravnom tekovinom i najboljom praksom. Takođe, izvršena je evaluacija i ažuriranje svih 240 profila rizika.</w:t>
      </w:r>
      <w:r w:rsidRPr="00B135BD">
        <w:rPr>
          <w:rFonts w:ascii="Calibri" w:eastAsia="Times New Roman" w:hAnsi="Calibri" w:cs="Times New Roman"/>
          <w:szCs w:val="24"/>
          <w:lang w:val="en-US"/>
        </w:rPr>
        <w:t xml:space="preserve"> </w:t>
      </w:r>
      <w:r w:rsidRPr="00B135BD">
        <w:rPr>
          <w:rFonts w:ascii="Calibri" w:eastAsia="Calibri" w:hAnsi="Calibri" w:cs="Arial"/>
          <w:szCs w:val="24"/>
          <w:lang w:val="sl-SI"/>
        </w:rPr>
        <w:t>Ažuriran je dokument »Registar rizika u carinskim potupcima« u skladu sa smjernicama WCO, EU pravnom tekovinom i najboljom praksom.</w:t>
      </w:r>
      <w:r w:rsidRPr="00B135BD">
        <w:rPr>
          <w:rFonts w:ascii="Calibri" w:eastAsia="Times New Roman" w:hAnsi="Calibri" w:cs="Times New Roman"/>
          <w:szCs w:val="24"/>
          <w:lang w:val="en-US"/>
        </w:rPr>
        <w:t xml:space="preserve"> </w:t>
      </w:r>
      <w:r w:rsidRPr="00B135BD">
        <w:rPr>
          <w:rFonts w:ascii="Calibri" w:eastAsia="Calibri" w:hAnsi="Calibri" w:cs="Arial"/>
          <w:szCs w:val="24"/>
          <w:lang w:val="sl-SI"/>
        </w:rPr>
        <w:t>Doneseno je Upustvo o organizaciji i procedurama u oblasti analize rizika (u okviru ovog uputstva poseban dio se odnosi na analizu rizika i kontrolama pojednostavljenih postupaka)</w:t>
      </w:r>
      <w:r w:rsidRPr="00B135BD">
        <w:rPr>
          <w:rFonts w:ascii="Calibri" w:eastAsia="Times New Roman" w:hAnsi="Calibri" w:cs="Times New Roman"/>
          <w:szCs w:val="24"/>
          <w:lang w:val="en-US"/>
        </w:rPr>
        <w:t xml:space="preserve"> </w:t>
      </w:r>
      <w:r w:rsidRPr="00B135BD">
        <w:rPr>
          <w:rFonts w:ascii="Calibri" w:eastAsia="Calibri" w:hAnsi="Calibri" w:cs="Arial"/>
          <w:szCs w:val="24"/>
          <w:lang w:val="sl-SI"/>
        </w:rPr>
        <w:t>u skladu sa smjernicama WCO, EU pravnom tekovinom i najboljom praksom. Izrađena je matrica rizika za AEO, koja na osnovu unesenih podataka automatski računa nivo rizika za pravno lice.  Izvršeno je unapređenje i razvoj IT aplikacija za analizu rizika i izvještajnih sistema implementacijom sistema OBIEE, kao i</w:t>
      </w:r>
      <w:r w:rsidRPr="00B135BD">
        <w:rPr>
          <w:rFonts w:ascii="Calibri" w:eastAsia="Times New Roman" w:hAnsi="Calibri" w:cs="Times New Roman"/>
          <w:szCs w:val="24"/>
          <w:lang w:val="en-US"/>
        </w:rPr>
        <w:t xml:space="preserve"> u</w:t>
      </w:r>
      <w:r w:rsidRPr="00B135BD">
        <w:rPr>
          <w:rFonts w:ascii="Calibri" w:eastAsia="Calibri" w:hAnsi="Calibri" w:cs="Arial"/>
          <w:szCs w:val="24"/>
          <w:lang w:val="sl-SI"/>
        </w:rPr>
        <w:t>naprijeđenjem perfomansi aplikacija SAT, RUR, SEED i ERRI.</w:t>
      </w:r>
      <w:r w:rsidRPr="00B135BD">
        <w:rPr>
          <w:rFonts w:ascii="Calibri" w:eastAsia="Times New Roman" w:hAnsi="Calibri" w:cs="Times New Roman"/>
          <w:szCs w:val="24"/>
          <w:lang w:val="en-US"/>
        </w:rPr>
        <w:t xml:space="preserve"> </w:t>
      </w:r>
      <w:r w:rsidRPr="00B135BD">
        <w:rPr>
          <w:rFonts w:ascii="Calibri" w:eastAsia="Calibri" w:hAnsi="Calibri" w:cs="Arial"/>
          <w:szCs w:val="24"/>
          <w:lang w:val="sl-SI"/>
        </w:rPr>
        <w:t>Uprava carina je sprovela sve aktivnosti potrebne za stavljanje u funkciju video nadzora na graničnim prelazima.</w:t>
      </w:r>
      <w:r w:rsidRPr="00B135BD">
        <w:rPr>
          <w:rFonts w:ascii="Calibri" w:eastAsia="Times New Roman" w:hAnsi="Calibri" w:cs="Times New Roman"/>
          <w:szCs w:val="24"/>
          <w:lang w:val="en-US"/>
        </w:rPr>
        <w:t xml:space="preserve"> </w:t>
      </w:r>
    </w:p>
    <w:p w:rsidR="00B135BD" w:rsidRPr="00B135BD" w:rsidRDefault="00B135BD" w:rsidP="00B135BD">
      <w:pPr>
        <w:spacing w:before="0" w:after="0" w:line="240" w:lineRule="auto"/>
        <w:ind w:firstLine="720"/>
        <w:rPr>
          <w:rFonts w:ascii="Calibri" w:eastAsia="Calibri" w:hAnsi="Calibri" w:cs="Arial"/>
          <w:i/>
          <w:szCs w:val="24"/>
          <w:u w:val="single"/>
          <w:lang w:val="sl-SI"/>
        </w:rPr>
      </w:pPr>
      <w:r w:rsidRPr="00B135BD">
        <w:rPr>
          <w:rFonts w:ascii="Calibri" w:eastAsia="Calibri" w:hAnsi="Calibri" w:cs="Arial"/>
          <w:i/>
          <w:szCs w:val="24"/>
          <w:u w:val="single"/>
          <w:lang w:val="sl-SI"/>
        </w:rPr>
        <w:t>Dalji razvoj i unaprjeđenje naknadnih carinskih kontrola i kontrola iz oblasti akciza i poreza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Izvršeno je 14 vanrednih naknadnih kontrola po osnovu obračuna razlike akcize – kontrola popisa, provjera obilježavanja akciznih proizvoda  i pogrešnog svrstavanja robe.</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Implementacija aplikacije za naknadnu kontrolu je izvršena u okviru projekta "Izrada administrativnih kapaciteta Uprave carina za punu implementaciju informacionog sistema za upravljanje inspekcijskim nadzorom" koji je finansiran kroz IPA SBS IBM 2015. Ova aplikacija je unaprijedila preglednost i kvalitet naknadnih kontrola. Takođe, značajno je unaprijedjena proceduru donošenja godišnjeg plana naknadnih kontrola i ista sadrži izvjestaje o aktivnostima Odsjeka za naknadnu kontrolu, sa  mogućnošću kontrole praćenja aktivnosti od strane rukovodećeg kadra.</w:t>
      </w:r>
    </w:p>
    <w:p w:rsidR="00B135BD" w:rsidRPr="00B135BD" w:rsidRDefault="00B135BD" w:rsidP="00B135BD">
      <w:pPr>
        <w:spacing w:before="0" w:after="0" w:line="240" w:lineRule="auto"/>
        <w:ind w:firstLine="720"/>
        <w:rPr>
          <w:rFonts w:ascii="Calibri" w:eastAsia="Calibri" w:hAnsi="Calibri" w:cs="Arial"/>
          <w:i/>
          <w:szCs w:val="24"/>
          <w:u w:val="single"/>
          <w:lang w:val="sl-SI"/>
        </w:rPr>
      </w:pPr>
      <w:r w:rsidRPr="00B135BD">
        <w:rPr>
          <w:rFonts w:ascii="Calibri" w:eastAsia="Calibri" w:hAnsi="Calibri" w:cs="Arial"/>
          <w:i/>
          <w:szCs w:val="24"/>
          <w:u w:val="single"/>
          <w:lang w:val="sl-SI"/>
        </w:rPr>
        <w:t>Nastavak aktivnosti na usvajanju standarda i procedura za odobravanje AEO (OPS) statusa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Izvršene su 2 validacije za dobijanje statusa AEO (OPS) i to: DOO “NEREGELIJA” -Podgorica i Pivara “TREBJESA” – Nikšić.</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lastRenderedPageBreak/>
        <w:t>Nastavljene su obuke za privredne subjekte u prvoj polovini 2020.godine. Dva privredna subjekta su, u drugoj polovini 2020.godine, dobila AEO status za carinska pojednostavljenja i za sigurnost i bezbjednost.</w:t>
      </w:r>
      <w:r w:rsidRPr="00B135BD">
        <w:rPr>
          <w:rFonts w:ascii="Calibri" w:eastAsia="Calibri" w:hAnsi="Calibri" w:cs="Arial"/>
          <w:color w:val="FF0000"/>
          <w:szCs w:val="24"/>
          <w:lang w:val="sl-SI"/>
        </w:rPr>
        <w:t xml:space="preserve">  </w:t>
      </w:r>
    </w:p>
    <w:p w:rsidR="00B135BD" w:rsidRPr="00B135BD" w:rsidRDefault="00B135BD" w:rsidP="00B135BD">
      <w:pPr>
        <w:spacing w:before="0" w:after="0" w:line="240" w:lineRule="auto"/>
        <w:ind w:firstLine="720"/>
        <w:rPr>
          <w:rFonts w:ascii="Calibri" w:eastAsia="Calibri" w:hAnsi="Calibri" w:cs="Arial"/>
          <w:i/>
          <w:szCs w:val="24"/>
          <w:u w:val="single"/>
          <w:lang w:val="sl-SI"/>
        </w:rPr>
      </w:pPr>
      <w:r w:rsidRPr="00B135BD">
        <w:rPr>
          <w:rFonts w:ascii="Calibri" w:eastAsia="Calibri" w:hAnsi="Calibri" w:cs="Arial"/>
          <w:i/>
          <w:szCs w:val="24"/>
          <w:u w:val="single"/>
          <w:lang w:val="sl-SI"/>
        </w:rPr>
        <w:t>Jačanje međuinstutucijalne saradnje u oblasti suzbijanja krijumčarenja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Intezivne zajedničke kontrole sa službenicima Uprave policije. Rezultat tih zajedničkih kontrola su konkretni rezultati na polju sprečevanja krijumčarenja cigareta i opojnih droga.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Inicirana je saradnja sa mobilnim timovima Uprave carina Republike  Srbije.</w:t>
      </w:r>
    </w:p>
    <w:p w:rsidR="00B135BD" w:rsidRPr="00B135BD" w:rsidRDefault="00B135BD" w:rsidP="00B135BD">
      <w:pPr>
        <w:spacing w:before="0" w:after="0" w:line="240" w:lineRule="auto"/>
        <w:ind w:firstLine="720"/>
        <w:rPr>
          <w:rFonts w:ascii="Calibri" w:eastAsia="Calibri" w:hAnsi="Calibri" w:cs="Arial"/>
          <w:i/>
          <w:szCs w:val="24"/>
          <w:u w:val="single"/>
          <w:lang w:val="sl-SI"/>
        </w:rPr>
      </w:pPr>
      <w:r w:rsidRPr="00B135BD">
        <w:rPr>
          <w:rFonts w:ascii="Calibri" w:eastAsia="Calibri" w:hAnsi="Calibri" w:cs="Arial"/>
          <w:i/>
          <w:szCs w:val="24"/>
          <w:u w:val="single"/>
          <w:lang w:val="sl-SI"/>
        </w:rPr>
        <w:t>Kadrovsko jačanje i intenzivna obuka službenika Odsjek za suzbijanje krijumčarenja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Izrađene su smjernice za rad mobilnih timova.</w:t>
      </w:r>
    </w:p>
    <w:p w:rsidR="00B135BD" w:rsidRPr="00B135BD" w:rsidRDefault="00B135BD" w:rsidP="00B135BD">
      <w:pPr>
        <w:spacing w:before="0" w:after="0" w:line="240" w:lineRule="auto"/>
        <w:ind w:firstLine="720"/>
        <w:rPr>
          <w:rFonts w:ascii="Calibri" w:eastAsia="Calibri" w:hAnsi="Calibri" w:cs="Arial"/>
          <w:szCs w:val="24"/>
          <w:u w:val="single"/>
          <w:lang w:val="sl-SI"/>
        </w:rPr>
      </w:pPr>
      <w:r w:rsidRPr="00B135BD">
        <w:rPr>
          <w:rFonts w:ascii="Calibri" w:eastAsia="Calibri" w:hAnsi="Calibri" w:cs="Arial"/>
          <w:i/>
          <w:szCs w:val="24"/>
          <w:u w:val="single"/>
          <w:lang w:val="sl-SI"/>
        </w:rPr>
        <w:t>Jačanje međuinstitucionalne saradnje sa tužilaštvom, Upravom policije i drugim organima nadležnim za sprovođenje zakona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 xml:space="preserve">Tokom 2020. godine službenici Odsjeka za carinske istrage su učestvovali na jednoj konfrenciji "Alatke za E-trgovinu i potencijalni rizici za carinske prevare" u okviru programa HERCULE III (2014-2020), u organizaciji Kancelarije za borbu protiv prevara Evropske komisije (OLAF) koja se održala u Budvi 26-27.02.2020.godine. Na konferenciji je dogovoreno učešće u operaciji u trajanju  od 4 dana  koja se odnosila na prikupljanje i analizu poštanskih pošiljki (brza pošta i poštanski saobraćaj). Takođe, uzeto je učešće i na Prvom sastanku Globalnog programa za borbu protiv nelegalnih finansijskih tokova na Zapadnom Balkanu u organizaciji GIZ-a, održanom u Skoplju 28.01.2020 godine kao i na V neformalni regionalni sastanak direktora Uprava carina zemalja Zapadnog Balkana. </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Obezbijeđene su adekvatne prostorije za potrebe Odsjeka za carinske istrage.</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U okviru krivičnih prijava upućena su 2 obavještenja Osnovnom državnom tužiocu u Pljevljima i 1 obavještenje Osnovnom državnom tužiocu u Podgorici. Dostavljena je 1 informacija Specijalnom državnom tužilaštvu zbog osnovane      sumnje da se radi o zloupotrebi u privrednom poslovanju, kao i 4 informacije Upravi policije o postojanju sumnje da su počinjena krivična djela koja se gone po službenoj dužnosti.</w:t>
      </w:r>
    </w:p>
    <w:p w:rsidR="00B135BD" w:rsidRPr="00B135BD" w:rsidRDefault="00B135BD" w:rsidP="00B135BD">
      <w:pPr>
        <w:spacing w:before="0" w:after="0" w:line="240" w:lineRule="auto"/>
        <w:ind w:firstLine="720"/>
        <w:rPr>
          <w:rFonts w:ascii="Calibri" w:eastAsia="Calibri" w:hAnsi="Calibri" w:cs="Arial"/>
          <w:i/>
          <w:szCs w:val="24"/>
          <w:u w:val="single"/>
          <w:lang w:val="sl-SI"/>
        </w:rPr>
      </w:pPr>
      <w:r w:rsidRPr="00B135BD">
        <w:rPr>
          <w:rFonts w:ascii="Calibri" w:eastAsia="Calibri" w:hAnsi="Calibri" w:cs="Arial"/>
          <w:szCs w:val="24"/>
          <w:lang w:val="sl-SI"/>
        </w:rPr>
        <w:t xml:space="preserve"> </w:t>
      </w:r>
      <w:r w:rsidRPr="00B135BD">
        <w:rPr>
          <w:rFonts w:ascii="Calibri" w:eastAsia="Calibri" w:hAnsi="Calibri" w:cs="Arial"/>
          <w:i/>
          <w:szCs w:val="24"/>
          <w:u w:val="single"/>
          <w:lang w:val="sl-SI"/>
        </w:rPr>
        <w:t>Jačanje regionalne i međunarodne saradnje i razmjene informacija usmjerenih na suzbijanje prekograničnog i međunarodnog kriminala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U jačanju borbe protiv carinskih prevara, sve više dobija na značaju međuagencijska saradnja i razmjena informacija usmjerenih na suzbijanje prekograničnog kriminala. Tokom 2020.godine razmijenijena je 21 informacija sa Tužilaštvom i sudovima, podnijeta su 3 Obavještenja nadležnim državnim tužilaštvima o postojanju sumnje da su počinjena krivična djela koje se gone po službenoj dužnosti i 1 informacija Specijalnom državnom tuzilastvu zbog osnovane sumnje da se radi o zloupotrebi u privrednom poslovanju. U istom periodu podnijete su 4  informacije Upravi policije o postojanju sumnje da su počinjena krivična djela koja se gone po službenoj dužnosti i razmijenjena je 61 informacija na nacionalnom nivou, sa Upravom policije i drugim organima za sprovođenje zakona.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Uprava carina intenzivno sarađuje i razmjenjuje informacije sa partnerskim službama, kao i sa međunarodnim organizacijama i institucijama (OLAF, INTERPOL, SELEC ect). Ostvarena je izvanredna saradnja sa OLAF-om, sa kojim je razmijenjeno  307 informacija, od čega 277 informacija preko AFIS sistema. Sa HMRC je razmijenjeno 50 informacija a sa JTI-jem 5 informacija. U toku 2020.godine sa ostalim stranim carinskim službama razmijenja je 21 informacija i i upućeno 9 zahtjeva partnerskim službama za pružanje pomoći.</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U skladu sa predvidjenom tehničkom realizacijom aktivnosti Uspostavljanja sigurnog elektronskog komunikacionog sistema koji omogućava organima za sprovođenje zakona i tužilaštvima da razmjenjuju podatke na djelotvoran i siguran način, Uprava carina je realizovala i stavila u produkciju tehničko rješenje koje je u mogućnosti</w:t>
      </w:r>
      <w:r w:rsidRPr="00B135BD">
        <w:rPr>
          <w:rFonts w:ascii="Calibri" w:eastAsia="Times New Roman" w:hAnsi="Calibri" w:cs="Times New Roman"/>
          <w:szCs w:val="24"/>
          <w:lang w:val="en-US"/>
        </w:rPr>
        <w:t xml:space="preserve"> </w:t>
      </w:r>
      <w:r w:rsidRPr="00B135BD">
        <w:rPr>
          <w:rFonts w:ascii="Calibri" w:eastAsia="Calibri" w:hAnsi="Calibri" w:cs="Arial"/>
          <w:szCs w:val="24"/>
          <w:lang w:val="sl-SI"/>
        </w:rPr>
        <w:t>da pruži pristup:</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 xml:space="preserve"> - web servisima drugim državnim organima na osnovu realizovanih komunikacionih kanala,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lastRenderedPageBreak/>
        <w:t>- korisnicima iz drugih državnih organa web portalu na kojem su forme za korišćenje potrebnih web servisa na osnovu sporazuma, definisanih komunikacionih kanala  i korisničke autorizacije od strane Uprave carine.</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U toku je zajednički rad sa kolegama iz MUP-a koji pripremaju pristupe na servise/aplikacije  direktno u produkciji. Verifikacija će biti okončana nakon upotrebe  elektronskih sertifikata, kako je i predviđeno.</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Elektronska baza podataka za carinske istrage se vodi u okviru aplikacije razvijene projektom  »Inspekcijski nadzor«.</w:t>
      </w:r>
      <w:r w:rsidRPr="00B135BD">
        <w:rPr>
          <w:rFonts w:ascii="Calibri" w:eastAsia="Times New Roman" w:hAnsi="Calibri" w:cs="Times New Roman"/>
          <w:szCs w:val="24"/>
          <w:lang w:val="en-US"/>
        </w:rPr>
        <w:t xml:space="preserve"> </w:t>
      </w:r>
      <w:r w:rsidRPr="00B135BD">
        <w:rPr>
          <w:rFonts w:ascii="Calibri" w:eastAsia="Calibri" w:hAnsi="Calibri" w:cs="Arial"/>
          <w:szCs w:val="24"/>
          <w:lang w:val="sl-SI"/>
        </w:rPr>
        <w:t>Podaci se ažurno unose u bazu.</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Službenici Odsjeka za carinske istrage su učestvovali na jednoj konfrenciji "Alatke za E-trgovinu i potencijalni rizici za carinske prevare" u okviru programa HERCULE III (2014-2020), u organizaciji Kancelarije za borbu protiv prevara Evropske komisije (OLAF) koja se održala u Budvi 26-27.02.2020.godine. Na konferenciji je dogovoreno učešće u operaciji u trajanju  od 4 dana  koja se odnosila na prikupljanje i analizu poštanskih pošiljki (brza pošta i poštanski saobraćaj). Takođe, uzeto je učešće i na Prvom sastanku Globalnog programa za borbu protiv nelegalnih finansijskih tokova na Zapadnom Balkanu u organizaciji GIZ-a, održanom u Skoplju 28.01.2020 godine kao i na V neformalni regionalni sastanak direktora Uprava carina zemalja Zapadnog Balkana.</w:t>
      </w:r>
    </w:p>
    <w:p w:rsidR="00B135BD" w:rsidRPr="00B135BD" w:rsidRDefault="00B135BD" w:rsidP="00B135BD">
      <w:pPr>
        <w:spacing w:before="0" w:after="0" w:line="240" w:lineRule="auto"/>
        <w:ind w:firstLine="720"/>
        <w:rPr>
          <w:rFonts w:ascii="Calibri" w:eastAsia="Calibri" w:hAnsi="Calibri" w:cs="Arial"/>
          <w:i/>
          <w:szCs w:val="24"/>
          <w:u w:val="single"/>
          <w:lang w:val="sl-SI"/>
        </w:rPr>
      </w:pPr>
      <w:r w:rsidRPr="00B135BD">
        <w:rPr>
          <w:rFonts w:ascii="Calibri" w:eastAsia="Calibri" w:hAnsi="Calibri" w:cs="Arial"/>
          <w:i/>
          <w:szCs w:val="24"/>
          <w:u w:val="single"/>
          <w:lang w:val="sl-SI"/>
        </w:rPr>
        <w:t>Implementacija novih i unaprjeđenje postojećih mehanizama za olakšavanje trgovine</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U toku je Implementacija Novog tranzitnog kompjuterizovanog sistema u okviru projekta ''Podrška Upravi carina''. Ovaj Projekat je otpočeo sa realizacijom u novembru 2018. godine. Aktivnosti iz projekta su nastavljene sa realizacijom i u toku 2020.godine, u skladu sa planovima Ugovora za podršku i Ugovora za implementaciju NCTS-a. Evropska Komisija je objavila ažurirane tehničke specifikacije DDNTA tokom 2020.godine, na osnovu kojih je ugovarač izmijenio tehničke specifikacije za NCTS i GMS i aplikaciju za GMS. Održane su online obuke za privredu i bankarski sektor o Konvenciji o zajedničkom tranzitnom postupku, benefitima koje donosi sprovođenje zajedničkog tranzitnog postupka i novinama koje ih očekuju. Tokom godine se radilo i na nacionalnim instrukcijama (tranzit, garancije) sa ekspertima koji su angažovani kroz Projekat.</w:t>
      </w:r>
      <w:r w:rsidRPr="00B135BD">
        <w:rPr>
          <w:rFonts w:ascii="Calibri" w:eastAsia="Times New Roman" w:hAnsi="Calibri" w:cs="Times New Roman"/>
          <w:szCs w:val="24"/>
          <w:lang w:val="en-US"/>
        </w:rPr>
        <w:t xml:space="preserve"> </w:t>
      </w:r>
      <w:r w:rsidRPr="00B135BD">
        <w:rPr>
          <w:rFonts w:ascii="Calibri" w:eastAsia="Calibri" w:hAnsi="Calibri" w:cs="Arial"/>
          <w:szCs w:val="24"/>
          <w:lang w:val="sl-SI"/>
        </w:rPr>
        <w:t>Krajem 2020.godine održana su dva sastanka-Tehnička e-misija DG TAXUD-a, na temu NCTS-P5 &amp; Geografsko proširenje, na kojima je dat presjek stanja o završenim i planiranim aktivnostima, a eksperti su dali svoje viđenje za ažuriranje našeg NPP i naveli izazove koji nas učekuju, usled pandemije COVID virusa, u okviru testiranja i treninga.</w:t>
      </w:r>
      <w:r w:rsidRPr="00B135BD">
        <w:rPr>
          <w:rFonts w:ascii="Calibri" w:eastAsia="Times New Roman" w:hAnsi="Calibri" w:cs="Times New Roman"/>
          <w:szCs w:val="24"/>
          <w:lang w:val="en-US"/>
        </w:rPr>
        <w:t xml:space="preserve"> </w:t>
      </w:r>
      <w:r w:rsidRPr="00B135BD">
        <w:rPr>
          <w:rFonts w:ascii="Calibri" w:eastAsia="Calibri" w:hAnsi="Calibri" w:cs="Arial"/>
          <w:szCs w:val="24"/>
          <w:lang w:val="sl-SI"/>
        </w:rPr>
        <w:t>U okviru projekta, uspješno se realizuje povezivanje sa Zajedničkom komunikacionom mrežom zemalja članica (CCN/CSI) kojom upravlja Generalni direktorat za poreze i carinsku uniju (DG TAXUD), koja će služiti za testiranje ovog i svih ostalih IT sistema koji se implementiraju u Carinski informacioni sistem kroz Poglavlje 29 Carinska unija i koja će nakon ulaska Crne Gore u EU služiti kao sigurnosni link za razmjenu podataka u oblasti carina i poreza. Realizacijom ovog Projekta, ispuniće se uslovi za pristupanje Crne Gore Konvenciji o zajedničkom tranzitnom postupku i Konvenciji o olakšicama u trgovini robom, a što je jedan od uslova za pridruživanje Evropskoj uniji.</w:t>
      </w:r>
      <w:r w:rsidRPr="00B135BD">
        <w:rPr>
          <w:rFonts w:ascii="Calibri" w:eastAsia="Times New Roman" w:hAnsi="Calibri" w:cs="Times New Roman"/>
          <w:szCs w:val="24"/>
          <w:lang w:val="en-US"/>
        </w:rPr>
        <w:t xml:space="preserve"> </w:t>
      </w:r>
      <w:r w:rsidRPr="00B135BD">
        <w:rPr>
          <w:rFonts w:ascii="Calibri" w:eastAsia="Calibri" w:hAnsi="Calibri" w:cs="Arial"/>
          <w:szCs w:val="24"/>
          <w:lang w:val="sl-SI"/>
        </w:rPr>
        <w:t>U okviru NCTS projekta nastavljene su intenzivne aktivnosti na izgradnji novog i savremenog Sistema za upravljanje rizikom. U saradnji sa ekspertima izrađeni su sledeći dokumenti: Koncept zajedničkih kriterijuma rizika i standarda u skladu sa carinskim zakonom Crne Gore, Koncept prioritetnih oblasti kontrole, Okvir za upravljanje rizikom u Upravi carina, Strategija za upravljanje rizikom Uprave carina, Funkcionalna specifikacija za RMS sistem Uprave carina, Dizajn procesa u Sistemu upravljanja rizikom kao dio poslovne arhitekture i procesa u Upravi carina.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Izdate su obavezujuće informacije o svrstavanju  u Carinsku tarifu po svim zahtjevima- ukupno11.</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 xml:space="preserve">Odsjek za carinske postupke je izradio uputstvo za postupak carinskog skladištenja,uputstvo za postupak izvoza robe, uputstvo o stavljanju robe u slobodan promet u poštanskom saobraćaju, u cilju jednoobrazne primjene odredbi carinskih propisa koje se odnose na stavljanje robe u slobodan </w:t>
      </w:r>
      <w:r w:rsidRPr="00B135BD">
        <w:rPr>
          <w:rFonts w:ascii="Calibri" w:eastAsia="Calibri" w:hAnsi="Calibri" w:cs="Arial"/>
          <w:szCs w:val="24"/>
          <w:lang w:val="sl-SI"/>
        </w:rPr>
        <w:lastRenderedPageBreak/>
        <w:t>promet u poštanskom saobraćaju, pristigle u CG posredstvom Pošte CG ili posredstvom operatora ekspresnih pošiljki.</w:t>
      </w:r>
    </w:p>
    <w:p w:rsidR="00B135BD" w:rsidRPr="00B135BD" w:rsidRDefault="00B135BD" w:rsidP="00304763">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Uprava carina je, u saradnji sa EPCG, CGES i COTE izradila nacrt instrukcije u vezi sa primjenom carinskog postupka na prekogranični promet električne energije. Obzirom da se instrukcijom određuju obaveze ovih firmi, poslednja verzija je poslata EPCG, radi dobijanja eventualnih sugestija za unaprjeđenje instrukcije. Takođe, predstavnici UC učestvovali su na sastanku u PKCG sa predstavnicima Poreske uprave na ovu temu, na kojem su predstavnici Poreske uprave iznijeli da poreski propisi ne omogućavaju stranim licima obavljanje prekograničnog prometa ovom robom u CG, ako nemaju registrovani dio stranog društva u CG.</w:t>
      </w:r>
    </w:p>
    <w:p w:rsidR="00B135BD" w:rsidRPr="00B135BD" w:rsidRDefault="00B135BD" w:rsidP="00B135BD">
      <w:pPr>
        <w:spacing w:before="0" w:after="0" w:line="240" w:lineRule="auto"/>
        <w:ind w:firstLine="720"/>
        <w:rPr>
          <w:rFonts w:ascii="Calibri" w:eastAsia="Calibri" w:hAnsi="Calibri" w:cs="Arial"/>
          <w:i/>
          <w:szCs w:val="24"/>
          <w:u w:val="single"/>
          <w:lang w:val="sl-SI"/>
        </w:rPr>
      </w:pPr>
      <w:r w:rsidRPr="00B135BD">
        <w:rPr>
          <w:rFonts w:ascii="Calibri" w:eastAsia="Calibri" w:hAnsi="Calibri" w:cs="Arial"/>
          <w:i/>
          <w:szCs w:val="24"/>
          <w:u w:val="single"/>
          <w:lang w:val="sl-SI"/>
        </w:rPr>
        <w:t>Unaprjeđenje partnerstva sa privrednim subjektima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 xml:space="preserve">Održano je više sastanaka sa privrednim subjektima na različite teme (pojednostavljeni postupci, postupanje u slobodnim zonama, sprovođenje carinskih postupaka sa električnom energijom od strane stranih privrednih subjekata i sl.). Takođe, predstavnici Uprave carina učestvuju na sjednicama Odbora špeditera PKCG.  </w:t>
      </w:r>
    </w:p>
    <w:p w:rsidR="00B135BD" w:rsidRPr="00B135BD" w:rsidRDefault="00B135BD" w:rsidP="00304763">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Kontinuirano se dostavljaju odgovori privrednim subjektima i pruža stručna pomoć u pitanjima koja se odnose na sprovođenje carinskih postupaka.</w:t>
      </w:r>
    </w:p>
    <w:p w:rsidR="00B135BD" w:rsidRPr="00B135BD" w:rsidRDefault="00B135BD" w:rsidP="00B135BD">
      <w:pPr>
        <w:spacing w:before="0" w:after="0" w:line="240" w:lineRule="auto"/>
        <w:ind w:firstLine="720"/>
        <w:rPr>
          <w:rFonts w:ascii="Calibri" w:eastAsia="Calibri" w:hAnsi="Calibri" w:cs="Arial"/>
          <w:i/>
          <w:szCs w:val="24"/>
          <w:u w:val="single"/>
          <w:lang w:val="sl-SI"/>
        </w:rPr>
      </w:pPr>
      <w:r w:rsidRPr="00B135BD">
        <w:rPr>
          <w:rFonts w:ascii="Calibri" w:eastAsia="Calibri" w:hAnsi="Calibri" w:cs="Arial"/>
          <w:i/>
          <w:szCs w:val="24"/>
          <w:u w:val="single"/>
          <w:lang w:val="sl-SI"/>
        </w:rPr>
        <w:t>Unaprjeđenje sistema kontrola zabranjenih i ograničenih roba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Odsjek za zaštitu prava  intelektualne svojine i praćenje zabrana i ograničenja  je izvršio reviziju postojećih i donio nove interne akte i uputstva, a u cilju jednoobrazne primjene propisa  i efikasnije kontrole  pojedinih roba. Naime, izrađeno je 46 instrukcija, uputstava i raspisa u vezi kontrola određenih roba, donošenja novih  i izmjene određenih propisa.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Sve nepravilnosti koje su uočene rješavane su</w:t>
      </w:r>
      <w:r w:rsidRPr="00B135BD">
        <w:rPr>
          <w:rFonts w:ascii="Calibri" w:eastAsia="Calibri" w:hAnsi="Calibri" w:cs="Arial"/>
          <w:color w:val="B2A1C7"/>
          <w:szCs w:val="24"/>
          <w:lang w:val="sl-SI"/>
        </w:rPr>
        <w:t xml:space="preserve"> </w:t>
      </w:r>
      <w:r w:rsidRPr="00B135BD">
        <w:rPr>
          <w:rFonts w:ascii="Calibri" w:eastAsia="Calibri" w:hAnsi="Calibri" w:cs="Arial"/>
          <w:szCs w:val="24"/>
          <w:lang w:val="sl-SI"/>
        </w:rPr>
        <w:t>samostalno ili u saradnji drugim nadležnim organima.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Održano je više sastanaka sa drugim državnim organima i agencijama od kojih su neki zbog situacije izazvane pandemijom korona virusa COVD-19 održane online sa drugim državnim organima na temu zabrana o ograničenja.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Realizovano je više zajedničkih akcija (7) –mjere pojačanog nadzora sa Tržišnom inspekcijom (frižideri, električni mikseri, namještaj za otvoreni prostor, roleri, profesionalne mesoreznice, štitnici sluha-antifoni, prozori).</w:t>
      </w:r>
    </w:p>
    <w:p w:rsidR="00B135BD" w:rsidRPr="00B135BD" w:rsidRDefault="00B135BD" w:rsidP="00304763">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Spiskovi roba koji podliježu kontroli nadleznih organa su ažurirani u skladu sa  Uredbom o carinskoj tarifi  za 2020 i implementirani u TARICG.</w:t>
      </w:r>
    </w:p>
    <w:p w:rsidR="00B135BD" w:rsidRPr="00B135BD" w:rsidRDefault="00B135BD" w:rsidP="00B135BD">
      <w:pPr>
        <w:spacing w:before="0" w:after="0" w:line="240" w:lineRule="auto"/>
        <w:ind w:firstLine="720"/>
        <w:rPr>
          <w:rFonts w:ascii="Calibri" w:eastAsia="Calibri" w:hAnsi="Calibri" w:cs="Arial"/>
          <w:i/>
          <w:szCs w:val="24"/>
          <w:u w:val="single"/>
          <w:lang w:val="sl-SI"/>
        </w:rPr>
      </w:pPr>
      <w:r w:rsidRPr="00B135BD">
        <w:rPr>
          <w:rFonts w:ascii="Calibri" w:eastAsia="Calibri" w:hAnsi="Calibri" w:cs="Arial"/>
          <w:i/>
          <w:szCs w:val="24"/>
          <w:u w:val="single"/>
          <w:lang w:val="sl-SI"/>
        </w:rPr>
        <w:t>Unaprjeđenje sistema kontrole roba kojima se povrjeđuju prava intelektualne svojine</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Odsjek za zaštitu prava intelektualne svojine i praćenje zabrana i ograničenja je, u 2020.godini, izradio je 137 rješenja kojima su  usvojeni zahtjevi za preduzimanje carinskih mjera za zaštitu prava intelektualne svojine. Navedena rješenja su dostavljena i zastupnicima nosilaca prava.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Prekinuta su 54 carinska postupka i privremeno je zadržano 15.345 komada robe po osnovu sumnje u povredu prava intelektualne svojine. Povodom navedenih prekida preduzete su sve mjere propisane Uredbom, između ostalog, slanje obavještenja nosiocima prava radi preduzimanja daljih mjera, davanje podataka o uvoznicima, produženju rokova i dr., te obavještavanje organizacionih jedinica za koju  robu je pokrenut sudski postupak, za koju su se stekli uslovi za pojednostavljeni postupak uništenja, odnosno za koju robu se određuje nastavak carinskog postupka.</w:t>
      </w:r>
      <w:r w:rsidRPr="00B135BD">
        <w:rPr>
          <w:rFonts w:ascii="Calibri" w:eastAsia="Times New Roman" w:hAnsi="Calibri" w:cs="Times New Roman"/>
          <w:szCs w:val="24"/>
          <w:lang w:val="en-US"/>
        </w:rPr>
        <w:t xml:space="preserve"> </w:t>
      </w:r>
      <w:r w:rsidRPr="00B135BD">
        <w:rPr>
          <w:rFonts w:ascii="Calibri" w:eastAsia="Calibri" w:hAnsi="Calibri" w:cs="Arial"/>
          <w:szCs w:val="24"/>
          <w:lang w:val="sl-SI"/>
        </w:rPr>
        <w:t xml:space="preserve">Pod carinskim nadzorom je, u 2020.godini, uništena krivotvorena roba u ukupnoj količini od 6.959 komada robe.  </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Održano je više sastanaka sa predstavnicima drugih državnih organa i realizovane su 2 zajedničke akcije sa Tržišnom inspekcijom, Ministarstvom ekonomskog razvoja i Upravom za inspekcijske poslove u Baru i Podgorici prilikom kojih su vršene pojačane mjere carinskog nadzora i kontrole robe po osnovu sumnje u povredu prava intelektualne svojine.</w:t>
      </w:r>
    </w:p>
    <w:p w:rsidR="00B135BD" w:rsidRPr="00B135BD" w:rsidRDefault="00B135BD" w:rsidP="00304763">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 xml:space="preserve">Sprovedene su aktivnosti na jačanju svijesti o važnosti zaštite prava intelektualne svojine. Uprava carina je, u cilju većeg stepena informisanosti fizičkih lica, kreirala novi moderan informativni servis (portal), koji je aktivan od početka 2020.godine, putem kojeg se fizička lica mogu na lak i brz </w:t>
      </w:r>
      <w:r w:rsidRPr="00B135BD">
        <w:rPr>
          <w:rFonts w:ascii="Calibri" w:eastAsia="Calibri" w:hAnsi="Calibri" w:cs="Arial"/>
          <w:szCs w:val="24"/>
          <w:lang w:val="sl-SI"/>
        </w:rPr>
        <w:lastRenderedPageBreak/>
        <w:t>način informisati o carinskim procedurama.  Na ovom portalu su istaknute i  informacije vezane za intelektualnu svojinu kako bi se ukazalo građanima da vode računa da ne naručuju/uvoze robu koja nije originalna (krivotvorena roba) i da ukoliko carinski organ posumnja da je pošiljka krivotvorena može doći do njenog privremenog oduzimanja i  preduzumanja daljih propisanih mjera, što u konačnom može dovesti do trajnog oduzimanja robe i njenog uništenja.  Servis je dostupan na linku http://info.carina.co.me/  i prilagođen je svim uređajima (telefon, lap top, tablet, kompjuter).</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b/>
          <w:szCs w:val="24"/>
          <w:lang w:val="sl-SI"/>
        </w:rPr>
        <w:t>Strateški cilj 3</w:t>
      </w:r>
      <w:r w:rsidRPr="00B135BD">
        <w:rPr>
          <w:rFonts w:ascii="Calibri" w:eastAsia="Calibri" w:hAnsi="Calibri" w:cs="Arial"/>
          <w:szCs w:val="24"/>
          <w:lang w:val="sl-SI"/>
        </w:rPr>
        <w:t>: Efikasno i efektivno prikupljanje prihoda</w:t>
      </w:r>
    </w:p>
    <w:p w:rsidR="00B135BD" w:rsidRPr="00B135BD" w:rsidRDefault="00B135BD" w:rsidP="00B135BD">
      <w:pPr>
        <w:spacing w:before="0" w:after="0" w:line="240" w:lineRule="auto"/>
        <w:ind w:firstLine="720"/>
        <w:rPr>
          <w:rFonts w:ascii="Calibri" w:eastAsia="Calibri" w:hAnsi="Calibri" w:cs="Arial"/>
          <w:i/>
          <w:szCs w:val="24"/>
          <w:u w:val="single"/>
          <w:lang w:val="sl-SI"/>
        </w:rPr>
      </w:pPr>
      <w:r w:rsidRPr="00B135BD">
        <w:rPr>
          <w:rFonts w:ascii="Calibri" w:eastAsia="Calibri" w:hAnsi="Calibri" w:cs="Arial"/>
          <w:i/>
          <w:szCs w:val="24"/>
          <w:u w:val="single"/>
          <w:lang w:val="sl-SI"/>
        </w:rPr>
        <w:t>Dalje unapređenje aktivnosti u cilju pravilnog obračuna carinskih dažbina</w:t>
      </w:r>
    </w:p>
    <w:p w:rsidR="00B135BD" w:rsidRPr="00B135BD" w:rsidRDefault="00B135BD" w:rsidP="00304763">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Izdata su sva mišljenja  o svrstavanju na zahtjev carinarnica.</w:t>
      </w:r>
      <w:r w:rsidRPr="00B135BD">
        <w:rPr>
          <w:rFonts w:ascii="Calibri" w:eastAsia="Times New Roman" w:hAnsi="Calibri" w:cs="Times New Roman"/>
          <w:szCs w:val="24"/>
          <w:lang w:val="en-US"/>
        </w:rPr>
        <w:t xml:space="preserve"> </w:t>
      </w:r>
      <w:r w:rsidRPr="00B135BD">
        <w:rPr>
          <w:rFonts w:ascii="Calibri" w:eastAsia="Calibri" w:hAnsi="Calibri" w:cs="Arial"/>
          <w:szCs w:val="24"/>
          <w:lang w:val="sl-SI"/>
        </w:rPr>
        <w:t>Izrađena su obavještenja o izmjenama i dopunama Zakona o akcizama kao i o Pravilniku o bližem načinu funkcionisanja informacionog sistema za elektronsku razmjenu podataka i postupku elektronske razmjene podataka o akcizama.</w:t>
      </w:r>
      <w:r w:rsidRPr="00B135BD">
        <w:rPr>
          <w:rFonts w:ascii="Calibri" w:eastAsia="Times New Roman" w:hAnsi="Calibri" w:cs="Times New Roman"/>
          <w:szCs w:val="24"/>
          <w:lang w:val="en-US"/>
        </w:rPr>
        <w:t xml:space="preserve"> </w:t>
      </w:r>
      <w:r w:rsidRPr="00B135BD">
        <w:rPr>
          <w:rFonts w:ascii="Calibri" w:eastAsia="Calibri" w:hAnsi="Calibri" w:cs="Arial"/>
          <w:szCs w:val="24"/>
          <w:lang w:val="sl-SI"/>
        </w:rPr>
        <w:t>Izrađena su obavještenja o izmjenama i dopunama Zakona o porezu na dodatu vrijednost.</w:t>
      </w:r>
    </w:p>
    <w:p w:rsidR="00B135BD" w:rsidRPr="00B135BD" w:rsidRDefault="00B135BD" w:rsidP="00B135BD">
      <w:pPr>
        <w:spacing w:before="0" w:after="0" w:line="240" w:lineRule="auto"/>
        <w:ind w:firstLine="720"/>
        <w:rPr>
          <w:rFonts w:ascii="Calibri" w:eastAsia="Calibri" w:hAnsi="Calibri" w:cs="Arial"/>
          <w:i/>
          <w:szCs w:val="24"/>
          <w:u w:val="single"/>
          <w:lang w:val="sl-SI"/>
        </w:rPr>
      </w:pPr>
      <w:r w:rsidRPr="00B135BD">
        <w:rPr>
          <w:rFonts w:ascii="Calibri" w:eastAsia="Calibri" w:hAnsi="Calibri" w:cs="Arial"/>
          <w:i/>
          <w:szCs w:val="24"/>
          <w:u w:val="single"/>
          <w:lang w:val="sl-SI"/>
        </w:rPr>
        <w:t>Modernizacija sistema praćenja i naplate potraživanja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Shodno izmjeni procesa naplate i unovčavanja bankarskih garancija, kao i unapređenja sistema obračuna zateznih kamata, izrađeno je Uputstvo za korisnike: Obračun zateznih kamata po deklaracijama za odloženo plaćanje carinskog duga, kao i Interna procedura procesa praćenja naplate carinskog duga obezbijeđenog bankarskim garancijama Broj: D -8178/3 od 25.11.2020.godine.</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U skladu sa Uredbom o odlaganju naplate carine i poreza na dodatu vrijednost nastalih prilikom uvoza proizvoda (''Sl.list CG'', br. 37/20) pripremljena je Interna procedura sprovođenja Uredbe o odlaganju naplate carine i poreza na dodatu vrijednost nastalih prilikom uvoza proizvoda (07 Broj: D-3993/1 od 29.04.2020.godine).</w:t>
      </w:r>
    </w:p>
    <w:p w:rsidR="00B135BD" w:rsidRPr="00B135BD" w:rsidRDefault="00B135BD" w:rsidP="00304763">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 xml:space="preserve">Unaprijeđen je sistem obračuna zateznih kamata i automatizovan obračun zateznih kamata po deklaracijama obezbijeđenjim garancijama za odloženo plaćanje carinskog duga, koje se vrši informatičkom procedurom 20.tog u mjesecu, kreiranjem potraživanja u carinskom informacionom sistemu. Službenici Odjeljenja za naplatu prihoda koji su ovlašćeni za potpisivanje elektronskih dokumenata sa kvalifikovanim elektronskim potpisom vrše slanje elektronske dostave putem e-mail-a carinskim obveznicima.  </w:t>
      </w:r>
    </w:p>
    <w:p w:rsidR="00B135BD" w:rsidRPr="00B135BD" w:rsidRDefault="00B135BD" w:rsidP="00B135BD">
      <w:pPr>
        <w:spacing w:before="0" w:after="0" w:line="240" w:lineRule="auto"/>
        <w:ind w:firstLine="720"/>
        <w:rPr>
          <w:rFonts w:ascii="Calibri" w:eastAsia="Calibri" w:hAnsi="Calibri" w:cs="Arial"/>
          <w:i/>
          <w:szCs w:val="24"/>
          <w:u w:val="single"/>
          <w:lang w:val="sl-SI"/>
        </w:rPr>
      </w:pPr>
      <w:r w:rsidRPr="00B135BD">
        <w:rPr>
          <w:rFonts w:ascii="Calibri" w:eastAsia="Calibri" w:hAnsi="Calibri" w:cs="Arial"/>
          <w:i/>
          <w:szCs w:val="24"/>
          <w:u w:val="single"/>
          <w:lang w:val="sl-SI"/>
        </w:rPr>
        <w:t>Priprema za razvoj sistema za upravljanje Tradicionalnim sopstvenim sredstvima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Pripremljen je prijedlog za formiranje novog Projektnog tima Uprave carina za Pregovaračko poglavlje 33. Međutim, neophodno je sačekati izmjenu Pravilnika o unutrašnjoj organizaciji i sistematizaciji u cilju definisanja odgovornosti službenika po organizacionim jedinicama, koje će biti uključene u razvoj sistema za upravljanje tradicionalnim sopstvenim sredstvima.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 xml:space="preserve">Predlogom novog Pravilnika o obliku, sadržaju i načinu podnošenja carinske deklaracije i drugih obrazaca koji se upotrebljavaju u carinskom postupku definisan je novi način šifriranja prihoda i potraživanja.  </w:t>
      </w:r>
    </w:p>
    <w:p w:rsidR="00B135BD" w:rsidRPr="00B135BD" w:rsidRDefault="00B135BD" w:rsidP="00304763">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Zbog epidemiološke situacije izavane virusom COVID19, odložene su sve studijske posjete i mogućnosti za realizovanje aktivnosti iz oblasti upravljanja Tradicionalnim sopstvenim sredstvima.</w:t>
      </w:r>
    </w:p>
    <w:p w:rsidR="00B135BD" w:rsidRPr="00B135BD" w:rsidRDefault="00B135BD" w:rsidP="00B135BD">
      <w:pPr>
        <w:spacing w:before="0" w:after="0" w:line="240" w:lineRule="auto"/>
        <w:ind w:firstLine="720"/>
        <w:rPr>
          <w:rFonts w:ascii="Calibri" w:eastAsia="Calibri" w:hAnsi="Calibri" w:cs="Arial"/>
          <w:i/>
          <w:szCs w:val="24"/>
          <w:u w:val="single"/>
          <w:lang w:val="sl-SI"/>
        </w:rPr>
      </w:pPr>
      <w:r w:rsidRPr="00B135BD">
        <w:rPr>
          <w:rFonts w:ascii="Calibri" w:eastAsia="Calibri" w:hAnsi="Calibri" w:cs="Arial"/>
          <w:i/>
          <w:szCs w:val="24"/>
          <w:u w:val="single"/>
          <w:lang w:val="sl-SI"/>
        </w:rPr>
        <w:t>Jačanje međuinstitucionalne saradnje u oblasti naplate prihoda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 xml:space="preserve">Realizacijom Sporazuma o uvođenju elektronske komunikacije između Uprave carina i poslovnih banaka, koji su potpisani u januaru 2020.godine, omogućeno je korišćenje usluge elektronske preporučene dostave zahtjeva za unovčenje bankarske garancije shodno odredbama Zakona o elektronskoj identifikaciji i elektronskom potpisu ("Službeni list Crne Gore", br. 031/17 od 12.05.2017, 072/19 od 26.12.2019). Zahtjevi koji se dostavljaju elektronskom preporučenom dostavom, koja je predmet ovog sporazuma, potpisuju se kvalifikovanim elektronskim potpisom ovlašćenog lica - službenika Odjeljenja za naplatu prihoda i dostavljaju na e-mail adrese poslovnih banaka koje su definisane ovim Sporazumima. Digitalizacijom poslovnih procesa u Odjeljenju za naplatu prihoda omogućeno je pojednostavljenje procedure slanja zahtjeva za unovčenje </w:t>
      </w:r>
      <w:r w:rsidRPr="00B135BD">
        <w:rPr>
          <w:rFonts w:ascii="Calibri" w:eastAsia="Calibri" w:hAnsi="Calibri" w:cs="Arial"/>
          <w:szCs w:val="24"/>
          <w:lang w:val="sl-SI"/>
        </w:rPr>
        <w:lastRenderedPageBreak/>
        <w:t>bankarskih garancija a dostavljanje putem pošte zamijenila je upotreba elektronske preporučene dostave. Na ovaj načinu ostvarena sa značajna unapređenja poslovnih procesa uz povećanje efikasnosti u naplati prihoda, optimizaciju resursa i troškova dostave i štampanja, i bolju saradnju sa poslovnim bankama.</w:t>
      </w:r>
    </w:p>
    <w:p w:rsidR="00B135BD" w:rsidRPr="00B135BD" w:rsidRDefault="00B135BD" w:rsidP="00304763">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Shodno preporukama DRI, Ministarstvo finansija je pripremilo Nacrt Instrukcije za otpis carinskog duga u saradnji sa Upravom carina, shodno važećim propisima. Međutim, usled epidemiološke situacije izavane virusom COVID19, nije bilo mogućnosti za konačno realizovanje ove aktivnosti.</w:t>
      </w:r>
      <w:r w:rsidRPr="00B135BD">
        <w:rPr>
          <w:rFonts w:ascii="Calibri" w:eastAsia="Times New Roman" w:hAnsi="Calibri" w:cs="Times New Roman"/>
          <w:szCs w:val="24"/>
          <w:lang w:val="en-US"/>
        </w:rPr>
        <w:t xml:space="preserve"> </w:t>
      </w:r>
      <w:r w:rsidRPr="00B135BD">
        <w:rPr>
          <w:rFonts w:ascii="Calibri" w:eastAsia="Calibri" w:hAnsi="Calibri" w:cs="Arial"/>
          <w:szCs w:val="24"/>
          <w:lang w:val="sl-SI"/>
        </w:rPr>
        <w:t>Pripremljena je Specifikacija nenaplativih poraživanja je dostavljena Ministarstvu finansija.</w:t>
      </w:r>
    </w:p>
    <w:p w:rsidR="00B135BD" w:rsidRPr="00B135BD" w:rsidRDefault="00B135BD" w:rsidP="00B135BD">
      <w:pPr>
        <w:spacing w:before="0" w:after="0" w:line="240" w:lineRule="auto"/>
        <w:ind w:firstLine="720"/>
        <w:rPr>
          <w:rFonts w:ascii="Calibri" w:eastAsia="Calibri" w:hAnsi="Calibri" w:cs="Arial"/>
          <w:i/>
          <w:szCs w:val="24"/>
          <w:u w:val="single"/>
          <w:lang w:val="sl-SI"/>
        </w:rPr>
      </w:pPr>
      <w:r w:rsidRPr="00B135BD">
        <w:rPr>
          <w:rFonts w:ascii="Calibri" w:eastAsia="Calibri" w:hAnsi="Calibri" w:cs="Arial"/>
          <w:i/>
          <w:szCs w:val="24"/>
          <w:u w:val="single"/>
          <w:lang w:val="sl-SI"/>
        </w:rPr>
        <w:t>Promocija elektronskih servisa za privredu u oblasti naplate prihoda</w:t>
      </w:r>
    </w:p>
    <w:p w:rsidR="00B135BD" w:rsidRPr="00B135BD" w:rsidRDefault="00B135BD" w:rsidP="00304763">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Shodno Godišnjem planu zvanične statistike za 2020.godinu objavljeni su svi mjesečni izvještaji o ostvarenoj naplati prihoda na web sajtu Uprave carina. Kontinuirano je vršeno objavljivanje saopštenja, uputstava i obrazaca iz oblasti naplate prihoda.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b/>
          <w:szCs w:val="24"/>
          <w:lang w:val="sl-SI"/>
        </w:rPr>
        <w:t>Strateški cilj 4:</w:t>
      </w:r>
      <w:r w:rsidRPr="00B135BD">
        <w:rPr>
          <w:rFonts w:ascii="Calibri" w:eastAsia="Calibri" w:hAnsi="Calibri" w:cs="Arial"/>
          <w:szCs w:val="24"/>
          <w:lang w:val="sl-SI"/>
        </w:rPr>
        <w:t xml:space="preserve"> Razvoj i unaprjeđenje ljudskih resursa</w:t>
      </w:r>
    </w:p>
    <w:p w:rsidR="00B135BD" w:rsidRPr="00B135BD" w:rsidRDefault="00B135BD" w:rsidP="00B135BD">
      <w:pPr>
        <w:spacing w:before="0" w:after="0" w:line="240" w:lineRule="auto"/>
        <w:ind w:firstLine="720"/>
        <w:rPr>
          <w:rFonts w:ascii="Calibri" w:eastAsia="Calibri" w:hAnsi="Calibri" w:cs="Arial"/>
          <w:i/>
          <w:szCs w:val="24"/>
          <w:u w:val="single"/>
          <w:lang w:val="sl-SI"/>
        </w:rPr>
      </w:pPr>
      <w:r w:rsidRPr="00B135BD">
        <w:rPr>
          <w:rFonts w:ascii="Calibri" w:eastAsia="Calibri" w:hAnsi="Calibri" w:cs="Arial"/>
          <w:i/>
          <w:szCs w:val="24"/>
          <w:u w:val="single"/>
          <w:lang w:val="sl-SI"/>
        </w:rPr>
        <w:t>Unapređenje zakonodavnog okvira, organizacione strukture i upravljanja</w:t>
      </w:r>
    </w:p>
    <w:p w:rsidR="00B135BD" w:rsidRPr="00B135BD" w:rsidRDefault="00B135BD" w:rsidP="00304763">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Kvartalnim planom za prvi kvartal 2020.godine planirane i dogovorene (prva je bila planirana 25.03.2021.)  su obuke za rukovodni kadar (za sve šefove ispostava), u saradnji sa Policijskom akademijom u Danilovgradu i spoljnim expertom,  Radojem Cerovicem ali je zbog situacije sa virusom COVID-19 odloženo. Kontinuirano godinama se sprovodi usavršavanje službenika vezano za upravljanje i rukovođenje na svim nivoima.</w:t>
      </w:r>
    </w:p>
    <w:p w:rsidR="00B135BD" w:rsidRPr="00B135BD" w:rsidRDefault="00B135BD" w:rsidP="00B135BD">
      <w:pPr>
        <w:spacing w:before="0" w:after="0" w:line="240" w:lineRule="auto"/>
        <w:ind w:firstLine="720"/>
        <w:rPr>
          <w:rFonts w:ascii="Calibri" w:eastAsia="Calibri" w:hAnsi="Calibri" w:cs="Arial"/>
          <w:i/>
          <w:szCs w:val="24"/>
          <w:u w:val="single"/>
          <w:lang w:val="sl-SI"/>
        </w:rPr>
      </w:pPr>
      <w:r w:rsidRPr="00B135BD">
        <w:rPr>
          <w:rFonts w:ascii="Calibri" w:eastAsia="Calibri" w:hAnsi="Calibri" w:cs="Arial"/>
          <w:i/>
          <w:szCs w:val="24"/>
          <w:u w:val="single"/>
          <w:lang w:val="sl-SI"/>
        </w:rPr>
        <w:t>Kreiranje nacionalne verzije EU Okvira carinskih kompetencija</w:t>
      </w:r>
    </w:p>
    <w:p w:rsidR="00B135BD" w:rsidRPr="00B135BD" w:rsidRDefault="00B135BD" w:rsidP="00304763">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Učešće službenika Uprave carina na radionicama o implementaciji  CFW-a  u Briselu kontinuirano se sprovodi ali zbog situacije sa virusom  COVID -19 u 2020. godini nisu bile organizovane radionice od strane DG Taxud-a.</w:t>
      </w:r>
    </w:p>
    <w:p w:rsidR="00B135BD" w:rsidRPr="00B135BD" w:rsidRDefault="00B135BD" w:rsidP="00B135BD">
      <w:pPr>
        <w:spacing w:before="0" w:after="0" w:line="240" w:lineRule="auto"/>
        <w:ind w:firstLine="720"/>
        <w:rPr>
          <w:rFonts w:ascii="Calibri" w:eastAsia="Calibri" w:hAnsi="Calibri" w:cs="Arial"/>
          <w:i/>
          <w:szCs w:val="24"/>
          <w:u w:val="single"/>
          <w:lang w:val="sl-SI"/>
        </w:rPr>
      </w:pPr>
      <w:r w:rsidRPr="00B135BD">
        <w:rPr>
          <w:rFonts w:ascii="Calibri" w:eastAsia="Calibri" w:hAnsi="Calibri" w:cs="Arial"/>
          <w:i/>
          <w:szCs w:val="24"/>
          <w:u w:val="single"/>
          <w:lang w:val="sl-SI"/>
        </w:rPr>
        <w:t>Unaprjeđenje kadrovske politike, planiranja, odabira i zapošljavanja kadra</w:t>
      </w:r>
    </w:p>
    <w:p w:rsidR="00B135BD" w:rsidRPr="00B135BD" w:rsidRDefault="00B135BD" w:rsidP="00304763">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Izvršena je analiza potreba za izvršiocima na osnovu koje je donijet Kadrovski plan Uprave carina za 2020.godinu, kojim je planiran broj zaposlenih, promjene u kadrovskoj strukturi i druga strateška pitanja upravljanja kadrovima u skladu sa budžetskim i strateškim planiranjem rada Vlade.</w:t>
      </w:r>
    </w:p>
    <w:p w:rsidR="00B135BD" w:rsidRPr="00B135BD" w:rsidRDefault="00B135BD" w:rsidP="00B135BD">
      <w:pPr>
        <w:spacing w:before="0" w:after="0" w:line="240" w:lineRule="auto"/>
        <w:ind w:firstLine="720"/>
        <w:rPr>
          <w:rFonts w:ascii="Calibri" w:eastAsia="Calibri" w:hAnsi="Calibri" w:cs="Arial"/>
          <w:i/>
          <w:szCs w:val="24"/>
          <w:u w:val="single"/>
          <w:lang w:val="sl-SI"/>
        </w:rPr>
      </w:pPr>
      <w:r w:rsidRPr="00B135BD">
        <w:rPr>
          <w:rFonts w:ascii="Calibri" w:eastAsia="Calibri" w:hAnsi="Calibri" w:cs="Arial"/>
          <w:i/>
          <w:szCs w:val="24"/>
          <w:u w:val="single"/>
          <w:lang w:val="sl-SI"/>
        </w:rPr>
        <w:t>Unaprjeđenje obuka i stručnog usavršavanja baziranog na EU Okviru carinskih kompetencija</w:t>
      </w:r>
    </w:p>
    <w:p w:rsidR="00B135BD" w:rsidRPr="00B135BD" w:rsidRDefault="00B135BD" w:rsidP="00304763">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Analiza potreba za obukama se kontinuirano vrši na kraju godine i na osnovu izvršene analize se na početku godine prave kvartalni planovi obuka za tekuću godinu po prioritetima.</w:t>
      </w:r>
    </w:p>
    <w:p w:rsidR="00B135BD" w:rsidRPr="00B135BD" w:rsidRDefault="00B135BD" w:rsidP="00B135BD">
      <w:pPr>
        <w:spacing w:before="0" w:after="0" w:line="240" w:lineRule="auto"/>
        <w:ind w:firstLine="720"/>
        <w:rPr>
          <w:rFonts w:ascii="Calibri" w:eastAsia="Calibri" w:hAnsi="Calibri" w:cs="Arial"/>
          <w:i/>
          <w:szCs w:val="24"/>
          <w:u w:val="single"/>
          <w:lang w:val="sl-SI"/>
        </w:rPr>
      </w:pPr>
      <w:r w:rsidRPr="00B135BD">
        <w:rPr>
          <w:rFonts w:ascii="Calibri" w:eastAsia="Calibri" w:hAnsi="Calibri" w:cs="Arial"/>
          <w:i/>
          <w:szCs w:val="24"/>
          <w:u w:val="single"/>
          <w:lang w:val="sl-SI"/>
        </w:rPr>
        <w:t>Poboljšanje sveukupnih uslova i bezbjednosti na radu</w:t>
      </w:r>
    </w:p>
    <w:p w:rsidR="00B135BD" w:rsidRPr="00B135BD" w:rsidRDefault="00B135BD" w:rsidP="00304763">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U skladu sa opredijeljenim finansijskim sredstvima, vršeno je unapređenje uslova rada. U toku 2020. godine su na dijelu kancelarija upravne zgrade ugrađeni novi prozori, u dijelu objekta je zamijenjena rasvjeta, u određenom broju kancelarija su ugrađeni novi plakari i trakaste zavjese. Takođe je okrečen dio kancelarija u upravnoj zgradi.</w:t>
      </w:r>
    </w:p>
    <w:p w:rsidR="00B135BD" w:rsidRPr="00B135BD" w:rsidRDefault="00B135BD" w:rsidP="00B135BD">
      <w:pPr>
        <w:spacing w:before="0" w:after="0" w:line="240" w:lineRule="auto"/>
        <w:ind w:firstLine="720"/>
        <w:rPr>
          <w:rFonts w:ascii="Calibri" w:eastAsia="Calibri" w:hAnsi="Calibri" w:cs="Arial"/>
          <w:i/>
          <w:szCs w:val="24"/>
          <w:u w:val="single"/>
          <w:lang w:val="sl-SI"/>
        </w:rPr>
      </w:pPr>
      <w:r w:rsidRPr="00B135BD">
        <w:rPr>
          <w:rFonts w:ascii="Calibri" w:eastAsia="Calibri" w:hAnsi="Calibri" w:cs="Arial"/>
          <w:i/>
          <w:szCs w:val="24"/>
          <w:u w:val="single"/>
          <w:lang w:val="sl-SI"/>
        </w:rPr>
        <w:t>Unaprjeđenje motivacije i zadržavanja kadra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U skladu sa Zakonom o zaradama zaposlenih u javnom sektoru i Granskim kolektivnim ugovorom za oblast uprave i pravosuđa, donešena su rješenja o osnovnoj zaradi za službenike Uprave carina. Takođe, na osnovu navedenog Zakona i Odluke o dodatku na osnovnu zaradu za obavljanje poslova na određenim radnim mjestima, donošena su rješenja o dodatku na osnovnu zaradu za službenike Uprave carina.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U skladu sa Zakonom o carinskoj službi, dodijeljena su priznanja i novčane nagrade za postignute rezultate rada u 2020. godini, za 11 carinskih službenika.</w:t>
      </w:r>
    </w:p>
    <w:p w:rsidR="00B135BD" w:rsidRPr="00B135BD" w:rsidRDefault="00B135BD" w:rsidP="00304763">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U 2020. godini donijeto je 35 rješenja o isplati novčane pomoći carinskim službenicima, 9 rješenja o isplati jubilarne nagrade, kao i 8 rješenja o isplati novčane naknade članovima Komisije za polaganje drugog stručnog ispita u oblasti carinskih poslova i 6 rješenja o isplati novčane naknade članovima Komisije za polaganje stručnog ispita za sticanje licence za obavljanje poslova zastupanja pred carinskim organom.</w:t>
      </w:r>
    </w:p>
    <w:p w:rsidR="00B135BD" w:rsidRPr="00B135BD" w:rsidRDefault="00B135BD" w:rsidP="00B135BD">
      <w:pPr>
        <w:spacing w:before="0" w:after="0" w:line="240" w:lineRule="auto"/>
        <w:ind w:firstLine="720"/>
        <w:rPr>
          <w:rFonts w:ascii="Calibri" w:eastAsia="Calibri" w:hAnsi="Calibri" w:cs="Arial"/>
          <w:i/>
          <w:szCs w:val="24"/>
          <w:u w:val="single"/>
          <w:lang w:val="sl-SI"/>
        </w:rPr>
      </w:pPr>
      <w:r w:rsidRPr="00B135BD">
        <w:rPr>
          <w:rFonts w:ascii="Calibri" w:eastAsia="Calibri" w:hAnsi="Calibri" w:cs="Arial"/>
          <w:i/>
          <w:szCs w:val="24"/>
          <w:u w:val="single"/>
          <w:lang w:val="sl-SI"/>
        </w:rPr>
        <w:lastRenderedPageBreak/>
        <w:t>Razvoj anti-koruptivne politike i jačanje integriteta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Izrađen je Godišnji izvještaj o sprovođenju Plana integriteta za 2019godinu. Od ukupno 148 definisanih mjera, u izještajnom periodu realizovano 90%, odnosno realizovane su 133 mjere, djelimično realizovano 8%, odnosno 12 mjera, dok 2%, odnosno 3 mjere nijesu realizovane.</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Usvojen je Plan integriteta za 2020-2021.godinu, kojim je identifikovano 7 oblasti rizika, izvršena je procjena i rangiranje 38 osnovnih i 45 preostalih rizika i definisane su 93 odgovarajuće mjera za smanjenje rizika od neprihvatljivog ponašanja, u skladu sa vjerovatnoćom nastanka, uticaja i posljedicama korupcije i drugih oblika nezakonitog ili neetičkog postupanja, za čiju su realizaciju precizirane odgovorne organizacione jedinice.</w:t>
      </w:r>
      <w:r w:rsidRPr="00B135BD">
        <w:rPr>
          <w:rFonts w:ascii="Calibri" w:eastAsia="Times New Roman" w:hAnsi="Calibri" w:cs="Times New Roman"/>
          <w:szCs w:val="24"/>
          <w:lang w:val="en-US"/>
        </w:rPr>
        <w:t xml:space="preserve"> </w:t>
      </w:r>
      <w:r w:rsidRPr="00B135BD">
        <w:rPr>
          <w:rFonts w:ascii="Calibri" w:eastAsia="Calibri" w:hAnsi="Calibri" w:cs="Arial"/>
          <w:szCs w:val="24"/>
          <w:lang w:val="sl-SI"/>
        </w:rPr>
        <w:t>Sastavni dio ovog Plana je Mapa rizika radnih mjesta i organizacionih jedinica Uprave carina.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Sprovođene su promocija primjene normi Etičkog kodeksa carinskih službenika i namještenika, kao i kontrole primjene istih. Odjeljenje za unutrašnju kontrolu je u svojim izvještajima, nakon sprovedenih kontrolnih mjera i radnji u vezi prijava građana na rad i postupanje carinskih službenika u Carinskim ispostavama, ukazivalo na obavezu carinskih službenika da u svom radu i ponašanju postupaju u skladu sa najvišim profesionalnim standardima, te da striktno poštuju carinske propise i norme Etičkog kodeksa carinskih službenika i namještenika.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Odjeljenje za unutrašnju kontrolu je u martu 2020.godine Agenciji dostavilo izvještaj da javni funkcioneri Uprave carina u vezi sa vršenjem javne funkcije u toku 2019.godine nijesu primili protokolarne, prigodne i poklone koji se ne mogu odbiti, odnosno vratiti poklonodavcu. Takođe, sprovedene su aktivnosti u cilju popunjavanja propisanih obrazaca, te u martu 2020.g. obavijestena Agencija za sprječavanje korupcije da Uprava carina u toku 2019.godine nije primila donacije.</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Objavljene su informacije/izvještaji i saopštenja iz oblasti unaprjeđenja integriteta i etike i borbe protiv korupcije.</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Aktivnosti na realizaciji Integrity testova započete u decembru 2019.godine okončane su u januaru 2020.godine. Naime, u skladu sa Mapom rizika testiran je 31 carinski službenik sa operativnog nivoa djelovanja iz sve 4 PJ Carinarnice, uz napomenu da je do sada ukupno testiran 131 carinski službenik iz različitih organizacionih jedinica i kategorija radnih mjesta, odnosno oko 25% službenika ove Uprave.</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Dana 30.01.2020.godine održan je sastanak direktora i načelnice Odjeljenja za unutrašnju kontrolu sa upravnicima PJ Carinarnica i šefovima svih Carinskih ispostava, na kojem su razmatrani rezultati testiranja službenika, te prezentirani podaci o broju testiranih službenika, analitički prema zvanjima i prema organizacionim jedinicama, kao i konkretni zadaci i obaveze neposrednih rukovodilaca u cilju unaprjeđenja etike i integriteta u organizacionim jedinicama kojima rukovode.</w:t>
      </w:r>
      <w:r w:rsidRPr="00B135BD">
        <w:rPr>
          <w:rFonts w:ascii="Calibri" w:eastAsia="Calibri" w:hAnsi="Calibri" w:cs="Arial"/>
          <w:szCs w:val="24"/>
          <w:lang w:val="sl-SI"/>
        </w:rPr>
        <w:tab/>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U toku 2020.godine Odjeljenje za unutrašnju kontrolu je sprovelo 16 kontrola, po osnovu kontrola su date preporuke u cilju efikasnijeg obavljanja radnih zadataka i naloženo je rukovodiocima organizacionih jedinica da preduzmu odgovarajuće mjere i radnje iz svoje nadležnosti u cilju unaprjeđenja rada.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U izvještajnom periodu, pokrenut je postupak za utvrđivanje discpiplinske odgovornosti protiv 4 carinska službenika iz PJ Carinarnice Bijelo Polje. Za 1 carinskog službenika, obustavljen je disciplinski postupak, iz razloga što je nastupila zastarjelost vođenja disciplinskog postupka (predmet iz 2018.godine).</w:t>
      </w:r>
    </w:p>
    <w:p w:rsidR="00B135BD" w:rsidRPr="00B135BD" w:rsidRDefault="00B135BD" w:rsidP="00304763">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U toku 2020.godine, podnijete su krivične prijave protiv 4 carinska službenika. Takođe, u toku su krivični postupci, koji su pokrenuti 2018.godine protiv 8 carinskih službenika u okviru PJ Carinarnica Bar, Podgorica i Kotor, i to zbog počinjenih krivičnih djela: stvaranje kriminalne organizacije, davanje mita, zloupotreba službenog položaja izvršenog putem podstrekivanja u produženom trajanju i produženog krivičnog djela zloupotreba službenog položaja.</w:t>
      </w:r>
    </w:p>
    <w:p w:rsidR="00B135BD" w:rsidRPr="00B135BD" w:rsidRDefault="00B135BD" w:rsidP="00B135BD">
      <w:pPr>
        <w:spacing w:before="0" w:after="0" w:line="240" w:lineRule="auto"/>
        <w:ind w:firstLine="720"/>
        <w:rPr>
          <w:rFonts w:ascii="Calibri" w:eastAsia="Calibri" w:hAnsi="Calibri" w:cs="Arial"/>
          <w:i/>
          <w:szCs w:val="24"/>
          <w:u w:val="single"/>
          <w:lang w:val="sl-SI"/>
        </w:rPr>
      </w:pPr>
      <w:r w:rsidRPr="00B135BD">
        <w:rPr>
          <w:rFonts w:ascii="Calibri" w:eastAsia="Calibri" w:hAnsi="Calibri" w:cs="Arial"/>
          <w:i/>
          <w:szCs w:val="24"/>
          <w:u w:val="single"/>
          <w:lang w:val="sl-SI"/>
        </w:rPr>
        <w:t>Unapređenje i razvoj tehničke i kadrovske opremljenosti Centra za obuke, kao preduslova za strateški razvoj ljudskih resursa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lastRenderedPageBreak/>
        <w:t xml:space="preserve">U cilju modernizacije Centra za obuku carinskih službenika, formiran je savremeni, multifunkcionalni prostor otvorenog tipa (open space), čime je uspostavljena nova funkcionalnost Centra. Prostor je dostupan svim carinskim službenicima u cilju unaprjeđenja sistema obuka i stručnog usavršavanja. Upotrebom ovog prostora za briefing, brainstorm, razna savjetovanja, seminare, sastanke, referate koji zahtijevaju individualni rad, učenje u okviru carinskog ispita i slično, podstaknuće se kreativnost i inovativnost carinskih službenika. </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U okviru Centra za obuku carinskih službenika je u upotrebi i 15 novih računara, čime je ostvarena tehnička opremljenost i puna funkcionalnost rada na carinskim aplikacijama.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Formirana je Stručne biblioteke Uprave carina. Biblioteka omogućava svim carinskim službenicima korišćenje stručnog materijala u štampanom i elektronskom obliku (knjige, priručnici, uputstva, vodiči, ključna stručna dokumenta, primjeri dobre prakse i sl.) sortiranog prema temama, a vezanog za rad carinske službe.</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Nabavljen je kancelarijski namještaj i</w:t>
      </w:r>
      <w:r w:rsidR="00006F70">
        <w:rPr>
          <w:rFonts w:ascii="Calibri" w:eastAsia="Calibri" w:hAnsi="Calibri" w:cs="Arial"/>
          <w:szCs w:val="24"/>
          <w:lang w:val="sl-SI"/>
        </w:rPr>
        <w:t xml:space="preserve"> tehnička oprema za potrebe Cen</w:t>
      </w:r>
      <w:r w:rsidRPr="00B135BD">
        <w:rPr>
          <w:rFonts w:ascii="Calibri" w:eastAsia="Calibri" w:hAnsi="Calibri" w:cs="Arial"/>
          <w:szCs w:val="24"/>
          <w:lang w:val="sl-SI"/>
        </w:rPr>
        <w:t>tra za obuku.</w:t>
      </w:r>
    </w:p>
    <w:p w:rsidR="00B135BD" w:rsidRPr="00B135BD" w:rsidRDefault="00B135BD" w:rsidP="00814D21">
      <w:pPr>
        <w:spacing w:after="0" w:line="240" w:lineRule="auto"/>
        <w:rPr>
          <w:rFonts w:ascii="Calibri" w:eastAsia="Calibri" w:hAnsi="Calibri" w:cs="Arial"/>
          <w:b/>
          <w:szCs w:val="24"/>
          <w:lang w:val="pl-PL"/>
        </w:rPr>
      </w:pPr>
      <w:r w:rsidRPr="00B135BD">
        <w:rPr>
          <w:rFonts w:ascii="Calibri" w:eastAsia="Calibri" w:hAnsi="Calibri" w:cs="Arial"/>
          <w:b/>
          <w:szCs w:val="24"/>
          <w:lang w:val="pl-PL"/>
        </w:rPr>
        <w:t>Prikaz izvršavanja zakona i drugih propisa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Organizovan je stručni ispit za sticanje licence i izdato je 17 licenci za obavljanje poslova zastupanja. Donijeto je 35 rješenja o produženju licenci, kao i 2 odobrenja za obavljanje poslova zastupanja pred carinskim organom. Donijeta su 3 odobrenja za elektronsku razmjenu podataka privrednom društvu.</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Izdato je11 obavezujućih informacija o svrstavanju robe u carinsku tarifu i 19 mišljenja o svrstavanju proizvoda. Izrađena je i dostavljena svim carinarnicama »Instrukcija o načinu uzimanja uzoraka tečnih naftnih proizvoda uz pomoć uzorkivača «Deeping bottle Ex« , količini i načinu pakovanja uzoraka« (dopuna Instrukcije o načinu uzimanja uzoraka i dokumentacije o robi.</w:t>
      </w:r>
    </w:p>
    <w:p w:rsidR="00B135BD" w:rsidRPr="00B135BD" w:rsidRDefault="00B135BD" w:rsidP="00B135BD">
      <w:pPr>
        <w:spacing w:before="0" w:after="0" w:line="240" w:lineRule="auto"/>
        <w:rPr>
          <w:rFonts w:ascii="Calibri" w:eastAsia="Calibri" w:hAnsi="Calibri" w:cs="Arial"/>
          <w:szCs w:val="24"/>
          <w:lang w:val="sl-SI"/>
        </w:rPr>
      </w:pPr>
    </w:p>
    <w:p w:rsidR="00B135BD" w:rsidRPr="00B135BD" w:rsidRDefault="00B135BD" w:rsidP="00B135BD">
      <w:pPr>
        <w:spacing w:before="0" w:after="0" w:line="240" w:lineRule="auto"/>
        <w:rPr>
          <w:rFonts w:ascii="Calibri" w:eastAsia="Calibri" w:hAnsi="Calibri" w:cs="Arial"/>
          <w:szCs w:val="24"/>
          <w:lang w:val="sl-SI"/>
        </w:rPr>
      </w:pPr>
      <w:r w:rsidRPr="00B135BD">
        <w:rPr>
          <w:rFonts w:ascii="Calibri" w:eastAsia="Calibri" w:hAnsi="Calibri" w:cs="Arial"/>
          <w:szCs w:val="24"/>
          <w:lang w:val="sl-SI"/>
        </w:rPr>
        <w:t>Tabela 1: Pregled izdatih odobrenja, rješenja i odluka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42"/>
      </w:tblGrid>
      <w:tr w:rsidR="00B135BD" w:rsidRPr="00B135BD" w:rsidTr="00433074">
        <w:tc>
          <w:tcPr>
            <w:tcW w:w="7338" w:type="dxa"/>
            <w:shd w:val="clear" w:color="auto" w:fill="D9D9D9"/>
          </w:tcPr>
          <w:p w:rsidR="00B135BD" w:rsidRPr="00B135BD" w:rsidRDefault="00B135BD" w:rsidP="00B135BD">
            <w:pPr>
              <w:spacing w:before="0" w:after="0" w:line="240" w:lineRule="auto"/>
              <w:rPr>
                <w:rFonts w:ascii="Calibri" w:eastAsia="Calibri" w:hAnsi="Calibri" w:cs="Arial"/>
                <w:szCs w:val="24"/>
                <w:lang w:val="sl-SI"/>
              </w:rPr>
            </w:pPr>
          </w:p>
        </w:tc>
        <w:tc>
          <w:tcPr>
            <w:tcW w:w="1442" w:type="dxa"/>
            <w:shd w:val="clear" w:color="auto" w:fill="D9D9D9"/>
          </w:tcPr>
          <w:p w:rsidR="00B135BD" w:rsidRPr="00B135BD" w:rsidRDefault="00B135BD" w:rsidP="00B135BD">
            <w:pPr>
              <w:spacing w:before="0" w:after="0" w:line="240" w:lineRule="auto"/>
              <w:rPr>
                <w:rFonts w:ascii="Calibri" w:eastAsia="Calibri" w:hAnsi="Calibri" w:cs="Arial"/>
                <w:szCs w:val="24"/>
                <w:lang w:val="sl-SI"/>
              </w:rPr>
            </w:pPr>
            <w:r w:rsidRPr="00B135BD">
              <w:rPr>
                <w:rFonts w:ascii="Calibri" w:eastAsia="Calibri" w:hAnsi="Calibri" w:cs="Arial"/>
                <w:szCs w:val="24"/>
                <w:lang w:val="sl-SI"/>
              </w:rPr>
              <w:t>Ukupno</w:t>
            </w:r>
          </w:p>
        </w:tc>
      </w:tr>
      <w:tr w:rsidR="00B135BD" w:rsidRPr="00B135BD" w:rsidTr="00433074">
        <w:tc>
          <w:tcPr>
            <w:tcW w:w="7338" w:type="dxa"/>
            <w:shd w:val="clear" w:color="auto" w:fill="auto"/>
          </w:tcPr>
          <w:p w:rsidR="00B135BD" w:rsidRPr="00B135BD" w:rsidRDefault="00B135BD" w:rsidP="00B135BD">
            <w:pPr>
              <w:autoSpaceDE w:val="0"/>
              <w:autoSpaceDN w:val="0"/>
              <w:adjustRightInd w:val="0"/>
              <w:spacing w:before="0" w:after="0" w:line="240" w:lineRule="auto"/>
              <w:jc w:val="left"/>
              <w:rPr>
                <w:rFonts w:ascii="Calibri" w:eastAsia="Calibri" w:hAnsi="Calibri" w:cs="Arial"/>
                <w:szCs w:val="24"/>
                <w:lang w:val="sl-SI"/>
              </w:rPr>
            </w:pPr>
            <w:r w:rsidRPr="00B135BD">
              <w:rPr>
                <w:rFonts w:ascii="Calibri" w:eastAsia="Calibri" w:hAnsi="Calibri" w:cs="Arial"/>
                <w:szCs w:val="24"/>
                <w:lang w:val="sl-SI"/>
              </w:rPr>
              <w:t xml:space="preserve">Odobrenja za deklarisanje na osnovu knjigovodstvenog zapisa </w:t>
            </w:r>
          </w:p>
        </w:tc>
        <w:tc>
          <w:tcPr>
            <w:tcW w:w="1442" w:type="dxa"/>
            <w:shd w:val="clear" w:color="auto" w:fill="auto"/>
          </w:tcPr>
          <w:p w:rsidR="00B135BD" w:rsidRPr="00B135BD" w:rsidRDefault="00B135BD" w:rsidP="00B135BD">
            <w:pPr>
              <w:autoSpaceDE w:val="0"/>
              <w:autoSpaceDN w:val="0"/>
              <w:adjustRightInd w:val="0"/>
              <w:spacing w:before="0" w:after="0" w:line="240" w:lineRule="auto"/>
              <w:jc w:val="center"/>
              <w:rPr>
                <w:rFonts w:ascii="Calibri" w:eastAsia="Calibri" w:hAnsi="Calibri" w:cs="Arial"/>
                <w:szCs w:val="24"/>
                <w:lang w:val="sl-SI"/>
              </w:rPr>
            </w:pPr>
            <w:r w:rsidRPr="00B135BD">
              <w:rPr>
                <w:rFonts w:ascii="Calibri" w:eastAsia="Calibri" w:hAnsi="Calibri" w:cs="Arial"/>
                <w:szCs w:val="24"/>
                <w:lang w:val="sl-SI"/>
              </w:rPr>
              <w:t>2</w:t>
            </w:r>
          </w:p>
        </w:tc>
      </w:tr>
      <w:tr w:rsidR="00B135BD" w:rsidRPr="00B135BD" w:rsidTr="00433074">
        <w:tc>
          <w:tcPr>
            <w:tcW w:w="7338" w:type="dxa"/>
            <w:shd w:val="clear" w:color="auto" w:fill="auto"/>
          </w:tcPr>
          <w:p w:rsidR="00B135BD" w:rsidRPr="00B135BD" w:rsidRDefault="00B135BD" w:rsidP="00B135BD">
            <w:pPr>
              <w:autoSpaceDE w:val="0"/>
              <w:autoSpaceDN w:val="0"/>
              <w:adjustRightInd w:val="0"/>
              <w:spacing w:before="0" w:after="0" w:line="240" w:lineRule="auto"/>
              <w:jc w:val="left"/>
              <w:rPr>
                <w:rFonts w:ascii="Calibri" w:eastAsia="Calibri" w:hAnsi="Calibri" w:cs="Arial"/>
                <w:szCs w:val="24"/>
                <w:lang w:val="sl-SI"/>
              </w:rPr>
            </w:pPr>
            <w:r w:rsidRPr="00B135BD">
              <w:rPr>
                <w:rFonts w:ascii="Calibri" w:eastAsia="Calibri" w:hAnsi="Calibri" w:cs="Arial"/>
                <w:szCs w:val="24"/>
                <w:lang w:val="sl-SI"/>
              </w:rPr>
              <w:t xml:space="preserve">Odobrenja za ovlašćenog izvoznika </w:t>
            </w:r>
          </w:p>
        </w:tc>
        <w:tc>
          <w:tcPr>
            <w:tcW w:w="1442" w:type="dxa"/>
            <w:shd w:val="clear" w:color="auto" w:fill="auto"/>
          </w:tcPr>
          <w:p w:rsidR="00B135BD" w:rsidRPr="00B135BD" w:rsidRDefault="00B135BD" w:rsidP="00B135BD">
            <w:pPr>
              <w:autoSpaceDE w:val="0"/>
              <w:autoSpaceDN w:val="0"/>
              <w:adjustRightInd w:val="0"/>
              <w:spacing w:before="0" w:after="0" w:line="240" w:lineRule="auto"/>
              <w:jc w:val="center"/>
              <w:rPr>
                <w:rFonts w:ascii="Calibri" w:eastAsia="Calibri" w:hAnsi="Calibri" w:cs="Arial"/>
                <w:szCs w:val="24"/>
                <w:lang w:val="sl-SI"/>
              </w:rPr>
            </w:pPr>
            <w:r w:rsidRPr="00B135BD">
              <w:rPr>
                <w:rFonts w:ascii="Calibri" w:eastAsia="Calibri" w:hAnsi="Calibri" w:cs="Arial"/>
                <w:szCs w:val="24"/>
                <w:lang w:val="sl-SI"/>
              </w:rPr>
              <w:t>1</w:t>
            </w:r>
          </w:p>
        </w:tc>
      </w:tr>
      <w:tr w:rsidR="00B135BD" w:rsidRPr="00B135BD" w:rsidTr="00433074">
        <w:tc>
          <w:tcPr>
            <w:tcW w:w="7338" w:type="dxa"/>
            <w:shd w:val="clear" w:color="auto" w:fill="auto"/>
          </w:tcPr>
          <w:p w:rsidR="00B135BD" w:rsidRPr="00B135BD" w:rsidRDefault="00B135BD" w:rsidP="00B135BD">
            <w:pPr>
              <w:autoSpaceDE w:val="0"/>
              <w:autoSpaceDN w:val="0"/>
              <w:adjustRightInd w:val="0"/>
              <w:spacing w:before="0" w:after="0" w:line="240" w:lineRule="auto"/>
              <w:jc w:val="left"/>
              <w:rPr>
                <w:rFonts w:ascii="Calibri" w:eastAsia="Calibri" w:hAnsi="Calibri" w:cs="Arial"/>
                <w:szCs w:val="24"/>
                <w:lang w:val="sl-SI"/>
              </w:rPr>
            </w:pPr>
            <w:r w:rsidRPr="00B135BD">
              <w:rPr>
                <w:rFonts w:ascii="Calibri" w:eastAsia="Calibri" w:hAnsi="Calibri" w:cs="Arial"/>
                <w:szCs w:val="24"/>
                <w:lang w:val="sl-SI"/>
              </w:rPr>
              <w:t xml:space="preserve">Odobrenja za ovlašćenog primaoca </w:t>
            </w:r>
          </w:p>
        </w:tc>
        <w:tc>
          <w:tcPr>
            <w:tcW w:w="1442" w:type="dxa"/>
            <w:shd w:val="clear" w:color="auto" w:fill="auto"/>
          </w:tcPr>
          <w:p w:rsidR="00B135BD" w:rsidRPr="00B135BD" w:rsidRDefault="00B135BD" w:rsidP="00B135BD">
            <w:pPr>
              <w:autoSpaceDE w:val="0"/>
              <w:autoSpaceDN w:val="0"/>
              <w:adjustRightInd w:val="0"/>
              <w:spacing w:before="0" w:after="0" w:line="240" w:lineRule="auto"/>
              <w:jc w:val="center"/>
              <w:rPr>
                <w:rFonts w:ascii="Calibri" w:eastAsia="Calibri" w:hAnsi="Calibri" w:cs="Arial"/>
                <w:szCs w:val="24"/>
                <w:lang w:val="sl-SI"/>
              </w:rPr>
            </w:pPr>
            <w:r w:rsidRPr="00B135BD">
              <w:rPr>
                <w:rFonts w:ascii="Calibri" w:eastAsia="Calibri" w:hAnsi="Calibri" w:cs="Arial"/>
                <w:szCs w:val="24"/>
                <w:lang w:val="sl-SI"/>
              </w:rPr>
              <w:t>1</w:t>
            </w:r>
          </w:p>
        </w:tc>
      </w:tr>
      <w:tr w:rsidR="00B135BD" w:rsidRPr="00B135BD" w:rsidTr="00433074">
        <w:tc>
          <w:tcPr>
            <w:tcW w:w="7338" w:type="dxa"/>
            <w:shd w:val="clear" w:color="auto" w:fill="auto"/>
          </w:tcPr>
          <w:p w:rsidR="00B135BD" w:rsidRPr="00B135BD" w:rsidRDefault="00B135BD" w:rsidP="00B135BD">
            <w:pPr>
              <w:autoSpaceDE w:val="0"/>
              <w:autoSpaceDN w:val="0"/>
              <w:adjustRightInd w:val="0"/>
              <w:spacing w:before="0" w:after="0" w:line="240" w:lineRule="auto"/>
              <w:jc w:val="left"/>
              <w:rPr>
                <w:rFonts w:ascii="Calibri" w:eastAsia="Calibri" w:hAnsi="Calibri" w:cs="Arial"/>
                <w:szCs w:val="24"/>
                <w:lang w:val="sl-SI"/>
              </w:rPr>
            </w:pPr>
            <w:r w:rsidRPr="00B135BD">
              <w:rPr>
                <w:rFonts w:ascii="Calibri" w:eastAsia="Calibri" w:hAnsi="Calibri" w:cs="Arial"/>
                <w:szCs w:val="24"/>
                <w:lang w:val="sl-SI"/>
              </w:rPr>
              <w:t xml:space="preserve">Odobrenja za deklarisanje na osnovu trgovačke isprave-fakture </w:t>
            </w:r>
          </w:p>
        </w:tc>
        <w:tc>
          <w:tcPr>
            <w:tcW w:w="1442" w:type="dxa"/>
            <w:shd w:val="clear" w:color="auto" w:fill="auto"/>
          </w:tcPr>
          <w:p w:rsidR="00B135BD" w:rsidRPr="00B135BD" w:rsidRDefault="00B135BD" w:rsidP="00B135BD">
            <w:pPr>
              <w:autoSpaceDE w:val="0"/>
              <w:autoSpaceDN w:val="0"/>
              <w:adjustRightInd w:val="0"/>
              <w:spacing w:before="0" w:after="0" w:line="240" w:lineRule="auto"/>
              <w:jc w:val="center"/>
              <w:rPr>
                <w:rFonts w:ascii="Calibri" w:eastAsia="Calibri" w:hAnsi="Calibri" w:cs="Arial"/>
                <w:szCs w:val="24"/>
                <w:lang w:val="sl-SI"/>
              </w:rPr>
            </w:pPr>
            <w:r w:rsidRPr="00B135BD">
              <w:rPr>
                <w:rFonts w:ascii="Calibri" w:eastAsia="Calibri" w:hAnsi="Calibri" w:cs="Arial"/>
                <w:szCs w:val="24"/>
                <w:lang w:val="sl-SI"/>
              </w:rPr>
              <w:t>36</w:t>
            </w:r>
          </w:p>
        </w:tc>
      </w:tr>
      <w:tr w:rsidR="00B135BD" w:rsidRPr="00B135BD" w:rsidTr="00433074">
        <w:tc>
          <w:tcPr>
            <w:tcW w:w="7338" w:type="dxa"/>
            <w:shd w:val="clear" w:color="auto" w:fill="auto"/>
          </w:tcPr>
          <w:p w:rsidR="00B135BD" w:rsidRPr="00B135BD" w:rsidRDefault="00B135BD" w:rsidP="00B135BD">
            <w:pPr>
              <w:autoSpaceDE w:val="0"/>
              <w:autoSpaceDN w:val="0"/>
              <w:adjustRightInd w:val="0"/>
              <w:spacing w:before="0" w:after="0" w:line="240" w:lineRule="auto"/>
              <w:jc w:val="left"/>
              <w:rPr>
                <w:rFonts w:ascii="Calibri" w:eastAsia="Calibri" w:hAnsi="Calibri" w:cs="Arial"/>
                <w:szCs w:val="24"/>
                <w:lang w:val="sl-SI"/>
              </w:rPr>
            </w:pPr>
            <w:r w:rsidRPr="00B135BD">
              <w:rPr>
                <w:rFonts w:ascii="Calibri" w:eastAsia="Calibri" w:hAnsi="Calibri" w:cs="Arial"/>
                <w:szCs w:val="24"/>
                <w:lang w:val="sl-SI"/>
              </w:rPr>
              <w:t xml:space="preserve">Rješenja o usvajanju zahtjeva za preduzimanje carinskih mjera za zaštitu prava intelektualne svojine </w:t>
            </w:r>
          </w:p>
        </w:tc>
        <w:tc>
          <w:tcPr>
            <w:tcW w:w="1442" w:type="dxa"/>
            <w:shd w:val="clear" w:color="auto" w:fill="auto"/>
          </w:tcPr>
          <w:p w:rsidR="00B135BD" w:rsidRPr="00B135BD" w:rsidRDefault="00B135BD" w:rsidP="00B135BD">
            <w:pPr>
              <w:autoSpaceDE w:val="0"/>
              <w:autoSpaceDN w:val="0"/>
              <w:adjustRightInd w:val="0"/>
              <w:spacing w:before="0" w:after="0" w:line="240" w:lineRule="auto"/>
              <w:jc w:val="center"/>
              <w:rPr>
                <w:rFonts w:ascii="Calibri" w:eastAsia="Calibri" w:hAnsi="Calibri" w:cs="Arial"/>
                <w:szCs w:val="24"/>
                <w:lang w:val="sl-SI"/>
              </w:rPr>
            </w:pPr>
            <w:r w:rsidRPr="00B135BD">
              <w:rPr>
                <w:rFonts w:ascii="Calibri" w:eastAsia="Calibri" w:hAnsi="Calibri" w:cs="Arial"/>
                <w:szCs w:val="24"/>
                <w:lang w:val="sl-SI"/>
              </w:rPr>
              <w:t>137</w:t>
            </w:r>
          </w:p>
        </w:tc>
      </w:tr>
      <w:tr w:rsidR="00B135BD" w:rsidRPr="00B135BD" w:rsidTr="00433074">
        <w:tc>
          <w:tcPr>
            <w:tcW w:w="7338" w:type="dxa"/>
            <w:shd w:val="clear" w:color="auto" w:fill="auto"/>
          </w:tcPr>
          <w:p w:rsidR="00B135BD" w:rsidRPr="00B135BD" w:rsidRDefault="00B135BD" w:rsidP="00B135BD">
            <w:pPr>
              <w:autoSpaceDE w:val="0"/>
              <w:autoSpaceDN w:val="0"/>
              <w:adjustRightInd w:val="0"/>
              <w:spacing w:before="0" w:after="0" w:line="240" w:lineRule="auto"/>
              <w:jc w:val="left"/>
              <w:rPr>
                <w:rFonts w:ascii="Calibri" w:eastAsia="Calibri" w:hAnsi="Calibri" w:cs="Arial"/>
                <w:szCs w:val="24"/>
                <w:lang w:val="sl-SI"/>
              </w:rPr>
            </w:pPr>
            <w:r w:rsidRPr="00B135BD">
              <w:rPr>
                <w:rFonts w:ascii="Calibri" w:eastAsia="Calibri" w:hAnsi="Calibri" w:cs="Arial"/>
                <w:szCs w:val="24"/>
                <w:lang w:val="sl-SI"/>
              </w:rPr>
              <w:t xml:space="preserve">Broj obavezujućih informacija o svrstavanju robe u carinsku tarifu </w:t>
            </w:r>
          </w:p>
        </w:tc>
        <w:tc>
          <w:tcPr>
            <w:tcW w:w="1442" w:type="dxa"/>
            <w:shd w:val="clear" w:color="auto" w:fill="auto"/>
          </w:tcPr>
          <w:p w:rsidR="00B135BD" w:rsidRPr="00B135BD" w:rsidRDefault="00B135BD" w:rsidP="00B135BD">
            <w:pPr>
              <w:autoSpaceDE w:val="0"/>
              <w:autoSpaceDN w:val="0"/>
              <w:adjustRightInd w:val="0"/>
              <w:spacing w:before="0" w:after="0" w:line="240" w:lineRule="auto"/>
              <w:jc w:val="center"/>
              <w:rPr>
                <w:rFonts w:ascii="Calibri" w:eastAsia="Calibri" w:hAnsi="Calibri" w:cs="Arial"/>
                <w:szCs w:val="24"/>
                <w:lang w:val="sl-SI"/>
              </w:rPr>
            </w:pPr>
            <w:r w:rsidRPr="00B135BD">
              <w:rPr>
                <w:rFonts w:ascii="Calibri" w:eastAsia="Calibri" w:hAnsi="Calibri" w:cs="Arial"/>
                <w:szCs w:val="24"/>
                <w:lang w:val="sl-SI"/>
              </w:rPr>
              <w:t>11</w:t>
            </w:r>
          </w:p>
        </w:tc>
      </w:tr>
      <w:tr w:rsidR="00B135BD" w:rsidRPr="00B135BD" w:rsidTr="00433074">
        <w:tc>
          <w:tcPr>
            <w:tcW w:w="7338" w:type="dxa"/>
            <w:shd w:val="clear" w:color="auto" w:fill="auto"/>
          </w:tcPr>
          <w:p w:rsidR="00B135BD" w:rsidRPr="00B135BD" w:rsidRDefault="00B135BD" w:rsidP="00B135BD">
            <w:pPr>
              <w:autoSpaceDE w:val="0"/>
              <w:autoSpaceDN w:val="0"/>
              <w:adjustRightInd w:val="0"/>
              <w:spacing w:before="0" w:after="0" w:line="240" w:lineRule="auto"/>
              <w:jc w:val="left"/>
              <w:rPr>
                <w:rFonts w:ascii="Calibri" w:eastAsia="Calibri" w:hAnsi="Calibri" w:cs="Arial"/>
                <w:szCs w:val="24"/>
                <w:lang w:val="sl-SI"/>
              </w:rPr>
            </w:pPr>
            <w:r w:rsidRPr="00B135BD">
              <w:rPr>
                <w:rFonts w:ascii="Calibri" w:eastAsia="Calibri" w:hAnsi="Calibri" w:cs="Arial"/>
                <w:szCs w:val="24"/>
                <w:lang w:val="sl-SI"/>
              </w:rPr>
              <w:t xml:space="preserve">Broj izdatih mišljenja o svrstavanju robe po carinskoj tarifi </w:t>
            </w:r>
          </w:p>
        </w:tc>
        <w:tc>
          <w:tcPr>
            <w:tcW w:w="1442" w:type="dxa"/>
            <w:shd w:val="clear" w:color="auto" w:fill="auto"/>
          </w:tcPr>
          <w:p w:rsidR="00B135BD" w:rsidRPr="00B135BD" w:rsidRDefault="00B135BD" w:rsidP="00B135BD">
            <w:pPr>
              <w:autoSpaceDE w:val="0"/>
              <w:autoSpaceDN w:val="0"/>
              <w:adjustRightInd w:val="0"/>
              <w:spacing w:before="0" w:after="0" w:line="240" w:lineRule="auto"/>
              <w:jc w:val="center"/>
              <w:rPr>
                <w:rFonts w:ascii="Calibri" w:eastAsia="Calibri" w:hAnsi="Calibri" w:cs="Arial"/>
                <w:szCs w:val="24"/>
                <w:lang w:val="sl-SI"/>
              </w:rPr>
            </w:pPr>
            <w:r w:rsidRPr="00B135BD">
              <w:rPr>
                <w:rFonts w:ascii="Calibri" w:eastAsia="Calibri" w:hAnsi="Calibri" w:cs="Arial"/>
                <w:szCs w:val="24"/>
                <w:lang w:val="sl-SI"/>
              </w:rPr>
              <w:t>19</w:t>
            </w:r>
          </w:p>
        </w:tc>
      </w:tr>
      <w:tr w:rsidR="00B135BD" w:rsidRPr="00B135BD" w:rsidTr="00433074">
        <w:tc>
          <w:tcPr>
            <w:tcW w:w="7338" w:type="dxa"/>
            <w:shd w:val="clear" w:color="auto" w:fill="auto"/>
          </w:tcPr>
          <w:p w:rsidR="00B135BD" w:rsidRPr="00B135BD" w:rsidRDefault="00B135BD" w:rsidP="00B135BD">
            <w:pPr>
              <w:autoSpaceDE w:val="0"/>
              <w:autoSpaceDN w:val="0"/>
              <w:adjustRightInd w:val="0"/>
              <w:spacing w:before="0" w:after="0" w:line="240" w:lineRule="auto"/>
              <w:jc w:val="left"/>
              <w:rPr>
                <w:rFonts w:ascii="Calibri" w:eastAsia="Calibri" w:hAnsi="Calibri" w:cs="Arial"/>
                <w:szCs w:val="24"/>
                <w:lang w:val="sl-SI"/>
              </w:rPr>
            </w:pPr>
            <w:r w:rsidRPr="00B135BD">
              <w:rPr>
                <w:rFonts w:ascii="Calibri" w:eastAsia="Calibri" w:hAnsi="Calibri" w:cs="Arial"/>
                <w:szCs w:val="24"/>
                <w:lang w:val="sl-SI"/>
              </w:rPr>
              <w:t>Broj izdatih nalaza carinske laboratorije</w:t>
            </w:r>
          </w:p>
        </w:tc>
        <w:tc>
          <w:tcPr>
            <w:tcW w:w="1442" w:type="dxa"/>
            <w:shd w:val="clear" w:color="auto" w:fill="auto"/>
          </w:tcPr>
          <w:p w:rsidR="00B135BD" w:rsidRPr="00B135BD" w:rsidRDefault="00B135BD" w:rsidP="00B135BD">
            <w:pPr>
              <w:autoSpaceDE w:val="0"/>
              <w:autoSpaceDN w:val="0"/>
              <w:adjustRightInd w:val="0"/>
              <w:spacing w:before="0" w:after="0" w:line="240" w:lineRule="auto"/>
              <w:jc w:val="center"/>
              <w:rPr>
                <w:rFonts w:ascii="Calibri" w:eastAsia="Calibri" w:hAnsi="Calibri" w:cs="Arial"/>
                <w:szCs w:val="24"/>
                <w:lang w:val="sl-SI"/>
              </w:rPr>
            </w:pPr>
            <w:r w:rsidRPr="00B135BD">
              <w:rPr>
                <w:rFonts w:ascii="Calibri" w:eastAsia="Calibri" w:hAnsi="Calibri" w:cs="Arial"/>
                <w:szCs w:val="24"/>
                <w:lang w:val="sl-SI"/>
              </w:rPr>
              <w:t>7</w:t>
            </w:r>
          </w:p>
        </w:tc>
      </w:tr>
      <w:tr w:rsidR="00B135BD" w:rsidRPr="00B135BD" w:rsidTr="00433074">
        <w:tc>
          <w:tcPr>
            <w:tcW w:w="7338" w:type="dxa"/>
            <w:shd w:val="clear" w:color="auto" w:fill="auto"/>
          </w:tcPr>
          <w:p w:rsidR="00B135BD" w:rsidRPr="00B135BD" w:rsidRDefault="00B135BD" w:rsidP="00B135BD">
            <w:pPr>
              <w:autoSpaceDE w:val="0"/>
              <w:autoSpaceDN w:val="0"/>
              <w:adjustRightInd w:val="0"/>
              <w:spacing w:before="0" w:after="0" w:line="240" w:lineRule="auto"/>
              <w:jc w:val="left"/>
              <w:rPr>
                <w:rFonts w:ascii="Calibri" w:eastAsia="Calibri" w:hAnsi="Calibri" w:cs="Arial"/>
                <w:szCs w:val="24"/>
                <w:lang w:val="sl-SI"/>
              </w:rPr>
            </w:pPr>
            <w:r w:rsidRPr="00B135BD">
              <w:rPr>
                <w:rFonts w:ascii="Calibri" w:eastAsia="Calibri" w:hAnsi="Calibri" w:cs="Arial"/>
                <w:szCs w:val="24"/>
                <w:lang w:val="sl-SI"/>
              </w:rPr>
              <w:t xml:space="preserve">Broj izdatih Odluka o visini instrumenata obezbjeđenja je </w:t>
            </w:r>
          </w:p>
        </w:tc>
        <w:tc>
          <w:tcPr>
            <w:tcW w:w="1442" w:type="dxa"/>
            <w:shd w:val="clear" w:color="auto" w:fill="auto"/>
          </w:tcPr>
          <w:p w:rsidR="00B135BD" w:rsidRPr="00B135BD" w:rsidRDefault="00B135BD" w:rsidP="00B135BD">
            <w:pPr>
              <w:autoSpaceDE w:val="0"/>
              <w:autoSpaceDN w:val="0"/>
              <w:adjustRightInd w:val="0"/>
              <w:spacing w:before="0" w:after="0" w:line="240" w:lineRule="auto"/>
              <w:jc w:val="center"/>
              <w:rPr>
                <w:rFonts w:ascii="Calibri" w:eastAsia="Calibri" w:hAnsi="Calibri" w:cs="Arial"/>
                <w:szCs w:val="24"/>
                <w:lang w:val="sl-SI"/>
              </w:rPr>
            </w:pPr>
            <w:r w:rsidRPr="00B135BD">
              <w:rPr>
                <w:rFonts w:ascii="Calibri" w:eastAsia="Calibri" w:hAnsi="Calibri" w:cs="Arial"/>
                <w:szCs w:val="24"/>
                <w:lang w:val="sl-SI"/>
              </w:rPr>
              <w:t>835</w:t>
            </w:r>
          </w:p>
        </w:tc>
      </w:tr>
      <w:tr w:rsidR="00B135BD" w:rsidRPr="00B135BD" w:rsidTr="00433074">
        <w:tc>
          <w:tcPr>
            <w:tcW w:w="7338" w:type="dxa"/>
            <w:shd w:val="clear" w:color="auto" w:fill="auto"/>
          </w:tcPr>
          <w:p w:rsidR="00B135BD" w:rsidRPr="00B135BD" w:rsidRDefault="00B135BD" w:rsidP="00B135BD">
            <w:pPr>
              <w:autoSpaceDE w:val="0"/>
              <w:autoSpaceDN w:val="0"/>
              <w:adjustRightInd w:val="0"/>
              <w:spacing w:before="0" w:after="0" w:line="240" w:lineRule="auto"/>
              <w:jc w:val="left"/>
              <w:rPr>
                <w:rFonts w:ascii="Calibri" w:eastAsia="Calibri" w:hAnsi="Calibri" w:cs="Arial"/>
                <w:szCs w:val="24"/>
                <w:lang w:val="sl-SI"/>
              </w:rPr>
            </w:pPr>
            <w:r w:rsidRPr="00B135BD">
              <w:rPr>
                <w:rFonts w:ascii="Calibri" w:eastAsia="Calibri" w:hAnsi="Calibri" w:cs="Arial"/>
                <w:szCs w:val="24"/>
                <w:lang w:val="sl-SI"/>
              </w:rPr>
              <w:t>Broj donešenih Rješenja o povraćaju pogrešno plaćenih sredstava</w:t>
            </w:r>
          </w:p>
        </w:tc>
        <w:tc>
          <w:tcPr>
            <w:tcW w:w="1442" w:type="dxa"/>
            <w:shd w:val="clear" w:color="auto" w:fill="auto"/>
          </w:tcPr>
          <w:p w:rsidR="00B135BD" w:rsidRPr="00B135BD" w:rsidRDefault="00B135BD" w:rsidP="00B135BD">
            <w:pPr>
              <w:autoSpaceDE w:val="0"/>
              <w:autoSpaceDN w:val="0"/>
              <w:adjustRightInd w:val="0"/>
              <w:spacing w:before="0" w:after="0" w:line="240" w:lineRule="auto"/>
              <w:jc w:val="center"/>
              <w:rPr>
                <w:rFonts w:ascii="Calibri" w:eastAsia="Calibri" w:hAnsi="Calibri" w:cs="Arial"/>
                <w:szCs w:val="24"/>
                <w:lang w:val="sl-SI"/>
              </w:rPr>
            </w:pPr>
            <w:r w:rsidRPr="00B135BD">
              <w:rPr>
                <w:rFonts w:ascii="Calibri" w:eastAsia="Calibri" w:hAnsi="Calibri" w:cs="Arial"/>
                <w:szCs w:val="24"/>
                <w:lang w:val="sl-SI"/>
              </w:rPr>
              <w:t>85</w:t>
            </w:r>
          </w:p>
        </w:tc>
      </w:tr>
    </w:tbl>
    <w:p w:rsidR="00B135BD" w:rsidRPr="00B135BD" w:rsidRDefault="00B135BD" w:rsidP="00B135BD">
      <w:pPr>
        <w:spacing w:before="0" w:after="0" w:line="240" w:lineRule="auto"/>
        <w:rPr>
          <w:rFonts w:ascii="Calibri" w:eastAsia="Calibri" w:hAnsi="Calibri" w:cs="Arial"/>
          <w:szCs w:val="24"/>
          <w:lang w:val="sl-SI"/>
        </w:rPr>
      </w:pP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Donijeta su rješenja o isplati naknade za putne troškove za 25 službenika i rješenja o isplati naknade za odvojeni život za 24 službenika.Za 4 službenika donijeta su rješenja o isplati novčane pomoći za potrebe njihovog liječenja usled duže i teže bolesti ili članova njihove uže porodice. Za 11 službenika donijeta su rješenja o novčanoj nagradi, povodom obilježavanja Dana carinske službe. Unaprijeđeno je 6 službenika trajnim rasporedom i 1 službenik, rješenjem o privremenom rasporedu.</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U analiziranom periodu pristiglo je ukupno 63 zahtjeva za slobodan pristup informacijama, kojima je tražen pristup u ukupno 102 tačke zahtjeva. U izvještajnom periodu donijeta su 62 rješenja kojima je dozvoljen pristup u ukupno 70 tačaka zahtjeva, a odbijen u 31 tački zahtjeva. Takođe, 1 zahtjev kojim je tražen pristup u 1 tački zahtjeva upućen je Zavodu za statistiku na dalju nadležnost i postupanje.</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lastRenderedPageBreak/>
        <w:t xml:space="preserve">Obrađeno i odgovoreno je na 128 upita međunarodnih organizacija i institucija (OLAF, Interpol, SELEC, WCO i partnerskih službi) i upućeno 9 zahtjeva za pružanje pomoći partnerskim službama. </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U okviru međunarodne bilateralne saradnje sprovedene su aktivnosti u cilju dostavljanja zahtjeva i odgovora za administrativnu pomoć po pitanjima provjere vrijednosti, porijekla, ATA karneta i drugih upita, sa carinskim službama: Italije, Rusije, Francuske, Belgije, Ukrajine, Njemačke, Holandije, Danske, Austrije, Švajcarska, Kosova, Češke, Turske i Poljske, Hrvatske, Srbije, Bosne i Hercegovine, Albanije, Kosova.</w:t>
      </w:r>
    </w:p>
    <w:p w:rsidR="00B135BD" w:rsidRPr="00B135BD" w:rsidRDefault="00B135BD" w:rsidP="00B135BD">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Kontinuirano se dostavljaju odgovori privrednim subjektima i pruža stručna pomoć u pitanjima koja se odnose na sprovođenje carinskih postupaka.</w:t>
      </w:r>
    </w:p>
    <w:p w:rsidR="002F73A8" w:rsidRPr="00B135BD" w:rsidRDefault="002F73A8" w:rsidP="00B135BD">
      <w:pPr>
        <w:spacing w:before="0" w:after="0" w:line="240" w:lineRule="auto"/>
        <w:ind w:firstLine="720"/>
        <w:contextualSpacing/>
        <w:rPr>
          <w:rFonts w:ascii="Calibri" w:eastAsia="Calibri" w:hAnsi="Calibri" w:cs="Arial"/>
          <w:szCs w:val="24"/>
          <w:lang w:val="sl-SI"/>
        </w:rPr>
      </w:pPr>
    </w:p>
    <w:p w:rsidR="005E3B68" w:rsidRPr="005E3B68" w:rsidRDefault="005E3B68" w:rsidP="002F73A8">
      <w:pPr>
        <w:keepNext/>
        <w:keepLines/>
        <w:spacing w:before="0" w:after="0"/>
        <w:ind w:firstLine="709"/>
        <w:jc w:val="left"/>
        <w:outlineLvl w:val="0"/>
        <w:rPr>
          <w:rFonts w:ascii="Calibri" w:eastAsia="Calibri" w:hAnsi="Calibri" w:cs="Times New Roman"/>
          <w:b/>
          <w:szCs w:val="24"/>
          <w:lang w:val="sl-SI"/>
        </w:rPr>
      </w:pPr>
      <w:bookmarkStart w:id="1" w:name="_Toc32574456"/>
      <w:bookmarkStart w:id="2" w:name="_Toc32574474"/>
      <w:bookmarkStart w:id="3" w:name="_Toc32574549"/>
      <w:bookmarkStart w:id="4" w:name="_Toc32584033"/>
      <w:bookmarkStart w:id="5" w:name="_Toc32835765"/>
      <w:bookmarkStart w:id="6" w:name="_Toc32835832"/>
      <w:bookmarkStart w:id="7" w:name="_Toc62197131"/>
      <w:bookmarkStart w:id="8" w:name="_Toc62552700"/>
      <w:bookmarkStart w:id="9" w:name="_Toc62813699"/>
      <w:r w:rsidRPr="005E3B68">
        <w:rPr>
          <w:rFonts w:ascii="Calibri" w:eastAsia="Calibri" w:hAnsi="Calibri" w:cs="Times New Roman"/>
          <w:b/>
          <w:szCs w:val="24"/>
          <w:lang w:val="sl-SI"/>
        </w:rPr>
        <w:t>FINANSIJSKI POKAZATELJI</w:t>
      </w:r>
      <w:bookmarkEnd w:id="1"/>
      <w:bookmarkEnd w:id="2"/>
      <w:bookmarkEnd w:id="3"/>
      <w:bookmarkEnd w:id="4"/>
      <w:bookmarkEnd w:id="5"/>
      <w:bookmarkEnd w:id="6"/>
      <w:bookmarkEnd w:id="7"/>
      <w:bookmarkEnd w:id="8"/>
      <w:bookmarkEnd w:id="9"/>
    </w:p>
    <w:tbl>
      <w:tblPr>
        <w:tblW w:w="9724" w:type="dxa"/>
        <w:tblInd w:w="55" w:type="dxa"/>
        <w:tblCellMar>
          <w:left w:w="70" w:type="dxa"/>
          <w:right w:w="70" w:type="dxa"/>
        </w:tblCellMar>
        <w:tblLook w:val="04A0" w:firstRow="1" w:lastRow="0" w:firstColumn="1" w:lastColumn="0" w:noHBand="0" w:noVBand="1"/>
      </w:tblPr>
      <w:tblGrid>
        <w:gridCol w:w="9870"/>
      </w:tblGrid>
      <w:tr w:rsidR="005E3B68" w:rsidRPr="005E3B68" w:rsidTr="00433074">
        <w:trPr>
          <w:trHeight w:val="930"/>
        </w:trPr>
        <w:tc>
          <w:tcPr>
            <w:tcW w:w="9724" w:type="dxa"/>
            <w:tcBorders>
              <w:top w:val="nil"/>
              <w:left w:val="nil"/>
              <w:bottom w:val="nil"/>
              <w:right w:val="nil"/>
            </w:tcBorders>
            <w:shd w:val="clear" w:color="auto" w:fill="auto"/>
            <w:vAlign w:val="center"/>
            <w:hideMark/>
          </w:tcPr>
          <w:p w:rsidR="005E3B68" w:rsidRPr="005E3B68" w:rsidRDefault="005E3B68" w:rsidP="00433074">
            <w:pPr>
              <w:spacing w:before="0" w:after="0" w:line="240" w:lineRule="auto"/>
              <w:ind w:firstLine="708"/>
              <w:rPr>
                <w:rFonts w:ascii="Calibri" w:eastAsia="Calibri" w:hAnsi="Calibri" w:cs="Times New Roman"/>
                <w:szCs w:val="24"/>
                <w:lang w:val="en-US"/>
              </w:rPr>
            </w:pPr>
            <w:r w:rsidRPr="005E3B68">
              <w:rPr>
                <w:rFonts w:ascii="Calibri" w:eastAsia="Calibri" w:hAnsi="Calibri" w:cs="Times New Roman"/>
                <w:szCs w:val="24"/>
                <w:lang w:val="en-US"/>
              </w:rPr>
              <w:t xml:space="preserve">Ostvarenje efikasne i efektivne naplate prihoda, kroz razvoj i primjenu odgovarajućih propisa, sistema i postupaka obračunavanja i naplate carinskog duga, kao i pripremanje za njihovo upravljanje u skladu sa zahtjevima EU, predstavlja jedan od prioriteta u radu Uprave carina. </w:t>
            </w:r>
          </w:p>
          <w:p w:rsidR="005E3B68" w:rsidRPr="005E3B68" w:rsidRDefault="005E3B68" w:rsidP="00433074">
            <w:pPr>
              <w:keepNext/>
              <w:keepLines/>
              <w:tabs>
                <w:tab w:val="left" w:pos="4962"/>
              </w:tabs>
              <w:spacing w:after="0" w:line="240" w:lineRule="auto"/>
              <w:ind w:hanging="11"/>
              <w:jc w:val="left"/>
              <w:outlineLvl w:val="2"/>
              <w:rPr>
                <w:rFonts w:ascii="Calibri" w:eastAsia="Times New Roman" w:hAnsi="Calibri" w:cs="Times New Roman"/>
                <w:b/>
                <w:bCs/>
                <w:noProof/>
                <w:color w:val="000000"/>
                <w:szCs w:val="24"/>
                <w:lang w:eastAsia="sl-SI"/>
              </w:rPr>
            </w:pPr>
            <w:bookmarkStart w:id="10" w:name="_Toc62552701"/>
            <w:bookmarkStart w:id="11" w:name="_Toc62813700"/>
            <w:r w:rsidRPr="005E3B68">
              <w:rPr>
                <w:rFonts w:ascii="Calibri" w:eastAsia="Times New Roman" w:hAnsi="Calibri" w:cs="Times New Roman"/>
                <w:b/>
                <w:bCs/>
                <w:noProof/>
                <w:color w:val="000000"/>
                <w:szCs w:val="24"/>
                <w:lang w:eastAsia="sl-SI"/>
              </w:rPr>
              <w:t>Ukupno ostvareni prihodi</w:t>
            </w:r>
            <w:bookmarkEnd w:id="10"/>
            <w:bookmarkEnd w:id="11"/>
          </w:p>
          <w:p w:rsidR="005E3B68" w:rsidRPr="005E3B68" w:rsidRDefault="005E3B68" w:rsidP="00433074">
            <w:pPr>
              <w:spacing w:before="0" w:after="0" w:line="240" w:lineRule="auto"/>
              <w:rPr>
                <w:rFonts w:ascii="Calibri" w:eastAsia="Times New Roman" w:hAnsi="Calibri" w:cs="Times New Roman"/>
                <w:iCs/>
                <w:szCs w:val="24"/>
                <w:lang w:val="sl-SI" w:eastAsia="sl-SI"/>
              </w:rPr>
            </w:pPr>
            <w:r w:rsidRPr="005E3B68">
              <w:rPr>
                <w:rFonts w:ascii="Calibri" w:eastAsia="Times New Roman" w:hAnsi="Calibri" w:cs="Times New Roman"/>
                <w:iCs/>
                <w:szCs w:val="24"/>
                <w:lang w:val="sl-SI" w:eastAsia="sl-SI"/>
              </w:rPr>
              <w:t xml:space="preserve">           Ukupno ostvarena naplata prihoda u periodu </w:t>
            </w:r>
            <w:r w:rsidRPr="005E3B68">
              <w:rPr>
                <w:rFonts w:ascii="Calibri" w:eastAsia="Times New Roman" w:hAnsi="Calibri" w:cs="Times New Roman"/>
                <w:b/>
                <w:bCs/>
                <w:iCs/>
                <w:szCs w:val="24"/>
                <w:lang w:val="sl-SI" w:eastAsia="sl-SI"/>
              </w:rPr>
              <w:t xml:space="preserve">januar - decembar 2020.godine </w:t>
            </w:r>
            <w:r w:rsidRPr="005E3B68">
              <w:rPr>
                <w:rFonts w:ascii="Calibri" w:eastAsia="Times New Roman" w:hAnsi="Calibri" w:cs="Times New Roman"/>
                <w:iCs/>
                <w:szCs w:val="24"/>
                <w:lang w:val="sl-SI" w:eastAsia="sl-SI"/>
              </w:rPr>
              <w:t xml:space="preserve">iznosila je </w:t>
            </w:r>
            <w:r w:rsidRPr="005E3B68">
              <w:rPr>
                <w:rFonts w:ascii="Calibri" w:eastAsia="Times New Roman" w:hAnsi="Calibri" w:cs="Times New Roman"/>
                <w:b/>
                <w:bCs/>
                <w:iCs/>
                <w:szCs w:val="24"/>
                <w:lang w:val="sl-SI" w:eastAsia="sl-SI"/>
              </w:rPr>
              <w:t>670.838.111,01 €</w:t>
            </w:r>
            <w:r w:rsidRPr="005E3B68">
              <w:rPr>
                <w:rFonts w:ascii="Calibri" w:eastAsia="Times New Roman" w:hAnsi="Calibri" w:cs="Times New Roman"/>
                <w:iCs/>
                <w:szCs w:val="24"/>
                <w:lang w:val="sl-SI" w:eastAsia="sl-SI"/>
              </w:rPr>
              <w:t xml:space="preserve"> što je u odnosu na isti period prošle godine manje za </w:t>
            </w:r>
            <w:r w:rsidRPr="005E3B68">
              <w:rPr>
                <w:rFonts w:ascii="Calibri" w:eastAsia="Times New Roman" w:hAnsi="Calibri" w:cs="Times New Roman"/>
                <w:b/>
                <w:bCs/>
                <w:iCs/>
                <w:szCs w:val="24"/>
                <w:lang w:val="sl-SI" w:eastAsia="sl-SI"/>
              </w:rPr>
              <w:t xml:space="preserve">148,9 mil € </w:t>
            </w:r>
            <w:r w:rsidRPr="005E3B68">
              <w:rPr>
                <w:rFonts w:ascii="Calibri" w:eastAsia="Times New Roman" w:hAnsi="Calibri" w:cs="Times New Roman"/>
                <w:iCs/>
                <w:szCs w:val="24"/>
                <w:lang w:val="sl-SI" w:eastAsia="sl-SI"/>
              </w:rPr>
              <w:t xml:space="preserve">ili </w:t>
            </w:r>
            <w:r w:rsidRPr="005E3B68">
              <w:rPr>
                <w:rFonts w:ascii="Calibri" w:eastAsia="Times New Roman" w:hAnsi="Calibri" w:cs="Times New Roman"/>
                <w:b/>
                <w:bCs/>
                <w:iCs/>
                <w:szCs w:val="24"/>
                <w:lang w:val="sl-SI" w:eastAsia="sl-SI"/>
              </w:rPr>
              <w:t>18,17%.</w:t>
            </w:r>
          </w:p>
        </w:tc>
      </w:tr>
      <w:tr w:rsidR="005E3B68" w:rsidRPr="005E3B68" w:rsidTr="00433074">
        <w:trPr>
          <w:trHeight w:val="1005"/>
        </w:trPr>
        <w:tc>
          <w:tcPr>
            <w:tcW w:w="9724" w:type="dxa"/>
            <w:tcBorders>
              <w:top w:val="nil"/>
              <w:left w:val="nil"/>
              <w:bottom w:val="nil"/>
              <w:right w:val="nil"/>
            </w:tcBorders>
            <w:shd w:val="clear" w:color="auto" w:fill="auto"/>
            <w:hideMark/>
          </w:tcPr>
          <w:p w:rsidR="005E3B68" w:rsidRDefault="005E3B68" w:rsidP="00433074">
            <w:pPr>
              <w:spacing w:before="0" w:after="0" w:line="240" w:lineRule="auto"/>
              <w:rPr>
                <w:rFonts w:eastAsia="Times New Roman" w:cs="Times New Roman"/>
                <w:b/>
                <w:bCs/>
                <w:iCs/>
                <w:szCs w:val="24"/>
                <w:lang w:val="sl-SI" w:eastAsia="sl-SI"/>
              </w:rPr>
            </w:pPr>
            <w:r w:rsidRPr="005E3B68">
              <w:rPr>
                <w:rFonts w:eastAsia="Times New Roman" w:cs="Times New Roman"/>
                <w:iCs/>
                <w:szCs w:val="24"/>
                <w:lang w:val="sl-SI" w:eastAsia="sl-SI"/>
              </w:rPr>
              <w:t xml:space="preserve">Izvršeno je </w:t>
            </w:r>
            <w:r w:rsidRPr="005E3B68">
              <w:rPr>
                <w:rFonts w:eastAsia="Times New Roman" w:cs="Times New Roman"/>
                <w:bCs/>
                <w:iCs/>
                <w:szCs w:val="24"/>
                <w:lang w:val="sl-SI" w:eastAsia="sl-SI"/>
              </w:rPr>
              <w:t>224 r</w:t>
            </w:r>
            <w:r w:rsidRPr="005E3B68">
              <w:rPr>
                <w:rFonts w:eastAsia="Times New Roman" w:cs="Times New Roman"/>
                <w:iCs/>
                <w:szCs w:val="24"/>
                <w:lang w:val="sl-SI" w:eastAsia="sl-SI"/>
              </w:rPr>
              <w:t xml:space="preserve">ješenja o povraćaju carinskih sredstava u iznosu od </w:t>
            </w:r>
            <w:r w:rsidRPr="005E3B68">
              <w:rPr>
                <w:rFonts w:eastAsia="Times New Roman" w:cs="Times New Roman"/>
                <w:b/>
                <w:bCs/>
                <w:iCs/>
                <w:szCs w:val="24"/>
                <w:lang w:val="sl-SI" w:eastAsia="sl-SI"/>
              </w:rPr>
              <w:t>601.580,09€,</w:t>
            </w:r>
            <w:r w:rsidRPr="005E3B68">
              <w:rPr>
                <w:rFonts w:eastAsia="Times New Roman" w:cs="Times New Roman"/>
                <w:iCs/>
                <w:szCs w:val="24"/>
                <w:lang w:val="sl-SI" w:eastAsia="sl-SI"/>
              </w:rPr>
              <w:t xml:space="preserve"> i</w:t>
            </w:r>
            <w:r w:rsidRPr="005E3B68">
              <w:rPr>
                <w:rFonts w:eastAsia="Times New Roman" w:cs="Times New Roman"/>
                <w:bCs/>
                <w:iCs/>
                <w:szCs w:val="24"/>
                <w:lang w:val="sl-SI" w:eastAsia="sl-SI"/>
              </w:rPr>
              <w:t xml:space="preserve">1.961 </w:t>
            </w:r>
            <w:r w:rsidRPr="005E3B68">
              <w:rPr>
                <w:rFonts w:eastAsia="Times New Roman" w:cs="Times New Roman"/>
                <w:iCs/>
                <w:szCs w:val="24"/>
                <w:lang w:val="sl-SI" w:eastAsia="sl-SI"/>
              </w:rPr>
              <w:t>rješenje o povraćaju akciznih sredstava u iznosu od</w:t>
            </w:r>
            <w:r w:rsidRPr="005E3B68">
              <w:rPr>
                <w:rFonts w:eastAsia="Times New Roman" w:cs="Times New Roman"/>
                <w:b/>
                <w:bCs/>
                <w:iCs/>
                <w:szCs w:val="24"/>
                <w:lang w:val="sl-SI" w:eastAsia="sl-SI"/>
              </w:rPr>
              <w:t xml:space="preserve"> 8.856.751,71€</w:t>
            </w:r>
            <w:r w:rsidRPr="005E3B68">
              <w:rPr>
                <w:rFonts w:eastAsia="Times New Roman" w:cs="Times New Roman"/>
                <w:iCs/>
                <w:szCs w:val="24"/>
                <w:lang w:val="sl-SI" w:eastAsia="sl-SI"/>
              </w:rPr>
              <w:t xml:space="preserve"> i time ostvarena neto naplata prihoda u iznosu od </w:t>
            </w:r>
            <w:r w:rsidRPr="005E3B68">
              <w:rPr>
                <w:rFonts w:eastAsia="Times New Roman" w:cs="Times New Roman"/>
                <w:b/>
                <w:bCs/>
                <w:iCs/>
                <w:szCs w:val="24"/>
                <w:lang w:val="sl-SI" w:eastAsia="sl-SI"/>
              </w:rPr>
              <w:t xml:space="preserve">661.379.779,21€. </w:t>
            </w:r>
            <w:r w:rsidRPr="005E3B68">
              <w:rPr>
                <w:rFonts w:eastAsia="Times New Roman" w:cs="Times New Roman"/>
                <w:iCs/>
                <w:szCs w:val="24"/>
                <w:lang w:val="sl-SI" w:eastAsia="sl-SI"/>
              </w:rPr>
              <w:t>U odnosu na plan budžeta po rebalansu, neto prihodi su na nivou</w:t>
            </w:r>
            <w:r w:rsidRPr="005E3B68">
              <w:rPr>
                <w:rFonts w:eastAsia="Times New Roman" w:cs="Times New Roman"/>
                <w:b/>
                <w:bCs/>
                <w:iCs/>
                <w:szCs w:val="24"/>
                <w:lang w:val="sl-SI" w:eastAsia="sl-SI"/>
              </w:rPr>
              <w:t xml:space="preserve"> 90,20%.</w:t>
            </w:r>
          </w:p>
          <w:p w:rsidR="00433074" w:rsidRPr="005E3B68" w:rsidRDefault="00433074" w:rsidP="00433074">
            <w:pPr>
              <w:spacing w:before="0" w:after="0" w:line="240" w:lineRule="auto"/>
              <w:rPr>
                <w:rFonts w:eastAsia="Times New Roman" w:cs="Times New Roman"/>
                <w:b/>
                <w:bCs/>
                <w:iCs/>
                <w:szCs w:val="24"/>
                <w:lang w:val="sl-SI" w:eastAsia="sl-SI"/>
              </w:rPr>
            </w:pPr>
          </w:p>
          <w:p w:rsidR="005E3B68" w:rsidRPr="005E3B68" w:rsidRDefault="005E3B68" w:rsidP="00433074">
            <w:pPr>
              <w:spacing w:before="0" w:after="0" w:line="240" w:lineRule="auto"/>
              <w:rPr>
                <w:rFonts w:ascii="Times New Roman" w:eastAsia="Times New Roman" w:hAnsi="Times New Roman" w:cs="Times New Roman"/>
                <w:b/>
                <w:bCs/>
                <w:iCs/>
                <w:sz w:val="22"/>
                <w:lang w:val="sl-SI" w:eastAsia="sl-SI"/>
              </w:rPr>
            </w:pPr>
            <w:r w:rsidRPr="005E3B68">
              <w:rPr>
                <w:rFonts w:ascii="Times New Roman" w:eastAsia="Times New Roman" w:hAnsi="Times New Roman" w:cs="Times New Roman"/>
                <w:b/>
                <w:bCs/>
                <w:iCs/>
                <w:sz w:val="22"/>
                <w:lang w:val="sl-SI" w:eastAsia="sl-SI"/>
              </w:rPr>
              <w:t xml:space="preserve">             </w:t>
            </w:r>
            <w:r>
              <w:rPr>
                <w:rFonts w:ascii="Times New Roman" w:eastAsia="Times New Roman" w:hAnsi="Times New Roman" w:cs="Times New Roman"/>
                <w:b/>
                <w:bCs/>
                <w:iCs/>
                <w:sz w:val="22"/>
                <w:lang w:val="sl-SI" w:eastAsia="sl-SI"/>
              </w:rPr>
              <w:t xml:space="preserve">                           </w:t>
            </w:r>
            <w:r w:rsidRPr="005E3B68">
              <w:rPr>
                <w:rFonts w:ascii="Times New Roman" w:eastAsia="Times New Roman" w:hAnsi="Times New Roman" w:cs="Times New Roman"/>
                <w:b/>
                <w:bCs/>
                <w:iCs/>
                <w:sz w:val="22"/>
                <w:lang w:val="sl-SI" w:eastAsia="sl-SI"/>
              </w:rPr>
              <w:t xml:space="preserve"> Grafikon 1: </w:t>
            </w:r>
            <w:r w:rsidRPr="005E3B68">
              <w:rPr>
                <w:rFonts w:ascii="Times New Roman" w:eastAsia="Times New Roman" w:hAnsi="Times New Roman" w:cs="Times New Roman"/>
                <w:bCs/>
                <w:iCs/>
                <w:sz w:val="22"/>
                <w:lang w:val="sl-SI" w:eastAsia="sl-SI"/>
              </w:rPr>
              <w:t>Uporedni pregled naplate prihoda</w:t>
            </w:r>
          </w:p>
          <w:p w:rsidR="005E3B68" w:rsidRPr="005E3B68" w:rsidRDefault="005E3B68" w:rsidP="00433074">
            <w:pPr>
              <w:spacing w:before="0" w:after="0" w:line="240" w:lineRule="auto"/>
              <w:jc w:val="center"/>
              <w:rPr>
                <w:rFonts w:ascii="Times New Roman" w:eastAsia="Times New Roman" w:hAnsi="Times New Roman" w:cs="Times New Roman"/>
                <w:b/>
                <w:bCs/>
                <w:iCs/>
                <w:sz w:val="22"/>
                <w:lang w:val="sl-SI" w:eastAsia="sl-SI"/>
              </w:rPr>
            </w:pPr>
            <w:r w:rsidRPr="005E3B68">
              <w:rPr>
                <w:rFonts w:ascii="Times New Roman" w:eastAsia="Calibri" w:hAnsi="Times New Roman" w:cs="Times New Roman"/>
                <w:noProof/>
                <w:sz w:val="22"/>
                <w:lang w:val="sr-Latn-RS" w:eastAsia="sr-Latn-RS"/>
              </w:rPr>
              <w:drawing>
                <wp:inline distT="0" distB="0" distL="0" distR="0" wp14:anchorId="15DE83FD" wp14:editId="147A3AC2">
                  <wp:extent cx="4572000" cy="2743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E3B68" w:rsidRPr="005E3B68" w:rsidRDefault="005E3B68" w:rsidP="00433074">
            <w:pPr>
              <w:spacing w:before="0" w:after="0" w:line="240" w:lineRule="auto"/>
              <w:jc w:val="left"/>
              <w:rPr>
                <w:rFonts w:ascii="Times New Roman" w:eastAsia="Times New Roman" w:hAnsi="Times New Roman" w:cs="Times New Roman"/>
                <w:b/>
                <w:bCs/>
                <w:i/>
                <w:iCs/>
                <w:sz w:val="22"/>
                <w:lang w:val="sl-SI" w:eastAsia="sl-SI"/>
              </w:rPr>
            </w:pPr>
          </w:p>
          <w:p w:rsidR="005E3B68" w:rsidRPr="005E3B68" w:rsidRDefault="005E3B68" w:rsidP="00433074">
            <w:pPr>
              <w:keepNext/>
              <w:keepLines/>
              <w:tabs>
                <w:tab w:val="left" w:pos="4962"/>
              </w:tabs>
              <w:spacing w:after="0" w:line="240" w:lineRule="auto"/>
              <w:ind w:hanging="11"/>
              <w:jc w:val="left"/>
              <w:outlineLvl w:val="2"/>
              <w:rPr>
                <w:rFonts w:eastAsia="Times New Roman" w:cs="Times New Roman"/>
                <w:b/>
                <w:bCs/>
                <w:noProof/>
                <w:color w:val="000000"/>
                <w:szCs w:val="24"/>
                <w:lang w:eastAsia="sl-SI"/>
              </w:rPr>
            </w:pPr>
            <w:bookmarkStart w:id="12" w:name="_Toc62552702"/>
            <w:bookmarkStart w:id="13" w:name="_Toc62813701"/>
            <w:r w:rsidRPr="005E3B68">
              <w:rPr>
                <w:rFonts w:eastAsia="Times New Roman" w:cs="Times New Roman"/>
                <w:b/>
                <w:bCs/>
                <w:noProof/>
                <w:color w:val="000000"/>
                <w:szCs w:val="24"/>
                <w:lang w:eastAsia="sl-SI"/>
              </w:rPr>
              <w:t>Struktura naplaćenih prihoda</w:t>
            </w:r>
            <w:bookmarkEnd w:id="12"/>
            <w:bookmarkEnd w:id="13"/>
          </w:p>
          <w:tbl>
            <w:tblPr>
              <w:tblW w:w="9584" w:type="dxa"/>
              <w:tblCellMar>
                <w:left w:w="70" w:type="dxa"/>
                <w:right w:w="70" w:type="dxa"/>
              </w:tblCellMar>
              <w:tblLook w:val="04A0" w:firstRow="1" w:lastRow="0" w:firstColumn="1" w:lastColumn="0" w:noHBand="0" w:noVBand="1"/>
            </w:tblPr>
            <w:tblGrid>
              <w:gridCol w:w="2491"/>
              <w:gridCol w:w="1519"/>
              <w:gridCol w:w="1868"/>
              <w:gridCol w:w="1720"/>
              <w:gridCol w:w="2132"/>
            </w:tblGrid>
            <w:tr w:rsidR="005E3B68" w:rsidRPr="005E3B68" w:rsidTr="00433074">
              <w:trPr>
                <w:trHeight w:val="450"/>
              </w:trPr>
              <w:tc>
                <w:tcPr>
                  <w:tcW w:w="9584" w:type="dxa"/>
                  <w:gridSpan w:val="5"/>
                  <w:tcBorders>
                    <w:top w:val="nil"/>
                    <w:left w:val="nil"/>
                    <w:bottom w:val="single" w:sz="4" w:space="0" w:color="auto"/>
                    <w:right w:val="nil"/>
                  </w:tcBorders>
                  <w:shd w:val="clear" w:color="auto" w:fill="auto"/>
                  <w:noWrap/>
                  <w:vAlign w:val="center"/>
                  <w:hideMark/>
                </w:tcPr>
                <w:p w:rsidR="005E3B68" w:rsidRPr="005E3B68" w:rsidRDefault="005E3B68" w:rsidP="00433074">
                  <w:pPr>
                    <w:spacing w:before="0" w:after="0" w:line="240" w:lineRule="auto"/>
                    <w:jc w:val="left"/>
                    <w:rPr>
                      <w:rFonts w:eastAsia="Times New Roman" w:cs="Times New Roman"/>
                      <w:b/>
                      <w:bCs/>
                      <w:i/>
                      <w:iCs/>
                      <w:szCs w:val="24"/>
                      <w:lang w:val="sl-SI" w:eastAsia="sl-SI"/>
                    </w:rPr>
                  </w:pPr>
                  <w:r w:rsidRPr="005E3B68">
                    <w:rPr>
                      <w:rFonts w:eastAsia="Times New Roman" w:cs="Times New Roman"/>
                      <w:b/>
                      <w:bCs/>
                      <w:iCs/>
                      <w:szCs w:val="24"/>
                      <w:lang w:val="sl-SI" w:eastAsia="sl-SI"/>
                    </w:rPr>
                    <w:t>Tabela 1:</w:t>
                  </w:r>
                  <w:r w:rsidRPr="005E3B68">
                    <w:rPr>
                      <w:rFonts w:eastAsia="Times New Roman" w:cs="Times New Roman"/>
                      <w:bCs/>
                      <w:iCs/>
                      <w:szCs w:val="24"/>
                      <w:lang w:val="sl-SI" w:eastAsia="sl-SI"/>
                    </w:rPr>
                    <w:t>Pregled naplate  po vrstama  prihoda u odnosu na prethodnu godinu</w:t>
                  </w:r>
                </w:p>
              </w:tc>
            </w:tr>
            <w:tr w:rsidR="005E3B68" w:rsidRPr="005E3B68" w:rsidTr="00433074">
              <w:trPr>
                <w:trHeight w:val="765"/>
              </w:trPr>
              <w:tc>
                <w:tcPr>
                  <w:tcW w:w="2485" w:type="dxa"/>
                  <w:tcBorders>
                    <w:top w:val="nil"/>
                    <w:left w:val="single" w:sz="4" w:space="0" w:color="auto"/>
                    <w:bottom w:val="double" w:sz="6" w:space="0" w:color="auto"/>
                    <w:right w:val="single" w:sz="4" w:space="0" w:color="auto"/>
                  </w:tcBorders>
                  <w:shd w:val="clear" w:color="000000" w:fill="95B3D7"/>
                  <w:vAlign w:val="center"/>
                  <w:hideMark/>
                </w:tcPr>
                <w:p w:rsidR="005E3B68" w:rsidRPr="005E3B68" w:rsidRDefault="005E3B68" w:rsidP="00433074">
                  <w:pPr>
                    <w:spacing w:before="0" w:after="0" w:line="240" w:lineRule="auto"/>
                    <w:jc w:val="center"/>
                    <w:rPr>
                      <w:rFonts w:ascii="Times New Roman" w:eastAsia="Times New Roman" w:hAnsi="Times New Roman" w:cs="Times New Roman"/>
                      <w:b/>
                      <w:bCs/>
                      <w:i/>
                      <w:iCs/>
                      <w:sz w:val="22"/>
                      <w:lang w:val="sl-SI" w:eastAsia="sl-SI"/>
                    </w:rPr>
                  </w:pPr>
                  <w:r w:rsidRPr="005E3B68">
                    <w:rPr>
                      <w:rFonts w:ascii="Times New Roman" w:eastAsia="Times New Roman" w:hAnsi="Times New Roman" w:cs="Times New Roman"/>
                      <w:b/>
                      <w:bCs/>
                      <w:i/>
                      <w:iCs/>
                      <w:sz w:val="22"/>
                      <w:lang w:val="sl-SI" w:eastAsia="sl-SI"/>
                    </w:rPr>
                    <w:t>VRSTA PRIHODA</w:t>
                  </w:r>
                </w:p>
              </w:tc>
              <w:tc>
                <w:tcPr>
                  <w:tcW w:w="1393" w:type="dxa"/>
                  <w:tcBorders>
                    <w:top w:val="nil"/>
                    <w:left w:val="nil"/>
                    <w:bottom w:val="double" w:sz="6" w:space="0" w:color="auto"/>
                    <w:right w:val="single" w:sz="4" w:space="0" w:color="auto"/>
                  </w:tcBorders>
                  <w:shd w:val="clear" w:color="000000" w:fill="95B3D7"/>
                  <w:vAlign w:val="center"/>
                  <w:hideMark/>
                </w:tcPr>
                <w:p w:rsidR="005E3B68" w:rsidRPr="005E3B68" w:rsidRDefault="005E3B68" w:rsidP="00433074">
                  <w:pPr>
                    <w:spacing w:before="0" w:after="0" w:line="240" w:lineRule="auto"/>
                    <w:jc w:val="center"/>
                    <w:rPr>
                      <w:rFonts w:ascii="Times New Roman" w:eastAsia="Times New Roman" w:hAnsi="Times New Roman" w:cs="Times New Roman"/>
                      <w:b/>
                      <w:bCs/>
                      <w:iCs/>
                      <w:sz w:val="22"/>
                      <w:lang w:val="sl-SI" w:eastAsia="sl-SI"/>
                    </w:rPr>
                  </w:pPr>
                  <w:r w:rsidRPr="005E3B68">
                    <w:rPr>
                      <w:rFonts w:ascii="Times New Roman" w:eastAsia="Times New Roman" w:hAnsi="Times New Roman" w:cs="Times New Roman"/>
                      <w:b/>
                      <w:bCs/>
                      <w:iCs/>
                      <w:sz w:val="22"/>
                      <w:lang w:val="sl-SI" w:eastAsia="sl-SI"/>
                    </w:rPr>
                    <w:t>Ostvareno u 2019.godini</w:t>
                  </w:r>
                </w:p>
              </w:tc>
              <w:tc>
                <w:tcPr>
                  <w:tcW w:w="1863" w:type="dxa"/>
                  <w:tcBorders>
                    <w:top w:val="nil"/>
                    <w:left w:val="nil"/>
                    <w:bottom w:val="double" w:sz="6" w:space="0" w:color="auto"/>
                    <w:right w:val="single" w:sz="4" w:space="0" w:color="auto"/>
                  </w:tcBorders>
                  <w:shd w:val="clear" w:color="000000" w:fill="95B3D7"/>
                  <w:vAlign w:val="center"/>
                  <w:hideMark/>
                </w:tcPr>
                <w:p w:rsidR="005E3B68" w:rsidRPr="005E3B68" w:rsidRDefault="005E3B68" w:rsidP="00433074">
                  <w:pPr>
                    <w:spacing w:before="0" w:after="0" w:line="240" w:lineRule="auto"/>
                    <w:jc w:val="center"/>
                    <w:rPr>
                      <w:rFonts w:ascii="Times New Roman" w:eastAsia="Times New Roman" w:hAnsi="Times New Roman" w:cs="Times New Roman"/>
                      <w:b/>
                      <w:bCs/>
                      <w:iCs/>
                      <w:sz w:val="22"/>
                      <w:lang w:val="sl-SI" w:eastAsia="sl-SI"/>
                    </w:rPr>
                  </w:pPr>
                  <w:r w:rsidRPr="005E3B68">
                    <w:rPr>
                      <w:rFonts w:ascii="Times New Roman" w:eastAsia="Times New Roman" w:hAnsi="Times New Roman" w:cs="Times New Roman"/>
                      <w:b/>
                      <w:bCs/>
                      <w:iCs/>
                      <w:sz w:val="22"/>
                      <w:lang w:val="sl-SI" w:eastAsia="sl-SI"/>
                    </w:rPr>
                    <w:t>Ostvareno u 2020.godini</w:t>
                  </w:r>
                </w:p>
              </w:tc>
              <w:tc>
                <w:tcPr>
                  <w:tcW w:w="1716" w:type="dxa"/>
                  <w:tcBorders>
                    <w:top w:val="nil"/>
                    <w:left w:val="nil"/>
                    <w:bottom w:val="double" w:sz="6" w:space="0" w:color="auto"/>
                    <w:right w:val="single" w:sz="4" w:space="0" w:color="auto"/>
                  </w:tcBorders>
                  <w:shd w:val="clear" w:color="000000" w:fill="95B3D7"/>
                  <w:vAlign w:val="center"/>
                  <w:hideMark/>
                </w:tcPr>
                <w:p w:rsidR="005E3B68" w:rsidRPr="005E3B68" w:rsidRDefault="005E3B68" w:rsidP="00433074">
                  <w:pPr>
                    <w:spacing w:before="0" w:after="0" w:line="240" w:lineRule="auto"/>
                    <w:jc w:val="center"/>
                    <w:rPr>
                      <w:rFonts w:ascii="Times New Roman" w:eastAsia="Times New Roman" w:hAnsi="Times New Roman" w:cs="Times New Roman"/>
                      <w:b/>
                      <w:bCs/>
                      <w:iCs/>
                      <w:sz w:val="22"/>
                      <w:lang w:val="sl-SI" w:eastAsia="sl-SI"/>
                    </w:rPr>
                  </w:pPr>
                  <w:r w:rsidRPr="005E3B68">
                    <w:rPr>
                      <w:rFonts w:ascii="Times New Roman" w:eastAsia="Times New Roman" w:hAnsi="Times New Roman" w:cs="Times New Roman"/>
                      <w:b/>
                      <w:bCs/>
                      <w:iCs/>
                      <w:sz w:val="22"/>
                      <w:lang w:val="sl-SI" w:eastAsia="sl-SI"/>
                    </w:rPr>
                    <w:t>Apsolutno odstupanje</w:t>
                  </w:r>
                </w:p>
              </w:tc>
              <w:tc>
                <w:tcPr>
                  <w:tcW w:w="2127" w:type="dxa"/>
                  <w:tcBorders>
                    <w:top w:val="nil"/>
                    <w:left w:val="nil"/>
                    <w:bottom w:val="double" w:sz="6" w:space="0" w:color="auto"/>
                    <w:right w:val="single" w:sz="4" w:space="0" w:color="auto"/>
                  </w:tcBorders>
                  <w:shd w:val="clear" w:color="000000" w:fill="95B3D7"/>
                  <w:vAlign w:val="center"/>
                  <w:hideMark/>
                </w:tcPr>
                <w:p w:rsidR="005E3B68" w:rsidRPr="005E3B68" w:rsidRDefault="005E3B68" w:rsidP="00433074">
                  <w:pPr>
                    <w:spacing w:before="0" w:after="0" w:line="240" w:lineRule="auto"/>
                    <w:jc w:val="center"/>
                    <w:rPr>
                      <w:rFonts w:ascii="Times New Roman" w:eastAsia="Times New Roman" w:hAnsi="Times New Roman" w:cs="Times New Roman"/>
                      <w:b/>
                      <w:bCs/>
                      <w:iCs/>
                      <w:sz w:val="22"/>
                      <w:lang w:val="sl-SI" w:eastAsia="sl-SI"/>
                    </w:rPr>
                  </w:pPr>
                  <w:r w:rsidRPr="005E3B68">
                    <w:rPr>
                      <w:rFonts w:ascii="Times New Roman" w:eastAsia="Times New Roman" w:hAnsi="Times New Roman" w:cs="Times New Roman"/>
                      <w:b/>
                      <w:bCs/>
                      <w:iCs/>
                      <w:sz w:val="22"/>
                      <w:lang w:val="sl-SI" w:eastAsia="sl-SI"/>
                    </w:rPr>
                    <w:t xml:space="preserve">% ostvarenja u odnosu na 2019 </w:t>
                  </w:r>
                </w:p>
              </w:tc>
            </w:tr>
            <w:tr w:rsidR="005E3B68" w:rsidRPr="005E3B68" w:rsidTr="00433074">
              <w:trPr>
                <w:trHeight w:val="255"/>
              </w:trPr>
              <w:tc>
                <w:tcPr>
                  <w:tcW w:w="2485" w:type="dxa"/>
                  <w:tcBorders>
                    <w:top w:val="nil"/>
                    <w:left w:val="single" w:sz="4" w:space="0" w:color="auto"/>
                    <w:bottom w:val="single" w:sz="4" w:space="0" w:color="auto"/>
                    <w:right w:val="single" w:sz="4" w:space="0" w:color="auto"/>
                  </w:tcBorders>
                  <w:shd w:val="clear" w:color="auto" w:fill="auto"/>
                  <w:noWrap/>
                  <w:vAlign w:val="center"/>
                  <w:hideMark/>
                </w:tcPr>
                <w:p w:rsidR="005E3B68" w:rsidRPr="005E3B68" w:rsidRDefault="005E3B68" w:rsidP="00433074">
                  <w:pPr>
                    <w:spacing w:before="0" w:after="0" w:line="240" w:lineRule="auto"/>
                    <w:jc w:val="left"/>
                    <w:rPr>
                      <w:rFonts w:ascii="Times New Roman" w:eastAsia="Times New Roman" w:hAnsi="Times New Roman" w:cs="Times New Roman"/>
                      <w:i/>
                      <w:iCs/>
                      <w:sz w:val="22"/>
                      <w:lang w:val="sl-SI" w:eastAsia="sl-SI"/>
                    </w:rPr>
                  </w:pPr>
                  <w:r w:rsidRPr="005E3B68">
                    <w:rPr>
                      <w:rFonts w:ascii="Times New Roman" w:eastAsia="Times New Roman" w:hAnsi="Times New Roman" w:cs="Times New Roman"/>
                      <w:i/>
                      <w:iCs/>
                      <w:sz w:val="22"/>
                      <w:lang w:val="sl-SI" w:eastAsia="sl-SI"/>
                    </w:rPr>
                    <w:t>PDV pri uvozu</w:t>
                  </w:r>
                </w:p>
              </w:tc>
              <w:tc>
                <w:tcPr>
                  <w:tcW w:w="1393" w:type="dxa"/>
                  <w:tcBorders>
                    <w:top w:val="nil"/>
                    <w:left w:val="nil"/>
                    <w:bottom w:val="single" w:sz="4" w:space="0" w:color="auto"/>
                    <w:right w:val="single" w:sz="4" w:space="0" w:color="auto"/>
                  </w:tcBorders>
                  <w:shd w:val="clear" w:color="auto" w:fill="auto"/>
                  <w:noWrap/>
                  <w:vAlign w:val="center"/>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543.367.145,33</w:t>
                  </w:r>
                </w:p>
              </w:tc>
              <w:tc>
                <w:tcPr>
                  <w:tcW w:w="1863" w:type="dxa"/>
                  <w:tcBorders>
                    <w:top w:val="nil"/>
                    <w:left w:val="nil"/>
                    <w:bottom w:val="single" w:sz="4" w:space="0" w:color="auto"/>
                    <w:right w:val="single" w:sz="4" w:space="0" w:color="auto"/>
                  </w:tcBorders>
                  <w:shd w:val="clear" w:color="auto" w:fill="auto"/>
                  <w:noWrap/>
                  <w:vAlign w:val="center"/>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431.782.489,11</w:t>
                  </w:r>
                </w:p>
              </w:tc>
              <w:tc>
                <w:tcPr>
                  <w:tcW w:w="1716" w:type="dxa"/>
                  <w:tcBorders>
                    <w:top w:val="nil"/>
                    <w:left w:val="nil"/>
                    <w:bottom w:val="single" w:sz="4" w:space="0" w:color="auto"/>
                    <w:right w:val="single" w:sz="4" w:space="0" w:color="auto"/>
                  </w:tcBorders>
                  <w:shd w:val="clear" w:color="auto" w:fill="auto"/>
                  <w:noWrap/>
                  <w:vAlign w:val="center"/>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-111.584.656,22</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79,46</w:t>
                  </w:r>
                </w:p>
              </w:tc>
            </w:tr>
            <w:tr w:rsidR="005E3B68" w:rsidRPr="005E3B68" w:rsidTr="00433074">
              <w:trPr>
                <w:trHeight w:val="255"/>
              </w:trPr>
              <w:tc>
                <w:tcPr>
                  <w:tcW w:w="2485" w:type="dxa"/>
                  <w:tcBorders>
                    <w:top w:val="nil"/>
                    <w:left w:val="single" w:sz="4" w:space="0" w:color="auto"/>
                    <w:bottom w:val="single" w:sz="4" w:space="0" w:color="auto"/>
                    <w:right w:val="single" w:sz="4" w:space="0" w:color="auto"/>
                  </w:tcBorders>
                  <w:shd w:val="clear" w:color="auto" w:fill="auto"/>
                  <w:noWrap/>
                  <w:vAlign w:val="center"/>
                  <w:hideMark/>
                </w:tcPr>
                <w:p w:rsidR="005E3B68" w:rsidRPr="005E3B68" w:rsidRDefault="005E3B68" w:rsidP="00433074">
                  <w:pPr>
                    <w:spacing w:before="0" w:after="0" w:line="240" w:lineRule="auto"/>
                    <w:jc w:val="left"/>
                    <w:rPr>
                      <w:rFonts w:ascii="Times New Roman" w:eastAsia="Times New Roman" w:hAnsi="Times New Roman" w:cs="Times New Roman"/>
                      <w:i/>
                      <w:iCs/>
                      <w:sz w:val="22"/>
                      <w:lang w:val="sl-SI" w:eastAsia="sl-SI"/>
                    </w:rPr>
                  </w:pPr>
                  <w:r w:rsidRPr="005E3B68">
                    <w:rPr>
                      <w:rFonts w:ascii="Times New Roman" w:eastAsia="Times New Roman" w:hAnsi="Times New Roman" w:cs="Times New Roman"/>
                      <w:i/>
                      <w:iCs/>
                      <w:sz w:val="22"/>
                      <w:lang w:val="sl-SI" w:eastAsia="sl-SI"/>
                    </w:rPr>
                    <w:t>Akciza</w:t>
                  </w:r>
                </w:p>
              </w:tc>
              <w:tc>
                <w:tcPr>
                  <w:tcW w:w="1393" w:type="dxa"/>
                  <w:tcBorders>
                    <w:top w:val="nil"/>
                    <w:left w:val="nil"/>
                    <w:bottom w:val="single" w:sz="4" w:space="0" w:color="auto"/>
                    <w:right w:val="single" w:sz="4" w:space="0" w:color="auto"/>
                  </w:tcBorders>
                  <w:shd w:val="clear" w:color="auto" w:fill="auto"/>
                  <w:noWrap/>
                  <w:vAlign w:val="center"/>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245.434.095,11</w:t>
                  </w:r>
                </w:p>
              </w:tc>
              <w:tc>
                <w:tcPr>
                  <w:tcW w:w="1863" w:type="dxa"/>
                  <w:tcBorders>
                    <w:top w:val="nil"/>
                    <w:left w:val="nil"/>
                    <w:bottom w:val="single" w:sz="4" w:space="0" w:color="auto"/>
                    <w:right w:val="single" w:sz="4" w:space="0" w:color="auto"/>
                  </w:tcBorders>
                  <w:shd w:val="clear" w:color="auto" w:fill="auto"/>
                  <w:noWrap/>
                  <w:vAlign w:val="center"/>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214.251.275,07</w:t>
                  </w:r>
                </w:p>
              </w:tc>
              <w:tc>
                <w:tcPr>
                  <w:tcW w:w="1716" w:type="dxa"/>
                  <w:tcBorders>
                    <w:top w:val="nil"/>
                    <w:left w:val="nil"/>
                    <w:bottom w:val="single" w:sz="4" w:space="0" w:color="auto"/>
                    <w:right w:val="single" w:sz="4" w:space="0" w:color="auto"/>
                  </w:tcBorders>
                  <w:shd w:val="clear" w:color="auto" w:fill="auto"/>
                  <w:noWrap/>
                  <w:vAlign w:val="center"/>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-31.182.820,04</w:t>
                  </w:r>
                </w:p>
              </w:tc>
              <w:tc>
                <w:tcPr>
                  <w:tcW w:w="2127" w:type="dxa"/>
                  <w:tcBorders>
                    <w:top w:val="nil"/>
                    <w:left w:val="nil"/>
                    <w:bottom w:val="single" w:sz="4" w:space="0" w:color="auto"/>
                    <w:right w:val="single" w:sz="4" w:space="0" w:color="auto"/>
                  </w:tcBorders>
                  <w:shd w:val="clear" w:color="auto" w:fill="auto"/>
                  <w:noWrap/>
                  <w:vAlign w:val="bottom"/>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87,29</w:t>
                  </w:r>
                </w:p>
              </w:tc>
            </w:tr>
            <w:tr w:rsidR="005E3B68" w:rsidRPr="005E3B68" w:rsidTr="00433074">
              <w:trPr>
                <w:trHeight w:val="255"/>
              </w:trPr>
              <w:tc>
                <w:tcPr>
                  <w:tcW w:w="2485" w:type="dxa"/>
                  <w:tcBorders>
                    <w:top w:val="nil"/>
                    <w:left w:val="single" w:sz="4" w:space="0" w:color="auto"/>
                    <w:bottom w:val="single" w:sz="4" w:space="0" w:color="auto"/>
                    <w:right w:val="single" w:sz="4" w:space="0" w:color="auto"/>
                  </w:tcBorders>
                  <w:shd w:val="clear" w:color="auto" w:fill="auto"/>
                  <w:noWrap/>
                  <w:vAlign w:val="center"/>
                  <w:hideMark/>
                </w:tcPr>
                <w:p w:rsidR="005E3B68" w:rsidRPr="005E3B68" w:rsidRDefault="005E3B68" w:rsidP="00433074">
                  <w:pPr>
                    <w:spacing w:before="0" w:after="0" w:line="240" w:lineRule="auto"/>
                    <w:jc w:val="left"/>
                    <w:rPr>
                      <w:rFonts w:ascii="Times New Roman" w:eastAsia="Times New Roman" w:hAnsi="Times New Roman" w:cs="Times New Roman"/>
                      <w:i/>
                      <w:iCs/>
                      <w:sz w:val="22"/>
                      <w:lang w:val="sl-SI" w:eastAsia="sl-SI"/>
                    </w:rPr>
                  </w:pPr>
                  <w:r w:rsidRPr="005E3B68">
                    <w:rPr>
                      <w:rFonts w:ascii="Times New Roman" w:eastAsia="Times New Roman" w:hAnsi="Times New Roman" w:cs="Times New Roman"/>
                      <w:i/>
                      <w:iCs/>
                      <w:sz w:val="22"/>
                      <w:lang w:val="sl-SI" w:eastAsia="sl-SI"/>
                    </w:rPr>
                    <w:t>Carina</w:t>
                  </w:r>
                </w:p>
              </w:tc>
              <w:tc>
                <w:tcPr>
                  <w:tcW w:w="1393" w:type="dxa"/>
                  <w:tcBorders>
                    <w:top w:val="nil"/>
                    <w:left w:val="nil"/>
                    <w:bottom w:val="single" w:sz="4" w:space="0" w:color="auto"/>
                    <w:right w:val="single" w:sz="4" w:space="0" w:color="auto"/>
                  </w:tcBorders>
                  <w:shd w:val="clear" w:color="auto" w:fill="auto"/>
                  <w:noWrap/>
                  <w:vAlign w:val="center"/>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28.591.696,93</w:t>
                  </w:r>
                </w:p>
              </w:tc>
              <w:tc>
                <w:tcPr>
                  <w:tcW w:w="1863" w:type="dxa"/>
                  <w:tcBorders>
                    <w:top w:val="nil"/>
                    <w:left w:val="nil"/>
                    <w:bottom w:val="single" w:sz="4" w:space="0" w:color="auto"/>
                    <w:right w:val="single" w:sz="4" w:space="0" w:color="auto"/>
                  </w:tcBorders>
                  <w:shd w:val="clear" w:color="auto" w:fill="auto"/>
                  <w:noWrap/>
                  <w:vAlign w:val="center"/>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22.692.836,36</w:t>
                  </w:r>
                </w:p>
              </w:tc>
              <w:tc>
                <w:tcPr>
                  <w:tcW w:w="1716" w:type="dxa"/>
                  <w:tcBorders>
                    <w:top w:val="nil"/>
                    <w:left w:val="nil"/>
                    <w:bottom w:val="single" w:sz="4" w:space="0" w:color="auto"/>
                    <w:right w:val="single" w:sz="4" w:space="0" w:color="auto"/>
                  </w:tcBorders>
                  <w:shd w:val="clear" w:color="auto" w:fill="auto"/>
                  <w:noWrap/>
                  <w:vAlign w:val="center"/>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-5.898.860,57</w:t>
                  </w:r>
                </w:p>
              </w:tc>
              <w:tc>
                <w:tcPr>
                  <w:tcW w:w="2127" w:type="dxa"/>
                  <w:tcBorders>
                    <w:top w:val="nil"/>
                    <w:left w:val="nil"/>
                    <w:bottom w:val="single" w:sz="4" w:space="0" w:color="auto"/>
                    <w:right w:val="single" w:sz="4" w:space="0" w:color="auto"/>
                  </w:tcBorders>
                  <w:shd w:val="clear" w:color="auto" w:fill="auto"/>
                  <w:noWrap/>
                  <w:vAlign w:val="bottom"/>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79,37</w:t>
                  </w:r>
                </w:p>
              </w:tc>
            </w:tr>
            <w:tr w:rsidR="005E3B68" w:rsidRPr="005E3B68" w:rsidTr="00433074">
              <w:trPr>
                <w:trHeight w:val="255"/>
              </w:trPr>
              <w:tc>
                <w:tcPr>
                  <w:tcW w:w="2485" w:type="dxa"/>
                  <w:tcBorders>
                    <w:top w:val="nil"/>
                    <w:left w:val="single" w:sz="4" w:space="0" w:color="auto"/>
                    <w:bottom w:val="single" w:sz="4" w:space="0" w:color="auto"/>
                    <w:right w:val="single" w:sz="4" w:space="0" w:color="auto"/>
                  </w:tcBorders>
                  <w:shd w:val="clear" w:color="auto" w:fill="auto"/>
                  <w:noWrap/>
                  <w:vAlign w:val="center"/>
                  <w:hideMark/>
                </w:tcPr>
                <w:p w:rsidR="005E3B68" w:rsidRPr="005E3B68" w:rsidRDefault="005E3B68" w:rsidP="00433074">
                  <w:pPr>
                    <w:spacing w:before="0" w:after="0" w:line="240" w:lineRule="auto"/>
                    <w:jc w:val="left"/>
                    <w:rPr>
                      <w:rFonts w:ascii="Times New Roman" w:eastAsia="Times New Roman" w:hAnsi="Times New Roman" w:cs="Times New Roman"/>
                      <w:i/>
                      <w:iCs/>
                      <w:sz w:val="22"/>
                      <w:lang w:val="sl-SI" w:eastAsia="sl-SI"/>
                    </w:rPr>
                  </w:pPr>
                  <w:r w:rsidRPr="005E3B68">
                    <w:rPr>
                      <w:rFonts w:ascii="Times New Roman" w:eastAsia="Times New Roman" w:hAnsi="Times New Roman" w:cs="Times New Roman"/>
                      <w:i/>
                      <w:iCs/>
                      <w:sz w:val="22"/>
                      <w:lang w:val="sl-SI" w:eastAsia="sl-SI"/>
                    </w:rPr>
                    <w:lastRenderedPageBreak/>
                    <w:t>Porez na kafu</w:t>
                  </w:r>
                </w:p>
              </w:tc>
              <w:tc>
                <w:tcPr>
                  <w:tcW w:w="1393" w:type="dxa"/>
                  <w:tcBorders>
                    <w:top w:val="nil"/>
                    <w:left w:val="nil"/>
                    <w:bottom w:val="single" w:sz="4" w:space="0" w:color="auto"/>
                    <w:right w:val="single" w:sz="4" w:space="0" w:color="auto"/>
                  </w:tcBorders>
                  <w:shd w:val="clear" w:color="auto" w:fill="auto"/>
                  <w:noWrap/>
                  <w:vAlign w:val="center"/>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2.273.716,77</w:t>
                  </w:r>
                </w:p>
              </w:tc>
              <w:tc>
                <w:tcPr>
                  <w:tcW w:w="1863" w:type="dxa"/>
                  <w:tcBorders>
                    <w:top w:val="nil"/>
                    <w:left w:val="nil"/>
                    <w:bottom w:val="single" w:sz="4" w:space="0" w:color="auto"/>
                    <w:right w:val="single" w:sz="4" w:space="0" w:color="auto"/>
                  </w:tcBorders>
                  <w:shd w:val="clear" w:color="auto" w:fill="auto"/>
                  <w:noWrap/>
                  <w:vAlign w:val="center"/>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2.003.173,46</w:t>
                  </w:r>
                </w:p>
              </w:tc>
              <w:tc>
                <w:tcPr>
                  <w:tcW w:w="1716" w:type="dxa"/>
                  <w:tcBorders>
                    <w:top w:val="nil"/>
                    <w:left w:val="nil"/>
                    <w:bottom w:val="single" w:sz="4" w:space="0" w:color="auto"/>
                    <w:right w:val="single" w:sz="4" w:space="0" w:color="auto"/>
                  </w:tcBorders>
                  <w:shd w:val="clear" w:color="auto" w:fill="auto"/>
                  <w:noWrap/>
                  <w:vAlign w:val="center"/>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-270.543,31</w:t>
                  </w:r>
                </w:p>
              </w:tc>
              <w:tc>
                <w:tcPr>
                  <w:tcW w:w="2127" w:type="dxa"/>
                  <w:tcBorders>
                    <w:top w:val="nil"/>
                    <w:left w:val="nil"/>
                    <w:bottom w:val="single" w:sz="4" w:space="0" w:color="auto"/>
                    <w:right w:val="single" w:sz="4" w:space="0" w:color="auto"/>
                  </w:tcBorders>
                  <w:shd w:val="clear" w:color="auto" w:fill="auto"/>
                  <w:noWrap/>
                  <w:vAlign w:val="bottom"/>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88,10</w:t>
                  </w:r>
                </w:p>
              </w:tc>
            </w:tr>
            <w:tr w:rsidR="005E3B68" w:rsidRPr="005E3B68" w:rsidTr="00433074">
              <w:trPr>
                <w:trHeight w:val="270"/>
              </w:trPr>
              <w:tc>
                <w:tcPr>
                  <w:tcW w:w="2485" w:type="dxa"/>
                  <w:tcBorders>
                    <w:top w:val="nil"/>
                    <w:left w:val="single" w:sz="4" w:space="0" w:color="auto"/>
                    <w:bottom w:val="double" w:sz="6" w:space="0" w:color="auto"/>
                    <w:right w:val="single" w:sz="4" w:space="0" w:color="auto"/>
                  </w:tcBorders>
                  <w:shd w:val="clear" w:color="auto" w:fill="auto"/>
                  <w:noWrap/>
                  <w:vAlign w:val="center"/>
                  <w:hideMark/>
                </w:tcPr>
                <w:p w:rsidR="005E3B68" w:rsidRPr="005E3B68" w:rsidRDefault="005E3B68" w:rsidP="00433074">
                  <w:pPr>
                    <w:spacing w:before="0" w:after="0" w:line="240" w:lineRule="auto"/>
                    <w:jc w:val="left"/>
                    <w:rPr>
                      <w:rFonts w:ascii="Times New Roman" w:eastAsia="Times New Roman" w:hAnsi="Times New Roman" w:cs="Times New Roman"/>
                      <w:i/>
                      <w:iCs/>
                      <w:sz w:val="22"/>
                      <w:lang w:val="sl-SI" w:eastAsia="sl-SI"/>
                    </w:rPr>
                  </w:pPr>
                  <w:r w:rsidRPr="005E3B68">
                    <w:rPr>
                      <w:rFonts w:ascii="Times New Roman" w:eastAsia="Times New Roman" w:hAnsi="Times New Roman" w:cs="Times New Roman"/>
                      <w:i/>
                      <w:iCs/>
                      <w:sz w:val="22"/>
                      <w:lang w:val="sl-SI" w:eastAsia="sl-SI"/>
                    </w:rPr>
                    <w:t>Ostali prihodi</w:t>
                  </w:r>
                </w:p>
              </w:tc>
              <w:tc>
                <w:tcPr>
                  <w:tcW w:w="1393" w:type="dxa"/>
                  <w:tcBorders>
                    <w:top w:val="nil"/>
                    <w:left w:val="nil"/>
                    <w:bottom w:val="double" w:sz="6" w:space="0" w:color="auto"/>
                    <w:right w:val="single" w:sz="4" w:space="0" w:color="auto"/>
                  </w:tcBorders>
                  <w:shd w:val="clear" w:color="auto" w:fill="auto"/>
                  <w:noWrap/>
                  <w:vAlign w:val="center"/>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88.117,31</w:t>
                  </w:r>
                </w:p>
              </w:tc>
              <w:tc>
                <w:tcPr>
                  <w:tcW w:w="1863" w:type="dxa"/>
                  <w:tcBorders>
                    <w:top w:val="nil"/>
                    <w:left w:val="nil"/>
                    <w:bottom w:val="double" w:sz="6" w:space="0" w:color="auto"/>
                    <w:right w:val="single" w:sz="4" w:space="0" w:color="auto"/>
                  </w:tcBorders>
                  <w:shd w:val="clear" w:color="auto" w:fill="auto"/>
                  <w:noWrap/>
                  <w:vAlign w:val="center"/>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108.337,01</w:t>
                  </w:r>
                </w:p>
              </w:tc>
              <w:tc>
                <w:tcPr>
                  <w:tcW w:w="1716" w:type="dxa"/>
                  <w:tcBorders>
                    <w:top w:val="nil"/>
                    <w:left w:val="nil"/>
                    <w:bottom w:val="double" w:sz="6" w:space="0" w:color="auto"/>
                    <w:right w:val="single" w:sz="4" w:space="0" w:color="auto"/>
                  </w:tcBorders>
                  <w:shd w:val="clear" w:color="auto" w:fill="auto"/>
                  <w:noWrap/>
                  <w:vAlign w:val="center"/>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20.219,70</w:t>
                  </w:r>
                </w:p>
              </w:tc>
              <w:tc>
                <w:tcPr>
                  <w:tcW w:w="2127" w:type="dxa"/>
                  <w:tcBorders>
                    <w:top w:val="nil"/>
                    <w:left w:val="nil"/>
                    <w:bottom w:val="double" w:sz="6" w:space="0" w:color="auto"/>
                    <w:right w:val="single" w:sz="4" w:space="0" w:color="auto"/>
                  </w:tcBorders>
                  <w:shd w:val="clear" w:color="auto" w:fill="auto"/>
                  <w:noWrap/>
                  <w:vAlign w:val="bottom"/>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122,95</w:t>
                  </w:r>
                </w:p>
              </w:tc>
            </w:tr>
            <w:tr w:rsidR="005E3B68" w:rsidRPr="005E3B68" w:rsidTr="00433074">
              <w:trPr>
                <w:trHeight w:val="285"/>
              </w:trPr>
              <w:tc>
                <w:tcPr>
                  <w:tcW w:w="2485" w:type="dxa"/>
                  <w:tcBorders>
                    <w:top w:val="nil"/>
                    <w:left w:val="single" w:sz="4" w:space="0" w:color="auto"/>
                    <w:bottom w:val="double" w:sz="6" w:space="0" w:color="auto"/>
                    <w:right w:val="single" w:sz="4" w:space="0" w:color="auto"/>
                  </w:tcBorders>
                  <w:shd w:val="clear" w:color="000000" w:fill="95B3D7"/>
                  <w:noWrap/>
                  <w:vAlign w:val="center"/>
                  <w:hideMark/>
                </w:tcPr>
                <w:p w:rsidR="005E3B68" w:rsidRPr="005E3B68" w:rsidRDefault="005E3B68" w:rsidP="00433074">
                  <w:pPr>
                    <w:spacing w:before="0" w:after="0" w:line="240" w:lineRule="auto"/>
                    <w:jc w:val="center"/>
                    <w:rPr>
                      <w:rFonts w:ascii="Times New Roman" w:eastAsia="Times New Roman" w:hAnsi="Times New Roman" w:cs="Times New Roman"/>
                      <w:b/>
                      <w:bCs/>
                      <w:i/>
                      <w:iCs/>
                      <w:sz w:val="22"/>
                      <w:lang w:val="sl-SI" w:eastAsia="sl-SI"/>
                    </w:rPr>
                  </w:pPr>
                  <w:r w:rsidRPr="005E3B68">
                    <w:rPr>
                      <w:rFonts w:ascii="Times New Roman" w:eastAsia="Times New Roman" w:hAnsi="Times New Roman" w:cs="Times New Roman"/>
                      <w:b/>
                      <w:bCs/>
                      <w:i/>
                      <w:iCs/>
                      <w:sz w:val="22"/>
                      <w:lang w:val="sl-SI" w:eastAsia="sl-SI"/>
                    </w:rPr>
                    <w:t xml:space="preserve">BRUTO NAPLATA </w:t>
                  </w:r>
                </w:p>
              </w:tc>
              <w:tc>
                <w:tcPr>
                  <w:tcW w:w="1393" w:type="dxa"/>
                  <w:tcBorders>
                    <w:top w:val="single" w:sz="4" w:space="0" w:color="auto"/>
                    <w:left w:val="nil"/>
                    <w:bottom w:val="double" w:sz="6" w:space="0" w:color="auto"/>
                    <w:right w:val="single" w:sz="4" w:space="0" w:color="auto"/>
                  </w:tcBorders>
                  <w:shd w:val="clear" w:color="000000" w:fill="95B3D7"/>
                  <w:noWrap/>
                  <w:vAlign w:val="center"/>
                  <w:hideMark/>
                </w:tcPr>
                <w:p w:rsidR="005E3B68" w:rsidRPr="005E3B68" w:rsidRDefault="005E3B68" w:rsidP="00433074">
                  <w:pPr>
                    <w:spacing w:before="0" w:after="0" w:line="240" w:lineRule="auto"/>
                    <w:jc w:val="right"/>
                    <w:rPr>
                      <w:rFonts w:ascii="Times New Roman" w:eastAsia="Times New Roman" w:hAnsi="Times New Roman" w:cs="Times New Roman"/>
                      <w:b/>
                      <w:bCs/>
                      <w:sz w:val="22"/>
                      <w:lang w:val="sl-SI" w:eastAsia="sl-SI"/>
                    </w:rPr>
                  </w:pPr>
                  <w:r w:rsidRPr="005E3B68">
                    <w:rPr>
                      <w:rFonts w:ascii="Times New Roman" w:eastAsia="Times New Roman" w:hAnsi="Times New Roman" w:cs="Times New Roman"/>
                      <w:b/>
                      <w:bCs/>
                      <w:sz w:val="22"/>
                      <w:lang w:val="sl-SI" w:eastAsia="sl-SI"/>
                    </w:rPr>
                    <w:t>819.754.771,45</w:t>
                  </w:r>
                </w:p>
              </w:tc>
              <w:tc>
                <w:tcPr>
                  <w:tcW w:w="1863" w:type="dxa"/>
                  <w:tcBorders>
                    <w:top w:val="single" w:sz="4" w:space="0" w:color="auto"/>
                    <w:left w:val="nil"/>
                    <w:bottom w:val="double" w:sz="6" w:space="0" w:color="auto"/>
                    <w:right w:val="single" w:sz="4" w:space="0" w:color="auto"/>
                  </w:tcBorders>
                  <w:shd w:val="clear" w:color="000000" w:fill="95B3D7"/>
                  <w:noWrap/>
                  <w:vAlign w:val="center"/>
                  <w:hideMark/>
                </w:tcPr>
                <w:p w:rsidR="005E3B68" w:rsidRPr="005E3B68" w:rsidRDefault="005E3B68" w:rsidP="00433074">
                  <w:pPr>
                    <w:spacing w:before="0" w:after="0" w:line="240" w:lineRule="auto"/>
                    <w:jc w:val="right"/>
                    <w:rPr>
                      <w:rFonts w:ascii="Times New Roman" w:eastAsia="Times New Roman" w:hAnsi="Times New Roman" w:cs="Times New Roman"/>
                      <w:b/>
                      <w:bCs/>
                      <w:sz w:val="22"/>
                      <w:lang w:val="sl-SI" w:eastAsia="sl-SI"/>
                    </w:rPr>
                  </w:pPr>
                  <w:r w:rsidRPr="005E3B68">
                    <w:rPr>
                      <w:rFonts w:ascii="Times New Roman" w:eastAsia="Times New Roman" w:hAnsi="Times New Roman" w:cs="Times New Roman"/>
                      <w:b/>
                      <w:bCs/>
                      <w:sz w:val="22"/>
                      <w:lang w:val="sl-SI" w:eastAsia="sl-SI"/>
                    </w:rPr>
                    <w:t>670.838.111,01</w:t>
                  </w:r>
                </w:p>
              </w:tc>
              <w:tc>
                <w:tcPr>
                  <w:tcW w:w="1716" w:type="dxa"/>
                  <w:tcBorders>
                    <w:top w:val="nil"/>
                    <w:left w:val="nil"/>
                    <w:bottom w:val="double" w:sz="6" w:space="0" w:color="auto"/>
                    <w:right w:val="single" w:sz="4" w:space="0" w:color="auto"/>
                  </w:tcBorders>
                  <w:shd w:val="clear" w:color="000000" w:fill="95B3D7"/>
                  <w:noWrap/>
                  <w:vAlign w:val="center"/>
                  <w:hideMark/>
                </w:tcPr>
                <w:p w:rsidR="005E3B68" w:rsidRPr="005E3B68" w:rsidRDefault="005E3B68" w:rsidP="00433074">
                  <w:pPr>
                    <w:spacing w:before="0" w:after="0" w:line="240" w:lineRule="auto"/>
                    <w:jc w:val="right"/>
                    <w:rPr>
                      <w:rFonts w:ascii="Times New Roman" w:eastAsia="Times New Roman" w:hAnsi="Times New Roman" w:cs="Times New Roman"/>
                      <w:b/>
                      <w:bCs/>
                      <w:sz w:val="22"/>
                      <w:lang w:val="sl-SI" w:eastAsia="sl-SI"/>
                    </w:rPr>
                  </w:pPr>
                  <w:r w:rsidRPr="005E3B68">
                    <w:rPr>
                      <w:rFonts w:ascii="Times New Roman" w:eastAsia="Times New Roman" w:hAnsi="Times New Roman" w:cs="Times New Roman"/>
                      <w:b/>
                      <w:bCs/>
                      <w:sz w:val="22"/>
                      <w:lang w:val="sl-SI" w:eastAsia="sl-SI"/>
                    </w:rPr>
                    <w:t>-148.916.660,44</w:t>
                  </w:r>
                </w:p>
              </w:tc>
              <w:tc>
                <w:tcPr>
                  <w:tcW w:w="2127" w:type="dxa"/>
                  <w:tcBorders>
                    <w:top w:val="nil"/>
                    <w:left w:val="nil"/>
                    <w:bottom w:val="double" w:sz="6" w:space="0" w:color="auto"/>
                    <w:right w:val="single" w:sz="4" w:space="0" w:color="auto"/>
                  </w:tcBorders>
                  <w:shd w:val="clear" w:color="000000" w:fill="95B3D7"/>
                  <w:vAlign w:val="center"/>
                  <w:hideMark/>
                </w:tcPr>
                <w:p w:rsidR="005E3B68" w:rsidRPr="005E3B68" w:rsidRDefault="005E3B68" w:rsidP="00433074">
                  <w:pPr>
                    <w:spacing w:before="0" w:after="0" w:line="240" w:lineRule="auto"/>
                    <w:jc w:val="right"/>
                    <w:rPr>
                      <w:rFonts w:ascii="Times New Roman" w:eastAsia="Times New Roman" w:hAnsi="Times New Roman" w:cs="Times New Roman"/>
                      <w:b/>
                      <w:bCs/>
                      <w:sz w:val="22"/>
                      <w:lang w:val="sl-SI" w:eastAsia="sl-SI"/>
                    </w:rPr>
                  </w:pPr>
                  <w:r w:rsidRPr="005E3B68">
                    <w:rPr>
                      <w:rFonts w:ascii="Times New Roman" w:eastAsia="Times New Roman" w:hAnsi="Times New Roman" w:cs="Times New Roman"/>
                      <w:b/>
                      <w:bCs/>
                      <w:sz w:val="22"/>
                      <w:lang w:val="sl-SI" w:eastAsia="sl-SI"/>
                    </w:rPr>
                    <w:t>81,83</w:t>
                  </w:r>
                </w:p>
              </w:tc>
            </w:tr>
            <w:tr w:rsidR="005E3B68" w:rsidRPr="005E3B68" w:rsidTr="00433074">
              <w:trPr>
                <w:trHeight w:val="256"/>
              </w:trPr>
              <w:tc>
                <w:tcPr>
                  <w:tcW w:w="2485" w:type="dxa"/>
                  <w:tcBorders>
                    <w:top w:val="nil"/>
                    <w:left w:val="single" w:sz="4" w:space="0" w:color="auto"/>
                    <w:bottom w:val="single" w:sz="4" w:space="0" w:color="auto"/>
                    <w:right w:val="single" w:sz="4" w:space="0" w:color="auto"/>
                  </w:tcBorders>
                  <w:shd w:val="clear" w:color="auto" w:fill="auto"/>
                  <w:noWrap/>
                  <w:hideMark/>
                </w:tcPr>
                <w:p w:rsidR="005E3B68" w:rsidRPr="005E3B68" w:rsidRDefault="005E3B68" w:rsidP="00433074">
                  <w:pPr>
                    <w:spacing w:before="0" w:after="0" w:line="240" w:lineRule="auto"/>
                    <w:jc w:val="left"/>
                    <w:rPr>
                      <w:rFonts w:ascii="Times New Roman" w:eastAsia="Times New Roman" w:hAnsi="Times New Roman" w:cs="Times New Roman"/>
                      <w:i/>
                      <w:iCs/>
                      <w:sz w:val="22"/>
                      <w:lang w:val="sl-SI" w:eastAsia="sl-SI"/>
                    </w:rPr>
                  </w:pPr>
                  <w:r w:rsidRPr="005E3B68">
                    <w:rPr>
                      <w:rFonts w:ascii="Times New Roman" w:eastAsia="Times New Roman" w:hAnsi="Times New Roman" w:cs="Times New Roman"/>
                      <w:i/>
                      <w:iCs/>
                      <w:sz w:val="22"/>
                      <w:lang w:val="sl-SI" w:eastAsia="sl-SI"/>
                    </w:rPr>
                    <w:t>Carinski povraćaj sredstava</w:t>
                  </w:r>
                </w:p>
              </w:tc>
              <w:tc>
                <w:tcPr>
                  <w:tcW w:w="1393" w:type="dxa"/>
                  <w:tcBorders>
                    <w:top w:val="nil"/>
                    <w:left w:val="nil"/>
                    <w:bottom w:val="single" w:sz="4" w:space="0" w:color="auto"/>
                    <w:right w:val="single" w:sz="4" w:space="0" w:color="auto"/>
                  </w:tcBorders>
                  <w:shd w:val="clear" w:color="auto" w:fill="auto"/>
                  <w:noWrap/>
                  <w:vAlign w:val="center"/>
                  <w:hideMark/>
                </w:tcPr>
                <w:p w:rsidR="005E3B68" w:rsidRPr="005E3B68" w:rsidRDefault="005E3B68" w:rsidP="00433074">
                  <w:pPr>
                    <w:spacing w:before="0" w:after="0" w:line="240" w:lineRule="auto"/>
                    <w:jc w:val="right"/>
                    <w:rPr>
                      <w:rFonts w:ascii="Times New Roman" w:eastAsia="Calibri" w:hAnsi="Times New Roman" w:cs="Times New Roman"/>
                      <w:sz w:val="22"/>
                      <w:lang w:val="en-US" w:eastAsia="sl-SI"/>
                    </w:rPr>
                  </w:pPr>
                  <w:r w:rsidRPr="005E3B68">
                    <w:rPr>
                      <w:rFonts w:ascii="Times New Roman" w:eastAsia="Calibri" w:hAnsi="Times New Roman" w:cs="Times New Roman"/>
                      <w:sz w:val="22"/>
                      <w:lang w:val="en-US" w:eastAsia="sl-SI"/>
                    </w:rPr>
                    <w:t>1.241.472,61</w:t>
                  </w:r>
                </w:p>
              </w:tc>
              <w:tc>
                <w:tcPr>
                  <w:tcW w:w="1863" w:type="dxa"/>
                  <w:tcBorders>
                    <w:top w:val="nil"/>
                    <w:left w:val="nil"/>
                    <w:bottom w:val="single" w:sz="4" w:space="0" w:color="auto"/>
                    <w:right w:val="single" w:sz="4" w:space="0" w:color="auto"/>
                  </w:tcBorders>
                  <w:shd w:val="clear" w:color="auto" w:fill="auto"/>
                  <w:noWrap/>
                  <w:vAlign w:val="center"/>
                  <w:hideMark/>
                </w:tcPr>
                <w:p w:rsidR="005E3B68" w:rsidRPr="005E3B68" w:rsidRDefault="005E3B68" w:rsidP="00433074">
                  <w:pPr>
                    <w:spacing w:before="0" w:after="0" w:line="240" w:lineRule="auto"/>
                    <w:jc w:val="right"/>
                    <w:rPr>
                      <w:rFonts w:ascii="Times New Roman" w:eastAsia="Calibri" w:hAnsi="Times New Roman" w:cs="Times New Roman"/>
                      <w:sz w:val="22"/>
                      <w:lang w:val="en-US" w:eastAsia="sl-SI"/>
                    </w:rPr>
                  </w:pPr>
                  <w:r w:rsidRPr="005E3B68">
                    <w:rPr>
                      <w:rFonts w:ascii="Times New Roman" w:eastAsia="Calibri" w:hAnsi="Times New Roman" w:cs="Times New Roman"/>
                      <w:sz w:val="22"/>
                      <w:lang w:val="en-US" w:eastAsia="sl-SI"/>
                    </w:rPr>
                    <w:t>601.580,09</w:t>
                  </w:r>
                </w:p>
              </w:tc>
              <w:tc>
                <w:tcPr>
                  <w:tcW w:w="1716" w:type="dxa"/>
                  <w:tcBorders>
                    <w:top w:val="nil"/>
                    <w:left w:val="nil"/>
                    <w:bottom w:val="single" w:sz="4" w:space="0" w:color="auto"/>
                    <w:right w:val="single" w:sz="4" w:space="0" w:color="auto"/>
                  </w:tcBorders>
                  <w:shd w:val="clear" w:color="auto" w:fill="auto"/>
                  <w:noWrap/>
                  <w:vAlign w:val="center"/>
                  <w:hideMark/>
                </w:tcPr>
                <w:p w:rsidR="005E3B68" w:rsidRPr="005E3B68" w:rsidRDefault="005E3B68" w:rsidP="00433074">
                  <w:pPr>
                    <w:spacing w:before="0" w:after="0" w:line="240" w:lineRule="auto"/>
                    <w:jc w:val="right"/>
                    <w:rPr>
                      <w:rFonts w:ascii="Times New Roman" w:eastAsia="Calibri" w:hAnsi="Times New Roman" w:cs="Times New Roman"/>
                      <w:sz w:val="22"/>
                      <w:lang w:val="en-US" w:eastAsia="sl-SI"/>
                    </w:rPr>
                  </w:pPr>
                  <w:r w:rsidRPr="005E3B68">
                    <w:rPr>
                      <w:rFonts w:ascii="Times New Roman" w:eastAsia="Calibri" w:hAnsi="Times New Roman" w:cs="Times New Roman"/>
                      <w:sz w:val="22"/>
                      <w:lang w:val="en-US" w:eastAsia="sl-SI"/>
                    </w:rPr>
                    <w:t>-639.892,52</w:t>
                  </w:r>
                </w:p>
              </w:tc>
              <w:tc>
                <w:tcPr>
                  <w:tcW w:w="2127" w:type="dxa"/>
                  <w:tcBorders>
                    <w:top w:val="nil"/>
                    <w:left w:val="nil"/>
                    <w:bottom w:val="single" w:sz="4" w:space="0" w:color="auto"/>
                    <w:right w:val="single" w:sz="4" w:space="0" w:color="auto"/>
                  </w:tcBorders>
                  <w:shd w:val="clear" w:color="auto" w:fill="auto"/>
                  <w:vAlign w:val="center"/>
                  <w:hideMark/>
                </w:tcPr>
                <w:p w:rsidR="005E3B68" w:rsidRPr="005E3B68" w:rsidRDefault="005E3B68" w:rsidP="00433074">
                  <w:pPr>
                    <w:spacing w:before="0" w:after="0" w:line="240" w:lineRule="auto"/>
                    <w:jc w:val="right"/>
                    <w:rPr>
                      <w:rFonts w:ascii="Times New Roman" w:eastAsia="Calibri" w:hAnsi="Times New Roman" w:cs="Times New Roman"/>
                      <w:sz w:val="22"/>
                      <w:lang w:val="en-US" w:eastAsia="sl-SI"/>
                    </w:rPr>
                  </w:pPr>
                  <w:r w:rsidRPr="005E3B68">
                    <w:rPr>
                      <w:rFonts w:ascii="Times New Roman" w:eastAsia="Calibri" w:hAnsi="Times New Roman" w:cs="Times New Roman"/>
                      <w:sz w:val="22"/>
                      <w:lang w:val="en-US" w:eastAsia="sl-SI"/>
                    </w:rPr>
                    <w:t>48,46</w:t>
                  </w:r>
                </w:p>
              </w:tc>
            </w:tr>
            <w:tr w:rsidR="005E3B68" w:rsidRPr="005E3B68" w:rsidTr="00433074">
              <w:trPr>
                <w:trHeight w:val="255"/>
              </w:trPr>
              <w:tc>
                <w:tcPr>
                  <w:tcW w:w="2485" w:type="dxa"/>
                  <w:tcBorders>
                    <w:top w:val="nil"/>
                    <w:left w:val="single" w:sz="4" w:space="0" w:color="auto"/>
                    <w:bottom w:val="single" w:sz="4" w:space="0" w:color="auto"/>
                    <w:right w:val="single" w:sz="4" w:space="0" w:color="auto"/>
                  </w:tcBorders>
                  <w:shd w:val="clear" w:color="auto" w:fill="auto"/>
                  <w:noWrap/>
                  <w:hideMark/>
                </w:tcPr>
                <w:p w:rsidR="005E3B68" w:rsidRPr="005E3B68" w:rsidRDefault="005E3B68" w:rsidP="00433074">
                  <w:pPr>
                    <w:spacing w:before="0" w:after="0" w:line="240" w:lineRule="auto"/>
                    <w:jc w:val="left"/>
                    <w:rPr>
                      <w:rFonts w:ascii="Times New Roman" w:eastAsia="Times New Roman" w:hAnsi="Times New Roman" w:cs="Times New Roman"/>
                      <w:i/>
                      <w:iCs/>
                      <w:sz w:val="22"/>
                      <w:lang w:val="sl-SI" w:eastAsia="sl-SI"/>
                    </w:rPr>
                  </w:pPr>
                  <w:r w:rsidRPr="005E3B68">
                    <w:rPr>
                      <w:rFonts w:ascii="Times New Roman" w:eastAsia="Times New Roman" w:hAnsi="Times New Roman" w:cs="Times New Roman"/>
                      <w:i/>
                      <w:iCs/>
                      <w:sz w:val="22"/>
                      <w:lang w:val="sl-SI" w:eastAsia="sl-SI"/>
                    </w:rPr>
                    <w:t>Akcizni povraćaj sredstava</w:t>
                  </w:r>
                </w:p>
              </w:tc>
              <w:tc>
                <w:tcPr>
                  <w:tcW w:w="1393" w:type="dxa"/>
                  <w:tcBorders>
                    <w:top w:val="nil"/>
                    <w:left w:val="nil"/>
                    <w:bottom w:val="single" w:sz="4" w:space="0" w:color="auto"/>
                    <w:right w:val="single" w:sz="4" w:space="0" w:color="auto"/>
                  </w:tcBorders>
                  <w:shd w:val="clear" w:color="auto" w:fill="auto"/>
                  <w:noWrap/>
                  <w:vAlign w:val="center"/>
                  <w:hideMark/>
                </w:tcPr>
                <w:p w:rsidR="005E3B68" w:rsidRPr="005E3B68" w:rsidRDefault="005E3B68" w:rsidP="00433074">
                  <w:pPr>
                    <w:spacing w:before="0" w:after="0" w:line="240" w:lineRule="auto"/>
                    <w:jc w:val="right"/>
                    <w:rPr>
                      <w:rFonts w:ascii="Times New Roman" w:eastAsia="Calibri" w:hAnsi="Times New Roman" w:cs="Times New Roman"/>
                      <w:sz w:val="22"/>
                      <w:lang w:val="en-US" w:eastAsia="sl-SI"/>
                    </w:rPr>
                  </w:pPr>
                  <w:r w:rsidRPr="005E3B68">
                    <w:rPr>
                      <w:rFonts w:ascii="Times New Roman" w:eastAsia="Calibri" w:hAnsi="Times New Roman" w:cs="Times New Roman"/>
                      <w:sz w:val="22"/>
                      <w:lang w:val="en-US" w:eastAsia="sl-SI"/>
                    </w:rPr>
                    <w:t>9.918.109,01</w:t>
                  </w:r>
                </w:p>
              </w:tc>
              <w:tc>
                <w:tcPr>
                  <w:tcW w:w="1863" w:type="dxa"/>
                  <w:tcBorders>
                    <w:top w:val="nil"/>
                    <w:left w:val="nil"/>
                    <w:bottom w:val="single" w:sz="4" w:space="0" w:color="auto"/>
                    <w:right w:val="single" w:sz="4" w:space="0" w:color="auto"/>
                  </w:tcBorders>
                  <w:shd w:val="clear" w:color="auto" w:fill="auto"/>
                  <w:noWrap/>
                  <w:vAlign w:val="center"/>
                  <w:hideMark/>
                </w:tcPr>
                <w:p w:rsidR="005E3B68" w:rsidRPr="005E3B68" w:rsidRDefault="005E3B68" w:rsidP="00433074">
                  <w:pPr>
                    <w:spacing w:before="0" w:after="0" w:line="240" w:lineRule="auto"/>
                    <w:jc w:val="right"/>
                    <w:rPr>
                      <w:rFonts w:ascii="Times New Roman" w:eastAsia="Calibri" w:hAnsi="Times New Roman" w:cs="Times New Roman"/>
                      <w:sz w:val="22"/>
                      <w:lang w:val="en-US" w:eastAsia="sl-SI"/>
                    </w:rPr>
                  </w:pPr>
                  <w:r w:rsidRPr="005E3B68">
                    <w:rPr>
                      <w:rFonts w:ascii="Times New Roman" w:eastAsia="Calibri" w:hAnsi="Times New Roman" w:cs="Times New Roman"/>
                      <w:sz w:val="22"/>
                      <w:lang w:val="en-US" w:eastAsia="sl-SI"/>
                    </w:rPr>
                    <w:t>8.856.751,71</w:t>
                  </w:r>
                </w:p>
              </w:tc>
              <w:tc>
                <w:tcPr>
                  <w:tcW w:w="1716" w:type="dxa"/>
                  <w:tcBorders>
                    <w:top w:val="nil"/>
                    <w:left w:val="nil"/>
                    <w:bottom w:val="single" w:sz="4" w:space="0" w:color="auto"/>
                    <w:right w:val="single" w:sz="4" w:space="0" w:color="auto"/>
                  </w:tcBorders>
                  <w:shd w:val="clear" w:color="auto" w:fill="auto"/>
                  <w:noWrap/>
                  <w:vAlign w:val="center"/>
                  <w:hideMark/>
                </w:tcPr>
                <w:p w:rsidR="005E3B68" w:rsidRPr="005E3B68" w:rsidRDefault="005E3B68" w:rsidP="00433074">
                  <w:pPr>
                    <w:spacing w:before="0" w:after="0" w:line="240" w:lineRule="auto"/>
                    <w:jc w:val="right"/>
                    <w:rPr>
                      <w:rFonts w:ascii="Times New Roman" w:eastAsia="Calibri" w:hAnsi="Times New Roman" w:cs="Times New Roman"/>
                      <w:sz w:val="22"/>
                      <w:lang w:val="en-US" w:eastAsia="sl-SI"/>
                    </w:rPr>
                  </w:pPr>
                  <w:r w:rsidRPr="005E3B68">
                    <w:rPr>
                      <w:rFonts w:ascii="Times New Roman" w:eastAsia="Calibri" w:hAnsi="Times New Roman" w:cs="Times New Roman"/>
                      <w:sz w:val="22"/>
                      <w:lang w:val="en-US" w:eastAsia="sl-SI"/>
                    </w:rPr>
                    <w:t>-1.061.357,30</w:t>
                  </w:r>
                </w:p>
              </w:tc>
              <w:tc>
                <w:tcPr>
                  <w:tcW w:w="2127" w:type="dxa"/>
                  <w:tcBorders>
                    <w:top w:val="nil"/>
                    <w:left w:val="nil"/>
                    <w:bottom w:val="single" w:sz="4" w:space="0" w:color="auto"/>
                    <w:right w:val="single" w:sz="4" w:space="0" w:color="auto"/>
                  </w:tcBorders>
                  <w:shd w:val="clear" w:color="auto" w:fill="auto"/>
                  <w:noWrap/>
                  <w:vAlign w:val="center"/>
                  <w:hideMark/>
                </w:tcPr>
                <w:p w:rsidR="005E3B68" w:rsidRPr="005E3B68" w:rsidRDefault="005E3B68" w:rsidP="00433074">
                  <w:pPr>
                    <w:spacing w:before="0" w:after="0" w:line="240" w:lineRule="auto"/>
                    <w:jc w:val="right"/>
                    <w:rPr>
                      <w:rFonts w:ascii="Times New Roman" w:eastAsia="Calibri" w:hAnsi="Times New Roman" w:cs="Times New Roman"/>
                      <w:sz w:val="22"/>
                      <w:lang w:val="en-US" w:eastAsia="sl-SI"/>
                    </w:rPr>
                  </w:pPr>
                  <w:r w:rsidRPr="005E3B68">
                    <w:rPr>
                      <w:rFonts w:ascii="Times New Roman" w:eastAsia="Calibri" w:hAnsi="Times New Roman" w:cs="Times New Roman"/>
                      <w:sz w:val="22"/>
                      <w:lang w:val="en-US" w:eastAsia="sl-SI"/>
                    </w:rPr>
                    <w:t>89,30</w:t>
                  </w:r>
                </w:p>
              </w:tc>
            </w:tr>
            <w:tr w:rsidR="005E3B68" w:rsidRPr="005E3B68" w:rsidTr="00433074">
              <w:trPr>
                <w:trHeight w:val="270"/>
              </w:trPr>
              <w:tc>
                <w:tcPr>
                  <w:tcW w:w="2485" w:type="dxa"/>
                  <w:tcBorders>
                    <w:top w:val="nil"/>
                    <w:left w:val="single" w:sz="4" w:space="0" w:color="auto"/>
                    <w:bottom w:val="double" w:sz="6" w:space="0" w:color="auto"/>
                    <w:right w:val="single" w:sz="4" w:space="0" w:color="auto"/>
                  </w:tcBorders>
                  <w:shd w:val="clear" w:color="000000" w:fill="95B3D7"/>
                  <w:noWrap/>
                  <w:vAlign w:val="center"/>
                  <w:hideMark/>
                </w:tcPr>
                <w:p w:rsidR="005E3B68" w:rsidRPr="005E3B68" w:rsidRDefault="005E3B68" w:rsidP="00433074">
                  <w:pPr>
                    <w:spacing w:before="0" w:after="0" w:line="240" w:lineRule="auto"/>
                    <w:jc w:val="center"/>
                    <w:rPr>
                      <w:rFonts w:ascii="Times New Roman" w:eastAsia="Times New Roman" w:hAnsi="Times New Roman" w:cs="Times New Roman"/>
                      <w:b/>
                      <w:bCs/>
                      <w:i/>
                      <w:iCs/>
                      <w:sz w:val="22"/>
                      <w:lang w:val="sl-SI" w:eastAsia="sl-SI"/>
                    </w:rPr>
                  </w:pPr>
                  <w:r w:rsidRPr="005E3B68">
                    <w:rPr>
                      <w:rFonts w:ascii="Times New Roman" w:eastAsia="Times New Roman" w:hAnsi="Times New Roman" w:cs="Times New Roman"/>
                      <w:b/>
                      <w:bCs/>
                      <w:i/>
                      <w:iCs/>
                      <w:sz w:val="22"/>
                      <w:lang w:val="sl-SI" w:eastAsia="sl-SI"/>
                    </w:rPr>
                    <w:t xml:space="preserve">NETO NAPLATA </w:t>
                  </w:r>
                </w:p>
              </w:tc>
              <w:tc>
                <w:tcPr>
                  <w:tcW w:w="1393" w:type="dxa"/>
                  <w:tcBorders>
                    <w:top w:val="nil"/>
                    <w:left w:val="nil"/>
                    <w:bottom w:val="double" w:sz="6" w:space="0" w:color="auto"/>
                    <w:right w:val="single" w:sz="4" w:space="0" w:color="auto"/>
                  </w:tcBorders>
                  <w:shd w:val="clear" w:color="000000" w:fill="95B3D7"/>
                  <w:noWrap/>
                  <w:vAlign w:val="bottom"/>
                  <w:hideMark/>
                </w:tcPr>
                <w:p w:rsidR="005E3B68" w:rsidRPr="005E3B68" w:rsidRDefault="005E3B68" w:rsidP="00433074">
                  <w:pPr>
                    <w:spacing w:before="0" w:after="0" w:line="240" w:lineRule="auto"/>
                    <w:jc w:val="right"/>
                    <w:rPr>
                      <w:rFonts w:ascii="Times New Roman" w:eastAsia="Times New Roman" w:hAnsi="Times New Roman" w:cs="Times New Roman"/>
                      <w:b/>
                      <w:bCs/>
                      <w:sz w:val="22"/>
                      <w:lang w:val="sl-SI" w:eastAsia="sl-SI"/>
                    </w:rPr>
                  </w:pPr>
                  <w:r w:rsidRPr="005E3B68">
                    <w:rPr>
                      <w:rFonts w:ascii="Times New Roman" w:eastAsia="Times New Roman" w:hAnsi="Times New Roman" w:cs="Times New Roman"/>
                      <w:b/>
                      <w:bCs/>
                      <w:sz w:val="22"/>
                      <w:lang w:val="sl-SI" w:eastAsia="sl-SI"/>
                    </w:rPr>
                    <w:t>808.595.189,83</w:t>
                  </w:r>
                </w:p>
              </w:tc>
              <w:tc>
                <w:tcPr>
                  <w:tcW w:w="1863" w:type="dxa"/>
                  <w:tcBorders>
                    <w:top w:val="nil"/>
                    <w:left w:val="nil"/>
                    <w:bottom w:val="double" w:sz="6" w:space="0" w:color="auto"/>
                    <w:right w:val="single" w:sz="4" w:space="0" w:color="auto"/>
                  </w:tcBorders>
                  <w:shd w:val="clear" w:color="000000" w:fill="95B3D7"/>
                  <w:noWrap/>
                  <w:vAlign w:val="bottom"/>
                  <w:hideMark/>
                </w:tcPr>
                <w:p w:rsidR="005E3B68" w:rsidRPr="005E3B68" w:rsidRDefault="005E3B68" w:rsidP="00433074">
                  <w:pPr>
                    <w:spacing w:before="0" w:after="0" w:line="240" w:lineRule="auto"/>
                    <w:jc w:val="right"/>
                    <w:rPr>
                      <w:rFonts w:ascii="Times New Roman" w:eastAsia="Times New Roman" w:hAnsi="Times New Roman" w:cs="Times New Roman"/>
                      <w:b/>
                      <w:bCs/>
                      <w:sz w:val="22"/>
                      <w:lang w:val="sl-SI" w:eastAsia="sl-SI"/>
                    </w:rPr>
                  </w:pPr>
                  <w:r w:rsidRPr="005E3B68">
                    <w:rPr>
                      <w:rFonts w:ascii="Times New Roman" w:eastAsia="Times New Roman" w:hAnsi="Times New Roman" w:cs="Times New Roman"/>
                      <w:b/>
                      <w:bCs/>
                      <w:sz w:val="22"/>
                      <w:lang w:val="sl-SI" w:eastAsia="sl-SI"/>
                    </w:rPr>
                    <w:t>661.379.779,21</w:t>
                  </w:r>
                </w:p>
              </w:tc>
              <w:tc>
                <w:tcPr>
                  <w:tcW w:w="1716" w:type="dxa"/>
                  <w:tcBorders>
                    <w:top w:val="nil"/>
                    <w:left w:val="nil"/>
                    <w:bottom w:val="double" w:sz="6" w:space="0" w:color="auto"/>
                    <w:right w:val="single" w:sz="4" w:space="0" w:color="auto"/>
                  </w:tcBorders>
                  <w:shd w:val="clear" w:color="000000" w:fill="95B3D7"/>
                  <w:noWrap/>
                  <w:vAlign w:val="bottom"/>
                  <w:hideMark/>
                </w:tcPr>
                <w:p w:rsidR="005E3B68" w:rsidRPr="005E3B68" w:rsidRDefault="005E3B68" w:rsidP="00433074">
                  <w:pPr>
                    <w:spacing w:before="0" w:after="0" w:line="240" w:lineRule="auto"/>
                    <w:jc w:val="right"/>
                    <w:rPr>
                      <w:rFonts w:ascii="Times New Roman" w:eastAsia="Times New Roman" w:hAnsi="Times New Roman" w:cs="Times New Roman"/>
                      <w:b/>
                      <w:bCs/>
                      <w:sz w:val="22"/>
                      <w:lang w:val="sl-SI" w:eastAsia="sl-SI"/>
                    </w:rPr>
                  </w:pPr>
                  <w:r w:rsidRPr="005E3B68">
                    <w:rPr>
                      <w:rFonts w:ascii="Times New Roman" w:eastAsia="Times New Roman" w:hAnsi="Times New Roman" w:cs="Times New Roman"/>
                      <w:b/>
                      <w:bCs/>
                      <w:sz w:val="22"/>
                      <w:lang w:val="sl-SI" w:eastAsia="sl-SI"/>
                    </w:rPr>
                    <w:t>-147.215.410,62</w:t>
                  </w:r>
                </w:p>
              </w:tc>
              <w:tc>
                <w:tcPr>
                  <w:tcW w:w="2127" w:type="dxa"/>
                  <w:tcBorders>
                    <w:top w:val="nil"/>
                    <w:left w:val="nil"/>
                    <w:bottom w:val="double" w:sz="6" w:space="0" w:color="auto"/>
                    <w:right w:val="single" w:sz="4" w:space="0" w:color="auto"/>
                  </w:tcBorders>
                  <w:shd w:val="clear" w:color="000000" w:fill="95B3D7"/>
                  <w:noWrap/>
                  <w:vAlign w:val="bottom"/>
                  <w:hideMark/>
                </w:tcPr>
                <w:p w:rsidR="005E3B68" w:rsidRPr="005E3B68" w:rsidRDefault="005E3B68" w:rsidP="00433074">
                  <w:pPr>
                    <w:spacing w:before="0" w:after="0" w:line="240" w:lineRule="auto"/>
                    <w:jc w:val="right"/>
                    <w:rPr>
                      <w:rFonts w:ascii="Times New Roman" w:eastAsia="Times New Roman" w:hAnsi="Times New Roman" w:cs="Times New Roman"/>
                      <w:b/>
                      <w:bCs/>
                      <w:sz w:val="22"/>
                      <w:lang w:val="sl-SI" w:eastAsia="sl-SI"/>
                    </w:rPr>
                  </w:pPr>
                  <w:r w:rsidRPr="005E3B68">
                    <w:rPr>
                      <w:rFonts w:ascii="Times New Roman" w:eastAsia="Times New Roman" w:hAnsi="Times New Roman" w:cs="Times New Roman"/>
                      <w:b/>
                      <w:bCs/>
                      <w:sz w:val="22"/>
                      <w:lang w:val="sl-SI" w:eastAsia="sl-SI"/>
                    </w:rPr>
                    <w:t>81,79</w:t>
                  </w:r>
                </w:p>
              </w:tc>
            </w:tr>
            <w:tr w:rsidR="005E3B68" w:rsidRPr="005E3B68" w:rsidTr="00433074">
              <w:trPr>
                <w:trHeight w:val="270"/>
              </w:trPr>
              <w:tc>
                <w:tcPr>
                  <w:tcW w:w="2485" w:type="dxa"/>
                  <w:tcBorders>
                    <w:top w:val="nil"/>
                    <w:left w:val="nil"/>
                    <w:bottom w:val="nil"/>
                    <w:right w:val="nil"/>
                  </w:tcBorders>
                  <w:shd w:val="clear" w:color="auto" w:fill="auto"/>
                  <w:noWrap/>
                  <w:vAlign w:val="bottom"/>
                  <w:hideMark/>
                </w:tcPr>
                <w:p w:rsidR="005E3B68" w:rsidRPr="005E3B68" w:rsidRDefault="005E3B68" w:rsidP="00433074">
                  <w:pPr>
                    <w:spacing w:before="0" w:after="0" w:line="240" w:lineRule="auto"/>
                    <w:jc w:val="left"/>
                    <w:rPr>
                      <w:rFonts w:ascii="Times New Roman" w:eastAsia="Times New Roman" w:hAnsi="Times New Roman" w:cs="Times New Roman"/>
                      <w:sz w:val="22"/>
                      <w:lang w:val="sl-SI" w:eastAsia="sl-SI"/>
                    </w:rPr>
                  </w:pPr>
                </w:p>
              </w:tc>
              <w:tc>
                <w:tcPr>
                  <w:tcW w:w="1393" w:type="dxa"/>
                  <w:tcBorders>
                    <w:top w:val="nil"/>
                    <w:left w:val="nil"/>
                    <w:bottom w:val="nil"/>
                    <w:right w:val="nil"/>
                  </w:tcBorders>
                  <w:shd w:val="clear" w:color="auto" w:fill="auto"/>
                  <w:noWrap/>
                  <w:vAlign w:val="bottom"/>
                  <w:hideMark/>
                </w:tcPr>
                <w:p w:rsidR="005E3B68" w:rsidRPr="005E3B68" w:rsidRDefault="005E3B68" w:rsidP="00433074">
                  <w:pPr>
                    <w:spacing w:before="0" w:after="0" w:line="240" w:lineRule="auto"/>
                    <w:jc w:val="left"/>
                    <w:rPr>
                      <w:rFonts w:ascii="Times New Roman" w:eastAsia="Times New Roman" w:hAnsi="Times New Roman" w:cs="Times New Roman"/>
                      <w:sz w:val="22"/>
                      <w:lang w:val="sl-SI" w:eastAsia="sl-SI"/>
                    </w:rPr>
                  </w:pPr>
                </w:p>
              </w:tc>
              <w:tc>
                <w:tcPr>
                  <w:tcW w:w="1863" w:type="dxa"/>
                  <w:tcBorders>
                    <w:top w:val="nil"/>
                    <w:left w:val="nil"/>
                    <w:bottom w:val="nil"/>
                    <w:right w:val="nil"/>
                  </w:tcBorders>
                  <w:shd w:val="clear" w:color="auto" w:fill="auto"/>
                  <w:noWrap/>
                  <w:vAlign w:val="bottom"/>
                  <w:hideMark/>
                </w:tcPr>
                <w:p w:rsidR="005E3B68" w:rsidRPr="005E3B68" w:rsidRDefault="005E3B68" w:rsidP="00433074">
                  <w:pPr>
                    <w:spacing w:before="0" w:after="0" w:line="240" w:lineRule="auto"/>
                    <w:jc w:val="left"/>
                    <w:rPr>
                      <w:rFonts w:ascii="Times New Roman" w:eastAsia="Times New Roman" w:hAnsi="Times New Roman" w:cs="Times New Roman"/>
                      <w:sz w:val="22"/>
                      <w:lang w:val="sl-SI" w:eastAsia="sl-SI"/>
                    </w:rPr>
                  </w:pPr>
                </w:p>
              </w:tc>
              <w:tc>
                <w:tcPr>
                  <w:tcW w:w="1716" w:type="dxa"/>
                  <w:tcBorders>
                    <w:top w:val="nil"/>
                    <w:left w:val="nil"/>
                    <w:bottom w:val="nil"/>
                    <w:right w:val="nil"/>
                  </w:tcBorders>
                  <w:shd w:val="clear" w:color="auto" w:fill="auto"/>
                  <w:noWrap/>
                  <w:vAlign w:val="bottom"/>
                  <w:hideMark/>
                </w:tcPr>
                <w:p w:rsidR="005E3B68" w:rsidRPr="005E3B68" w:rsidRDefault="005E3B68" w:rsidP="00433074">
                  <w:pPr>
                    <w:spacing w:before="0" w:after="0" w:line="240" w:lineRule="auto"/>
                    <w:jc w:val="left"/>
                    <w:rPr>
                      <w:rFonts w:ascii="Times New Roman" w:eastAsia="Times New Roman" w:hAnsi="Times New Roman" w:cs="Times New Roman"/>
                      <w:sz w:val="22"/>
                      <w:lang w:val="sl-SI" w:eastAsia="sl-SI"/>
                    </w:rPr>
                  </w:pPr>
                </w:p>
              </w:tc>
              <w:tc>
                <w:tcPr>
                  <w:tcW w:w="2127" w:type="dxa"/>
                  <w:tcBorders>
                    <w:top w:val="nil"/>
                    <w:left w:val="nil"/>
                    <w:bottom w:val="nil"/>
                    <w:right w:val="nil"/>
                  </w:tcBorders>
                  <w:shd w:val="clear" w:color="auto" w:fill="auto"/>
                  <w:noWrap/>
                  <w:vAlign w:val="bottom"/>
                  <w:hideMark/>
                </w:tcPr>
                <w:p w:rsidR="005E3B68" w:rsidRPr="005E3B68" w:rsidRDefault="005E3B68" w:rsidP="00433074">
                  <w:pPr>
                    <w:spacing w:before="0" w:after="0" w:line="240" w:lineRule="auto"/>
                    <w:jc w:val="left"/>
                    <w:rPr>
                      <w:rFonts w:ascii="Times New Roman" w:eastAsia="Times New Roman" w:hAnsi="Times New Roman" w:cs="Times New Roman"/>
                      <w:sz w:val="22"/>
                      <w:lang w:val="sl-SI" w:eastAsia="sl-SI"/>
                    </w:rPr>
                  </w:pPr>
                </w:p>
              </w:tc>
            </w:tr>
            <w:tr w:rsidR="005E3B68" w:rsidRPr="005E3B68" w:rsidTr="00433074">
              <w:tblPrEx>
                <w:tblCellMar>
                  <w:left w:w="108" w:type="dxa"/>
                  <w:right w:w="108" w:type="dxa"/>
                </w:tblCellMar>
              </w:tblPrEx>
              <w:trPr>
                <w:trHeight w:val="1770"/>
              </w:trPr>
              <w:tc>
                <w:tcPr>
                  <w:tcW w:w="9584" w:type="dxa"/>
                  <w:gridSpan w:val="5"/>
                  <w:tcBorders>
                    <w:top w:val="nil"/>
                    <w:left w:val="nil"/>
                    <w:bottom w:val="nil"/>
                    <w:right w:val="nil"/>
                  </w:tcBorders>
                  <w:shd w:val="clear" w:color="auto" w:fill="auto"/>
                  <w:hideMark/>
                </w:tcPr>
                <w:p w:rsidR="005E3B68" w:rsidRPr="00A27A45" w:rsidRDefault="005E3B68" w:rsidP="00433074">
                  <w:pPr>
                    <w:spacing w:before="0" w:after="0" w:line="240" w:lineRule="auto"/>
                    <w:rPr>
                      <w:rFonts w:eastAsia="Times New Roman" w:cs="Times New Roman"/>
                      <w:iCs/>
                      <w:szCs w:val="24"/>
                      <w:lang w:val="sl-SI" w:eastAsia="sl-SI"/>
                    </w:rPr>
                  </w:pPr>
                  <w:r w:rsidRPr="00A27A45">
                    <w:rPr>
                      <w:rFonts w:eastAsia="Times New Roman" w:cs="Times New Roman"/>
                      <w:iCs/>
                      <w:szCs w:val="24"/>
                      <w:lang w:val="sl-SI" w:eastAsia="sl-SI"/>
                    </w:rPr>
                    <w:t xml:space="preserve">                Prema strukturi naplaćenih prihoda, naplata </w:t>
                  </w:r>
                  <w:r w:rsidRPr="00A27A45">
                    <w:rPr>
                      <w:rFonts w:eastAsia="Times New Roman" w:cs="Times New Roman"/>
                      <w:b/>
                      <w:bCs/>
                      <w:iCs/>
                      <w:szCs w:val="24"/>
                      <w:lang w:val="sl-SI" w:eastAsia="sl-SI"/>
                    </w:rPr>
                    <w:t>PDV-a pri</w:t>
                  </w:r>
                  <w:r w:rsidRPr="00A27A45">
                    <w:rPr>
                      <w:rFonts w:eastAsia="Times New Roman" w:cs="Times New Roman"/>
                      <w:iCs/>
                      <w:szCs w:val="24"/>
                      <w:lang w:val="sl-SI" w:eastAsia="sl-SI"/>
                    </w:rPr>
                    <w:t xml:space="preserve"> uvozu iznosi </w:t>
                  </w:r>
                  <w:r w:rsidRPr="00A27A45">
                    <w:rPr>
                      <w:rFonts w:eastAsia="Times New Roman" w:cs="Times New Roman"/>
                      <w:b/>
                      <w:bCs/>
                      <w:iCs/>
                      <w:szCs w:val="24"/>
                      <w:lang w:val="sl-SI" w:eastAsia="sl-SI"/>
                    </w:rPr>
                    <w:t>431.782.489,11€,</w:t>
                  </w:r>
                  <w:r w:rsidRPr="00A27A45">
                    <w:rPr>
                      <w:rFonts w:eastAsia="Times New Roman" w:cs="Times New Roman"/>
                      <w:iCs/>
                      <w:szCs w:val="24"/>
                      <w:lang w:val="sl-SI" w:eastAsia="sl-SI"/>
                    </w:rPr>
                    <w:t xml:space="preserve">  što je manje za </w:t>
                  </w:r>
                  <w:r w:rsidRPr="00A27A45">
                    <w:rPr>
                      <w:rFonts w:eastAsia="Times New Roman" w:cs="Times New Roman"/>
                      <w:b/>
                      <w:bCs/>
                      <w:iCs/>
                      <w:szCs w:val="24"/>
                      <w:lang w:val="sl-SI" w:eastAsia="sl-SI"/>
                    </w:rPr>
                    <w:t>111.58 mil €,</w:t>
                  </w:r>
                  <w:r w:rsidRPr="00A27A45">
                    <w:rPr>
                      <w:rFonts w:eastAsia="Times New Roman" w:cs="Times New Roman"/>
                      <w:iCs/>
                      <w:szCs w:val="24"/>
                      <w:lang w:val="sl-SI" w:eastAsia="sl-SI"/>
                    </w:rPr>
                    <w:t xml:space="preserve"> ili</w:t>
                  </w:r>
                  <w:r w:rsidRPr="00A27A45">
                    <w:rPr>
                      <w:rFonts w:eastAsia="Times New Roman" w:cs="Times New Roman"/>
                      <w:b/>
                      <w:bCs/>
                      <w:iCs/>
                      <w:szCs w:val="24"/>
                      <w:lang w:val="sl-SI" w:eastAsia="sl-SI"/>
                    </w:rPr>
                    <w:t xml:space="preserve"> 20,54%, </w:t>
                  </w:r>
                  <w:r w:rsidRPr="00A27A45">
                    <w:rPr>
                      <w:rFonts w:eastAsia="Times New Roman" w:cs="Times New Roman"/>
                      <w:iCs/>
                      <w:szCs w:val="24"/>
                      <w:lang w:val="sl-SI" w:eastAsia="sl-SI"/>
                    </w:rPr>
                    <w:t xml:space="preserve">po osnovu akcize  naplaćeno je </w:t>
                  </w:r>
                  <w:r w:rsidRPr="00A27A45">
                    <w:rPr>
                      <w:rFonts w:eastAsia="Times New Roman" w:cs="Times New Roman"/>
                      <w:b/>
                      <w:bCs/>
                      <w:iCs/>
                      <w:szCs w:val="24"/>
                      <w:lang w:val="sl-SI" w:eastAsia="sl-SI"/>
                    </w:rPr>
                    <w:t>214.251.275,07€</w:t>
                  </w:r>
                  <w:r w:rsidRPr="00A27A45">
                    <w:rPr>
                      <w:rFonts w:eastAsia="Times New Roman" w:cs="Times New Roman"/>
                      <w:iCs/>
                      <w:szCs w:val="24"/>
                      <w:lang w:val="sl-SI" w:eastAsia="sl-SI"/>
                    </w:rPr>
                    <w:t xml:space="preserve">,  što je manje za </w:t>
                  </w:r>
                  <w:r w:rsidRPr="00A27A45">
                    <w:rPr>
                      <w:rFonts w:eastAsia="Times New Roman" w:cs="Times New Roman"/>
                      <w:b/>
                      <w:bCs/>
                      <w:iCs/>
                      <w:szCs w:val="24"/>
                      <w:lang w:val="sl-SI" w:eastAsia="sl-SI"/>
                    </w:rPr>
                    <w:t>31,18</w:t>
                  </w:r>
                  <w:r w:rsidRPr="00A27A45">
                    <w:rPr>
                      <w:rFonts w:eastAsia="Times New Roman" w:cs="Times New Roman"/>
                      <w:iCs/>
                      <w:szCs w:val="24"/>
                      <w:lang w:val="sl-SI" w:eastAsia="sl-SI"/>
                    </w:rPr>
                    <w:t xml:space="preserve">mil </w:t>
                  </w:r>
                  <w:r w:rsidRPr="00A27A45">
                    <w:rPr>
                      <w:rFonts w:eastAsia="Times New Roman" w:cs="Times New Roman"/>
                      <w:szCs w:val="24"/>
                      <w:lang w:val="sl-SI" w:eastAsia="sl-SI"/>
                    </w:rPr>
                    <w:t>€</w:t>
                  </w:r>
                  <w:r w:rsidRPr="00A27A45">
                    <w:rPr>
                      <w:rFonts w:eastAsia="Times New Roman" w:cs="Times New Roman"/>
                      <w:iCs/>
                      <w:szCs w:val="24"/>
                      <w:lang w:val="sl-SI" w:eastAsia="sl-SI"/>
                    </w:rPr>
                    <w:t xml:space="preserve">,  ili </w:t>
                  </w:r>
                  <w:r w:rsidRPr="00A27A45">
                    <w:rPr>
                      <w:rFonts w:eastAsia="Times New Roman" w:cs="Times New Roman"/>
                      <w:b/>
                      <w:bCs/>
                      <w:iCs/>
                      <w:szCs w:val="24"/>
                      <w:lang w:val="sl-SI" w:eastAsia="sl-SI"/>
                    </w:rPr>
                    <w:t xml:space="preserve">12,71%. </w:t>
                  </w:r>
                  <w:r w:rsidRPr="00A27A45">
                    <w:rPr>
                      <w:rFonts w:eastAsia="Times New Roman" w:cs="Times New Roman"/>
                      <w:iCs/>
                      <w:szCs w:val="24"/>
                      <w:lang w:val="sl-SI" w:eastAsia="sl-SI"/>
                    </w:rPr>
                    <w:t xml:space="preserve"> Ostvarena naplata po osnovu carine  iznosila je </w:t>
                  </w:r>
                  <w:r w:rsidRPr="00A27A45">
                    <w:rPr>
                      <w:rFonts w:eastAsia="Times New Roman" w:cs="Times New Roman"/>
                      <w:b/>
                      <w:bCs/>
                      <w:iCs/>
                      <w:szCs w:val="24"/>
                      <w:lang w:val="sl-SI" w:eastAsia="sl-SI"/>
                    </w:rPr>
                    <w:t>22.692.836,36€</w:t>
                  </w:r>
                  <w:r w:rsidRPr="00A27A45">
                    <w:rPr>
                      <w:rFonts w:eastAsia="Times New Roman" w:cs="Times New Roman"/>
                      <w:iCs/>
                      <w:szCs w:val="24"/>
                      <w:lang w:val="sl-SI" w:eastAsia="sl-SI"/>
                    </w:rPr>
                    <w:t>, što je manje za</w:t>
                  </w:r>
                  <w:r w:rsidRPr="00A27A45">
                    <w:rPr>
                      <w:rFonts w:eastAsia="Times New Roman" w:cs="Times New Roman"/>
                      <w:b/>
                      <w:bCs/>
                      <w:iCs/>
                      <w:szCs w:val="24"/>
                      <w:lang w:val="sl-SI" w:eastAsia="sl-SI"/>
                    </w:rPr>
                    <w:t xml:space="preserve"> 5.89 mil €,</w:t>
                  </w:r>
                  <w:r w:rsidRPr="00A27A45">
                    <w:rPr>
                      <w:rFonts w:eastAsia="Times New Roman" w:cs="Times New Roman"/>
                      <w:iCs/>
                      <w:szCs w:val="24"/>
                      <w:lang w:val="sl-SI" w:eastAsia="sl-SI"/>
                    </w:rPr>
                    <w:t xml:space="preserve"> ili </w:t>
                  </w:r>
                  <w:r w:rsidRPr="00A27A45">
                    <w:rPr>
                      <w:rFonts w:eastAsia="Times New Roman" w:cs="Times New Roman"/>
                      <w:b/>
                      <w:bCs/>
                      <w:iCs/>
                      <w:szCs w:val="24"/>
                      <w:lang w:val="sl-SI" w:eastAsia="sl-SI"/>
                    </w:rPr>
                    <w:t>20,63%,</w:t>
                  </w:r>
                  <w:r w:rsidRPr="00A27A45">
                    <w:rPr>
                      <w:rFonts w:eastAsia="Times New Roman" w:cs="Times New Roman"/>
                      <w:iCs/>
                      <w:szCs w:val="24"/>
                      <w:lang w:val="sl-SI" w:eastAsia="sl-SI"/>
                    </w:rPr>
                    <w:t xml:space="preserve"> dok je naplata poreza na kafu iznosila </w:t>
                  </w:r>
                  <w:r w:rsidRPr="00A27A45">
                    <w:rPr>
                      <w:rFonts w:eastAsia="Times New Roman" w:cs="Times New Roman"/>
                      <w:b/>
                      <w:bCs/>
                      <w:iCs/>
                      <w:szCs w:val="24"/>
                      <w:lang w:val="sl-SI" w:eastAsia="sl-SI"/>
                    </w:rPr>
                    <w:t>2.003.173,46€,</w:t>
                  </w:r>
                  <w:r w:rsidRPr="00A27A45">
                    <w:rPr>
                      <w:rFonts w:eastAsia="Times New Roman" w:cs="Times New Roman"/>
                      <w:iCs/>
                      <w:szCs w:val="24"/>
                      <w:lang w:val="sl-SI" w:eastAsia="sl-SI"/>
                    </w:rPr>
                    <w:t xml:space="preserve"> što je manje za </w:t>
                  </w:r>
                  <w:r w:rsidRPr="00A27A45">
                    <w:rPr>
                      <w:rFonts w:eastAsia="Times New Roman" w:cs="Times New Roman"/>
                      <w:b/>
                      <w:szCs w:val="24"/>
                      <w:lang w:val="sl-SI" w:eastAsia="sl-SI"/>
                    </w:rPr>
                    <w:t>270.543,31</w:t>
                  </w:r>
                  <w:r w:rsidRPr="00A27A45">
                    <w:rPr>
                      <w:rFonts w:eastAsia="Times New Roman" w:cs="Times New Roman"/>
                      <w:b/>
                      <w:bCs/>
                      <w:iCs/>
                      <w:szCs w:val="24"/>
                      <w:lang w:val="sl-SI" w:eastAsia="sl-SI"/>
                    </w:rPr>
                    <w:t>€</w:t>
                  </w:r>
                  <w:r w:rsidRPr="00A27A45">
                    <w:rPr>
                      <w:rFonts w:eastAsia="Times New Roman" w:cs="Times New Roman"/>
                      <w:iCs/>
                      <w:szCs w:val="24"/>
                      <w:lang w:val="sl-SI" w:eastAsia="sl-SI"/>
                    </w:rPr>
                    <w:t>, ili</w:t>
                  </w:r>
                  <w:r w:rsidRPr="00A27A45">
                    <w:rPr>
                      <w:rFonts w:eastAsia="Times New Roman" w:cs="Times New Roman"/>
                      <w:b/>
                      <w:bCs/>
                      <w:iCs/>
                      <w:szCs w:val="24"/>
                      <w:lang w:val="sl-SI" w:eastAsia="sl-SI"/>
                    </w:rPr>
                    <w:t xml:space="preserve"> 11,90%.</w:t>
                  </w:r>
                </w:p>
                <w:p w:rsidR="005E3B68" w:rsidRPr="005E3B68" w:rsidRDefault="005E3B68" w:rsidP="00433074">
                  <w:pPr>
                    <w:spacing w:before="0" w:after="0" w:line="240" w:lineRule="auto"/>
                    <w:rPr>
                      <w:rFonts w:ascii="Times New Roman" w:eastAsia="Times New Roman" w:hAnsi="Times New Roman" w:cs="Times New Roman"/>
                      <w:iCs/>
                      <w:sz w:val="22"/>
                      <w:lang w:val="sl-SI" w:eastAsia="sl-SI"/>
                    </w:rPr>
                  </w:pPr>
                  <w:r>
                    <w:rPr>
                      <w:rFonts w:ascii="Times New Roman" w:eastAsia="Times New Roman" w:hAnsi="Times New Roman" w:cs="Times New Roman"/>
                      <w:b/>
                      <w:iCs/>
                      <w:sz w:val="22"/>
                      <w:lang w:val="sl-SI" w:eastAsia="sl-SI"/>
                    </w:rPr>
                    <w:t xml:space="preserve">                                            </w:t>
                  </w:r>
                  <w:r w:rsidRPr="005E3B68">
                    <w:rPr>
                      <w:rFonts w:ascii="Times New Roman" w:eastAsia="Times New Roman" w:hAnsi="Times New Roman" w:cs="Times New Roman"/>
                      <w:b/>
                      <w:iCs/>
                      <w:sz w:val="22"/>
                      <w:lang w:val="sl-SI" w:eastAsia="sl-SI"/>
                    </w:rPr>
                    <w:t>Grafikon 2:</w:t>
                  </w:r>
                  <w:r w:rsidRPr="005E3B68">
                    <w:rPr>
                      <w:rFonts w:ascii="Times New Roman" w:eastAsia="Times New Roman" w:hAnsi="Times New Roman" w:cs="Times New Roman"/>
                      <w:iCs/>
                      <w:sz w:val="22"/>
                      <w:lang w:val="sl-SI" w:eastAsia="sl-SI"/>
                    </w:rPr>
                    <w:t xml:space="preserve">Struktura naplate po vrstama prihoda  </w:t>
                  </w:r>
                </w:p>
                <w:p w:rsidR="005E3B68" w:rsidRPr="005E3B68" w:rsidRDefault="005E3B68" w:rsidP="00433074">
                  <w:pPr>
                    <w:spacing w:before="0" w:after="0" w:line="240" w:lineRule="auto"/>
                    <w:jc w:val="center"/>
                    <w:rPr>
                      <w:rFonts w:ascii="Times New Roman" w:eastAsia="Times New Roman" w:hAnsi="Times New Roman" w:cs="Times New Roman"/>
                      <w:iCs/>
                      <w:sz w:val="22"/>
                      <w:lang w:val="sl-SI" w:eastAsia="sl-SI"/>
                    </w:rPr>
                  </w:pPr>
                  <w:r w:rsidRPr="005E3B68">
                    <w:rPr>
                      <w:rFonts w:ascii="Times New Roman" w:eastAsia="Calibri" w:hAnsi="Times New Roman" w:cs="Times New Roman"/>
                      <w:noProof/>
                      <w:sz w:val="22"/>
                      <w:lang w:val="sr-Latn-RS" w:eastAsia="sr-Latn-RS"/>
                    </w:rPr>
                    <w:drawing>
                      <wp:inline distT="0" distB="0" distL="0" distR="0" wp14:anchorId="302CE0A5" wp14:editId="44B2EE50">
                        <wp:extent cx="4405023" cy="2138901"/>
                        <wp:effectExtent l="0" t="0" r="14605" b="1397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bl>
                  <w:tblPr>
                    <w:tblW w:w="9514" w:type="dxa"/>
                    <w:tblCellMar>
                      <w:left w:w="70" w:type="dxa"/>
                      <w:right w:w="70" w:type="dxa"/>
                    </w:tblCellMar>
                    <w:tblLook w:val="04A0" w:firstRow="1" w:lastRow="0" w:firstColumn="1" w:lastColumn="0" w:noHBand="0" w:noVBand="1"/>
                  </w:tblPr>
                  <w:tblGrid>
                    <w:gridCol w:w="1998"/>
                    <w:gridCol w:w="1704"/>
                    <w:gridCol w:w="1985"/>
                    <w:gridCol w:w="1843"/>
                    <w:gridCol w:w="1984"/>
                  </w:tblGrid>
                  <w:tr w:rsidR="005E3B68" w:rsidRPr="005E3B68" w:rsidTr="00433074">
                    <w:trPr>
                      <w:trHeight w:val="645"/>
                    </w:trPr>
                    <w:tc>
                      <w:tcPr>
                        <w:tcW w:w="9514" w:type="dxa"/>
                        <w:gridSpan w:val="5"/>
                        <w:tcBorders>
                          <w:top w:val="nil"/>
                          <w:left w:val="nil"/>
                          <w:bottom w:val="single" w:sz="4" w:space="0" w:color="auto"/>
                          <w:right w:val="nil"/>
                        </w:tcBorders>
                        <w:shd w:val="clear" w:color="auto" w:fill="auto"/>
                        <w:noWrap/>
                        <w:vAlign w:val="center"/>
                        <w:hideMark/>
                      </w:tcPr>
                      <w:p w:rsidR="005E3B68" w:rsidRPr="005E3B68" w:rsidRDefault="005E3B68" w:rsidP="00433074">
                        <w:pPr>
                          <w:spacing w:before="0" w:after="0" w:line="240" w:lineRule="auto"/>
                          <w:jc w:val="left"/>
                          <w:rPr>
                            <w:rFonts w:eastAsia="Times New Roman" w:cs="Times New Roman"/>
                            <w:b/>
                            <w:bCs/>
                            <w:i/>
                            <w:iCs/>
                            <w:szCs w:val="24"/>
                            <w:lang w:val="sl-SI" w:eastAsia="sl-SI"/>
                          </w:rPr>
                        </w:pPr>
                        <w:r w:rsidRPr="005E3B68">
                          <w:rPr>
                            <w:rFonts w:eastAsia="Times New Roman" w:cs="Times New Roman"/>
                            <w:b/>
                            <w:bCs/>
                            <w:iCs/>
                            <w:szCs w:val="24"/>
                            <w:lang w:val="sl-SI" w:eastAsia="sl-SI"/>
                          </w:rPr>
                          <w:t xml:space="preserve">Tabela 2: </w:t>
                        </w:r>
                        <w:r w:rsidRPr="005E3B68">
                          <w:rPr>
                            <w:rFonts w:eastAsia="Times New Roman" w:cs="Times New Roman"/>
                            <w:bCs/>
                            <w:iCs/>
                            <w:szCs w:val="24"/>
                            <w:lang w:val="sl-SI" w:eastAsia="sl-SI"/>
                          </w:rPr>
                          <w:t>Pregled neto naplate prihoda u odnosu na dinamički plan budžeta</w:t>
                        </w:r>
                      </w:p>
                    </w:tc>
                  </w:tr>
                  <w:tr w:rsidR="005E3B68" w:rsidRPr="005E3B68" w:rsidTr="00433074">
                    <w:trPr>
                      <w:trHeight w:val="645"/>
                    </w:trPr>
                    <w:tc>
                      <w:tcPr>
                        <w:tcW w:w="1998" w:type="dxa"/>
                        <w:tcBorders>
                          <w:top w:val="nil"/>
                          <w:left w:val="single" w:sz="4" w:space="0" w:color="auto"/>
                          <w:bottom w:val="double" w:sz="6" w:space="0" w:color="auto"/>
                          <w:right w:val="single" w:sz="4" w:space="0" w:color="auto"/>
                        </w:tcBorders>
                        <w:shd w:val="clear" w:color="000000" w:fill="8DB4E2"/>
                        <w:vAlign w:val="center"/>
                        <w:hideMark/>
                      </w:tcPr>
                      <w:p w:rsidR="005E3B68" w:rsidRPr="005E3B68" w:rsidRDefault="005E3B68" w:rsidP="00433074">
                        <w:pPr>
                          <w:spacing w:before="0" w:after="0" w:line="240" w:lineRule="auto"/>
                          <w:jc w:val="center"/>
                          <w:rPr>
                            <w:rFonts w:ascii="Times New Roman" w:eastAsia="Times New Roman" w:hAnsi="Times New Roman" w:cs="Times New Roman"/>
                            <w:b/>
                            <w:bCs/>
                            <w:i/>
                            <w:iCs/>
                            <w:sz w:val="22"/>
                            <w:lang w:val="sl-SI" w:eastAsia="sl-SI"/>
                          </w:rPr>
                        </w:pPr>
                        <w:r w:rsidRPr="005E3B68">
                          <w:rPr>
                            <w:rFonts w:ascii="Times New Roman" w:eastAsia="Times New Roman" w:hAnsi="Times New Roman" w:cs="Times New Roman"/>
                            <w:b/>
                            <w:bCs/>
                            <w:i/>
                            <w:iCs/>
                            <w:sz w:val="22"/>
                            <w:lang w:val="sl-SI" w:eastAsia="sl-SI"/>
                          </w:rPr>
                          <w:t>VRSTA PRIHODA</w:t>
                        </w:r>
                      </w:p>
                    </w:tc>
                    <w:tc>
                      <w:tcPr>
                        <w:tcW w:w="1704" w:type="dxa"/>
                        <w:tcBorders>
                          <w:top w:val="nil"/>
                          <w:left w:val="nil"/>
                          <w:bottom w:val="double" w:sz="6" w:space="0" w:color="auto"/>
                          <w:right w:val="single" w:sz="4" w:space="0" w:color="auto"/>
                        </w:tcBorders>
                        <w:shd w:val="clear" w:color="000000" w:fill="8DB4E2"/>
                        <w:vAlign w:val="center"/>
                        <w:hideMark/>
                      </w:tcPr>
                      <w:p w:rsidR="005E3B68" w:rsidRPr="005E3B68" w:rsidRDefault="005E3B68" w:rsidP="00433074">
                        <w:pPr>
                          <w:spacing w:before="0" w:after="0" w:line="240" w:lineRule="auto"/>
                          <w:jc w:val="center"/>
                          <w:rPr>
                            <w:rFonts w:ascii="Times New Roman" w:eastAsia="Times New Roman" w:hAnsi="Times New Roman" w:cs="Times New Roman"/>
                            <w:b/>
                            <w:bCs/>
                            <w:iCs/>
                            <w:sz w:val="22"/>
                            <w:lang w:val="sl-SI" w:eastAsia="sl-SI"/>
                          </w:rPr>
                        </w:pPr>
                        <w:r w:rsidRPr="005E3B68">
                          <w:rPr>
                            <w:rFonts w:ascii="Times New Roman" w:eastAsia="Times New Roman" w:hAnsi="Times New Roman" w:cs="Times New Roman"/>
                            <w:b/>
                            <w:bCs/>
                            <w:iCs/>
                            <w:sz w:val="22"/>
                            <w:lang w:val="sl-SI" w:eastAsia="sl-SI"/>
                          </w:rPr>
                          <w:t>Planirano u 2020.godini</w:t>
                        </w:r>
                      </w:p>
                    </w:tc>
                    <w:tc>
                      <w:tcPr>
                        <w:tcW w:w="1985" w:type="dxa"/>
                        <w:tcBorders>
                          <w:top w:val="nil"/>
                          <w:left w:val="nil"/>
                          <w:bottom w:val="double" w:sz="6" w:space="0" w:color="auto"/>
                          <w:right w:val="single" w:sz="4" w:space="0" w:color="auto"/>
                        </w:tcBorders>
                        <w:shd w:val="clear" w:color="000000" w:fill="8DB4E2"/>
                        <w:vAlign w:val="center"/>
                        <w:hideMark/>
                      </w:tcPr>
                      <w:p w:rsidR="005E3B68" w:rsidRPr="005E3B68" w:rsidRDefault="005E3B68" w:rsidP="00433074">
                        <w:pPr>
                          <w:spacing w:before="0" w:after="0" w:line="240" w:lineRule="auto"/>
                          <w:jc w:val="center"/>
                          <w:rPr>
                            <w:rFonts w:ascii="Times New Roman" w:eastAsia="Times New Roman" w:hAnsi="Times New Roman" w:cs="Times New Roman"/>
                            <w:b/>
                            <w:bCs/>
                            <w:iCs/>
                            <w:sz w:val="22"/>
                            <w:lang w:val="sl-SI" w:eastAsia="sl-SI"/>
                          </w:rPr>
                        </w:pPr>
                        <w:r w:rsidRPr="005E3B68">
                          <w:rPr>
                            <w:rFonts w:ascii="Times New Roman" w:eastAsia="Times New Roman" w:hAnsi="Times New Roman" w:cs="Times New Roman"/>
                            <w:b/>
                            <w:bCs/>
                            <w:iCs/>
                            <w:sz w:val="22"/>
                            <w:lang w:val="sl-SI" w:eastAsia="sl-SI"/>
                          </w:rPr>
                          <w:t>Ostvareno u 2020.godini</w:t>
                        </w:r>
                      </w:p>
                    </w:tc>
                    <w:tc>
                      <w:tcPr>
                        <w:tcW w:w="1843" w:type="dxa"/>
                        <w:tcBorders>
                          <w:top w:val="nil"/>
                          <w:left w:val="nil"/>
                          <w:bottom w:val="double" w:sz="6" w:space="0" w:color="auto"/>
                          <w:right w:val="single" w:sz="4" w:space="0" w:color="auto"/>
                        </w:tcBorders>
                        <w:shd w:val="clear" w:color="000000" w:fill="8DB4E2"/>
                        <w:vAlign w:val="center"/>
                        <w:hideMark/>
                      </w:tcPr>
                      <w:p w:rsidR="005E3B68" w:rsidRPr="005E3B68" w:rsidRDefault="005E3B68" w:rsidP="00433074">
                        <w:pPr>
                          <w:spacing w:before="0" w:after="0" w:line="240" w:lineRule="auto"/>
                          <w:jc w:val="center"/>
                          <w:rPr>
                            <w:rFonts w:ascii="Times New Roman" w:eastAsia="Times New Roman" w:hAnsi="Times New Roman" w:cs="Times New Roman"/>
                            <w:b/>
                            <w:bCs/>
                            <w:iCs/>
                            <w:sz w:val="22"/>
                            <w:lang w:val="sl-SI" w:eastAsia="sl-SI"/>
                          </w:rPr>
                        </w:pPr>
                        <w:r w:rsidRPr="005E3B68">
                          <w:rPr>
                            <w:rFonts w:ascii="Times New Roman" w:eastAsia="Times New Roman" w:hAnsi="Times New Roman" w:cs="Times New Roman"/>
                            <w:b/>
                            <w:bCs/>
                            <w:iCs/>
                            <w:sz w:val="22"/>
                            <w:lang w:val="sl-SI" w:eastAsia="sl-SI"/>
                          </w:rPr>
                          <w:t>Apsolutno odstupanje</w:t>
                        </w:r>
                      </w:p>
                    </w:tc>
                    <w:tc>
                      <w:tcPr>
                        <w:tcW w:w="1984" w:type="dxa"/>
                        <w:tcBorders>
                          <w:top w:val="nil"/>
                          <w:left w:val="nil"/>
                          <w:bottom w:val="double" w:sz="6" w:space="0" w:color="auto"/>
                          <w:right w:val="single" w:sz="4" w:space="0" w:color="auto"/>
                        </w:tcBorders>
                        <w:shd w:val="clear" w:color="000000" w:fill="8DB4E2"/>
                        <w:vAlign w:val="center"/>
                        <w:hideMark/>
                      </w:tcPr>
                      <w:p w:rsidR="005E3B68" w:rsidRPr="005E3B68" w:rsidRDefault="005E3B68" w:rsidP="00433074">
                        <w:pPr>
                          <w:spacing w:before="0" w:after="0" w:line="240" w:lineRule="auto"/>
                          <w:jc w:val="center"/>
                          <w:rPr>
                            <w:rFonts w:ascii="Times New Roman" w:eastAsia="Times New Roman" w:hAnsi="Times New Roman" w:cs="Times New Roman"/>
                            <w:b/>
                            <w:bCs/>
                            <w:iCs/>
                            <w:sz w:val="22"/>
                            <w:lang w:val="sl-SI" w:eastAsia="sl-SI"/>
                          </w:rPr>
                        </w:pPr>
                        <w:r w:rsidRPr="005E3B68">
                          <w:rPr>
                            <w:rFonts w:ascii="Times New Roman" w:eastAsia="Times New Roman" w:hAnsi="Times New Roman" w:cs="Times New Roman"/>
                            <w:b/>
                            <w:bCs/>
                            <w:iCs/>
                            <w:sz w:val="22"/>
                            <w:lang w:val="sl-SI" w:eastAsia="sl-SI"/>
                          </w:rPr>
                          <w:t>% ostvarenja u odnosu na plan</w:t>
                        </w:r>
                      </w:p>
                    </w:tc>
                  </w:tr>
                  <w:tr w:rsidR="005E3B68" w:rsidRPr="005E3B68" w:rsidTr="00433074">
                    <w:trPr>
                      <w:trHeight w:val="270"/>
                    </w:trPr>
                    <w:tc>
                      <w:tcPr>
                        <w:tcW w:w="1998" w:type="dxa"/>
                        <w:tcBorders>
                          <w:top w:val="nil"/>
                          <w:left w:val="single" w:sz="4" w:space="0" w:color="auto"/>
                          <w:bottom w:val="single" w:sz="4" w:space="0" w:color="auto"/>
                          <w:right w:val="single" w:sz="4" w:space="0" w:color="auto"/>
                        </w:tcBorders>
                        <w:shd w:val="clear" w:color="auto" w:fill="auto"/>
                        <w:noWrap/>
                        <w:vAlign w:val="center"/>
                        <w:hideMark/>
                      </w:tcPr>
                      <w:p w:rsidR="005E3B68" w:rsidRPr="005E3B68" w:rsidRDefault="005E3B68" w:rsidP="00433074">
                        <w:pPr>
                          <w:spacing w:before="0" w:after="0" w:line="240" w:lineRule="auto"/>
                          <w:jc w:val="lef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PDV pri uvozu</w:t>
                        </w:r>
                      </w:p>
                    </w:tc>
                    <w:tc>
                      <w:tcPr>
                        <w:tcW w:w="1704" w:type="dxa"/>
                        <w:tcBorders>
                          <w:top w:val="nil"/>
                          <w:left w:val="nil"/>
                          <w:bottom w:val="single" w:sz="4" w:space="0" w:color="auto"/>
                          <w:right w:val="single" w:sz="4" w:space="0" w:color="auto"/>
                        </w:tcBorders>
                        <w:shd w:val="clear" w:color="auto" w:fill="auto"/>
                        <w:noWrap/>
                        <w:vAlign w:val="center"/>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482.632.219,33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431.235.327,37</w:t>
                        </w:r>
                      </w:p>
                    </w:tc>
                    <w:tc>
                      <w:tcPr>
                        <w:tcW w:w="1843" w:type="dxa"/>
                        <w:tcBorders>
                          <w:top w:val="nil"/>
                          <w:left w:val="nil"/>
                          <w:bottom w:val="single" w:sz="4" w:space="0" w:color="auto"/>
                          <w:right w:val="single" w:sz="4" w:space="0" w:color="auto"/>
                        </w:tcBorders>
                        <w:shd w:val="clear" w:color="auto" w:fill="auto"/>
                        <w:noWrap/>
                        <w:vAlign w:val="bottom"/>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-51.396.891,96</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89,35</w:t>
                        </w:r>
                      </w:p>
                    </w:tc>
                  </w:tr>
                  <w:tr w:rsidR="005E3B68" w:rsidRPr="005E3B68" w:rsidTr="00433074">
                    <w:trPr>
                      <w:trHeight w:val="255"/>
                    </w:trPr>
                    <w:tc>
                      <w:tcPr>
                        <w:tcW w:w="1998" w:type="dxa"/>
                        <w:tcBorders>
                          <w:top w:val="nil"/>
                          <w:left w:val="single" w:sz="4" w:space="0" w:color="auto"/>
                          <w:bottom w:val="single" w:sz="4" w:space="0" w:color="auto"/>
                          <w:right w:val="single" w:sz="4" w:space="0" w:color="auto"/>
                        </w:tcBorders>
                        <w:shd w:val="clear" w:color="auto" w:fill="auto"/>
                        <w:noWrap/>
                        <w:vAlign w:val="center"/>
                        <w:hideMark/>
                      </w:tcPr>
                      <w:p w:rsidR="005E3B68" w:rsidRPr="005E3B68" w:rsidRDefault="005E3B68" w:rsidP="00433074">
                        <w:pPr>
                          <w:spacing w:before="0" w:after="0" w:line="240" w:lineRule="auto"/>
                          <w:jc w:val="lef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Akciza</w:t>
                        </w:r>
                      </w:p>
                    </w:tc>
                    <w:tc>
                      <w:tcPr>
                        <w:tcW w:w="1704" w:type="dxa"/>
                        <w:tcBorders>
                          <w:top w:val="nil"/>
                          <w:left w:val="nil"/>
                          <w:bottom w:val="single" w:sz="4" w:space="0" w:color="auto"/>
                          <w:right w:val="single" w:sz="4" w:space="0" w:color="auto"/>
                        </w:tcBorders>
                        <w:shd w:val="clear" w:color="auto" w:fill="auto"/>
                        <w:noWrap/>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221.387.755,36</w:t>
                        </w:r>
                      </w:p>
                    </w:tc>
                    <w:tc>
                      <w:tcPr>
                        <w:tcW w:w="1985" w:type="dxa"/>
                        <w:tcBorders>
                          <w:top w:val="nil"/>
                          <w:left w:val="nil"/>
                          <w:bottom w:val="single" w:sz="4" w:space="0" w:color="auto"/>
                          <w:right w:val="single" w:sz="4" w:space="0" w:color="auto"/>
                        </w:tcBorders>
                        <w:shd w:val="clear" w:color="000000" w:fill="FFFFFF"/>
                        <w:noWrap/>
                        <w:vAlign w:val="bottom"/>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205.394.523,36</w:t>
                        </w:r>
                      </w:p>
                    </w:tc>
                    <w:tc>
                      <w:tcPr>
                        <w:tcW w:w="1843" w:type="dxa"/>
                        <w:tcBorders>
                          <w:top w:val="nil"/>
                          <w:left w:val="nil"/>
                          <w:bottom w:val="single" w:sz="4" w:space="0" w:color="auto"/>
                          <w:right w:val="single" w:sz="4" w:space="0" w:color="auto"/>
                        </w:tcBorders>
                        <w:shd w:val="clear" w:color="auto" w:fill="auto"/>
                        <w:noWrap/>
                        <w:vAlign w:val="bottom"/>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-15.993.232,00</w:t>
                        </w:r>
                      </w:p>
                    </w:tc>
                    <w:tc>
                      <w:tcPr>
                        <w:tcW w:w="1984" w:type="dxa"/>
                        <w:tcBorders>
                          <w:top w:val="nil"/>
                          <w:left w:val="nil"/>
                          <w:bottom w:val="single" w:sz="4" w:space="0" w:color="auto"/>
                          <w:right w:val="single" w:sz="4" w:space="0" w:color="auto"/>
                        </w:tcBorders>
                        <w:shd w:val="clear" w:color="auto" w:fill="auto"/>
                        <w:noWrap/>
                        <w:vAlign w:val="bottom"/>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92,78</w:t>
                        </w:r>
                      </w:p>
                    </w:tc>
                  </w:tr>
                  <w:tr w:rsidR="005E3B68" w:rsidRPr="005E3B68" w:rsidTr="00433074">
                    <w:trPr>
                      <w:trHeight w:val="255"/>
                    </w:trPr>
                    <w:tc>
                      <w:tcPr>
                        <w:tcW w:w="1998" w:type="dxa"/>
                        <w:tcBorders>
                          <w:top w:val="nil"/>
                          <w:left w:val="single" w:sz="4" w:space="0" w:color="auto"/>
                          <w:bottom w:val="single" w:sz="4" w:space="0" w:color="auto"/>
                          <w:right w:val="single" w:sz="4" w:space="0" w:color="auto"/>
                        </w:tcBorders>
                        <w:shd w:val="clear" w:color="auto" w:fill="auto"/>
                        <w:noWrap/>
                        <w:vAlign w:val="center"/>
                        <w:hideMark/>
                      </w:tcPr>
                      <w:p w:rsidR="005E3B68" w:rsidRPr="005E3B68" w:rsidRDefault="005E3B68" w:rsidP="00433074">
                        <w:pPr>
                          <w:spacing w:before="0" w:after="0" w:line="240" w:lineRule="auto"/>
                          <w:jc w:val="lef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Carina</w:t>
                        </w:r>
                      </w:p>
                    </w:tc>
                    <w:tc>
                      <w:tcPr>
                        <w:tcW w:w="1704" w:type="dxa"/>
                        <w:tcBorders>
                          <w:top w:val="nil"/>
                          <w:left w:val="nil"/>
                          <w:bottom w:val="single" w:sz="4" w:space="0" w:color="auto"/>
                          <w:right w:val="single" w:sz="4" w:space="0" w:color="auto"/>
                        </w:tcBorders>
                        <w:shd w:val="clear" w:color="auto" w:fill="auto"/>
                        <w:noWrap/>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26.786.421,75</w:t>
                        </w:r>
                      </w:p>
                    </w:tc>
                    <w:tc>
                      <w:tcPr>
                        <w:tcW w:w="1985" w:type="dxa"/>
                        <w:tcBorders>
                          <w:top w:val="nil"/>
                          <w:left w:val="nil"/>
                          <w:bottom w:val="single" w:sz="4" w:space="0" w:color="auto"/>
                          <w:right w:val="single" w:sz="4" w:space="0" w:color="auto"/>
                        </w:tcBorders>
                        <w:shd w:val="clear" w:color="000000" w:fill="FFFFFF"/>
                        <w:noWrap/>
                        <w:vAlign w:val="bottom"/>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22.638.463,01</w:t>
                        </w:r>
                      </w:p>
                    </w:tc>
                    <w:tc>
                      <w:tcPr>
                        <w:tcW w:w="1843" w:type="dxa"/>
                        <w:tcBorders>
                          <w:top w:val="nil"/>
                          <w:left w:val="nil"/>
                          <w:bottom w:val="single" w:sz="4" w:space="0" w:color="auto"/>
                          <w:right w:val="single" w:sz="4" w:space="0" w:color="auto"/>
                        </w:tcBorders>
                        <w:shd w:val="clear" w:color="auto" w:fill="auto"/>
                        <w:noWrap/>
                        <w:vAlign w:val="bottom"/>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-4.147.958,74</w:t>
                        </w:r>
                      </w:p>
                    </w:tc>
                    <w:tc>
                      <w:tcPr>
                        <w:tcW w:w="1984" w:type="dxa"/>
                        <w:tcBorders>
                          <w:top w:val="nil"/>
                          <w:left w:val="nil"/>
                          <w:bottom w:val="single" w:sz="4" w:space="0" w:color="auto"/>
                          <w:right w:val="single" w:sz="4" w:space="0" w:color="auto"/>
                        </w:tcBorders>
                        <w:shd w:val="clear" w:color="auto" w:fill="auto"/>
                        <w:noWrap/>
                        <w:vAlign w:val="bottom"/>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84,51</w:t>
                        </w:r>
                      </w:p>
                    </w:tc>
                  </w:tr>
                  <w:tr w:rsidR="005E3B68" w:rsidRPr="005E3B68" w:rsidTr="00433074">
                    <w:trPr>
                      <w:trHeight w:val="255"/>
                    </w:trPr>
                    <w:tc>
                      <w:tcPr>
                        <w:tcW w:w="1998" w:type="dxa"/>
                        <w:tcBorders>
                          <w:top w:val="nil"/>
                          <w:left w:val="single" w:sz="4" w:space="0" w:color="auto"/>
                          <w:bottom w:val="single" w:sz="4" w:space="0" w:color="auto"/>
                          <w:right w:val="single" w:sz="4" w:space="0" w:color="auto"/>
                        </w:tcBorders>
                        <w:shd w:val="clear" w:color="auto" w:fill="auto"/>
                        <w:noWrap/>
                        <w:vAlign w:val="center"/>
                        <w:hideMark/>
                      </w:tcPr>
                      <w:p w:rsidR="005E3B68" w:rsidRPr="005E3B68" w:rsidRDefault="005E3B68" w:rsidP="00433074">
                        <w:pPr>
                          <w:spacing w:before="0" w:after="0" w:line="240" w:lineRule="auto"/>
                          <w:jc w:val="lef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Porez na kafu</w:t>
                        </w:r>
                      </w:p>
                    </w:tc>
                    <w:tc>
                      <w:tcPr>
                        <w:tcW w:w="1704" w:type="dxa"/>
                        <w:tcBorders>
                          <w:top w:val="nil"/>
                          <w:left w:val="nil"/>
                          <w:bottom w:val="single" w:sz="4" w:space="0" w:color="auto"/>
                          <w:right w:val="single" w:sz="4" w:space="0" w:color="auto"/>
                        </w:tcBorders>
                        <w:shd w:val="clear" w:color="auto" w:fill="auto"/>
                        <w:noWrap/>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2.303.275,09</w:t>
                        </w:r>
                      </w:p>
                    </w:tc>
                    <w:tc>
                      <w:tcPr>
                        <w:tcW w:w="1985" w:type="dxa"/>
                        <w:tcBorders>
                          <w:top w:val="nil"/>
                          <w:left w:val="nil"/>
                          <w:bottom w:val="single" w:sz="4" w:space="0" w:color="auto"/>
                          <w:right w:val="single" w:sz="4" w:space="0" w:color="auto"/>
                        </w:tcBorders>
                        <w:shd w:val="clear" w:color="000000" w:fill="FFFFFF"/>
                        <w:noWrap/>
                        <w:vAlign w:val="bottom"/>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2.003.173,46</w:t>
                        </w:r>
                      </w:p>
                    </w:tc>
                    <w:tc>
                      <w:tcPr>
                        <w:tcW w:w="1843" w:type="dxa"/>
                        <w:tcBorders>
                          <w:top w:val="nil"/>
                          <w:left w:val="nil"/>
                          <w:bottom w:val="single" w:sz="4" w:space="0" w:color="auto"/>
                          <w:right w:val="single" w:sz="4" w:space="0" w:color="auto"/>
                        </w:tcBorders>
                        <w:shd w:val="clear" w:color="auto" w:fill="auto"/>
                        <w:noWrap/>
                        <w:vAlign w:val="bottom"/>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-300.101,63</w:t>
                        </w:r>
                      </w:p>
                    </w:tc>
                    <w:tc>
                      <w:tcPr>
                        <w:tcW w:w="1984" w:type="dxa"/>
                        <w:tcBorders>
                          <w:top w:val="nil"/>
                          <w:left w:val="nil"/>
                          <w:bottom w:val="single" w:sz="4" w:space="0" w:color="auto"/>
                          <w:right w:val="single" w:sz="4" w:space="0" w:color="auto"/>
                        </w:tcBorders>
                        <w:shd w:val="clear" w:color="auto" w:fill="auto"/>
                        <w:noWrap/>
                        <w:vAlign w:val="bottom"/>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86,97</w:t>
                        </w:r>
                      </w:p>
                    </w:tc>
                  </w:tr>
                  <w:tr w:rsidR="005E3B68" w:rsidRPr="005E3B68" w:rsidTr="00433074">
                    <w:trPr>
                      <w:trHeight w:val="255"/>
                    </w:trPr>
                    <w:tc>
                      <w:tcPr>
                        <w:tcW w:w="1998" w:type="dxa"/>
                        <w:tcBorders>
                          <w:top w:val="nil"/>
                          <w:left w:val="single" w:sz="4" w:space="0" w:color="auto"/>
                          <w:bottom w:val="single" w:sz="4" w:space="0" w:color="auto"/>
                          <w:right w:val="single" w:sz="4" w:space="0" w:color="auto"/>
                        </w:tcBorders>
                        <w:shd w:val="clear" w:color="auto" w:fill="auto"/>
                        <w:noWrap/>
                        <w:vAlign w:val="center"/>
                        <w:hideMark/>
                      </w:tcPr>
                      <w:p w:rsidR="005E3B68" w:rsidRPr="005E3B68" w:rsidRDefault="005E3B68" w:rsidP="00433074">
                        <w:pPr>
                          <w:spacing w:before="0" w:after="0" w:line="240" w:lineRule="auto"/>
                          <w:jc w:val="lef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Ostali prihodi</w:t>
                        </w:r>
                      </w:p>
                    </w:tc>
                    <w:tc>
                      <w:tcPr>
                        <w:tcW w:w="1704" w:type="dxa"/>
                        <w:tcBorders>
                          <w:top w:val="nil"/>
                          <w:left w:val="nil"/>
                          <w:bottom w:val="single" w:sz="4" w:space="0" w:color="auto"/>
                          <w:right w:val="single" w:sz="4" w:space="0" w:color="auto"/>
                        </w:tcBorders>
                        <w:shd w:val="clear" w:color="auto" w:fill="auto"/>
                        <w:noWrap/>
                        <w:vAlign w:val="bottom"/>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89.199,58</w:t>
                        </w:r>
                      </w:p>
                    </w:tc>
                    <w:tc>
                      <w:tcPr>
                        <w:tcW w:w="1985" w:type="dxa"/>
                        <w:tcBorders>
                          <w:top w:val="nil"/>
                          <w:left w:val="nil"/>
                          <w:bottom w:val="single" w:sz="4" w:space="0" w:color="auto"/>
                          <w:right w:val="single" w:sz="4" w:space="0" w:color="auto"/>
                        </w:tcBorders>
                        <w:shd w:val="clear" w:color="auto" w:fill="auto"/>
                        <w:noWrap/>
                        <w:vAlign w:val="bottom"/>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108.292,01</w:t>
                        </w:r>
                      </w:p>
                    </w:tc>
                    <w:tc>
                      <w:tcPr>
                        <w:tcW w:w="1843" w:type="dxa"/>
                        <w:tcBorders>
                          <w:top w:val="nil"/>
                          <w:left w:val="nil"/>
                          <w:bottom w:val="single" w:sz="4" w:space="0" w:color="auto"/>
                          <w:right w:val="single" w:sz="4" w:space="0" w:color="auto"/>
                        </w:tcBorders>
                        <w:shd w:val="clear" w:color="auto" w:fill="auto"/>
                        <w:noWrap/>
                        <w:vAlign w:val="bottom"/>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19.092,43</w:t>
                        </w:r>
                      </w:p>
                    </w:tc>
                    <w:tc>
                      <w:tcPr>
                        <w:tcW w:w="1984" w:type="dxa"/>
                        <w:tcBorders>
                          <w:top w:val="nil"/>
                          <w:left w:val="nil"/>
                          <w:bottom w:val="single" w:sz="4" w:space="0" w:color="auto"/>
                          <w:right w:val="single" w:sz="4" w:space="0" w:color="auto"/>
                        </w:tcBorders>
                        <w:shd w:val="clear" w:color="auto" w:fill="auto"/>
                        <w:noWrap/>
                        <w:vAlign w:val="bottom"/>
                        <w:hideMark/>
                      </w:tcPr>
                      <w:p w:rsidR="005E3B68" w:rsidRPr="005E3B68" w:rsidRDefault="005E3B68" w:rsidP="00433074">
                        <w:pPr>
                          <w:spacing w:before="0" w:after="0" w:line="240" w:lineRule="auto"/>
                          <w:jc w:val="right"/>
                          <w:rPr>
                            <w:rFonts w:ascii="Times New Roman" w:eastAsia="Times New Roman" w:hAnsi="Times New Roman" w:cs="Times New Roman"/>
                            <w:sz w:val="22"/>
                            <w:lang w:val="sl-SI" w:eastAsia="sl-SI"/>
                          </w:rPr>
                        </w:pPr>
                        <w:r w:rsidRPr="005E3B68">
                          <w:rPr>
                            <w:rFonts w:ascii="Times New Roman" w:eastAsia="Times New Roman" w:hAnsi="Times New Roman" w:cs="Times New Roman"/>
                            <w:sz w:val="22"/>
                            <w:lang w:val="sl-SI" w:eastAsia="sl-SI"/>
                          </w:rPr>
                          <w:t>121,40</w:t>
                        </w:r>
                      </w:p>
                    </w:tc>
                  </w:tr>
                  <w:tr w:rsidR="005E3B68" w:rsidRPr="005E3B68" w:rsidTr="00433074">
                    <w:trPr>
                      <w:trHeight w:val="270"/>
                    </w:trPr>
                    <w:tc>
                      <w:tcPr>
                        <w:tcW w:w="1998" w:type="dxa"/>
                        <w:tcBorders>
                          <w:top w:val="nil"/>
                          <w:left w:val="single" w:sz="4" w:space="0" w:color="auto"/>
                          <w:bottom w:val="double" w:sz="6" w:space="0" w:color="auto"/>
                          <w:right w:val="single" w:sz="4" w:space="0" w:color="auto"/>
                        </w:tcBorders>
                        <w:shd w:val="clear" w:color="000000" w:fill="8DB4E2"/>
                        <w:noWrap/>
                        <w:vAlign w:val="center"/>
                        <w:hideMark/>
                      </w:tcPr>
                      <w:p w:rsidR="005E3B68" w:rsidRPr="005E3B68" w:rsidRDefault="005E3B68" w:rsidP="00433074">
                        <w:pPr>
                          <w:spacing w:before="0" w:after="0" w:line="240" w:lineRule="auto"/>
                          <w:jc w:val="center"/>
                          <w:rPr>
                            <w:rFonts w:ascii="Times New Roman" w:eastAsia="Times New Roman" w:hAnsi="Times New Roman" w:cs="Times New Roman"/>
                            <w:b/>
                            <w:bCs/>
                            <w:i/>
                            <w:iCs/>
                            <w:sz w:val="22"/>
                            <w:lang w:val="sl-SI" w:eastAsia="sl-SI"/>
                          </w:rPr>
                        </w:pPr>
                        <w:r w:rsidRPr="005E3B68">
                          <w:rPr>
                            <w:rFonts w:ascii="Times New Roman" w:eastAsia="Times New Roman" w:hAnsi="Times New Roman" w:cs="Times New Roman"/>
                            <w:b/>
                            <w:bCs/>
                            <w:i/>
                            <w:iCs/>
                            <w:sz w:val="22"/>
                            <w:lang w:val="sl-SI" w:eastAsia="sl-SI"/>
                          </w:rPr>
                          <w:t xml:space="preserve">NETO NAPLATA </w:t>
                        </w:r>
                      </w:p>
                    </w:tc>
                    <w:tc>
                      <w:tcPr>
                        <w:tcW w:w="1704" w:type="dxa"/>
                        <w:tcBorders>
                          <w:top w:val="nil"/>
                          <w:left w:val="nil"/>
                          <w:bottom w:val="double" w:sz="6" w:space="0" w:color="auto"/>
                          <w:right w:val="single" w:sz="4" w:space="0" w:color="auto"/>
                        </w:tcBorders>
                        <w:shd w:val="clear" w:color="000000" w:fill="8DB4E2"/>
                        <w:noWrap/>
                        <w:vAlign w:val="bottom"/>
                        <w:hideMark/>
                      </w:tcPr>
                      <w:p w:rsidR="005E3B68" w:rsidRPr="005E3B68" w:rsidRDefault="005E3B68" w:rsidP="00433074">
                        <w:pPr>
                          <w:spacing w:before="0" w:after="0" w:line="240" w:lineRule="auto"/>
                          <w:jc w:val="right"/>
                          <w:rPr>
                            <w:rFonts w:ascii="Times New Roman" w:eastAsia="Times New Roman" w:hAnsi="Times New Roman" w:cs="Times New Roman"/>
                            <w:b/>
                            <w:bCs/>
                            <w:sz w:val="22"/>
                            <w:lang w:val="sl-SI" w:eastAsia="sl-SI"/>
                          </w:rPr>
                        </w:pPr>
                        <w:r w:rsidRPr="005E3B68">
                          <w:rPr>
                            <w:rFonts w:ascii="Times New Roman" w:eastAsia="Times New Roman" w:hAnsi="Times New Roman" w:cs="Times New Roman"/>
                            <w:b/>
                            <w:bCs/>
                            <w:sz w:val="22"/>
                            <w:lang w:val="sl-SI" w:eastAsia="sl-SI"/>
                          </w:rPr>
                          <w:t>733.198.871,12</w:t>
                        </w:r>
                      </w:p>
                    </w:tc>
                    <w:tc>
                      <w:tcPr>
                        <w:tcW w:w="1985" w:type="dxa"/>
                        <w:tcBorders>
                          <w:top w:val="nil"/>
                          <w:left w:val="nil"/>
                          <w:bottom w:val="double" w:sz="6" w:space="0" w:color="auto"/>
                          <w:right w:val="single" w:sz="4" w:space="0" w:color="auto"/>
                        </w:tcBorders>
                        <w:shd w:val="clear" w:color="000000" w:fill="8DB4E2"/>
                        <w:noWrap/>
                        <w:vAlign w:val="bottom"/>
                        <w:hideMark/>
                      </w:tcPr>
                      <w:p w:rsidR="005E3B68" w:rsidRPr="005E3B68" w:rsidRDefault="005E3B68" w:rsidP="00433074">
                        <w:pPr>
                          <w:spacing w:before="0" w:after="0" w:line="240" w:lineRule="auto"/>
                          <w:jc w:val="right"/>
                          <w:rPr>
                            <w:rFonts w:ascii="Times New Roman" w:eastAsia="Times New Roman" w:hAnsi="Times New Roman" w:cs="Times New Roman"/>
                            <w:b/>
                            <w:bCs/>
                            <w:sz w:val="22"/>
                            <w:lang w:val="sl-SI" w:eastAsia="sl-SI"/>
                          </w:rPr>
                        </w:pPr>
                        <w:r w:rsidRPr="005E3B68">
                          <w:rPr>
                            <w:rFonts w:ascii="Times New Roman" w:eastAsia="Times New Roman" w:hAnsi="Times New Roman" w:cs="Times New Roman"/>
                            <w:b/>
                            <w:bCs/>
                            <w:sz w:val="22"/>
                            <w:lang w:val="sl-SI" w:eastAsia="sl-SI"/>
                          </w:rPr>
                          <w:t>661.379.779,21</w:t>
                        </w:r>
                      </w:p>
                    </w:tc>
                    <w:tc>
                      <w:tcPr>
                        <w:tcW w:w="1843" w:type="dxa"/>
                        <w:tcBorders>
                          <w:top w:val="nil"/>
                          <w:left w:val="nil"/>
                          <w:bottom w:val="double" w:sz="6" w:space="0" w:color="auto"/>
                          <w:right w:val="single" w:sz="4" w:space="0" w:color="auto"/>
                        </w:tcBorders>
                        <w:shd w:val="clear" w:color="000000" w:fill="8DB4E2"/>
                        <w:noWrap/>
                        <w:vAlign w:val="bottom"/>
                        <w:hideMark/>
                      </w:tcPr>
                      <w:p w:rsidR="005E3B68" w:rsidRPr="005E3B68" w:rsidRDefault="005E3B68" w:rsidP="00433074">
                        <w:pPr>
                          <w:spacing w:before="0" w:after="0" w:line="240" w:lineRule="auto"/>
                          <w:jc w:val="right"/>
                          <w:rPr>
                            <w:rFonts w:ascii="Times New Roman" w:eastAsia="Times New Roman" w:hAnsi="Times New Roman" w:cs="Times New Roman"/>
                            <w:b/>
                            <w:bCs/>
                            <w:sz w:val="22"/>
                            <w:lang w:val="sl-SI" w:eastAsia="sl-SI"/>
                          </w:rPr>
                        </w:pPr>
                        <w:r w:rsidRPr="005E3B68">
                          <w:rPr>
                            <w:rFonts w:ascii="Times New Roman" w:eastAsia="Times New Roman" w:hAnsi="Times New Roman" w:cs="Times New Roman"/>
                            <w:b/>
                            <w:bCs/>
                            <w:sz w:val="22"/>
                            <w:lang w:val="sl-SI" w:eastAsia="sl-SI"/>
                          </w:rPr>
                          <w:t>-71.819.091,91</w:t>
                        </w:r>
                      </w:p>
                    </w:tc>
                    <w:tc>
                      <w:tcPr>
                        <w:tcW w:w="1984" w:type="dxa"/>
                        <w:tcBorders>
                          <w:top w:val="nil"/>
                          <w:left w:val="nil"/>
                          <w:bottom w:val="double" w:sz="6" w:space="0" w:color="auto"/>
                          <w:right w:val="single" w:sz="4" w:space="0" w:color="auto"/>
                        </w:tcBorders>
                        <w:shd w:val="clear" w:color="000000" w:fill="8DB4E2"/>
                        <w:noWrap/>
                        <w:vAlign w:val="bottom"/>
                        <w:hideMark/>
                      </w:tcPr>
                      <w:p w:rsidR="005E3B68" w:rsidRPr="005E3B68" w:rsidRDefault="005E3B68" w:rsidP="00433074">
                        <w:pPr>
                          <w:spacing w:before="0" w:after="0" w:line="240" w:lineRule="auto"/>
                          <w:jc w:val="right"/>
                          <w:rPr>
                            <w:rFonts w:ascii="Times New Roman" w:eastAsia="Times New Roman" w:hAnsi="Times New Roman" w:cs="Times New Roman"/>
                            <w:b/>
                            <w:bCs/>
                            <w:sz w:val="22"/>
                            <w:lang w:val="sl-SI" w:eastAsia="sl-SI"/>
                          </w:rPr>
                        </w:pPr>
                        <w:r w:rsidRPr="005E3B68">
                          <w:rPr>
                            <w:rFonts w:ascii="Times New Roman" w:eastAsia="Times New Roman" w:hAnsi="Times New Roman" w:cs="Times New Roman"/>
                            <w:b/>
                            <w:bCs/>
                            <w:sz w:val="22"/>
                            <w:lang w:val="sl-SI" w:eastAsia="sl-SI"/>
                          </w:rPr>
                          <w:t>90,20</w:t>
                        </w:r>
                      </w:p>
                    </w:tc>
                  </w:tr>
                  <w:tr w:rsidR="005E3B68" w:rsidRPr="005E3B68" w:rsidTr="00433074">
                    <w:trPr>
                      <w:trHeight w:val="270"/>
                    </w:trPr>
                    <w:tc>
                      <w:tcPr>
                        <w:tcW w:w="1998" w:type="dxa"/>
                        <w:tcBorders>
                          <w:top w:val="nil"/>
                          <w:left w:val="nil"/>
                          <w:bottom w:val="nil"/>
                          <w:right w:val="nil"/>
                        </w:tcBorders>
                        <w:shd w:val="clear" w:color="auto" w:fill="auto"/>
                        <w:noWrap/>
                        <w:vAlign w:val="bottom"/>
                        <w:hideMark/>
                      </w:tcPr>
                      <w:p w:rsidR="005E3B68" w:rsidRPr="005E3B68" w:rsidRDefault="005E3B68" w:rsidP="00433074">
                        <w:pPr>
                          <w:spacing w:before="0" w:after="0" w:line="240" w:lineRule="auto"/>
                          <w:jc w:val="left"/>
                          <w:rPr>
                            <w:rFonts w:ascii="Times New Roman" w:eastAsia="Times New Roman" w:hAnsi="Times New Roman" w:cs="Times New Roman"/>
                            <w:sz w:val="22"/>
                            <w:lang w:val="sl-SI" w:eastAsia="sl-SI"/>
                          </w:rPr>
                        </w:pPr>
                      </w:p>
                    </w:tc>
                    <w:tc>
                      <w:tcPr>
                        <w:tcW w:w="1704" w:type="dxa"/>
                        <w:tcBorders>
                          <w:top w:val="nil"/>
                          <w:left w:val="nil"/>
                          <w:bottom w:val="nil"/>
                          <w:right w:val="nil"/>
                        </w:tcBorders>
                        <w:shd w:val="clear" w:color="auto" w:fill="auto"/>
                        <w:noWrap/>
                        <w:vAlign w:val="bottom"/>
                        <w:hideMark/>
                      </w:tcPr>
                      <w:p w:rsidR="005E3B68" w:rsidRPr="005E3B68" w:rsidRDefault="005E3B68" w:rsidP="00433074">
                        <w:pPr>
                          <w:spacing w:before="0" w:after="0" w:line="240" w:lineRule="auto"/>
                          <w:jc w:val="left"/>
                          <w:rPr>
                            <w:rFonts w:ascii="Times New Roman" w:eastAsia="Times New Roman" w:hAnsi="Times New Roman" w:cs="Times New Roman"/>
                            <w:sz w:val="22"/>
                            <w:lang w:val="sl-SI" w:eastAsia="sl-SI"/>
                          </w:rPr>
                        </w:pPr>
                      </w:p>
                    </w:tc>
                    <w:tc>
                      <w:tcPr>
                        <w:tcW w:w="1985" w:type="dxa"/>
                        <w:tcBorders>
                          <w:top w:val="nil"/>
                          <w:left w:val="nil"/>
                          <w:bottom w:val="nil"/>
                          <w:right w:val="nil"/>
                        </w:tcBorders>
                        <w:shd w:val="clear" w:color="auto" w:fill="auto"/>
                        <w:noWrap/>
                        <w:vAlign w:val="bottom"/>
                        <w:hideMark/>
                      </w:tcPr>
                      <w:p w:rsidR="005E3B68" w:rsidRPr="005E3B68" w:rsidRDefault="005E3B68" w:rsidP="00433074">
                        <w:pPr>
                          <w:spacing w:before="0" w:after="0" w:line="240" w:lineRule="auto"/>
                          <w:jc w:val="left"/>
                          <w:rPr>
                            <w:rFonts w:ascii="Times New Roman" w:eastAsia="Times New Roman" w:hAnsi="Times New Roman" w:cs="Times New Roman"/>
                            <w:sz w:val="22"/>
                            <w:lang w:val="sl-SI" w:eastAsia="sl-SI"/>
                          </w:rPr>
                        </w:pPr>
                      </w:p>
                    </w:tc>
                    <w:tc>
                      <w:tcPr>
                        <w:tcW w:w="1843" w:type="dxa"/>
                        <w:tcBorders>
                          <w:top w:val="nil"/>
                          <w:left w:val="nil"/>
                          <w:bottom w:val="nil"/>
                          <w:right w:val="nil"/>
                        </w:tcBorders>
                        <w:shd w:val="clear" w:color="auto" w:fill="auto"/>
                        <w:noWrap/>
                        <w:vAlign w:val="bottom"/>
                        <w:hideMark/>
                      </w:tcPr>
                      <w:p w:rsidR="005E3B68" w:rsidRPr="005E3B68" w:rsidRDefault="005E3B68" w:rsidP="00433074">
                        <w:pPr>
                          <w:spacing w:before="0" w:after="0" w:line="240" w:lineRule="auto"/>
                          <w:jc w:val="left"/>
                          <w:rPr>
                            <w:rFonts w:ascii="Times New Roman" w:eastAsia="Times New Roman" w:hAnsi="Times New Roman" w:cs="Times New Roman"/>
                            <w:sz w:val="22"/>
                            <w:lang w:val="sl-SI" w:eastAsia="sl-SI"/>
                          </w:rPr>
                        </w:pPr>
                      </w:p>
                    </w:tc>
                    <w:tc>
                      <w:tcPr>
                        <w:tcW w:w="1984" w:type="dxa"/>
                        <w:tcBorders>
                          <w:top w:val="nil"/>
                          <w:left w:val="nil"/>
                          <w:bottom w:val="nil"/>
                          <w:right w:val="nil"/>
                        </w:tcBorders>
                        <w:shd w:val="clear" w:color="auto" w:fill="auto"/>
                        <w:noWrap/>
                        <w:vAlign w:val="bottom"/>
                        <w:hideMark/>
                      </w:tcPr>
                      <w:p w:rsidR="005E3B68" w:rsidRPr="005E3B68" w:rsidRDefault="005E3B68" w:rsidP="00433074">
                        <w:pPr>
                          <w:spacing w:before="0" w:after="0" w:line="240" w:lineRule="auto"/>
                          <w:jc w:val="left"/>
                          <w:rPr>
                            <w:rFonts w:ascii="Times New Roman" w:eastAsia="Times New Roman" w:hAnsi="Times New Roman" w:cs="Times New Roman"/>
                            <w:sz w:val="22"/>
                            <w:lang w:val="sl-SI" w:eastAsia="sl-SI"/>
                          </w:rPr>
                        </w:pPr>
                      </w:p>
                    </w:tc>
                  </w:tr>
                  <w:tr w:rsidR="005E3B68" w:rsidRPr="005E3B68" w:rsidTr="00433074">
                    <w:trPr>
                      <w:trHeight w:val="709"/>
                    </w:trPr>
                    <w:tc>
                      <w:tcPr>
                        <w:tcW w:w="9514" w:type="dxa"/>
                        <w:gridSpan w:val="5"/>
                        <w:tcBorders>
                          <w:top w:val="nil"/>
                          <w:left w:val="nil"/>
                          <w:bottom w:val="nil"/>
                          <w:right w:val="nil"/>
                        </w:tcBorders>
                        <w:shd w:val="clear" w:color="auto" w:fill="auto"/>
                        <w:hideMark/>
                      </w:tcPr>
                      <w:p w:rsidR="005E3B68" w:rsidRPr="005E3B68" w:rsidRDefault="005E3B68" w:rsidP="00433074">
                        <w:pPr>
                          <w:spacing w:before="0" w:after="0" w:line="240" w:lineRule="auto"/>
                          <w:jc w:val="left"/>
                          <w:rPr>
                            <w:rFonts w:ascii="Times New Roman" w:eastAsia="Times New Roman" w:hAnsi="Times New Roman" w:cs="Times New Roman"/>
                            <w:i/>
                            <w:iCs/>
                            <w:sz w:val="22"/>
                            <w:lang w:val="sl-SI" w:eastAsia="sl-SI"/>
                          </w:rPr>
                        </w:pPr>
                        <w:r w:rsidRPr="005E3B68">
                          <w:rPr>
                            <w:rFonts w:ascii="Times New Roman" w:eastAsia="Times New Roman" w:hAnsi="Times New Roman" w:cs="Times New Roman"/>
                            <w:i/>
                            <w:iCs/>
                            <w:sz w:val="22"/>
                            <w:lang w:val="sl-SI" w:eastAsia="sl-SI"/>
                          </w:rPr>
                          <w:t xml:space="preserve">*Ukupno iskazani planirani prihodi (kolona A) su dati prema </w:t>
                        </w:r>
                        <w:r w:rsidRPr="005E3B68">
                          <w:rPr>
                            <w:rFonts w:ascii="Times New Roman" w:eastAsia="Times New Roman" w:hAnsi="Times New Roman" w:cs="Times New Roman"/>
                            <w:b/>
                            <w:bCs/>
                            <w:i/>
                            <w:iCs/>
                            <w:sz w:val="22"/>
                            <w:lang w:val="sl-SI" w:eastAsia="sl-SI"/>
                          </w:rPr>
                          <w:t>dinamičkom planu izvornih prihoda Budzeta</w:t>
                        </w:r>
                        <w:r w:rsidRPr="005E3B68">
                          <w:rPr>
                            <w:rFonts w:ascii="Times New Roman" w:eastAsia="Times New Roman" w:hAnsi="Times New Roman" w:cs="Times New Roman"/>
                            <w:i/>
                            <w:iCs/>
                            <w:sz w:val="22"/>
                            <w:lang w:val="sl-SI" w:eastAsia="sl-SI"/>
                          </w:rPr>
                          <w:t xml:space="preserve">, a ukupno ostvareni prihodi (kolona B)prema </w:t>
                        </w:r>
                        <w:r w:rsidRPr="005E3B68">
                          <w:rPr>
                            <w:rFonts w:ascii="Times New Roman" w:eastAsia="Times New Roman" w:hAnsi="Times New Roman" w:cs="Times New Roman"/>
                            <w:b/>
                            <w:bCs/>
                            <w:i/>
                            <w:iCs/>
                            <w:sz w:val="22"/>
                            <w:lang w:val="sl-SI" w:eastAsia="sl-SI"/>
                          </w:rPr>
                          <w:t>Prihodima Trezoraza</w:t>
                        </w:r>
                        <w:r w:rsidRPr="005E3B68">
                          <w:rPr>
                            <w:rFonts w:ascii="Times New Roman" w:eastAsia="Times New Roman" w:hAnsi="Times New Roman" w:cs="Times New Roman"/>
                            <w:i/>
                            <w:iCs/>
                            <w:sz w:val="22"/>
                            <w:lang w:val="sl-SI" w:eastAsia="sl-SI"/>
                          </w:rPr>
                          <w:t xml:space="preserve"> za UC.</w:t>
                        </w:r>
                      </w:p>
                    </w:tc>
                  </w:tr>
                </w:tbl>
                <w:p w:rsidR="005E3B68" w:rsidRPr="005E3B68" w:rsidRDefault="005E3B68" w:rsidP="00433074">
                  <w:pPr>
                    <w:spacing w:before="0" w:after="0" w:line="240" w:lineRule="auto"/>
                    <w:rPr>
                      <w:rFonts w:ascii="Times New Roman" w:eastAsia="Times New Roman" w:hAnsi="Times New Roman" w:cs="Times New Roman"/>
                      <w:iCs/>
                      <w:sz w:val="22"/>
                      <w:lang w:val="sl-SI" w:eastAsia="sl-SI"/>
                    </w:rPr>
                  </w:pPr>
                </w:p>
              </w:tc>
            </w:tr>
          </w:tbl>
          <w:p w:rsidR="005E3B68" w:rsidRPr="005E3B68" w:rsidRDefault="005E3B68" w:rsidP="00433074">
            <w:pPr>
              <w:spacing w:before="0" w:after="0" w:line="240" w:lineRule="auto"/>
              <w:jc w:val="left"/>
              <w:rPr>
                <w:rFonts w:ascii="Times New Roman" w:eastAsia="Times New Roman" w:hAnsi="Times New Roman" w:cs="Times New Roman"/>
                <w:i/>
                <w:iCs/>
                <w:sz w:val="22"/>
                <w:lang w:val="sl-SI" w:eastAsia="sl-SI"/>
              </w:rPr>
            </w:pPr>
          </w:p>
        </w:tc>
      </w:tr>
    </w:tbl>
    <w:p w:rsidR="005E3B68" w:rsidRPr="005E3B68" w:rsidRDefault="005E3B68" w:rsidP="005E3B68">
      <w:pPr>
        <w:keepNext/>
        <w:keepLines/>
        <w:tabs>
          <w:tab w:val="left" w:pos="4962"/>
        </w:tabs>
        <w:spacing w:after="0" w:line="269" w:lineRule="auto"/>
        <w:ind w:hanging="11"/>
        <w:jc w:val="left"/>
        <w:outlineLvl w:val="2"/>
        <w:rPr>
          <w:rFonts w:eastAsia="Times New Roman" w:cs="Times New Roman"/>
          <w:b/>
          <w:bCs/>
          <w:noProof/>
          <w:color w:val="000000"/>
          <w:szCs w:val="24"/>
        </w:rPr>
      </w:pPr>
      <w:bookmarkStart w:id="14" w:name="_Toc32584036"/>
      <w:bookmarkStart w:id="15" w:name="_Toc32835768"/>
      <w:bookmarkStart w:id="16" w:name="_Toc32835835"/>
      <w:bookmarkStart w:id="17" w:name="_Toc62197132"/>
      <w:bookmarkStart w:id="18" w:name="_Toc62552703"/>
      <w:bookmarkStart w:id="19" w:name="_Toc62813702"/>
      <w:r w:rsidRPr="005E3B68">
        <w:rPr>
          <w:rFonts w:eastAsia="Times New Roman" w:cs="Times New Roman"/>
          <w:b/>
          <w:bCs/>
          <w:noProof/>
          <w:color w:val="000000"/>
          <w:szCs w:val="24"/>
        </w:rPr>
        <w:lastRenderedPageBreak/>
        <w:t>Struktura naplaćene akcize</w:t>
      </w:r>
      <w:bookmarkEnd w:id="14"/>
      <w:bookmarkEnd w:id="15"/>
      <w:bookmarkEnd w:id="16"/>
      <w:bookmarkEnd w:id="17"/>
      <w:bookmarkEnd w:id="18"/>
      <w:bookmarkEnd w:id="19"/>
    </w:p>
    <w:p w:rsidR="005E3B68" w:rsidRPr="005E3B68" w:rsidRDefault="005E3B68" w:rsidP="005E3B68">
      <w:pPr>
        <w:spacing w:before="0" w:after="0" w:line="240" w:lineRule="auto"/>
        <w:jc w:val="left"/>
        <w:rPr>
          <w:rFonts w:ascii="Calibri" w:eastAsia="Calibri" w:hAnsi="Calibri" w:cs="Times New Roman"/>
          <w:sz w:val="4"/>
          <w:lang w:val="en-US" w:eastAsia="sl-SI"/>
        </w:rPr>
      </w:pPr>
    </w:p>
    <w:p w:rsidR="005E3B68" w:rsidRPr="005E3B68" w:rsidRDefault="005E3B68" w:rsidP="00DD31D5">
      <w:pPr>
        <w:spacing w:before="0" w:line="240" w:lineRule="auto"/>
        <w:ind w:firstLine="708"/>
        <w:rPr>
          <w:rFonts w:eastAsia="Calibri" w:cs="Times New Roman"/>
          <w:szCs w:val="24"/>
          <w:lang w:val="it-IT" w:eastAsia="sl-SI"/>
        </w:rPr>
      </w:pPr>
      <w:r w:rsidRPr="005E3B68">
        <w:rPr>
          <w:rFonts w:eastAsia="Calibri" w:cs="Times New Roman"/>
          <w:szCs w:val="24"/>
          <w:lang w:val="sl-SI" w:eastAsia="sl-SI"/>
        </w:rPr>
        <w:t xml:space="preserve">Prihod od akciza iznose </w:t>
      </w:r>
      <w:r w:rsidRPr="005E3B68">
        <w:rPr>
          <w:rFonts w:eastAsia="Calibri" w:cs="Times New Roman"/>
          <w:b/>
          <w:bCs/>
          <w:szCs w:val="24"/>
          <w:lang w:val="sl-SI" w:eastAsia="sl-SI"/>
        </w:rPr>
        <w:t>19.376.992,95 €</w:t>
      </w:r>
      <w:r w:rsidRPr="005E3B68">
        <w:rPr>
          <w:rFonts w:eastAsia="Calibri" w:cs="Times New Roman"/>
          <w:szCs w:val="24"/>
          <w:lang w:val="sl-SI" w:eastAsia="sl-SI"/>
        </w:rPr>
        <w:t xml:space="preserve"> , što je veće za </w:t>
      </w:r>
      <w:r w:rsidRPr="005E3B68">
        <w:rPr>
          <w:rFonts w:eastAsia="Calibri" w:cs="Times New Roman"/>
          <w:b/>
          <w:bCs/>
          <w:szCs w:val="24"/>
          <w:lang w:val="sl-SI" w:eastAsia="sl-SI"/>
        </w:rPr>
        <w:t xml:space="preserve">962 hiljade € ili 5,23% </w:t>
      </w:r>
      <w:r w:rsidRPr="005E3B68">
        <w:rPr>
          <w:rFonts w:eastAsia="Calibri" w:cs="Times New Roman"/>
          <w:szCs w:val="24"/>
          <w:lang w:val="sl-SI" w:eastAsia="sl-SI"/>
        </w:rPr>
        <w:t xml:space="preserve">u odnosu na isti period prethodne godine. U odnosu na plan budžeta, neto naplata akciza je na nivou </w:t>
      </w:r>
      <w:r w:rsidRPr="005E3B68">
        <w:rPr>
          <w:rFonts w:eastAsia="Calibri" w:cs="Times New Roman"/>
          <w:b/>
          <w:bCs/>
          <w:szCs w:val="24"/>
          <w:lang w:val="sl-SI" w:eastAsia="sl-SI"/>
        </w:rPr>
        <w:t>87,33%.</w:t>
      </w:r>
    </w:p>
    <w:p w:rsidR="005E3B68" w:rsidRPr="005E3B68" w:rsidRDefault="005E3B68" w:rsidP="005E3B68">
      <w:pPr>
        <w:rPr>
          <w:rFonts w:ascii="Times New Roman" w:eastAsia="Calibri" w:hAnsi="Times New Roman" w:cs="Times New Roman"/>
          <w:bCs/>
          <w:sz w:val="22"/>
          <w:lang w:val="sl-SI" w:eastAsia="sl-SI"/>
        </w:rPr>
      </w:pPr>
      <w:r w:rsidRPr="005E3B68">
        <w:rPr>
          <w:rFonts w:ascii="Times New Roman" w:eastAsia="Calibri" w:hAnsi="Times New Roman" w:cs="Times New Roman"/>
          <w:b/>
          <w:bCs/>
          <w:sz w:val="22"/>
          <w:lang w:val="sl-SI" w:eastAsia="sl-SI"/>
        </w:rPr>
        <w:t xml:space="preserve">Tabela 3: </w:t>
      </w:r>
      <w:r w:rsidRPr="005E3B68">
        <w:rPr>
          <w:rFonts w:ascii="Times New Roman" w:eastAsia="Calibri" w:hAnsi="Times New Roman" w:cs="Times New Roman"/>
          <w:bCs/>
          <w:sz w:val="22"/>
          <w:lang w:val="sl-SI" w:eastAsia="sl-SI"/>
        </w:rPr>
        <w:t>Pregled naplate po vrstama akciznih proizvoda</w:t>
      </w:r>
    </w:p>
    <w:tbl>
      <w:tblPr>
        <w:tblW w:w="9639" w:type="dxa"/>
        <w:tblInd w:w="70" w:type="dxa"/>
        <w:tblLayout w:type="fixed"/>
        <w:tblCellMar>
          <w:left w:w="70" w:type="dxa"/>
          <w:right w:w="70" w:type="dxa"/>
        </w:tblCellMar>
        <w:tblLook w:val="04A0" w:firstRow="1" w:lastRow="0" w:firstColumn="1" w:lastColumn="0" w:noHBand="0" w:noVBand="1"/>
      </w:tblPr>
      <w:tblGrid>
        <w:gridCol w:w="3402"/>
        <w:gridCol w:w="1701"/>
        <w:gridCol w:w="1560"/>
        <w:gridCol w:w="1559"/>
        <w:gridCol w:w="1417"/>
      </w:tblGrid>
      <w:tr w:rsidR="005E3B68" w:rsidRPr="005E3B68" w:rsidTr="00433074">
        <w:trPr>
          <w:trHeight w:val="630"/>
        </w:trPr>
        <w:tc>
          <w:tcPr>
            <w:tcW w:w="3402" w:type="dxa"/>
            <w:tcBorders>
              <w:top w:val="nil"/>
              <w:left w:val="single" w:sz="4" w:space="0" w:color="auto"/>
              <w:bottom w:val="nil"/>
              <w:right w:val="single" w:sz="4" w:space="0" w:color="auto"/>
            </w:tcBorders>
            <w:shd w:val="clear" w:color="000000" w:fill="95B3D7"/>
            <w:vAlign w:val="center"/>
            <w:hideMark/>
          </w:tcPr>
          <w:p w:rsidR="005E3B68" w:rsidRPr="005E3B68" w:rsidRDefault="005E3B68" w:rsidP="005E3B68">
            <w:pPr>
              <w:spacing w:before="0" w:after="0" w:line="240" w:lineRule="auto"/>
              <w:jc w:val="center"/>
              <w:rPr>
                <w:rFonts w:ascii="Times New Roman" w:eastAsia="Calibri" w:hAnsi="Times New Roman" w:cs="Times New Roman"/>
                <w:sz w:val="20"/>
                <w:szCs w:val="20"/>
                <w:lang w:val="en-US" w:eastAsia="sl-SI"/>
              </w:rPr>
            </w:pPr>
            <w:r w:rsidRPr="005E3B68">
              <w:rPr>
                <w:rFonts w:ascii="Times New Roman" w:eastAsia="Calibri" w:hAnsi="Times New Roman" w:cs="Times New Roman"/>
                <w:sz w:val="20"/>
                <w:szCs w:val="20"/>
                <w:lang w:val="en-US" w:eastAsia="sl-SI"/>
              </w:rPr>
              <w:t>VRSTA PRIHODA</w:t>
            </w:r>
          </w:p>
        </w:tc>
        <w:tc>
          <w:tcPr>
            <w:tcW w:w="1701" w:type="dxa"/>
            <w:tcBorders>
              <w:top w:val="nil"/>
              <w:left w:val="nil"/>
              <w:bottom w:val="nil"/>
              <w:right w:val="single" w:sz="4" w:space="0" w:color="auto"/>
            </w:tcBorders>
            <w:shd w:val="clear" w:color="000000" w:fill="95B3D7"/>
            <w:vAlign w:val="center"/>
            <w:hideMark/>
          </w:tcPr>
          <w:p w:rsidR="005E3B68" w:rsidRPr="005E3B68" w:rsidRDefault="005E3B68" w:rsidP="005E3B68">
            <w:pPr>
              <w:spacing w:before="0" w:after="0" w:line="240" w:lineRule="auto"/>
              <w:jc w:val="center"/>
              <w:rPr>
                <w:rFonts w:ascii="Times New Roman" w:eastAsia="Calibri" w:hAnsi="Times New Roman" w:cs="Times New Roman"/>
                <w:sz w:val="20"/>
                <w:szCs w:val="20"/>
                <w:lang w:val="en-US" w:eastAsia="sl-SI"/>
              </w:rPr>
            </w:pPr>
            <w:r w:rsidRPr="005E3B68">
              <w:rPr>
                <w:rFonts w:ascii="Times New Roman" w:eastAsia="Calibri" w:hAnsi="Times New Roman" w:cs="Times New Roman"/>
                <w:sz w:val="20"/>
                <w:szCs w:val="20"/>
                <w:lang w:val="en-US" w:eastAsia="sl-SI"/>
              </w:rPr>
              <w:t>Ostvareno u 2019.godini</w:t>
            </w:r>
          </w:p>
        </w:tc>
        <w:tc>
          <w:tcPr>
            <w:tcW w:w="1560" w:type="dxa"/>
            <w:tcBorders>
              <w:top w:val="nil"/>
              <w:left w:val="nil"/>
              <w:bottom w:val="nil"/>
              <w:right w:val="single" w:sz="4" w:space="0" w:color="auto"/>
            </w:tcBorders>
            <w:shd w:val="clear" w:color="000000" w:fill="95B3D7"/>
            <w:vAlign w:val="center"/>
            <w:hideMark/>
          </w:tcPr>
          <w:p w:rsidR="005E3B68" w:rsidRPr="005E3B68" w:rsidRDefault="005E3B68" w:rsidP="005E3B68">
            <w:pPr>
              <w:spacing w:before="0" w:after="0" w:line="240" w:lineRule="auto"/>
              <w:jc w:val="center"/>
              <w:rPr>
                <w:rFonts w:ascii="Times New Roman" w:eastAsia="Calibri" w:hAnsi="Times New Roman" w:cs="Times New Roman"/>
                <w:sz w:val="20"/>
                <w:szCs w:val="20"/>
                <w:lang w:val="en-US" w:eastAsia="sl-SI"/>
              </w:rPr>
            </w:pPr>
            <w:r w:rsidRPr="005E3B68">
              <w:rPr>
                <w:rFonts w:ascii="Times New Roman" w:eastAsia="Calibri" w:hAnsi="Times New Roman" w:cs="Times New Roman"/>
                <w:sz w:val="20"/>
                <w:szCs w:val="20"/>
                <w:lang w:val="en-US" w:eastAsia="sl-SI"/>
              </w:rPr>
              <w:t>Ostvareno u 2020.godini</w:t>
            </w:r>
          </w:p>
        </w:tc>
        <w:tc>
          <w:tcPr>
            <w:tcW w:w="1559" w:type="dxa"/>
            <w:tcBorders>
              <w:top w:val="nil"/>
              <w:left w:val="nil"/>
              <w:bottom w:val="nil"/>
              <w:right w:val="single" w:sz="4" w:space="0" w:color="auto"/>
            </w:tcBorders>
            <w:shd w:val="clear" w:color="000000" w:fill="95B3D7"/>
            <w:vAlign w:val="center"/>
            <w:hideMark/>
          </w:tcPr>
          <w:p w:rsidR="005E3B68" w:rsidRPr="005E3B68" w:rsidRDefault="005E3B68" w:rsidP="005E3B68">
            <w:pPr>
              <w:spacing w:before="0" w:after="0" w:line="240" w:lineRule="auto"/>
              <w:jc w:val="center"/>
              <w:rPr>
                <w:rFonts w:ascii="Times New Roman" w:eastAsia="Calibri" w:hAnsi="Times New Roman" w:cs="Times New Roman"/>
                <w:sz w:val="20"/>
                <w:szCs w:val="20"/>
                <w:lang w:val="en-US" w:eastAsia="sl-SI"/>
              </w:rPr>
            </w:pPr>
            <w:r w:rsidRPr="005E3B68">
              <w:rPr>
                <w:rFonts w:ascii="Times New Roman" w:eastAsia="Calibri" w:hAnsi="Times New Roman" w:cs="Times New Roman"/>
                <w:sz w:val="20"/>
                <w:szCs w:val="20"/>
                <w:lang w:val="en-US" w:eastAsia="sl-SI"/>
              </w:rPr>
              <w:t>Apsolutno odstupanje</w:t>
            </w:r>
          </w:p>
        </w:tc>
        <w:tc>
          <w:tcPr>
            <w:tcW w:w="1417" w:type="dxa"/>
            <w:tcBorders>
              <w:top w:val="nil"/>
              <w:left w:val="nil"/>
              <w:bottom w:val="nil"/>
              <w:right w:val="single" w:sz="4" w:space="0" w:color="auto"/>
            </w:tcBorders>
            <w:shd w:val="clear" w:color="000000" w:fill="95B3D7"/>
            <w:vAlign w:val="bottom"/>
            <w:hideMark/>
          </w:tcPr>
          <w:p w:rsidR="005E3B68" w:rsidRPr="005E3B68" w:rsidRDefault="005E3B68" w:rsidP="005E3B68">
            <w:pPr>
              <w:spacing w:before="0" w:after="0" w:line="240" w:lineRule="auto"/>
              <w:jc w:val="center"/>
              <w:rPr>
                <w:rFonts w:ascii="Times New Roman" w:eastAsia="Calibri" w:hAnsi="Times New Roman" w:cs="Times New Roman"/>
                <w:sz w:val="20"/>
                <w:szCs w:val="20"/>
                <w:lang w:val="en-US" w:eastAsia="sl-SI"/>
              </w:rPr>
            </w:pPr>
            <w:r w:rsidRPr="005E3B68">
              <w:rPr>
                <w:rFonts w:ascii="Times New Roman" w:eastAsia="Calibri" w:hAnsi="Times New Roman" w:cs="Times New Roman"/>
                <w:sz w:val="20"/>
                <w:szCs w:val="20"/>
                <w:lang w:val="en-US" w:eastAsia="sl-SI"/>
              </w:rPr>
              <w:t>% ostvarenja u odnosu na 2019</w:t>
            </w:r>
          </w:p>
        </w:tc>
      </w:tr>
      <w:tr w:rsidR="005E3B68" w:rsidRPr="005E3B68" w:rsidTr="00433074">
        <w:trPr>
          <w:trHeight w:val="34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3B68" w:rsidRPr="005E3B68" w:rsidRDefault="005E3B68" w:rsidP="005E3B68">
            <w:pPr>
              <w:spacing w:before="0" w:after="0" w:line="240" w:lineRule="auto"/>
              <w:jc w:val="left"/>
              <w:rPr>
                <w:rFonts w:ascii="Times New Roman" w:eastAsia="Times New Roman" w:hAnsi="Times New Roman" w:cs="Times New Roman"/>
                <w:sz w:val="20"/>
                <w:szCs w:val="20"/>
                <w:lang w:val="sl-SI" w:eastAsia="sl-SI"/>
              </w:rPr>
            </w:pPr>
            <w:r w:rsidRPr="005E3B68">
              <w:rPr>
                <w:rFonts w:ascii="Times New Roman" w:eastAsia="Times New Roman" w:hAnsi="Times New Roman" w:cs="Times New Roman"/>
                <w:sz w:val="20"/>
                <w:szCs w:val="20"/>
                <w:lang w:val="sl-SI" w:eastAsia="sl-SI"/>
              </w:rPr>
              <w:t>Akciza na mineralna ulja i njihove derivate</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E3B68" w:rsidRPr="005E3B68" w:rsidRDefault="005E3B68" w:rsidP="005E3B68">
            <w:pPr>
              <w:spacing w:before="0" w:after="0" w:line="240" w:lineRule="auto"/>
              <w:jc w:val="right"/>
              <w:rPr>
                <w:rFonts w:ascii="Times New Roman" w:eastAsia="Calibri" w:hAnsi="Times New Roman" w:cs="Times New Roman"/>
                <w:sz w:val="20"/>
                <w:szCs w:val="20"/>
                <w:lang w:val="en-US" w:eastAsia="sl-SI"/>
              </w:rPr>
            </w:pPr>
            <w:r w:rsidRPr="005E3B68">
              <w:rPr>
                <w:rFonts w:ascii="Times New Roman" w:eastAsia="Calibri" w:hAnsi="Times New Roman" w:cs="Times New Roman"/>
                <w:sz w:val="20"/>
                <w:szCs w:val="20"/>
                <w:lang w:val="en-US" w:eastAsia="sl-SI"/>
              </w:rPr>
              <w:t>12.884.749,60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5E3B68" w:rsidRPr="005E3B68" w:rsidRDefault="005E3B68" w:rsidP="005E3B68">
            <w:pPr>
              <w:spacing w:before="0" w:after="0" w:line="240" w:lineRule="auto"/>
              <w:jc w:val="right"/>
              <w:rPr>
                <w:rFonts w:ascii="Times New Roman" w:eastAsia="Calibri" w:hAnsi="Times New Roman" w:cs="Times New Roman"/>
                <w:sz w:val="20"/>
                <w:szCs w:val="20"/>
                <w:lang w:val="en-US" w:eastAsia="sl-SI"/>
              </w:rPr>
            </w:pPr>
            <w:r w:rsidRPr="005E3B68">
              <w:rPr>
                <w:rFonts w:ascii="Times New Roman" w:eastAsia="Calibri" w:hAnsi="Times New Roman" w:cs="Times New Roman"/>
                <w:sz w:val="20"/>
                <w:szCs w:val="20"/>
                <w:lang w:val="en-US" w:eastAsia="sl-SI"/>
              </w:rPr>
              <w:t>12.912.776,04</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5E3B68" w:rsidRPr="005E3B68" w:rsidRDefault="005E3B68" w:rsidP="005E3B68">
            <w:pPr>
              <w:spacing w:before="0" w:after="0" w:line="240" w:lineRule="auto"/>
              <w:jc w:val="right"/>
              <w:rPr>
                <w:rFonts w:ascii="Times New Roman" w:eastAsia="Calibri" w:hAnsi="Times New Roman" w:cs="Times New Roman"/>
                <w:sz w:val="20"/>
                <w:szCs w:val="20"/>
                <w:lang w:val="en-US" w:eastAsia="sl-SI"/>
              </w:rPr>
            </w:pPr>
            <w:r w:rsidRPr="005E3B68">
              <w:rPr>
                <w:rFonts w:ascii="Times New Roman" w:eastAsia="Calibri" w:hAnsi="Times New Roman" w:cs="Times New Roman"/>
                <w:sz w:val="20"/>
                <w:szCs w:val="20"/>
                <w:lang w:val="en-US" w:eastAsia="sl-SI"/>
              </w:rPr>
              <w:t>28.026,44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E3B68" w:rsidRPr="005E3B68" w:rsidRDefault="005E3B68" w:rsidP="005E3B68">
            <w:pPr>
              <w:spacing w:before="0" w:after="0" w:line="240" w:lineRule="auto"/>
              <w:jc w:val="right"/>
              <w:rPr>
                <w:rFonts w:ascii="Times New Roman" w:eastAsia="Calibri" w:hAnsi="Times New Roman" w:cs="Times New Roman"/>
                <w:sz w:val="20"/>
                <w:szCs w:val="20"/>
                <w:lang w:val="en-US" w:eastAsia="sl-SI"/>
              </w:rPr>
            </w:pPr>
            <w:r w:rsidRPr="005E3B68">
              <w:rPr>
                <w:rFonts w:ascii="Times New Roman" w:eastAsia="Calibri" w:hAnsi="Times New Roman" w:cs="Times New Roman"/>
                <w:sz w:val="20"/>
                <w:szCs w:val="20"/>
                <w:lang w:val="en-US" w:eastAsia="sl-SI"/>
              </w:rPr>
              <w:t>100,22</w:t>
            </w:r>
          </w:p>
        </w:tc>
      </w:tr>
      <w:tr w:rsidR="005E3B68" w:rsidRPr="005E3B68" w:rsidTr="00433074">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5E3B68" w:rsidRPr="005E3B68" w:rsidRDefault="005E3B68" w:rsidP="005E3B68">
            <w:pPr>
              <w:spacing w:before="0" w:after="0" w:line="240" w:lineRule="auto"/>
              <w:jc w:val="left"/>
              <w:rPr>
                <w:rFonts w:ascii="Times New Roman" w:eastAsia="Times New Roman" w:hAnsi="Times New Roman" w:cs="Times New Roman"/>
                <w:sz w:val="20"/>
                <w:szCs w:val="20"/>
                <w:lang w:val="sl-SI" w:eastAsia="sl-SI"/>
              </w:rPr>
            </w:pPr>
            <w:r w:rsidRPr="005E3B68">
              <w:rPr>
                <w:rFonts w:ascii="Times New Roman" w:eastAsia="Times New Roman" w:hAnsi="Times New Roman" w:cs="Times New Roman"/>
                <w:sz w:val="20"/>
                <w:szCs w:val="20"/>
                <w:lang w:val="sl-SI" w:eastAsia="sl-SI"/>
              </w:rPr>
              <w:lastRenderedPageBreak/>
              <w:t>Akciza na duvanske proizvode</w:t>
            </w:r>
          </w:p>
        </w:tc>
        <w:tc>
          <w:tcPr>
            <w:tcW w:w="1701" w:type="dxa"/>
            <w:tcBorders>
              <w:top w:val="nil"/>
              <w:left w:val="nil"/>
              <w:bottom w:val="single" w:sz="4" w:space="0" w:color="auto"/>
              <w:right w:val="single" w:sz="4" w:space="0" w:color="auto"/>
            </w:tcBorders>
            <w:shd w:val="clear" w:color="auto" w:fill="auto"/>
            <w:vAlign w:val="center"/>
            <w:hideMark/>
          </w:tcPr>
          <w:p w:rsidR="005E3B68" w:rsidRPr="005E3B68" w:rsidRDefault="005E3B68" w:rsidP="005E3B68">
            <w:pPr>
              <w:spacing w:before="0" w:after="0" w:line="240" w:lineRule="auto"/>
              <w:jc w:val="right"/>
              <w:rPr>
                <w:rFonts w:ascii="Times New Roman" w:eastAsia="Calibri" w:hAnsi="Times New Roman" w:cs="Times New Roman"/>
                <w:sz w:val="20"/>
                <w:szCs w:val="20"/>
                <w:lang w:val="en-US" w:eastAsia="sl-SI"/>
              </w:rPr>
            </w:pPr>
            <w:r w:rsidRPr="005E3B68">
              <w:rPr>
                <w:rFonts w:ascii="Times New Roman" w:eastAsia="Calibri" w:hAnsi="Times New Roman" w:cs="Times New Roman"/>
                <w:sz w:val="20"/>
                <w:szCs w:val="20"/>
                <w:lang w:val="en-US" w:eastAsia="sl-SI"/>
              </w:rPr>
              <w:t>3.249.871,81</w:t>
            </w:r>
          </w:p>
        </w:tc>
        <w:tc>
          <w:tcPr>
            <w:tcW w:w="1560" w:type="dxa"/>
            <w:tcBorders>
              <w:top w:val="nil"/>
              <w:left w:val="nil"/>
              <w:bottom w:val="single" w:sz="4" w:space="0" w:color="auto"/>
              <w:right w:val="single" w:sz="4" w:space="0" w:color="auto"/>
            </w:tcBorders>
            <w:shd w:val="clear" w:color="auto" w:fill="auto"/>
            <w:vAlign w:val="center"/>
            <w:hideMark/>
          </w:tcPr>
          <w:p w:rsidR="005E3B68" w:rsidRPr="005E3B68" w:rsidRDefault="005E3B68" w:rsidP="005E3B68">
            <w:pPr>
              <w:spacing w:before="0" w:after="0" w:line="240" w:lineRule="auto"/>
              <w:jc w:val="right"/>
              <w:rPr>
                <w:rFonts w:ascii="Times New Roman" w:eastAsia="Calibri" w:hAnsi="Times New Roman" w:cs="Times New Roman"/>
                <w:sz w:val="20"/>
                <w:szCs w:val="20"/>
                <w:lang w:val="en-US" w:eastAsia="sl-SI"/>
              </w:rPr>
            </w:pPr>
            <w:r w:rsidRPr="005E3B68">
              <w:rPr>
                <w:rFonts w:ascii="Times New Roman" w:eastAsia="Calibri" w:hAnsi="Times New Roman" w:cs="Times New Roman"/>
                <w:sz w:val="20"/>
                <w:szCs w:val="20"/>
                <w:lang w:val="en-US" w:eastAsia="sl-SI"/>
              </w:rPr>
              <w:t>4.243.454,66</w:t>
            </w:r>
          </w:p>
        </w:tc>
        <w:tc>
          <w:tcPr>
            <w:tcW w:w="1559" w:type="dxa"/>
            <w:tcBorders>
              <w:top w:val="nil"/>
              <w:left w:val="nil"/>
              <w:bottom w:val="single" w:sz="4" w:space="0" w:color="auto"/>
              <w:right w:val="single" w:sz="4" w:space="0" w:color="auto"/>
            </w:tcBorders>
            <w:shd w:val="clear" w:color="auto" w:fill="auto"/>
            <w:noWrap/>
            <w:vAlign w:val="center"/>
            <w:hideMark/>
          </w:tcPr>
          <w:p w:rsidR="005E3B68" w:rsidRPr="005E3B68" w:rsidRDefault="005E3B68" w:rsidP="005E3B68">
            <w:pPr>
              <w:spacing w:before="0" w:after="0" w:line="240" w:lineRule="auto"/>
              <w:jc w:val="right"/>
              <w:rPr>
                <w:rFonts w:ascii="Times New Roman" w:eastAsia="Calibri" w:hAnsi="Times New Roman" w:cs="Times New Roman"/>
                <w:sz w:val="20"/>
                <w:szCs w:val="20"/>
                <w:lang w:val="en-US" w:eastAsia="sl-SI"/>
              </w:rPr>
            </w:pPr>
            <w:r w:rsidRPr="005E3B68">
              <w:rPr>
                <w:rFonts w:ascii="Times New Roman" w:eastAsia="Calibri" w:hAnsi="Times New Roman" w:cs="Times New Roman"/>
                <w:sz w:val="20"/>
                <w:szCs w:val="20"/>
                <w:lang w:val="en-US" w:eastAsia="sl-SI"/>
              </w:rPr>
              <w:t>993.582,85</w:t>
            </w:r>
          </w:p>
        </w:tc>
        <w:tc>
          <w:tcPr>
            <w:tcW w:w="1417" w:type="dxa"/>
            <w:tcBorders>
              <w:top w:val="nil"/>
              <w:left w:val="nil"/>
              <w:bottom w:val="single" w:sz="4" w:space="0" w:color="auto"/>
              <w:right w:val="single" w:sz="4" w:space="0" w:color="auto"/>
            </w:tcBorders>
            <w:shd w:val="clear" w:color="auto" w:fill="auto"/>
            <w:vAlign w:val="center"/>
            <w:hideMark/>
          </w:tcPr>
          <w:p w:rsidR="005E3B68" w:rsidRPr="005E3B68" w:rsidRDefault="005E3B68" w:rsidP="005E3B68">
            <w:pPr>
              <w:spacing w:before="0" w:after="0" w:line="240" w:lineRule="auto"/>
              <w:jc w:val="right"/>
              <w:rPr>
                <w:rFonts w:ascii="Times New Roman" w:eastAsia="Calibri" w:hAnsi="Times New Roman" w:cs="Times New Roman"/>
                <w:sz w:val="20"/>
                <w:szCs w:val="20"/>
                <w:lang w:val="en-US" w:eastAsia="sl-SI"/>
              </w:rPr>
            </w:pPr>
            <w:r w:rsidRPr="005E3B68">
              <w:rPr>
                <w:rFonts w:ascii="Times New Roman" w:eastAsia="Calibri" w:hAnsi="Times New Roman" w:cs="Times New Roman"/>
                <w:sz w:val="20"/>
                <w:szCs w:val="20"/>
                <w:lang w:val="en-US" w:eastAsia="sl-SI"/>
              </w:rPr>
              <w:t>130,57</w:t>
            </w:r>
          </w:p>
        </w:tc>
      </w:tr>
      <w:tr w:rsidR="005E3B68" w:rsidRPr="005E3B68" w:rsidTr="00433074">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5E3B68" w:rsidRPr="005E3B68" w:rsidRDefault="005E3B68" w:rsidP="005E3B68">
            <w:pPr>
              <w:spacing w:before="0" w:after="0" w:line="240" w:lineRule="auto"/>
              <w:jc w:val="left"/>
              <w:rPr>
                <w:rFonts w:ascii="Times New Roman" w:eastAsia="Times New Roman" w:hAnsi="Times New Roman" w:cs="Times New Roman"/>
                <w:sz w:val="20"/>
                <w:szCs w:val="20"/>
                <w:lang w:val="sl-SI" w:eastAsia="sl-SI"/>
              </w:rPr>
            </w:pPr>
            <w:r w:rsidRPr="005E3B68">
              <w:rPr>
                <w:rFonts w:ascii="Times New Roman" w:eastAsia="Times New Roman" w:hAnsi="Times New Roman" w:cs="Times New Roman"/>
                <w:sz w:val="20"/>
                <w:szCs w:val="20"/>
                <w:lang w:val="sl-SI" w:eastAsia="sl-SI"/>
              </w:rPr>
              <w:t>Akciza na alkohol i alkoholna pića</w:t>
            </w:r>
          </w:p>
        </w:tc>
        <w:tc>
          <w:tcPr>
            <w:tcW w:w="1701" w:type="dxa"/>
            <w:tcBorders>
              <w:top w:val="nil"/>
              <w:left w:val="nil"/>
              <w:bottom w:val="single" w:sz="4" w:space="0" w:color="auto"/>
              <w:right w:val="single" w:sz="4" w:space="0" w:color="auto"/>
            </w:tcBorders>
            <w:shd w:val="clear" w:color="auto" w:fill="auto"/>
            <w:vAlign w:val="center"/>
            <w:hideMark/>
          </w:tcPr>
          <w:p w:rsidR="005E3B68" w:rsidRPr="005E3B68" w:rsidRDefault="005E3B68" w:rsidP="005E3B68">
            <w:pPr>
              <w:spacing w:before="0" w:after="0" w:line="240" w:lineRule="auto"/>
              <w:jc w:val="right"/>
              <w:rPr>
                <w:rFonts w:ascii="Times New Roman" w:eastAsia="Calibri" w:hAnsi="Times New Roman" w:cs="Times New Roman"/>
                <w:sz w:val="20"/>
                <w:szCs w:val="20"/>
                <w:lang w:val="en-US" w:eastAsia="sl-SI"/>
              </w:rPr>
            </w:pPr>
            <w:r w:rsidRPr="005E3B68">
              <w:rPr>
                <w:rFonts w:ascii="Times New Roman" w:eastAsia="Calibri" w:hAnsi="Times New Roman" w:cs="Times New Roman"/>
                <w:sz w:val="20"/>
                <w:szCs w:val="20"/>
                <w:lang w:val="en-US" w:eastAsia="sl-SI"/>
              </w:rPr>
              <w:t>1.387.267,72</w:t>
            </w:r>
          </w:p>
        </w:tc>
        <w:tc>
          <w:tcPr>
            <w:tcW w:w="1560" w:type="dxa"/>
            <w:tcBorders>
              <w:top w:val="nil"/>
              <w:left w:val="nil"/>
              <w:bottom w:val="single" w:sz="4" w:space="0" w:color="auto"/>
              <w:right w:val="single" w:sz="4" w:space="0" w:color="auto"/>
            </w:tcBorders>
            <w:shd w:val="clear" w:color="auto" w:fill="auto"/>
            <w:vAlign w:val="center"/>
            <w:hideMark/>
          </w:tcPr>
          <w:p w:rsidR="005E3B68" w:rsidRPr="005E3B68" w:rsidRDefault="005E3B68" w:rsidP="005E3B68">
            <w:pPr>
              <w:spacing w:before="0" w:after="0" w:line="240" w:lineRule="auto"/>
              <w:jc w:val="right"/>
              <w:rPr>
                <w:rFonts w:ascii="Times New Roman" w:eastAsia="Calibri" w:hAnsi="Times New Roman" w:cs="Times New Roman"/>
                <w:sz w:val="20"/>
                <w:szCs w:val="20"/>
                <w:lang w:val="en-US" w:eastAsia="sl-SI"/>
              </w:rPr>
            </w:pPr>
            <w:r w:rsidRPr="005E3B68">
              <w:rPr>
                <w:rFonts w:ascii="Times New Roman" w:eastAsia="Calibri" w:hAnsi="Times New Roman" w:cs="Times New Roman"/>
                <w:sz w:val="20"/>
                <w:szCs w:val="20"/>
                <w:lang w:val="en-US" w:eastAsia="sl-SI"/>
              </w:rPr>
              <w:t>1.094.278,99</w:t>
            </w:r>
          </w:p>
        </w:tc>
        <w:tc>
          <w:tcPr>
            <w:tcW w:w="1559" w:type="dxa"/>
            <w:tcBorders>
              <w:top w:val="nil"/>
              <w:left w:val="nil"/>
              <w:bottom w:val="single" w:sz="4" w:space="0" w:color="auto"/>
              <w:right w:val="single" w:sz="4" w:space="0" w:color="auto"/>
            </w:tcBorders>
            <w:shd w:val="clear" w:color="auto" w:fill="auto"/>
            <w:noWrap/>
            <w:vAlign w:val="center"/>
            <w:hideMark/>
          </w:tcPr>
          <w:p w:rsidR="005E3B68" w:rsidRPr="005E3B68" w:rsidRDefault="005E3B68" w:rsidP="005E3B68">
            <w:pPr>
              <w:spacing w:before="0" w:after="0" w:line="240" w:lineRule="auto"/>
              <w:jc w:val="right"/>
              <w:rPr>
                <w:rFonts w:ascii="Times New Roman" w:eastAsia="Calibri" w:hAnsi="Times New Roman" w:cs="Times New Roman"/>
                <w:sz w:val="20"/>
                <w:szCs w:val="20"/>
                <w:lang w:val="en-US" w:eastAsia="sl-SI"/>
              </w:rPr>
            </w:pPr>
            <w:r w:rsidRPr="005E3B68">
              <w:rPr>
                <w:rFonts w:ascii="Times New Roman" w:eastAsia="Calibri" w:hAnsi="Times New Roman" w:cs="Times New Roman"/>
                <w:sz w:val="20"/>
                <w:szCs w:val="20"/>
                <w:lang w:val="en-US" w:eastAsia="sl-SI"/>
              </w:rPr>
              <w:t>-292.988,73</w:t>
            </w:r>
          </w:p>
        </w:tc>
        <w:tc>
          <w:tcPr>
            <w:tcW w:w="1417" w:type="dxa"/>
            <w:tcBorders>
              <w:top w:val="nil"/>
              <w:left w:val="nil"/>
              <w:bottom w:val="single" w:sz="4" w:space="0" w:color="auto"/>
              <w:right w:val="single" w:sz="4" w:space="0" w:color="auto"/>
            </w:tcBorders>
            <w:shd w:val="clear" w:color="auto" w:fill="auto"/>
            <w:vAlign w:val="center"/>
            <w:hideMark/>
          </w:tcPr>
          <w:p w:rsidR="005E3B68" w:rsidRPr="005E3B68" w:rsidRDefault="005E3B68" w:rsidP="005E3B68">
            <w:pPr>
              <w:spacing w:before="0" w:after="0" w:line="240" w:lineRule="auto"/>
              <w:jc w:val="right"/>
              <w:rPr>
                <w:rFonts w:ascii="Times New Roman" w:eastAsia="Calibri" w:hAnsi="Times New Roman" w:cs="Times New Roman"/>
                <w:sz w:val="20"/>
                <w:szCs w:val="20"/>
                <w:lang w:val="en-US" w:eastAsia="sl-SI"/>
              </w:rPr>
            </w:pPr>
            <w:r w:rsidRPr="005E3B68">
              <w:rPr>
                <w:rFonts w:ascii="Times New Roman" w:eastAsia="Calibri" w:hAnsi="Times New Roman" w:cs="Times New Roman"/>
                <w:sz w:val="20"/>
                <w:szCs w:val="20"/>
                <w:lang w:val="en-US" w:eastAsia="sl-SI"/>
              </w:rPr>
              <w:t>78,88</w:t>
            </w:r>
          </w:p>
        </w:tc>
      </w:tr>
      <w:tr w:rsidR="005E3B68" w:rsidRPr="005E3B68" w:rsidTr="00433074">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5E3B68" w:rsidRPr="005E3B68" w:rsidRDefault="005E3B68" w:rsidP="005E3B68">
            <w:pPr>
              <w:spacing w:before="0" w:after="0" w:line="240" w:lineRule="auto"/>
              <w:jc w:val="left"/>
              <w:rPr>
                <w:rFonts w:ascii="Times New Roman" w:eastAsia="Times New Roman" w:hAnsi="Times New Roman" w:cs="Times New Roman"/>
                <w:sz w:val="20"/>
                <w:szCs w:val="20"/>
                <w:lang w:val="sl-SI" w:eastAsia="sl-SI"/>
              </w:rPr>
            </w:pPr>
            <w:r w:rsidRPr="005E3B68">
              <w:rPr>
                <w:rFonts w:ascii="Times New Roman" w:eastAsia="Times New Roman" w:hAnsi="Times New Roman" w:cs="Times New Roman"/>
                <w:sz w:val="20"/>
                <w:szCs w:val="20"/>
                <w:lang w:val="sl-SI" w:eastAsia="sl-SI"/>
              </w:rPr>
              <w:t xml:space="preserve">Akciza na gaziranu vodu </w:t>
            </w:r>
          </w:p>
        </w:tc>
        <w:tc>
          <w:tcPr>
            <w:tcW w:w="1701" w:type="dxa"/>
            <w:tcBorders>
              <w:top w:val="nil"/>
              <w:left w:val="nil"/>
              <w:bottom w:val="single" w:sz="4" w:space="0" w:color="auto"/>
              <w:right w:val="single" w:sz="4" w:space="0" w:color="auto"/>
            </w:tcBorders>
            <w:shd w:val="clear" w:color="auto" w:fill="auto"/>
            <w:vAlign w:val="center"/>
            <w:hideMark/>
          </w:tcPr>
          <w:p w:rsidR="005E3B68" w:rsidRPr="005E3B68" w:rsidRDefault="005E3B68" w:rsidP="005E3B68">
            <w:pPr>
              <w:spacing w:before="0" w:after="0" w:line="240" w:lineRule="auto"/>
              <w:jc w:val="right"/>
              <w:rPr>
                <w:rFonts w:ascii="Times New Roman" w:eastAsia="Calibri" w:hAnsi="Times New Roman" w:cs="Times New Roman"/>
                <w:sz w:val="20"/>
                <w:szCs w:val="20"/>
                <w:lang w:val="en-US" w:eastAsia="sl-SI"/>
              </w:rPr>
            </w:pPr>
            <w:r w:rsidRPr="005E3B68">
              <w:rPr>
                <w:rFonts w:ascii="Times New Roman" w:eastAsia="Calibri" w:hAnsi="Times New Roman" w:cs="Times New Roman"/>
                <w:sz w:val="20"/>
                <w:szCs w:val="20"/>
                <w:lang w:val="en-US" w:eastAsia="sl-SI"/>
              </w:rPr>
              <w:t>716.868,46</w:t>
            </w:r>
          </w:p>
        </w:tc>
        <w:tc>
          <w:tcPr>
            <w:tcW w:w="1560" w:type="dxa"/>
            <w:tcBorders>
              <w:top w:val="nil"/>
              <w:left w:val="nil"/>
              <w:bottom w:val="single" w:sz="4" w:space="0" w:color="auto"/>
              <w:right w:val="single" w:sz="4" w:space="0" w:color="auto"/>
            </w:tcBorders>
            <w:shd w:val="clear" w:color="auto" w:fill="auto"/>
            <w:vAlign w:val="center"/>
            <w:hideMark/>
          </w:tcPr>
          <w:p w:rsidR="005E3B68" w:rsidRPr="005E3B68" w:rsidRDefault="005E3B68" w:rsidP="005E3B68">
            <w:pPr>
              <w:spacing w:before="0" w:after="0" w:line="240" w:lineRule="auto"/>
              <w:jc w:val="right"/>
              <w:rPr>
                <w:rFonts w:ascii="Times New Roman" w:eastAsia="Calibri" w:hAnsi="Times New Roman" w:cs="Times New Roman"/>
                <w:sz w:val="20"/>
                <w:szCs w:val="20"/>
                <w:lang w:val="en-US" w:eastAsia="sl-SI"/>
              </w:rPr>
            </w:pPr>
            <w:r w:rsidRPr="005E3B68">
              <w:rPr>
                <w:rFonts w:ascii="Times New Roman" w:eastAsia="Calibri" w:hAnsi="Times New Roman" w:cs="Times New Roman"/>
                <w:sz w:val="20"/>
                <w:szCs w:val="20"/>
                <w:lang w:val="en-US" w:eastAsia="sl-SI"/>
              </w:rPr>
              <w:t>651.979,47</w:t>
            </w:r>
          </w:p>
        </w:tc>
        <w:tc>
          <w:tcPr>
            <w:tcW w:w="1559" w:type="dxa"/>
            <w:tcBorders>
              <w:top w:val="nil"/>
              <w:left w:val="nil"/>
              <w:bottom w:val="single" w:sz="4" w:space="0" w:color="auto"/>
              <w:right w:val="single" w:sz="4" w:space="0" w:color="auto"/>
            </w:tcBorders>
            <w:shd w:val="clear" w:color="auto" w:fill="auto"/>
            <w:noWrap/>
            <w:vAlign w:val="center"/>
            <w:hideMark/>
          </w:tcPr>
          <w:p w:rsidR="005E3B68" w:rsidRPr="005E3B68" w:rsidRDefault="005E3B68" w:rsidP="005E3B68">
            <w:pPr>
              <w:spacing w:before="0" w:after="0" w:line="240" w:lineRule="auto"/>
              <w:jc w:val="right"/>
              <w:rPr>
                <w:rFonts w:ascii="Times New Roman" w:eastAsia="Calibri" w:hAnsi="Times New Roman" w:cs="Times New Roman"/>
                <w:sz w:val="20"/>
                <w:szCs w:val="20"/>
                <w:lang w:val="en-US" w:eastAsia="sl-SI"/>
              </w:rPr>
            </w:pPr>
            <w:r w:rsidRPr="005E3B68">
              <w:rPr>
                <w:rFonts w:ascii="Times New Roman" w:eastAsia="Calibri" w:hAnsi="Times New Roman" w:cs="Times New Roman"/>
                <w:sz w:val="20"/>
                <w:szCs w:val="20"/>
                <w:lang w:val="en-US" w:eastAsia="sl-SI"/>
              </w:rPr>
              <w:t>-64.888,99</w:t>
            </w:r>
          </w:p>
        </w:tc>
        <w:tc>
          <w:tcPr>
            <w:tcW w:w="1417" w:type="dxa"/>
            <w:tcBorders>
              <w:top w:val="nil"/>
              <w:left w:val="nil"/>
              <w:bottom w:val="single" w:sz="4" w:space="0" w:color="auto"/>
              <w:right w:val="single" w:sz="4" w:space="0" w:color="auto"/>
            </w:tcBorders>
            <w:shd w:val="clear" w:color="auto" w:fill="auto"/>
            <w:vAlign w:val="center"/>
            <w:hideMark/>
          </w:tcPr>
          <w:p w:rsidR="005E3B68" w:rsidRPr="005E3B68" w:rsidRDefault="005E3B68" w:rsidP="005E3B68">
            <w:pPr>
              <w:spacing w:before="0" w:after="0" w:line="240" w:lineRule="auto"/>
              <w:jc w:val="right"/>
              <w:rPr>
                <w:rFonts w:ascii="Times New Roman" w:eastAsia="Calibri" w:hAnsi="Times New Roman" w:cs="Times New Roman"/>
                <w:sz w:val="20"/>
                <w:szCs w:val="20"/>
                <w:lang w:val="en-US" w:eastAsia="sl-SI"/>
              </w:rPr>
            </w:pPr>
            <w:r w:rsidRPr="005E3B68">
              <w:rPr>
                <w:rFonts w:ascii="Times New Roman" w:eastAsia="Calibri" w:hAnsi="Times New Roman" w:cs="Times New Roman"/>
                <w:sz w:val="20"/>
                <w:szCs w:val="20"/>
                <w:lang w:val="en-US" w:eastAsia="sl-SI"/>
              </w:rPr>
              <w:t>90,95</w:t>
            </w:r>
          </w:p>
        </w:tc>
      </w:tr>
      <w:tr w:rsidR="005E3B68" w:rsidRPr="005E3B68" w:rsidTr="00433074">
        <w:trPr>
          <w:trHeight w:val="330"/>
        </w:trPr>
        <w:tc>
          <w:tcPr>
            <w:tcW w:w="3402" w:type="dxa"/>
            <w:tcBorders>
              <w:top w:val="nil"/>
              <w:left w:val="single" w:sz="4" w:space="0" w:color="auto"/>
              <w:bottom w:val="single" w:sz="4" w:space="0" w:color="auto"/>
              <w:right w:val="single" w:sz="4" w:space="0" w:color="auto"/>
            </w:tcBorders>
            <w:shd w:val="clear" w:color="auto" w:fill="auto"/>
            <w:noWrap/>
            <w:hideMark/>
          </w:tcPr>
          <w:p w:rsidR="005E3B68" w:rsidRPr="005E3B68" w:rsidRDefault="005E3B68" w:rsidP="005E3B68">
            <w:pPr>
              <w:spacing w:before="0" w:after="0" w:line="240" w:lineRule="auto"/>
              <w:jc w:val="left"/>
              <w:rPr>
                <w:rFonts w:ascii="Times New Roman" w:eastAsia="Times New Roman" w:hAnsi="Times New Roman" w:cs="Times New Roman"/>
                <w:sz w:val="20"/>
                <w:szCs w:val="20"/>
                <w:lang w:val="sl-SI" w:eastAsia="sl-SI"/>
              </w:rPr>
            </w:pPr>
            <w:r w:rsidRPr="005E3B68">
              <w:rPr>
                <w:rFonts w:ascii="Times New Roman" w:eastAsia="Times New Roman" w:hAnsi="Times New Roman" w:cs="Times New Roman"/>
                <w:sz w:val="20"/>
                <w:szCs w:val="20"/>
                <w:lang w:val="sl-SI" w:eastAsia="sl-SI"/>
              </w:rPr>
              <w:t>Akciza na ugalj u proizvodnji</w:t>
            </w:r>
          </w:p>
        </w:tc>
        <w:tc>
          <w:tcPr>
            <w:tcW w:w="1701" w:type="dxa"/>
            <w:tcBorders>
              <w:top w:val="nil"/>
              <w:left w:val="nil"/>
              <w:bottom w:val="single" w:sz="4" w:space="0" w:color="auto"/>
              <w:right w:val="single" w:sz="4" w:space="0" w:color="auto"/>
            </w:tcBorders>
            <w:shd w:val="clear" w:color="auto" w:fill="auto"/>
            <w:noWrap/>
            <w:vAlign w:val="center"/>
            <w:hideMark/>
          </w:tcPr>
          <w:p w:rsidR="005E3B68" w:rsidRPr="005E3B68" w:rsidRDefault="005E3B68" w:rsidP="005E3B68">
            <w:pPr>
              <w:spacing w:before="0" w:after="0" w:line="240" w:lineRule="auto"/>
              <w:jc w:val="right"/>
              <w:rPr>
                <w:rFonts w:ascii="Times New Roman" w:eastAsia="Calibri" w:hAnsi="Times New Roman" w:cs="Times New Roman"/>
                <w:sz w:val="20"/>
                <w:szCs w:val="20"/>
                <w:lang w:val="en-US" w:eastAsia="sl-SI"/>
              </w:rPr>
            </w:pPr>
            <w:r w:rsidRPr="005E3B68">
              <w:rPr>
                <w:rFonts w:ascii="Times New Roman" w:eastAsia="Calibri" w:hAnsi="Times New Roman" w:cs="Times New Roman"/>
                <w:sz w:val="20"/>
                <w:szCs w:val="20"/>
                <w:lang w:val="en-US" w:eastAsia="sl-SI"/>
              </w:rPr>
              <w:t>175.664,28</w:t>
            </w:r>
          </w:p>
        </w:tc>
        <w:tc>
          <w:tcPr>
            <w:tcW w:w="1560" w:type="dxa"/>
            <w:tcBorders>
              <w:top w:val="nil"/>
              <w:left w:val="nil"/>
              <w:bottom w:val="single" w:sz="4" w:space="0" w:color="auto"/>
              <w:right w:val="single" w:sz="4" w:space="0" w:color="auto"/>
            </w:tcBorders>
            <w:shd w:val="clear" w:color="auto" w:fill="auto"/>
            <w:noWrap/>
            <w:vAlign w:val="center"/>
            <w:hideMark/>
          </w:tcPr>
          <w:p w:rsidR="005E3B68" w:rsidRPr="005E3B68" w:rsidRDefault="005E3B68" w:rsidP="005E3B68">
            <w:pPr>
              <w:spacing w:before="0" w:after="0" w:line="240" w:lineRule="auto"/>
              <w:jc w:val="right"/>
              <w:rPr>
                <w:rFonts w:ascii="Times New Roman" w:eastAsia="Calibri" w:hAnsi="Times New Roman" w:cs="Times New Roman"/>
                <w:sz w:val="20"/>
                <w:szCs w:val="20"/>
                <w:lang w:val="en-US" w:eastAsia="sl-SI"/>
              </w:rPr>
            </w:pPr>
            <w:r w:rsidRPr="005E3B68">
              <w:rPr>
                <w:rFonts w:ascii="Times New Roman" w:eastAsia="Calibri" w:hAnsi="Times New Roman" w:cs="Times New Roman"/>
                <w:sz w:val="20"/>
                <w:szCs w:val="20"/>
                <w:lang w:val="en-US" w:eastAsia="sl-SI"/>
              </w:rPr>
              <w:t>474.503,79</w:t>
            </w:r>
          </w:p>
        </w:tc>
        <w:tc>
          <w:tcPr>
            <w:tcW w:w="1559" w:type="dxa"/>
            <w:tcBorders>
              <w:top w:val="nil"/>
              <w:left w:val="nil"/>
              <w:bottom w:val="single" w:sz="4" w:space="0" w:color="auto"/>
              <w:right w:val="single" w:sz="4" w:space="0" w:color="auto"/>
            </w:tcBorders>
            <w:shd w:val="clear" w:color="auto" w:fill="auto"/>
            <w:noWrap/>
            <w:vAlign w:val="center"/>
            <w:hideMark/>
          </w:tcPr>
          <w:p w:rsidR="005E3B68" w:rsidRPr="005E3B68" w:rsidRDefault="005E3B68" w:rsidP="005E3B68">
            <w:pPr>
              <w:spacing w:before="0" w:after="0" w:line="240" w:lineRule="auto"/>
              <w:jc w:val="right"/>
              <w:rPr>
                <w:rFonts w:ascii="Times New Roman" w:eastAsia="Calibri" w:hAnsi="Times New Roman" w:cs="Times New Roman"/>
                <w:sz w:val="20"/>
                <w:szCs w:val="20"/>
                <w:lang w:val="en-US" w:eastAsia="sl-SI"/>
              </w:rPr>
            </w:pPr>
            <w:r w:rsidRPr="005E3B68">
              <w:rPr>
                <w:rFonts w:ascii="Times New Roman" w:eastAsia="Calibri" w:hAnsi="Times New Roman" w:cs="Times New Roman"/>
                <w:sz w:val="20"/>
                <w:szCs w:val="20"/>
                <w:lang w:val="en-US" w:eastAsia="sl-SI"/>
              </w:rPr>
              <w:t>298.839,51</w:t>
            </w:r>
          </w:p>
        </w:tc>
        <w:tc>
          <w:tcPr>
            <w:tcW w:w="1417" w:type="dxa"/>
            <w:tcBorders>
              <w:top w:val="nil"/>
              <w:left w:val="nil"/>
              <w:bottom w:val="single" w:sz="4" w:space="0" w:color="auto"/>
              <w:right w:val="single" w:sz="4" w:space="0" w:color="auto"/>
            </w:tcBorders>
            <w:shd w:val="clear" w:color="auto" w:fill="auto"/>
            <w:vAlign w:val="center"/>
            <w:hideMark/>
          </w:tcPr>
          <w:p w:rsidR="005E3B68" w:rsidRPr="005E3B68" w:rsidRDefault="005E3B68" w:rsidP="005E3B68">
            <w:pPr>
              <w:spacing w:before="0" w:after="0" w:line="240" w:lineRule="auto"/>
              <w:jc w:val="right"/>
              <w:rPr>
                <w:rFonts w:ascii="Times New Roman" w:eastAsia="Calibri" w:hAnsi="Times New Roman" w:cs="Times New Roman"/>
                <w:sz w:val="20"/>
                <w:szCs w:val="20"/>
                <w:lang w:val="en-US" w:eastAsia="sl-SI"/>
              </w:rPr>
            </w:pPr>
            <w:r w:rsidRPr="005E3B68">
              <w:rPr>
                <w:rFonts w:ascii="Times New Roman" w:eastAsia="Calibri" w:hAnsi="Times New Roman" w:cs="Times New Roman"/>
                <w:sz w:val="20"/>
                <w:szCs w:val="20"/>
                <w:lang w:val="en-US" w:eastAsia="sl-SI"/>
              </w:rPr>
              <w:t>270,12</w:t>
            </w:r>
          </w:p>
        </w:tc>
      </w:tr>
      <w:tr w:rsidR="005E3B68" w:rsidRPr="005E3B68" w:rsidTr="00433074">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5E3B68" w:rsidRPr="005E3B68" w:rsidRDefault="005E3B68" w:rsidP="005E3B68">
            <w:pPr>
              <w:spacing w:before="0" w:after="0" w:line="240" w:lineRule="auto"/>
              <w:jc w:val="left"/>
              <w:rPr>
                <w:rFonts w:ascii="Times New Roman" w:eastAsia="Times New Roman" w:hAnsi="Times New Roman" w:cs="Times New Roman"/>
                <w:sz w:val="20"/>
                <w:szCs w:val="20"/>
                <w:lang w:val="sl-SI" w:eastAsia="sl-SI"/>
              </w:rPr>
            </w:pPr>
            <w:r w:rsidRPr="005E3B68">
              <w:rPr>
                <w:rFonts w:ascii="Times New Roman" w:eastAsia="Times New Roman" w:hAnsi="Times New Roman" w:cs="Times New Roman"/>
                <w:sz w:val="20"/>
                <w:szCs w:val="20"/>
                <w:lang w:val="sl-SI" w:eastAsia="sl-SI"/>
              </w:rPr>
              <w:t>Razlika akcize u trgovačkoj djelatnosti</w:t>
            </w:r>
          </w:p>
        </w:tc>
        <w:tc>
          <w:tcPr>
            <w:tcW w:w="1701" w:type="dxa"/>
            <w:tcBorders>
              <w:top w:val="nil"/>
              <w:left w:val="nil"/>
              <w:bottom w:val="single" w:sz="4" w:space="0" w:color="auto"/>
              <w:right w:val="single" w:sz="4" w:space="0" w:color="auto"/>
            </w:tcBorders>
            <w:shd w:val="clear" w:color="auto" w:fill="auto"/>
            <w:vAlign w:val="center"/>
            <w:hideMark/>
          </w:tcPr>
          <w:p w:rsidR="005E3B68" w:rsidRPr="005E3B68" w:rsidRDefault="005E3B68" w:rsidP="005E3B68">
            <w:pPr>
              <w:spacing w:before="0" w:after="0" w:line="240" w:lineRule="auto"/>
              <w:jc w:val="right"/>
              <w:rPr>
                <w:rFonts w:ascii="Times New Roman" w:eastAsia="Calibri" w:hAnsi="Times New Roman" w:cs="Times New Roman"/>
                <w:sz w:val="20"/>
                <w:szCs w:val="20"/>
                <w:lang w:val="en-US" w:eastAsia="sl-SI"/>
              </w:rPr>
            </w:pPr>
            <w:r w:rsidRPr="005E3B68">
              <w:rPr>
                <w:rFonts w:ascii="Times New Roman" w:eastAsia="Calibri" w:hAnsi="Times New Roman" w:cs="Times New Roman"/>
                <w:sz w:val="20"/>
                <w:szCs w:val="20"/>
                <w:lang w:val="en-US" w:eastAsia="sl-SI"/>
              </w:rPr>
              <w:t>0,00</w:t>
            </w:r>
          </w:p>
        </w:tc>
        <w:tc>
          <w:tcPr>
            <w:tcW w:w="1560" w:type="dxa"/>
            <w:tcBorders>
              <w:top w:val="nil"/>
              <w:left w:val="nil"/>
              <w:bottom w:val="single" w:sz="4" w:space="0" w:color="auto"/>
              <w:right w:val="single" w:sz="4" w:space="0" w:color="auto"/>
            </w:tcBorders>
            <w:shd w:val="clear" w:color="auto" w:fill="auto"/>
            <w:noWrap/>
            <w:vAlign w:val="center"/>
            <w:hideMark/>
          </w:tcPr>
          <w:p w:rsidR="005E3B68" w:rsidRPr="005E3B68" w:rsidRDefault="005E3B68" w:rsidP="005E3B68">
            <w:pPr>
              <w:spacing w:before="0" w:after="0" w:line="240" w:lineRule="auto"/>
              <w:jc w:val="right"/>
              <w:rPr>
                <w:rFonts w:ascii="Times New Roman" w:eastAsia="Calibri" w:hAnsi="Times New Roman" w:cs="Times New Roman"/>
                <w:sz w:val="20"/>
                <w:szCs w:val="20"/>
                <w:lang w:val="en-US" w:eastAsia="sl-SI"/>
              </w:rPr>
            </w:pPr>
            <w:r w:rsidRPr="005E3B68">
              <w:rPr>
                <w:rFonts w:ascii="Times New Roman" w:eastAsia="Calibri" w:hAnsi="Times New Roman" w:cs="Times New Roman"/>
                <w:sz w:val="20"/>
                <w:szCs w:val="20"/>
                <w:lang w:val="en-US" w:eastAsia="sl-SI"/>
              </w:rPr>
              <w:t>0,00</w:t>
            </w:r>
          </w:p>
        </w:tc>
        <w:tc>
          <w:tcPr>
            <w:tcW w:w="1559" w:type="dxa"/>
            <w:tcBorders>
              <w:top w:val="nil"/>
              <w:left w:val="nil"/>
              <w:bottom w:val="single" w:sz="4" w:space="0" w:color="auto"/>
              <w:right w:val="single" w:sz="4" w:space="0" w:color="auto"/>
            </w:tcBorders>
            <w:shd w:val="clear" w:color="auto" w:fill="auto"/>
            <w:noWrap/>
            <w:vAlign w:val="center"/>
            <w:hideMark/>
          </w:tcPr>
          <w:p w:rsidR="005E3B68" w:rsidRPr="005E3B68" w:rsidRDefault="005E3B68" w:rsidP="005E3B68">
            <w:pPr>
              <w:spacing w:before="0" w:after="0" w:line="240" w:lineRule="auto"/>
              <w:jc w:val="right"/>
              <w:rPr>
                <w:rFonts w:ascii="Times New Roman" w:eastAsia="Calibri" w:hAnsi="Times New Roman" w:cs="Times New Roman"/>
                <w:sz w:val="20"/>
                <w:szCs w:val="20"/>
                <w:lang w:val="en-US" w:eastAsia="sl-SI"/>
              </w:rPr>
            </w:pPr>
            <w:r w:rsidRPr="005E3B68">
              <w:rPr>
                <w:rFonts w:ascii="Times New Roman" w:eastAsia="Calibri" w:hAnsi="Times New Roman" w:cs="Times New Roman"/>
                <w:sz w:val="20"/>
                <w:szCs w:val="20"/>
                <w:lang w:val="en-US" w:eastAsia="sl-SI"/>
              </w:rPr>
              <w:t>0,00</w:t>
            </w:r>
          </w:p>
        </w:tc>
        <w:tc>
          <w:tcPr>
            <w:tcW w:w="1417" w:type="dxa"/>
            <w:tcBorders>
              <w:top w:val="nil"/>
              <w:left w:val="nil"/>
              <w:bottom w:val="single" w:sz="4" w:space="0" w:color="auto"/>
              <w:right w:val="single" w:sz="4" w:space="0" w:color="auto"/>
            </w:tcBorders>
            <w:shd w:val="clear" w:color="auto" w:fill="auto"/>
            <w:vAlign w:val="center"/>
            <w:hideMark/>
          </w:tcPr>
          <w:p w:rsidR="005E3B68" w:rsidRPr="005E3B68" w:rsidRDefault="005E3B68" w:rsidP="005E3B68">
            <w:pPr>
              <w:spacing w:before="0" w:after="0" w:line="240" w:lineRule="auto"/>
              <w:jc w:val="right"/>
              <w:rPr>
                <w:rFonts w:ascii="Times New Roman" w:eastAsia="Calibri" w:hAnsi="Times New Roman" w:cs="Times New Roman"/>
                <w:sz w:val="20"/>
                <w:szCs w:val="20"/>
                <w:lang w:val="en-US" w:eastAsia="sl-SI"/>
              </w:rPr>
            </w:pPr>
            <w:r w:rsidRPr="005E3B68">
              <w:rPr>
                <w:rFonts w:ascii="Times New Roman" w:eastAsia="Calibri" w:hAnsi="Times New Roman" w:cs="Times New Roman"/>
                <w:sz w:val="20"/>
                <w:szCs w:val="20"/>
                <w:lang w:val="en-US" w:eastAsia="sl-SI"/>
              </w:rPr>
              <w:t>0,00</w:t>
            </w:r>
          </w:p>
        </w:tc>
      </w:tr>
      <w:tr w:rsidR="005E3B68" w:rsidRPr="005E3B68" w:rsidTr="00433074">
        <w:trPr>
          <w:trHeight w:val="270"/>
        </w:trPr>
        <w:tc>
          <w:tcPr>
            <w:tcW w:w="3402" w:type="dxa"/>
            <w:tcBorders>
              <w:top w:val="nil"/>
              <w:left w:val="single" w:sz="4" w:space="0" w:color="auto"/>
              <w:bottom w:val="double" w:sz="6" w:space="0" w:color="auto"/>
              <w:right w:val="single" w:sz="4" w:space="0" w:color="auto"/>
            </w:tcBorders>
            <w:shd w:val="clear" w:color="000000" w:fill="95B3D7"/>
            <w:noWrap/>
            <w:vAlign w:val="center"/>
            <w:hideMark/>
          </w:tcPr>
          <w:p w:rsidR="005E3B68" w:rsidRPr="005E3B68" w:rsidRDefault="005E3B68" w:rsidP="005E3B68">
            <w:pPr>
              <w:spacing w:before="0" w:after="0" w:line="240" w:lineRule="auto"/>
              <w:jc w:val="center"/>
              <w:rPr>
                <w:rFonts w:ascii="Times New Roman" w:eastAsia="Times New Roman" w:hAnsi="Times New Roman" w:cs="Times New Roman"/>
                <w:b/>
                <w:bCs/>
                <w:i/>
                <w:iCs/>
                <w:sz w:val="20"/>
                <w:szCs w:val="20"/>
                <w:lang w:val="sl-SI" w:eastAsia="sl-SI"/>
              </w:rPr>
            </w:pPr>
            <w:r w:rsidRPr="005E3B68">
              <w:rPr>
                <w:rFonts w:ascii="Times New Roman" w:eastAsia="Times New Roman" w:hAnsi="Times New Roman" w:cs="Times New Roman"/>
                <w:b/>
                <w:bCs/>
                <w:i/>
                <w:iCs/>
                <w:sz w:val="20"/>
                <w:szCs w:val="20"/>
                <w:lang w:val="sl-SI" w:eastAsia="sl-SI"/>
              </w:rPr>
              <w:t xml:space="preserve">BRUTO NAPLATA </w:t>
            </w:r>
          </w:p>
        </w:tc>
        <w:tc>
          <w:tcPr>
            <w:tcW w:w="1701" w:type="dxa"/>
            <w:tcBorders>
              <w:top w:val="nil"/>
              <w:left w:val="nil"/>
              <w:bottom w:val="double" w:sz="6" w:space="0" w:color="auto"/>
              <w:right w:val="single" w:sz="4" w:space="0" w:color="auto"/>
            </w:tcBorders>
            <w:shd w:val="clear" w:color="000000" w:fill="95B3D7"/>
            <w:vAlign w:val="center"/>
            <w:hideMark/>
          </w:tcPr>
          <w:p w:rsidR="005E3B68" w:rsidRPr="005E3B68" w:rsidRDefault="005E3B68" w:rsidP="005E3B68">
            <w:pPr>
              <w:spacing w:before="0" w:after="0" w:line="240" w:lineRule="auto"/>
              <w:jc w:val="right"/>
              <w:rPr>
                <w:rFonts w:ascii="Times New Roman" w:eastAsia="Times New Roman" w:hAnsi="Times New Roman" w:cs="Times New Roman"/>
                <w:b/>
                <w:bCs/>
                <w:i/>
                <w:iCs/>
                <w:sz w:val="20"/>
                <w:szCs w:val="20"/>
                <w:lang w:val="sl-SI" w:eastAsia="sl-SI"/>
              </w:rPr>
            </w:pPr>
            <w:r w:rsidRPr="005E3B68">
              <w:rPr>
                <w:rFonts w:ascii="Times New Roman" w:eastAsia="Times New Roman" w:hAnsi="Times New Roman" w:cs="Times New Roman"/>
                <w:b/>
                <w:bCs/>
                <w:i/>
                <w:iCs/>
                <w:sz w:val="20"/>
                <w:szCs w:val="20"/>
                <w:lang w:val="sl-SI" w:eastAsia="sl-SI"/>
              </w:rPr>
              <w:t>18.414.421,87</w:t>
            </w:r>
          </w:p>
        </w:tc>
        <w:tc>
          <w:tcPr>
            <w:tcW w:w="1560" w:type="dxa"/>
            <w:tcBorders>
              <w:top w:val="nil"/>
              <w:left w:val="nil"/>
              <w:bottom w:val="double" w:sz="6" w:space="0" w:color="auto"/>
              <w:right w:val="single" w:sz="4" w:space="0" w:color="auto"/>
            </w:tcBorders>
            <w:shd w:val="clear" w:color="000000" w:fill="95B3D7"/>
            <w:vAlign w:val="center"/>
            <w:hideMark/>
          </w:tcPr>
          <w:p w:rsidR="005E3B68" w:rsidRPr="005E3B68" w:rsidRDefault="005E3B68" w:rsidP="005E3B68">
            <w:pPr>
              <w:spacing w:before="0" w:after="0" w:line="240" w:lineRule="auto"/>
              <w:jc w:val="right"/>
              <w:rPr>
                <w:rFonts w:ascii="Times New Roman" w:eastAsia="Times New Roman" w:hAnsi="Times New Roman" w:cs="Times New Roman"/>
                <w:b/>
                <w:bCs/>
                <w:i/>
                <w:iCs/>
                <w:sz w:val="20"/>
                <w:szCs w:val="20"/>
                <w:lang w:val="sl-SI" w:eastAsia="sl-SI"/>
              </w:rPr>
            </w:pPr>
            <w:r w:rsidRPr="005E3B68">
              <w:rPr>
                <w:rFonts w:ascii="Times New Roman" w:eastAsia="Times New Roman" w:hAnsi="Times New Roman" w:cs="Times New Roman"/>
                <w:b/>
                <w:bCs/>
                <w:i/>
                <w:iCs/>
                <w:sz w:val="20"/>
                <w:szCs w:val="20"/>
                <w:lang w:val="sl-SI" w:eastAsia="sl-SI"/>
              </w:rPr>
              <w:t>19.376.992,95</w:t>
            </w:r>
          </w:p>
        </w:tc>
        <w:tc>
          <w:tcPr>
            <w:tcW w:w="1559" w:type="dxa"/>
            <w:tcBorders>
              <w:top w:val="nil"/>
              <w:left w:val="nil"/>
              <w:bottom w:val="double" w:sz="6" w:space="0" w:color="auto"/>
              <w:right w:val="single" w:sz="4" w:space="0" w:color="auto"/>
            </w:tcBorders>
            <w:shd w:val="clear" w:color="000000" w:fill="95B3D7"/>
            <w:noWrap/>
            <w:vAlign w:val="center"/>
            <w:hideMark/>
          </w:tcPr>
          <w:p w:rsidR="005E3B68" w:rsidRPr="005E3B68" w:rsidRDefault="005E3B68" w:rsidP="005E3B68">
            <w:pPr>
              <w:spacing w:before="0" w:after="0" w:line="240" w:lineRule="auto"/>
              <w:jc w:val="right"/>
              <w:rPr>
                <w:rFonts w:ascii="Times New Roman" w:eastAsia="Times New Roman" w:hAnsi="Times New Roman" w:cs="Times New Roman"/>
                <w:b/>
                <w:bCs/>
                <w:sz w:val="20"/>
                <w:szCs w:val="20"/>
                <w:lang w:val="sl-SI" w:eastAsia="sl-SI"/>
              </w:rPr>
            </w:pPr>
            <w:r w:rsidRPr="005E3B68">
              <w:rPr>
                <w:rFonts w:ascii="Times New Roman" w:eastAsia="Times New Roman" w:hAnsi="Times New Roman" w:cs="Times New Roman"/>
                <w:b/>
                <w:bCs/>
                <w:sz w:val="20"/>
                <w:szCs w:val="20"/>
                <w:lang w:val="sl-SI" w:eastAsia="sl-SI"/>
              </w:rPr>
              <w:t>962.571,08</w:t>
            </w:r>
          </w:p>
        </w:tc>
        <w:tc>
          <w:tcPr>
            <w:tcW w:w="1417" w:type="dxa"/>
            <w:tcBorders>
              <w:top w:val="nil"/>
              <w:left w:val="nil"/>
              <w:bottom w:val="double" w:sz="6" w:space="0" w:color="auto"/>
              <w:right w:val="single" w:sz="4" w:space="0" w:color="auto"/>
            </w:tcBorders>
            <w:shd w:val="clear" w:color="000000" w:fill="95B3D7"/>
            <w:vAlign w:val="center"/>
            <w:hideMark/>
          </w:tcPr>
          <w:p w:rsidR="005E3B68" w:rsidRPr="005E3B68" w:rsidRDefault="005E3B68" w:rsidP="005E3B68">
            <w:pPr>
              <w:spacing w:before="0" w:after="0" w:line="240" w:lineRule="auto"/>
              <w:jc w:val="right"/>
              <w:rPr>
                <w:rFonts w:ascii="Times New Roman" w:eastAsia="Times New Roman" w:hAnsi="Times New Roman" w:cs="Times New Roman"/>
                <w:b/>
                <w:bCs/>
                <w:sz w:val="20"/>
                <w:szCs w:val="20"/>
                <w:lang w:val="sl-SI" w:eastAsia="sl-SI"/>
              </w:rPr>
            </w:pPr>
            <w:r w:rsidRPr="005E3B68">
              <w:rPr>
                <w:rFonts w:ascii="Times New Roman" w:eastAsia="Times New Roman" w:hAnsi="Times New Roman" w:cs="Times New Roman"/>
                <w:b/>
                <w:bCs/>
                <w:sz w:val="20"/>
                <w:szCs w:val="20"/>
                <w:lang w:val="sl-SI" w:eastAsia="sl-SI"/>
              </w:rPr>
              <w:t>105,23</w:t>
            </w:r>
          </w:p>
        </w:tc>
      </w:tr>
      <w:tr w:rsidR="005E3B68" w:rsidRPr="005E3B68" w:rsidTr="00433074">
        <w:trPr>
          <w:trHeight w:val="27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5E3B68" w:rsidRPr="005E3B68" w:rsidRDefault="005E3B68" w:rsidP="005E3B68">
            <w:pPr>
              <w:spacing w:before="0" w:after="0" w:line="240" w:lineRule="auto"/>
              <w:jc w:val="left"/>
              <w:rPr>
                <w:rFonts w:ascii="Times New Roman" w:eastAsia="Calibri" w:hAnsi="Times New Roman" w:cs="Times New Roman"/>
                <w:sz w:val="20"/>
                <w:szCs w:val="20"/>
                <w:lang w:val="en-US" w:eastAsia="sl-SI"/>
              </w:rPr>
            </w:pPr>
            <w:r w:rsidRPr="005E3B68">
              <w:rPr>
                <w:rFonts w:ascii="Times New Roman" w:eastAsia="Calibri" w:hAnsi="Times New Roman" w:cs="Times New Roman"/>
                <w:sz w:val="20"/>
                <w:szCs w:val="20"/>
                <w:lang w:val="en-US" w:eastAsia="sl-SI"/>
              </w:rPr>
              <w:t>Akcizni povraćaj sredstava</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5E3B68" w:rsidRPr="005E3B68" w:rsidRDefault="005E3B68" w:rsidP="005E3B68">
            <w:pPr>
              <w:spacing w:before="0" w:after="0" w:line="240" w:lineRule="auto"/>
              <w:jc w:val="right"/>
              <w:rPr>
                <w:rFonts w:ascii="Times New Roman" w:eastAsia="Calibri" w:hAnsi="Times New Roman" w:cs="Times New Roman"/>
                <w:sz w:val="20"/>
                <w:szCs w:val="20"/>
                <w:lang w:val="en-US" w:eastAsia="sl-SI"/>
              </w:rPr>
            </w:pPr>
            <w:r w:rsidRPr="005E3B68">
              <w:rPr>
                <w:rFonts w:ascii="Times New Roman" w:eastAsia="Calibri" w:hAnsi="Times New Roman" w:cs="Times New Roman"/>
                <w:sz w:val="20"/>
                <w:szCs w:val="20"/>
                <w:lang w:val="en-US" w:eastAsia="sl-SI"/>
              </w:rPr>
              <w:t>855.113,48</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5E3B68" w:rsidRPr="005E3B68" w:rsidRDefault="005E3B68" w:rsidP="005E3B68">
            <w:pPr>
              <w:spacing w:before="0" w:after="0" w:line="240" w:lineRule="auto"/>
              <w:jc w:val="right"/>
              <w:rPr>
                <w:rFonts w:ascii="Times New Roman" w:eastAsia="Calibri" w:hAnsi="Times New Roman" w:cs="Times New Roman"/>
                <w:sz w:val="20"/>
                <w:szCs w:val="20"/>
                <w:lang w:val="en-US" w:eastAsia="sl-SI"/>
              </w:rPr>
            </w:pPr>
            <w:r w:rsidRPr="005E3B68">
              <w:rPr>
                <w:rFonts w:ascii="Times New Roman" w:eastAsia="Calibri" w:hAnsi="Times New Roman" w:cs="Times New Roman"/>
                <w:sz w:val="20"/>
                <w:szCs w:val="20"/>
                <w:lang w:val="en-US" w:eastAsia="sl-SI"/>
              </w:rPr>
              <w:t>577.053,28</w:t>
            </w:r>
          </w:p>
        </w:tc>
        <w:tc>
          <w:tcPr>
            <w:tcW w:w="1559" w:type="dxa"/>
            <w:tcBorders>
              <w:top w:val="nil"/>
              <w:left w:val="nil"/>
              <w:bottom w:val="single" w:sz="4" w:space="0" w:color="auto"/>
              <w:right w:val="single" w:sz="4" w:space="0" w:color="auto"/>
            </w:tcBorders>
            <w:shd w:val="clear" w:color="auto" w:fill="auto"/>
            <w:noWrap/>
            <w:vAlign w:val="center"/>
            <w:hideMark/>
          </w:tcPr>
          <w:p w:rsidR="005E3B68" w:rsidRPr="005E3B68" w:rsidRDefault="005E3B68" w:rsidP="005E3B68">
            <w:pPr>
              <w:spacing w:before="0" w:after="0" w:line="240" w:lineRule="auto"/>
              <w:jc w:val="right"/>
              <w:rPr>
                <w:rFonts w:ascii="Times New Roman" w:eastAsia="Calibri" w:hAnsi="Times New Roman" w:cs="Times New Roman"/>
                <w:sz w:val="20"/>
                <w:szCs w:val="20"/>
                <w:lang w:val="en-US" w:eastAsia="sl-SI"/>
              </w:rPr>
            </w:pPr>
            <w:r w:rsidRPr="005E3B68">
              <w:rPr>
                <w:rFonts w:ascii="Times New Roman" w:eastAsia="Calibri" w:hAnsi="Times New Roman" w:cs="Times New Roman"/>
                <w:sz w:val="20"/>
                <w:szCs w:val="20"/>
                <w:lang w:val="en-US" w:eastAsia="sl-SI"/>
              </w:rPr>
              <w:t>-278.060,20</w:t>
            </w:r>
          </w:p>
        </w:tc>
        <w:tc>
          <w:tcPr>
            <w:tcW w:w="1417" w:type="dxa"/>
            <w:tcBorders>
              <w:top w:val="nil"/>
              <w:left w:val="nil"/>
              <w:bottom w:val="single" w:sz="4" w:space="0" w:color="auto"/>
              <w:right w:val="single" w:sz="4" w:space="0" w:color="auto"/>
            </w:tcBorders>
            <w:shd w:val="clear" w:color="auto" w:fill="auto"/>
            <w:vAlign w:val="center"/>
            <w:hideMark/>
          </w:tcPr>
          <w:p w:rsidR="005E3B68" w:rsidRPr="005E3B68" w:rsidRDefault="005E3B68" w:rsidP="005E3B68">
            <w:pPr>
              <w:spacing w:before="0" w:after="0" w:line="240" w:lineRule="auto"/>
              <w:jc w:val="right"/>
              <w:rPr>
                <w:rFonts w:ascii="Times New Roman" w:eastAsia="Calibri" w:hAnsi="Times New Roman" w:cs="Times New Roman"/>
                <w:sz w:val="20"/>
                <w:szCs w:val="20"/>
                <w:lang w:val="en-US" w:eastAsia="sl-SI"/>
              </w:rPr>
            </w:pPr>
            <w:r w:rsidRPr="005E3B68">
              <w:rPr>
                <w:rFonts w:ascii="Times New Roman" w:eastAsia="Calibri" w:hAnsi="Times New Roman" w:cs="Times New Roman"/>
                <w:sz w:val="20"/>
                <w:szCs w:val="20"/>
                <w:lang w:val="en-US" w:eastAsia="sl-SI"/>
              </w:rPr>
              <w:t>67,48</w:t>
            </w:r>
          </w:p>
        </w:tc>
      </w:tr>
      <w:tr w:rsidR="005E3B68" w:rsidRPr="005E3B68" w:rsidTr="00433074">
        <w:trPr>
          <w:trHeight w:val="270"/>
        </w:trPr>
        <w:tc>
          <w:tcPr>
            <w:tcW w:w="3402" w:type="dxa"/>
            <w:tcBorders>
              <w:top w:val="nil"/>
              <w:left w:val="single" w:sz="4" w:space="0" w:color="auto"/>
              <w:bottom w:val="double" w:sz="6" w:space="0" w:color="auto"/>
              <w:right w:val="single" w:sz="4" w:space="0" w:color="auto"/>
            </w:tcBorders>
            <w:shd w:val="clear" w:color="000000" w:fill="95B3D7"/>
            <w:noWrap/>
            <w:vAlign w:val="center"/>
            <w:hideMark/>
          </w:tcPr>
          <w:p w:rsidR="005E3B68" w:rsidRPr="005E3B68" w:rsidRDefault="005E3B68" w:rsidP="005E3B68">
            <w:pPr>
              <w:spacing w:before="0" w:after="0" w:line="240" w:lineRule="auto"/>
              <w:jc w:val="center"/>
              <w:rPr>
                <w:rFonts w:ascii="Times New Roman" w:eastAsia="Calibri" w:hAnsi="Times New Roman" w:cs="Times New Roman"/>
                <w:b/>
                <w:bCs/>
                <w:sz w:val="20"/>
                <w:szCs w:val="20"/>
                <w:lang w:val="en-US" w:eastAsia="sl-SI"/>
              </w:rPr>
            </w:pPr>
            <w:r w:rsidRPr="005E3B68">
              <w:rPr>
                <w:rFonts w:ascii="Times New Roman" w:eastAsia="Calibri" w:hAnsi="Times New Roman" w:cs="Times New Roman"/>
                <w:b/>
                <w:bCs/>
                <w:sz w:val="20"/>
                <w:szCs w:val="20"/>
                <w:lang w:val="en-US" w:eastAsia="sl-SI"/>
              </w:rPr>
              <w:t>NETO NAPLATA</w:t>
            </w:r>
          </w:p>
        </w:tc>
        <w:tc>
          <w:tcPr>
            <w:tcW w:w="1701" w:type="dxa"/>
            <w:tcBorders>
              <w:top w:val="nil"/>
              <w:left w:val="nil"/>
              <w:bottom w:val="double" w:sz="6" w:space="0" w:color="auto"/>
              <w:right w:val="single" w:sz="4" w:space="0" w:color="auto"/>
            </w:tcBorders>
            <w:shd w:val="clear" w:color="000000" w:fill="95B3D7"/>
            <w:vAlign w:val="center"/>
            <w:hideMark/>
          </w:tcPr>
          <w:p w:rsidR="005E3B68" w:rsidRPr="005E3B68" w:rsidRDefault="005E3B68" w:rsidP="005E3B68">
            <w:pPr>
              <w:spacing w:before="0" w:after="0" w:line="240" w:lineRule="auto"/>
              <w:jc w:val="right"/>
              <w:rPr>
                <w:rFonts w:ascii="Times New Roman" w:eastAsia="Calibri" w:hAnsi="Times New Roman" w:cs="Times New Roman"/>
                <w:b/>
                <w:bCs/>
                <w:sz w:val="20"/>
                <w:szCs w:val="20"/>
                <w:lang w:val="en-US" w:eastAsia="sl-SI"/>
              </w:rPr>
            </w:pPr>
            <w:r w:rsidRPr="005E3B68">
              <w:rPr>
                <w:rFonts w:ascii="Times New Roman" w:eastAsia="Calibri" w:hAnsi="Times New Roman" w:cs="Times New Roman"/>
                <w:b/>
                <w:bCs/>
                <w:sz w:val="20"/>
                <w:szCs w:val="20"/>
                <w:lang w:val="en-US" w:eastAsia="sl-SI"/>
              </w:rPr>
              <w:t>17.559.308,39</w:t>
            </w:r>
          </w:p>
        </w:tc>
        <w:tc>
          <w:tcPr>
            <w:tcW w:w="1560" w:type="dxa"/>
            <w:tcBorders>
              <w:top w:val="nil"/>
              <w:left w:val="nil"/>
              <w:bottom w:val="double" w:sz="6" w:space="0" w:color="auto"/>
              <w:right w:val="single" w:sz="4" w:space="0" w:color="auto"/>
            </w:tcBorders>
            <w:shd w:val="clear" w:color="000000" w:fill="95B3D7"/>
            <w:vAlign w:val="center"/>
            <w:hideMark/>
          </w:tcPr>
          <w:p w:rsidR="005E3B68" w:rsidRPr="005E3B68" w:rsidRDefault="005E3B68" w:rsidP="005E3B68">
            <w:pPr>
              <w:spacing w:before="0" w:after="0" w:line="240" w:lineRule="auto"/>
              <w:jc w:val="right"/>
              <w:rPr>
                <w:rFonts w:ascii="Times New Roman" w:eastAsia="Calibri" w:hAnsi="Times New Roman" w:cs="Times New Roman"/>
                <w:b/>
                <w:bCs/>
                <w:sz w:val="20"/>
                <w:szCs w:val="20"/>
                <w:lang w:val="en-US" w:eastAsia="sl-SI"/>
              </w:rPr>
            </w:pPr>
            <w:r w:rsidRPr="005E3B68">
              <w:rPr>
                <w:rFonts w:ascii="Times New Roman" w:eastAsia="Calibri" w:hAnsi="Times New Roman" w:cs="Times New Roman"/>
                <w:b/>
                <w:bCs/>
                <w:sz w:val="20"/>
                <w:szCs w:val="20"/>
                <w:lang w:val="en-US" w:eastAsia="sl-SI"/>
              </w:rPr>
              <w:t>18.799.939,67</w:t>
            </w:r>
          </w:p>
        </w:tc>
        <w:tc>
          <w:tcPr>
            <w:tcW w:w="1559" w:type="dxa"/>
            <w:tcBorders>
              <w:top w:val="nil"/>
              <w:left w:val="nil"/>
              <w:bottom w:val="double" w:sz="6" w:space="0" w:color="auto"/>
              <w:right w:val="single" w:sz="4" w:space="0" w:color="auto"/>
            </w:tcBorders>
            <w:shd w:val="clear" w:color="000000" w:fill="95B3D7"/>
            <w:noWrap/>
            <w:vAlign w:val="center"/>
            <w:hideMark/>
          </w:tcPr>
          <w:p w:rsidR="005E3B68" w:rsidRPr="005E3B68" w:rsidRDefault="005E3B68" w:rsidP="005E3B68">
            <w:pPr>
              <w:spacing w:before="0" w:after="0" w:line="240" w:lineRule="auto"/>
              <w:jc w:val="right"/>
              <w:rPr>
                <w:rFonts w:ascii="Times New Roman" w:eastAsia="Calibri" w:hAnsi="Times New Roman" w:cs="Times New Roman"/>
                <w:b/>
                <w:bCs/>
                <w:sz w:val="20"/>
                <w:szCs w:val="20"/>
                <w:lang w:val="en-US" w:eastAsia="sl-SI"/>
              </w:rPr>
            </w:pPr>
            <w:r w:rsidRPr="005E3B68">
              <w:rPr>
                <w:rFonts w:ascii="Times New Roman" w:eastAsia="Calibri" w:hAnsi="Times New Roman" w:cs="Times New Roman"/>
                <w:b/>
                <w:bCs/>
                <w:sz w:val="20"/>
                <w:szCs w:val="20"/>
                <w:lang w:val="en-US" w:eastAsia="sl-SI"/>
              </w:rPr>
              <w:t>1.240.631,28</w:t>
            </w:r>
          </w:p>
        </w:tc>
        <w:tc>
          <w:tcPr>
            <w:tcW w:w="1417" w:type="dxa"/>
            <w:tcBorders>
              <w:top w:val="nil"/>
              <w:left w:val="nil"/>
              <w:bottom w:val="double" w:sz="6" w:space="0" w:color="auto"/>
              <w:right w:val="single" w:sz="4" w:space="0" w:color="auto"/>
            </w:tcBorders>
            <w:shd w:val="clear" w:color="000000" w:fill="95B3D7"/>
            <w:vAlign w:val="center"/>
            <w:hideMark/>
          </w:tcPr>
          <w:p w:rsidR="005E3B68" w:rsidRPr="005E3B68" w:rsidRDefault="005E3B68" w:rsidP="005E3B68">
            <w:pPr>
              <w:spacing w:before="0" w:after="0" w:line="240" w:lineRule="auto"/>
              <w:jc w:val="right"/>
              <w:rPr>
                <w:rFonts w:ascii="Times New Roman" w:eastAsia="Calibri" w:hAnsi="Times New Roman" w:cs="Times New Roman"/>
                <w:b/>
                <w:bCs/>
                <w:sz w:val="20"/>
                <w:szCs w:val="20"/>
                <w:lang w:val="en-US" w:eastAsia="sl-SI"/>
              </w:rPr>
            </w:pPr>
            <w:r w:rsidRPr="005E3B68">
              <w:rPr>
                <w:rFonts w:ascii="Times New Roman" w:eastAsia="Calibri" w:hAnsi="Times New Roman" w:cs="Times New Roman"/>
                <w:b/>
                <w:bCs/>
                <w:sz w:val="20"/>
                <w:szCs w:val="20"/>
                <w:lang w:val="en-US" w:eastAsia="sl-SI"/>
              </w:rPr>
              <w:t>107,07</w:t>
            </w:r>
          </w:p>
        </w:tc>
      </w:tr>
    </w:tbl>
    <w:p w:rsidR="005E3B68" w:rsidRPr="005E3B68" w:rsidRDefault="005E3B68" w:rsidP="005E3B68">
      <w:pPr>
        <w:rPr>
          <w:rFonts w:ascii="Calibri" w:eastAsia="Calibri" w:hAnsi="Calibri" w:cs="Times New Roman"/>
          <w:lang w:val="it-IT" w:eastAsia="sl-SI"/>
        </w:rPr>
      </w:pPr>
    </w:p>
    <w:tbl>
      <w:tblPr>
        <w:tblW w:w="10206" w:type="dxa"/>
        <w:tblInd w:w="70" w:type="dxa"/>
        <w:tblLayout w:type="fixed"/>
        <w:tblCellMar>
          <w:left w:w="70" w:type="dxa"/>
          <w:right w:w="70" w:type="dxa"/>
        </w:tblCellMar>
        <w:tblLook w:val="04A0" w:firstRow="1" w:lastRow="0" w:firstColumn="1" w:lastColumn="0" w:noHBand="0" w:noVBand="1"/>
      </w:tblPr>
      <w:tblGrid>
        <w:gridCol w:w="3402"/>
        <w:gridCol w:w="1701"/>
        <w:gridCol w:w="1560"/>
        <w:gridCol w:w="1559"/>
        <w:gridCol w:w="1984"/>
      </w:tblGrid>
      <w:tr w:rsidR="005E3B68" w:rsidRPr="005E3B68" w:rsidTr="002F73A8">
        <w:trPr>
          <w:trHeight w:val="80"/>
        </w:trPr>
        <w:tc>
          <w:tcPr>
            <w:tcW w:w="10206" w:type="dxa"/>
            <w:gridSpan w:val="5"/>
            <w:tcBorders>
              <w:top w:val="nil"/>
              <w:left w:val="nil"/>
              <w:bottom w:val="single" w:sz="4" w:space="0" w:color="auto"/>
              <w:right w:val="nil"/>
            </w:tcBorders>
            <w:shd w:val="clear" w:color="auto" w:fill="auto"/>
            <w:noWrap/>
            <w:vAlign w:val="center"/>
            <w:hideMark/>
          </w:tcPr>
          <w:p w:rsidR="005E3B68" w:rsidRPr="005E3B68" w:rsidRDefault="005E3B68" w:rsidP="005E3B68">
            <w:pPr>
              <w:spacing w:before="0" w:after="0" w:line="240" w:lineRule="auto"/>
              <w:jc w:val="left"/>
              <w:rPr>
                <w:rFonts w:ascii="Times New Roman" w:eastAsia="Calibri" w:hAnsi="Times New Roman" w:cs="Times New Roman"/>
                <w:b/>
                <w:bCs/>
                <w:sz w:val="22"/>
                <w:lang w:val="en-US" w:eastAsia="sl-SI"/>
              </w:rPr>
            </w:pPr>
          </w:p>
        </w:tc>
      </w:tr>
      <w:tr w:rsidR="005E3B68" w:rsidRPr="005E3B68" w:rsidTr="00433074">
        <w:trPr>
          <w:trHeight w:val="270"/>
        </w:trPr>
        <w:tc>
          <w:tcPr>
            <w:tcW w:w="3402"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22"/>
                <w:lang w:val="sl-SI" w:eastAsia="sl-SI"/>
              </w:rPr>
            </w:pPr>
            <w:r w:rsidRPr="005E3B68">
              <w:rPr>
                <w:rFonts w:ascii="Times New Roman" w:eastAsia="Times New Roman" w:hAnsi="Times New Roman" w:cs="Times New Roman"/>
                <w:noProof/>
                <w:sz w:val="22"/>
                <w:lang w:val="sr-Latn-RS" w:eastAsia="sr-Latn-RS"/>
              </w:rPr>
              <w:drawing>
                <wp:anchor distT="0" distB="0" distL="114300" distR="114300" simplePos="0" relativeHeight="251662336" behindDoc="0" locked="0" layoutInCell="1" allowOverlap="1" wp14:anchorId="1F6D3AC5" wp14:editId="3C746AE3">
                  <wp:simplePos x="0" y="0"/>
                  <wp:positionH relativeFrom="column">
                    <wp:posOffset>0</wp:posOffset>
                  </wp:positionH>
                  <wp:positionV relativeFrom="paragraph">
                    <wp:posOffset>85725</wp:posOffset>
                  </wp:positionV>
                  <wp:extent cx="6286500" cy="2428875"/>
                  <wp:effectExtent l="0" t="0" r="19050" b="9525"/>
                  <wp:wrapNone/>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3880"/>
            </w:tblGrid>
            <w:tr w:rsidR="005E3B68" w:rsidRPr="005E3B68" w:rsidTr="00433074">
              <w:trPr>
                <w:trHeight w:val="270"/>
                <w:tblCellSpacing w:w="0" w:type="dxa"/>
              </w:trPr>
              <w:tc>
                <w:tcPr>
                  <w:tcW w:w="3880"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22"/>
                      <w:lang w:val="sl-SI" w:eastAsia="sl-SI"/>
                    </w:rPr>
                  </w:pPr>
                </w:p>
              </w:tc>
            </w:tr>
          </w:tbl>
          <w:p w:rsidR="005E3B68" w:rsidRPr="005E3B68" w:rsidRDefault="005E3B68" w:rsidP="005E3B68">
            <w:pPr>
              <w:spacing w:before="0" w:after="0" w:line="240" w:lineRule="auto"/>
              <w:jc w:val="left"/>
              <w:rPr>
                <w:rFonts w:ascii="Times New Roman" w:eastAsia="Times New Roman" w:hAnsi="Times New Roman" w:cs="Times New Roman"/>
                <w:sz w:val="22"/>
                <w:lang w:val="sl-SI" w:eastAsia="sl-SI"/>
              </w:rPr>
            </w:pPr>
          </w:p>
        </w:tc>
        <w:tc>
          <w:tcPr>
            <w:tcW w:w="1701"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22"/>
                <w:lang w:val="sl-SI" w:eastAsia="sl-SI"/>
              </w:rPr>
            </w:pPr>
          </w:p>
        </w:tc>
        <w:tc>
          <w:tcPr>
            <w:tcW w:w="1560"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22"/>
                <w:lang w:val="sl-SI" w:eastAsia="sl-SI"/>
              </w:rPr>
            </w:pPr>
          </w:p>
        </w:tc>
        <w:tc>
          <w:tcPr>
            <w:tcW w:w="1559"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c>
          <w:tcPr>
            <w:tcW w:w="1984"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r>
      <w:tr w:rsidR="005E3B68" w:rsidRPr="005E3B68" w:rsidTr="00433074">
        <w:trPr>
          <w:trHeight w:val="255"/>
        </w:trPr>
        <w:tc>
          <w:tcPr>
            <w:tcW w:w="3402"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22"/>
                <w:lang w:val="sl-SI" w:eastAsia="sl-SI"/>
              </w:rPr>
            </w:pPr>
          </w:p>
        </w:tc>
        <w:tc>
          <w:tcPr>
            <w:tcW w:w="1701"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22"/>
                <w:lang w:val="sl-SI" w:eastAsia="sl-SI"/>
              </w:rPr>
            </w:pPr>
          </w:p>
        </w:tc>
        <w:tc>
          <w:tcPr>
            <w:tcW w:w="1560"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22"/>
                <w:lang w:val="sl-SI" w:eastAsia="sl-SI"/>
              </w:rPr>
            </w:pPr>
          </w:p>
        </w:tc>
        <w:tc>
          <w:tcPr>
            <w:tcW w:w="1559"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c>
          <w:tcPr>
            <w:tcW w:w="1984"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r>
      <w:tr w:rsidR="005E3B68" w:rsidRPr="005E3B68" w:rsidTr="00433074">
        <w:trPr>
          <w:trHeight w:val="255"/>
        </w:trPr>
        <w:tc>
          <w:tcPr>
            <w:tcW w:w="3402"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22"/>
                <w:lang w:val="sl-SI" w:eastAsia="sl-SI"/>
              </w:rPr>
            </w:pPr>
          </w:p>
        </w:tc>
        <w:tc>
          <w:tcPr>
            <w:tcW w:w="1701"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22"/>
                <w:lang w:val="sl-SI" w:eastAsia="sl-SI"/>
              </w:rPr>
            </w:pPr>
          </w:p>
        </w:tc>
        <w:tc>
          <w:tcPr>
            <w:tcW w:w="1560"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22"/>
                <w:lang w:val="sl-SI" w:eastAsia="sl-SI"/>
              </w:rPr>
            </w:pPr>
          </w:p>
        </w:tc>
        <w:tc>
          <w:tcPr>
            <w:tcW w:w="1559"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c>
          <w:tcPr>
            <w:tcW w:w="1984"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r>
      <w:tr w:rsidR="005E3B68" w:rsidRPr="005E3B68" w:rsidTr="00433074">
        <w:trPr>
          <w:trHeight w:val="255"/>
        </w:trPr>
        <w:tc>
          <w:tcPr>
            <w:tcW w:w="3402"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22"/>
                <w:lang w:val="sl-SI" w:eastAsia="sl-SI"/>
              </w:rPr>
            </w:pPr>
          </w:p>
        </w:tc>
        <w:tc>
          <w:tcPr>
            <w:tcW w:w="1701"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22"/>
                <w:lang w:val="sl-SI" w:eastAsia="sl-SI"/>
              </w:rPr>
            </w:pPr>
          </w:p>
        </w:tc>
        <w:tc>
          <w:tcPr>
            <w:tcW w:w="1560"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22"/>
                <w:lang w:val="sl-SI" w:eastAsia="sl-SI"/>
              </w:rPr>
            </w:pPr>
          </w:p>
        </w:tc>
        <w:tc>
          <w:tcPr>
            <w:tcW w:w="1559"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c>
          <w:tcPr>
            <w:tcW w:w="1984"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r>
      <w:tr w:rsidR="005E3B68" w:rsidRPr="005E3B68" w:rsidTr="00433074">
        <w:trPr>
          <w:trHeight w:val="255"/>
        </w:trPr>
        <w:tc>
          <w:tcPr>
            <w:tcW w:w="3402"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22"/>
                <w:lang w:val="sl-SI" w:eastAsia="sl-SI"/>
              </w:rPr>
            </w:pPr>
          </w:p>
        </w:tc>
        <w:tc>
          <w:tcPr>
            <w:tcW w:w="1701"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22"/>
                <w:lang w:val="sl-SI" w:eastAsia="sl-SI"/>
              </w:rPr>
            </w:pPr>
          </w:p>
        </w:tc>
        <w:tc>
          <w:tcPr>
            <w:tcW w:w="1560"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22"/>
                <w:lang w:val="sl-SI" w:eastAsia="sl-SI"/>
              </w:rPr>
            </w:pPr>
          </w:p>
        </w:tc>
        <w:tc>
          <w:tcPr>
            <w:tcW w:w="1559"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c>
          <w:tcPr>
            <w:tcW w:w="1984"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r>
      <w:tr w:rsidR="005E3B68" w:rsidRPr="005E3B68" w:rsidTr="00433074">
        <w:trPr>
          <w:trHeight w:val="255"/>
        </w:trPr>
        <w:tc>
          <w:tcPr>
            <w:tcW w:w="3402"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22"/>
                <w:lang w:val="sl-SI" w:eastAsia="sl-SI"/>
              </w:rPr>
            </w:pPr>
          </w:p>
        </w:tc>
        <w:tc>
          <w:tcPr>
            <w:tcW w:w="1701"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22"/>
                <w:lang w:val="sl-SI" w:eastAsia="sl-SI"/>
              </w:rPr>
            </w:pPr>
          </w:p>
        </w:tc>
        <w:tc>
          <w:tcPr>
            <w:tcW w:w="1560"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22"/>
                <w:lang w:val="sl-SI" w:eastAsia="sl-SI"/>
              </w:rPr>
            </w:pPr>
          </w:p>
        </w:tc>
        <w:tc>
          <w:tcPr>
            <w:tcW w:w="1559"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c>
          <w:tcPr>
            <w:tcW w:w="1984"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r>
      <w:tr w:rsidR="005E3B68" w:rsidRPr="005E3B68" w:rsidTr="00433074">
        <w:trPr>
          <w:trHeight w:val="255"/>
        </w:trPr>
        <w:tc>
          <w:tcPr>
            <w:tcW w:w="3402"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22"/>
                <w:lang w:val="sl-SI" w:eastAsia="sl-SI"/>
              </w:rPr>
            </w:pPr>
          </w:p>
        </w:tc>
        <w:tc>
          <w:tcPr>
            <w:tcW w:w="1701"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22"/>
                <w:lang w:val="sl-SI" w:eastAsia="sl-SI"/>
              </w:rPr>
            </w:pPr>
          </w:p>
        </w:tc>
        <w:tc>
          <w:tcPr>
            <w:tcW w:w="1560"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22"/>
                <w:lang w:val="sl-SI" w:eastAsia="sl-SI"/>
              </w:rPr>
            </w:pPr>
          </w:p>
        </w:tc>
        <w:tc>
          <w:tcPr>
            <w:tcW w:w="1559"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c>
          <w:tcPr>
            <w:tcW w:w="1984"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r>
      <w:tr w:rsidR="005E3B68" w:rsidRPr="005E3B68" w:rsidTr="00433074">
        <w:trPr>
          <w:trHeight w:val="255"/>
        </w:trPr>
        <w:tc>
          <w:tcPr>
            <w:tcW w:w="3402"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22"/>
                <w:lang w:val="sl-SI" w:eastAsia="sl-SI"/>
              </w:rPr>
            </w:pPr>
          </w:p>
        </w:tc>
        <w:tc>
          <w:tcPr>
            <w:tcW w:w="1701"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22"/>
                <w:lang w:val="sl-SI" w:eastAsia="sl-SI"/>
              </w:rPr>
            </w:pPr>
          </w:p>
        </w:tc>
        <w:tc>
          <w:tcPr>
            <w:tcW w:w="1560"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22"/>
                <w:lang w:val="sl-SI" w:eastAsia="sl-SI"/>
              </w:rPr>
            </w:pPr>
          </w:p>
        </w:tc>
        <w:tc>
          <w:tcPr>
            <w:tcW w:w="1559"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c>
          <w:tcPr>
            <w:tcW w:w="1984"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r>
      <w:tr w:rsidR="005E3B68" w:rsidRPr="005E3B68" w:rsidTr="00433074">
        <w:trPr>
          <w:trHeight w:val="255"/>
        </w:trPr>
        <w:tc>
          <w:tcPr>
            <w:tcW w:w="3402"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22"/>
                <w:lang w:val="sl-SI" w:eastAsia="sl-SI"/>
              </w:rPr>
            </w:pPr>
          </w:p>
        </w:tc>
        <w:tc>
          <w:tcPr>
            <w:tcW w:w="1701"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22"/>
                <w:lang w:val="sl-SI" w:eastAsia="sl-SI"/>
              </w:rPr>
            </w:pPr>
          </w:p>
        </w:tc>
        <w:tc>
          <w:tcPr>
            <w:tcW w:w="1560"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22"/>
                <w:lang w:val="sl-SI" w:eastAsia="sl-SI"/>
              </w:rPr>
            </w:pPr>
          </w:p>
        </w:tc>
        <w:tc>
          <w:tcPr>
            <w:tcW w:w="1559"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c>
          <w:tcPr>
            <w:tcW w:w="1984"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r>
      <w:tr w:rsidR="005E3B68" w:rsidRPr="005E3B68" w:rsidTr="00433074">
        <w:trPr>
          <w:trHeight w:val="255"/>
        </w:trPr>
        <w:tc>
          <w:tcPr>
            <w:tcW w:w="3402"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22"/>
                <w:lang w:val="sl-SI" w:eastAsia="sl-SI"/>
              </w:rPr>
            </w:pPr>
          </w:p>
        </w:tc>
        <w:tc>
          <w:tcPr>
            <w:tcW w:w="1701"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22"/>
                <w:lang w:val="sl-SI" w:eastAsia="sl-SI"/>
              </w:rPr>
            </w:pPr>
          </w:p>
        </w:tc>
        <w:tc>
          <w:tcPr>
            <w:tcW w:w="1560"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22"/>
                <w:lang w:val="sl-SI" w:eastAsia="sl-SI"/>
              </w:rPr>
            </w:pPr>
          </w:p>
        </w:tc>
        <w:tc>
          <w:tcPr>
            <w:tcW w:w="1559"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c>
          <w:tcPr>
            <w:tcW w:w="1984"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r>
      <w:tr w:rsidR="005E3B68" w:rsidRPr="005E3B68" w:rsidTr="00433074">
        <w:trPr>
          <w:trHeight w:val="255"/>
        </w:trPr>
        <w:tc>
          <w:tcPr>
            <w:tcW w:w="3402"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c>
          <w:tcPr>
            <w:tcW w:w="1701"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c>
          <w:tcPr>
            <w:tcW w:w="1560"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c>
          <w:tcPr>
            <w:tcW w:w="1559"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c>
          <w:tcPr>
            <w:tcW w:w="1984"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r>
      <w:tr w:rsidR="005E3B68" w:rsidRPr="005E3B68" w:rsidTr="00433074">
        <w:trPr>
          <w:trHeight w:val="255"/>
        </w:trPr>
        <w:tc>
          <w:tcPr>
            <w:tcW w:w="3402"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c>
          <w:tcPr>
            <w:tcW w:w="1701"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c>
          <w:tcPr>
            <w:tcW w:w="1560"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c>
          <w:tcPr>
            <w:tcW w:w="1559"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c>
          <w:tcPr>
            <w:tcW w:w="1984"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r>
      <w:tr w:rsidR="005E3B68" w:rsidRPr="005E3B68" w:rsidTr="00433074">
        <w:trPr>
          <w:trHeight w:val="255"/>
        </w:trPr>
        <w:tc>
          <w:tcPr>
            <w:tcW w:w="3402"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c>
          <w:tcPr>
            <w:tcW w:w="1701"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c>
          <w:tcPr>
            <w:tcW w:w="1560"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c>
          <w:tcPr>
            <w:tcW w:w="1559"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c>
          <w:tcPr>
            <w:tcW w:w="1984"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r>
      <w:tr w:rsidR="005E3B68" w:rsidRPr="005E3B68" w:rsidTr="00433074">
        <w:trPr>
          <w:trHeight w:val="255"/>
        </w:trPr>
        <w:tc>
          <w:tcPr>
            <w:tcW w:w="3402"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c>
          <w:tcPr>
            <w:tcW w:w="1701"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c>
          <w:tcPr>
            <w:tcW w:w="1560"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c>
          <w:tcPr>
            <w:tcW w:w="1559"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c>
          <w:tcPr>
            <w:tcW w:w="1984" w:type="dxa"/>
            <w:tcBorders>
              <w:top w:val="nil"/>
              <w:left w:val="nil"/>
              <w:bottom w:val="nil"/>
              <w:right w:val="nil"/>
            </w:tcBorders>
            <w:shd w:val="clear" w:color="auto" w:fill="auto"/>
            <w:noWrap/>
            <w:vAlign w:val="bottom"/>
            <w:hideMark/>
          </w:tcPr>
          <w:p w:rsidR="005E3B68" w:rsidRPr="005E3B68" w:rsidRDefault="005E3B68" w:rsidP="005E3B68">
            <w:pPr>
              <w:spacing w:before="0" w:after="0" w:line="240" w:lineRule="auto"/>
              <w:jc w:val="left"/>
              <w:rPr>
                <w:rFonts w:ascii="Times New Roman" w:eastAsia="Times New Roman" w:hAnsi="Times New Roman" w:cs="Times New Roman"/>
                <w:sz w:val="16"/>
                <w:szCs w:val="16"/>
                <w:lang w:val="sl-SI" w:eastAsia="sl-SI"/>
              </w:rPr>
            </w:pPr>
          </w:p>
        </w:tc>
      </w:tr>
    </w:tbl>
    <w:p w:rsidR="00DD31D5" w:rsidRDefault="00DD31D5" w:rsidP="00DD31D5">
      <w:pPr>
        <w:keepNext/>
        <w:keepLines/>
        <w:spacing w:before="0" w:after="0"/>
        <w:ind w:firstLine="708"/>
        <w:jc w:val="left"/>
        <w:outlineLvl w:val="0"/>
        <w:rPr>
          <w:rFonts w:eastAsia="Calibri" w:cs="Times New Roman"/>
          <w:b/>
          <w:szCs w:val="24"/>
          <w:lang w:val="sl-SI"/>
        </w:rPr>
      </w:pPr>
      <w:bookmarkStart w:id="20" w:name="_Toc32584037"/>
      <w:bookmarkStart w:id="21" w:name="_Toc32835769"/>
      <w:bookmarkStart w:id="22" w:name="_Toc32835836"/>
      <w:bookmarkStart w:id="23" w:name="_Toc62197133"/>
      <w:bookmarkStart w:id="24" w:name="_Toc62552704"/>
      <w:bookmarkStart w:id="25" w:name="_Toc62813703"/>
    </w:p>
    <w:p w:rsidR="00531F43" w:rsidRPr="00531F43" w:rsidRDefault="00531F43" w:rsidP="00DD31D5">
      <w:pPr>
        <w:keepNext/>
        <w:keepLines/>
        <w:spacing w:after="0"/>
        <w:ind w:firstLine="708"/>
        <w:jc w:val="left"/>
        <w:outlineLvl w:val="0"/>
        <w:rPr>
          <w:rFonts w:eastAsia="Calibri" w:cs="Times New Roman"/>
          <w:b/>
          <w:szCs w:val="24"/>
          <w:lang w:val="sl-SI"/>
        </w:rPr>
      </w:pPr>
      <w:r w:rsidRPr="00531F43">
        <w:rPr>
          <w:rFonts w:eastAsia="Calibri" w:cs="Times New Roman"/>
          <w:b/>
          <w:szCs w:val="24"/>
          <w:lang w:val="sl-SI"/>
        </w:rPr>
        <w:t>CARINSKI POSTUPCI</w:t>
      </w:r>
      <w:bookmarkEnd w:id="20"/>
      <w:bookmarkEnd w:id="21"/>
      <w:bookmarkEnd w:id="22"/>
      <w:bookmarkEnd w:id="23"/>
      <w:bookmarkEnd w:id="24"/>
      <w:bookmarkEnd w:id="25"/>
    </w:p>
    <w:p w:rsidR="00531F43" w:rsidRPr="00531F43" w:rsidRDefault="00531F43" w:rsidP="00DD31D5">
      <w:pPr>
        <w:spacing w:before="0" w:after="0" w:line="240" w:lineRule="auto"/>
        <w:ind w:firstLine="708"/>
        <w:rPr>
          <w:rFonts w:eastAsia="Calibri" w:cs="Times New Roman"/>
          <w:szCs w:val="24"/>
          <w:lang w:val="sl-SI"/>
        </w:rPr>
      </w:pPr>
      <w:r w:rsidRPr="00531F43">
        <w:rPr>
          <w:rFonts w:eastAsia="Calibri" w:cs="Times New Roman"/>
          <w:szCs w:val="24"/>
        </w:rPr>
        <w:t xml:space="preserve">Obrađeno je </w:t>
      </w:r>
      <w:r w:rsidRPr="00531F43">
        <w:rPr>
          <w:rFonts w:eastAsia="Times New Roman" w:cs="Times New Roman"/>
          <w:szCs w:val="24"/>
          <w:lang w:val="sl-SI" w:eastAsia="sl-SI"/>
        </w:rPr>
        <w:t>430.840</w:t>
      </w:r>
      <w:r w:rsidRPr="00531F43">
        <w:rPr>
          <w:rFonts w:eastAsia="Calibri" w:cs="Times New Roman"/>
          <w:szCs w:val="24"/>
        </w:rPr>
        <w:t xml:space="preserve"> deklaracija (carinske i tranzitne), od čega je 413.436 deklaracija poslato elektronskim putem, što čini 95,96%. U izvještajnom periodu </w:t>
      </w:r>
      <w:r w:rsidRPr="00531F43">
        <w:rPr>
          <w:rFonts w:eastAsia="Calibri" w:cs="Times New Roman"/>
          <w:szCs w:val="24"/>
          <w:lang w:val="sl-SI"/>
        </w:rPr>
        <w:t xml:space="preserve">ukupna vrijednost uvezene robe je </w:t>
      </w:r>
      <w:r w:rsidRPr="00531F43">
        <w:rPr>
          <w:rFonts w:eastAsia="Times New Roman" w:cs="Times New Roman"/>
          <w:szCs w:val="24"/>
          <w:lang w:val="sl-SI" w:eastAsia="sl-SI"/>
        </w:rPr>
        <w:t>2.054.648.019</w:t>
      </w:r>
      <w:r w:rsidRPr="00531F43">
        <w:rPr>
          <w:rFonts w:eastAsia="Calibri" w:cs="Times New Roman"/>
          <w:szCs w:val="24"/>
          <w:lang w:val="sl-SI"/>
        </w:rPr>
        <w:t xml:space="preserve">€  , što je za 19.16% manje u odnosu na prethodnu godinu. Ukupna vrijednost izvezene robe je </w:t>
      </w:r>
      <w:r w:rsidRPr="00531F43">
        <w:rPr>
          <w:rFonts w:eastAsia="Times New Roman" w:cs="Times New Roman"/>
          <w:szCs w:val="24"/>
          <w:lang w:val="sl-SI" w:eastAsia="sl-SI"/>
        </w:rPr>
        <w:t>445.890.679</w:t>
      </w:r>
      <w:r w:rsidRPr="00531F43">
        <w:rPr>
          <w:rFonts w:eastAsia="Calibri" w:cs="Times New Roman"/>
          <w:szCs w:val="24"/>
          <w:lang w:val="sl-SI"/>
        </w:rPr>
        <w:t>€, što je za 19.28% manje u odnosu na prethodnu godinu.</w:t>
      </w:r>
    </w:p>
    <w:p w:rsidR="00531F43" w:rsidRPr="00531F43" w:rsidRDefault="00531F43" w:rsidP="00531F43">
      <w:pPr>
        <w:spacing w:before="0" w:after="0" w:line="240" w:lineRule="auto"/>
        <w:jc w:val="left"/>
        <w:rPr>
          <w:rFonts w:ascii="Calibri" w:eastAsia="Calibri" w:hAnsi="Calibri" w:cs="Times New Roman"/>
          <w:sz w:val="22"/>
          <w:lang w:val="en-US" w:eastAsia="sl-SI"/>
        </w:rPr>
      </w:pPr>
    </w:p>
    <w:p w:rsidR="00531F43" w:rsidRPr="00531F43" w:rsidRDefault="00531F43" w:rsidP="00531F43">
      <w:pPr>
        <w:spacing w:before="0" w:after="0" w:line="240" w:lineRule="auto"/>
        <w:jc w:val="left"/>
        <w:rPr>
          <w:rFonts w:ascii="Times New Roman" w:eastAsia="Calibri" w:hAnsi="Times New Roman" w:cs="Times New Roman"/>
          <w:sz w:val="22"/>
          <w:lang w:val="en-US" w:eastAsia="sl-SI"/>
        </w:rPr>
      </w:pPr>
      <w:r>
        <w:rPr>
          <w:rFonts w:ascii="Times New Roman" w:eastAsia="Calibri" w:hAnsi="Times New Roman" w:cs="Times New Roman"/>
          <w:sz w:val="22"/>
          <w:lang w:val="en-US" w:eastAsia="sl-SI"/>
        </w:rPr>
        <w:t xml:space="preserve">                            </w:t>
      </w:r>
      <w:r w:rsidRPr="00531F43">
        <w:rPr>
          <w:rFonts w:ascii="Times New Roman" w:eastAsia="Calibri" w:hAnsi="Times New Roman" w:cs="Times New Roman"/>
          <w:sz w:val="22"/>
          <w:lang w:val="en-US" w:eastAsia="sl-SI"/>
        </w:rPr>
        <w:t>Grafikon 3: Pregled vrijednosti uvezene i izvezene robe</w:t>
      </w:r>
    </w:p>
    <w:p w:rsidR="00531F43" w:rsidRPr="00531F43" w:rsidRDefault="00531F43" w:rsidP="00531F43">
      <w:pPr>
        <w:spacing w:after="0" w:line="240" w:lineRule="auto"/>
        <w:rPr>
          <w:rFonts w:ascii="Segoe UI" w:eastAsia="Times New Roman" w:hAnsi="Segoe UI" w:cs="Segoe UI"/>
          <w:color w:val="000000"/>
          <w:sz w:val="20"/>
          <w:szCs w:val="20"/>
          <w:lang w:val="sl-SI" w:eastAsia="sl-SI"/>
        </w:rPr>
      </w:pPr>
      <w:r w:rsidRPr="00531F43">
        <w:rPr>
          <w:rFonts w:ascii="Times New Roman" w:eastAsia="Calibri" w:hAnsi="Times New Roman" w:cs="Times New Roman"/>
          <w:noProof/>
          <w:sz w:val="20"/>
          <w:szCs w:val="20"/>
          <w:lang w:val="sr-Latn-RS" w:eastAsia="sr-Latn-RS"/>
        </w:rPr>
        <w:drawing>
          <wp:anchor distT="0" distB="0" distL="114300" distR="114300" simplePos="0" relativeHeight="251664384" behindDoc="0" locked="0" layoutInCell="1" allowOverlap="1" wp14:anchorId="3D352C16" wp14:editId="3BE90DFA">
            <wp:simplePos x="0" y="0"/>
            <wp:positionH relativeFrom="column">
              <wp:posOffset>481330</wp:posOffset>
            </wp:positionH>
            <wp:positionV relativeFrom="paragraph">
              <wp:posOffset>170815</wp:posOffset>
            </wp:positionV>
            <wp:extent cx="4762500" cy="2505075"/>
            <wp:effectExtent l="0" t="0" r="19050" b="9525"/>
            <wp:wrapTopAndBottom/>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rsidR="002F73A8" w:rsidRDefault="002F73A8" w:rsidP="00531F43">
      <w:pPr>
        <w:tabs>
          <w:tab w:val="left" w:pos="1322"/>
        </w:tabs>
        <w:rPr>
          <w:rFonts w:eastAsia="Calibri" w:cs="Times New Roman"/>
          <w:b/>
          <w:szCs w:val="24"/>
          <w:lang w:val="sl-SI"/>
        </w:rPr>
      </w:pPr>
    </w:p>
    <w:p w:rsidR="00531F43" w:rsidRPr="00531F43" w:rsidRDefault="00531F43" w:rsidP="00531F43">
      <w:pPr>
        <w:tabs>
          <w:tab w:val="left" w:pos="1322"/>
        </w:tabs>
        <w:rPr>
          <w:rFonts w:eastAsia="Calibri" w:cs="Times New Roman"/>
          <w:szCs w:val="24"/>
          <w:lang w:val="sl-SI"/>
        </w:rPr>
      </w:pPr>
      <w:r w:rsidRPr="00531F43">
        <w:rPr>
          <w:rFonts w:eastAsia="Calibri" w:cs="Times New Roman"/>
          <w:b/>
          <w:szCs w:val="24"/>
          <w:lang w:val="sl-SI"/>
        </w:rPr>
        <w:lastRenderedPageBreak/>
        <w:t>Tabela 4:</w:t>
      </w:r>
      <w:r w:rsidRPr="00531F43">
        <w:rPr>
          <w:rFonts w:eastAsia="Calibri" w:cs="Times New Roman"/>
          <w:szCs w:val="24"/>
          <w:lang w:val="sl-SI"/>
        </w:rPr>
        <w:t xml:space="preserve"> Carinski postupci</w:t>
      </w:r>
    </w:p>
    <w:tbl>
      <w:tblPr>
        <w:tblStyle w:val="MediumGrid3-Accent1"/>
        <w:tblW w:w="5000" w:type="pct"/>
        <w:tblLayout w:type="fixed"/>
        <w:tblLook w:val="04A0" w:firstRow="1" w:lastRow="0" w:firstColumn="1" w:lastColumn="0" w:noHBand="0" w:noVBand="1"/>
      </w:tblPr>
      <w:tblGrid>
        <w:gridCol w:w="2735"/>
        <w:gridCol w:w="691"/>
        <w:gridCol w:w="554"/>
        <w:gridCol w:w="692"/>
        <w:gridCol w:w="831"/>
        <w:gridCol w:w="691"/>
        <w:gridCol w:w="968"/>
        <w:gridCol w:w="831"/>
        <w:gridCol w:w="829"/>
        <w:gridCol w:w="796"/>
      </w:tblGrid>
      <w:tr w:rsidR="00531F43" w:rsidRPr="00531F43" w:rsidTr="00433074">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422" w:type="pct"/>
            <w:hideMark/>
          </w:tcPr>
          <w:p w:rsidR="00531F43" w:rsidRPr="00531F43" w:rsidRDefault="00531F43" w:rsidP="00531F43">
            <w:pPr>
              <w:spacing w:after="0" w:line="240" w:lineRule="auto"/>
              <w:jc w:val="center"/>
              <w:rPr>
                <w:rFonts w:ascii="Times New Roman" w:eastAsia="Times New Roman" w:hAnsi="Times New Roman"/>
                <w:sz w:val="16"/>
                <w:szCs w:val="16"/>
              </w:rPr>
            </w:pPr>
            <w:r w:rsidRPr="00531F43">
              <w:rPr>
                <w:rFonts w:ascii="Times New Roman" w:eastAsia="Times New Roman" w:hAnsi="Times New Roman"/>
                <w:sz w:val="16"/>
                <w:szCs w:val="16"/>
              </w:rPr>
              <w:t> </w:t>
            </w:r>
          </w:p>
        </w:tc>
        <w:tc>
          <w:tcPr>
            <w:tcW w:w="359" w:type="pct"/>
            <w:hideMark/>
          </w:tcPr>
          <w:p w:rsidR="00531F43" w:rsidRPr="00531F43" w:rsidRDefault="00531F43" w:rsidP="00531F4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6"/>
                <w:szCs w:val="16"/>
              </w:rPr>
            </w:pPr>
            <w:r w:rsidRPr="00531F43">
              <w:rPr>
                <w:rFonts w:ascii="Times New Roman" w:eastAsia="Times New Roman" w:hAnsi="Times New Roman"/>
                <w:sz w:val="16"/>
                <w:szCs w:val="16"/>
              </w:rPr>
              <w:t>izvoz robe</w:t>
            </w:r>
          </w:p>
        </w:tc>
        <w:tc>
          <w:tcPr>
            <w:tcW w:w="288" w:type="pct"/>
            <w:hideMark/>
          </w:tcPr>
          <w:p w:rsidR="00531F43" w:rsidRPr="00531F43" w:rsidRDefault="00531F43" w:rsidP="00531F4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6"/>
                <w:szCs w:val="16"/>
              </w:rPr>
            </w:pPr>
            <w:r w:rsidRPr="00531F43">
              <w:rPr>
                <w:rFonts w:ascii="Times New Roman" w:eastAsia="Times New Roman" w:hAnsi="Times New Roman"/>
                <w:sz w:val="16"/>
                <w:szCs w:val="16"/>
              </w:rPr>
              <w:t>pasivno oplem robe</w:t>
            </w:r>
          </w:p>
        </w:tc>
        <w:tc>
          <w:tcPr>
            <w:tcW w:w="360" w:type="pct"/>
            <w:hideMark/>
          </w:tcPr>
          <w:p w:rsidR="00531F43" w:rsidRPr="00531F43" w:rsidRDefault="00531F43" w:rsidP="00531F4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6"/>
                <w:szCs w:val="16"/>
              </w:rPr>
            </w:pPr>
            <w:r w:rsidRPr="00531F43">
              <w:rPr>
                <w:rFonts w:ascii="Times New Roman" w:eastAsia="Times New Roman" w:hAnsi="Times New Roman"/>
                <w:sz w:val="16"/>
                <w:szCs w:val="16"/>
              </w:rPr>
              <w:t>ponovni izvoz robe</w:t>
            </w:r>
          </w:p>
        </w:tc>
        <w:tc>
          <w:tcPr>
            <w:tcW w:w="432" w:type="pct"/>
            <w:hideMark/>
          </w:tcPr>
          <w:p w:rsidR="00531F43" w:rsidRPr="00531F43" w:rsidRDefault="00531F43" w:rsidP="00531F4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6"/>
                <w:szCs w:val="16"/>
              </w:rPr>
            </w:pPr>
            <w:r w:rsidRPr="00531F43">
              <w:rPr>
                <w:rFonts w:ascii="Times New Roman" w:eastAsia="Times New Roman" w:hAnsi="Times New Roman"/>
                <w:sz w:val="16"/>
                <w:szCs w:val="16"/>
              </w:rPr>
              <w:t>stavljanje robe u slobodan promet</w:t>
            </w:r>
          </w:p>
        </w:tc>
        <w:tc>
          <w:tcPr>
            <w:tcW w:w="359" w:type="pct"/>
            <w:hideMark/>
          </w:tcPr>
          <w:p w:rsidR="00531F43" w:rsidRPr="00531F43" w:rsidRDefault="00531F43" w:rsidP="00531F4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6"/>
                <w:szCs w:val="16"/>
              </w:rPr>
            </w:pPr>
            <w:r w:rsidRPr="00531F43">
              <w:rPr>
                <w:rFonts w:ascii="Times New Roman" w:eastAsia="Times New Roman" w:hAnsi="Times New Roman"/>
                <w:sz w:val="16"/>
                <w:szCs w:val="16"/>
              </w:rPr>
              <w:t>privremeni uvoz</w:t>
            </w:r>
          </w:p>
        </w:tc>
        <w:tc>
          <w:tcPr>
            <w:tcW w:w="503" w:type="pct"/>
            <w:hideMark/>
          </w:tcPr>
          <w:p w:rsidR="00531F43" w:rsidRPr="00531F43" w:rsidRDefault="00531F43" w:rsidP="00531F4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6"/>
                <w:szCs w:val="16"/>
              </w:rPr>
            </w:pPr>
            <w:r w:rsidRPr="00531F43">
              <w:rPr>
                <w:rFonts w:ascii="Times New Roman" w:eastAsia="Times New Roman" w:hAnsi="Times New Roman"/>
                <w:sz w:val="16"/>
                <w:szCs w:val="16"/>
              </w:rPr>
              <w:t>prerada/unistenje</w:t>
            </w:r>
          </w:p>
        </w:tc>
        <w:tc>
          <w:tcPr>
            <w:tcW w:w="432" w:type="pct"/>
            <w:hideMark/>
          </w:tcPr>
          <w:p w:rsidR="00531F43" w:rsidRPr="00531F43" w:rsidRDefault="00531F43" w:rsidP="00531F4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6"/>
                <w:szCs w:val="16"/>
              </w:rPr>
            </w:pPr>
            <w:r w:rsidRPr="00531F43">
              <w:rPr>
                <w:rFonts w:ascii="Times New Roman" w:eastAsia="Times New Roman" w:hAnsi="Times New Roman"/>
                <w:sz w:val="16"/>
                <w:szCs w:val="16"/>
              </w:rPr>
              <w:t>skladištenje</w:t>
            </w:r>
          </w:p>
        </w:tc>
        <w:tc>
          <w:tcPr>
            <w:tcW w:w="431" w:type="pct"/>
            <w:hideMark/>
          </w:tcPr>
          <w:p w:rsidR="00531F43" w:rsidRPr="00531F43" w:rsidRDefault="00531F43" w:rsidP="00531F4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6"/>
                <w:szCs w:val="16"/>
              </w:rPr>
            </w:pPr>
            <w:r w:rsidRPr="00531F43">
              <w:rPr>
                <w:rFonts w:ascii="Times New Roman" w:eastAsia="Times New Roman" w:hAnsi="Times New Roman"/>
                <w:sz w:val="16"/>
                <w:szCs w:val="16"/>
              </w:rPr>
              <w:t>tranzit</w:t>
            </w:r>
          </w:p>
        </w:tc>
        <w:tc>
          <w:tcPr>
            <w:tcW w:w="414" w:type="pct"/>
            <w:hideMark/>
          </w:tcPr>
          <w:p w:rsidR="00531F43" w:rsidRPr="00531F43" w:rsidRDefault="00531F43" w:rsidP="00531F4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16"/>
                <w:szCs w:val="16"/>
              </w:rPr>
            </w:pPr>
            <w:r w:rsidRPr="00531F43">
              <w:rPr>
                <w:rFonts w:ascii="Times New Roman" w:eastAsia="Times New Roman" w:hAnsi="Times New Roman"/>
                <w:sz w:val="16"/>
                <w:szCs w:val="16"/>
              </w:rPr>
              <w:t>ukupno</w:t>
            </w:r>
          </w:p>
        </w:tc>
      </w:tr>
      <w:tr w:rsidR="00531F43" w:rsidRPr="00531F43" w:rsidTr="0043307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22" w:type="pct"/>
            <w:noWrap/>
            <w:hideMark/>
          </w:tcPr>
          <w:p w:rsidR="00531F43" w:rsidRPr="00531F43" w:rsidRDefault="00531F43" w:rsidP="00531F43">
            <w:pPr>
              <w:spacing w:after="0" w:line="240" w:lineRule="auto"/>
              <w:jc w:val="left"/>
              <w:rPr>
                <w:rFonts w:ascii="Times New Roman" w:eastAsia="Times New Roman" w:hAnsi="Times New Roman"/>
                <w:sz w:val="16"/>
                <w:szCs w:val="16"/>
              </w:rPr>
            </w:pPr>
            <w:r w:rsidRPr="00531F43">
              <w:rPr>
                <w:rFonts w:ascii="Times New Roman" w:eastAsia="Times New Roman" w:hAnsi="Times New Roman"/>
                <w:sz w:val="16"/>
                <w:szCs w:val="16"/>
              </w:rPr>
              <w:t>Carinska ispostava Aerodrom Podgorica</w:t>
            </w:r>
          </w:p>
        </w:tc>
        <w:tc>
          <w:tcPr>
            <w:tcW w:w="359"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2.097</w:t>
            </w:r>
          </w:p>
        </w:tc>
        <w:tc>
          <w:tcPr>
            <w:tcW w:w="288"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120</w:t>
            </w:r>
          </w:p>
        </w:tc>
        <w:tc>
          <w:tcPr>
            <w:tcW w:w="360"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92</w:t>
            </w:r>
          </w:p>
        </w:tc>
        <w:tc>
          <w:tcPr>
            <w:tcW w:w="432"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11.499</w:t>
            </w:r>
          </w:p>
        </w:tc>
        <w:tc>
          <w:tcPr>
            <w:tcW w:w="359"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21</w:t>
            </w:r>
          </w:p>
        </w:tc>
        <w:tc>
          <w:tcPr>
            <w:tcW w:w="503"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2"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231</w:t>
            </w:r>
          </w:p>
        </w:tc>
        <w:tc>
          <w:tcPr>
            <w:tcW w:w="431"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1.344</w:t>
            </w:r>
          </w:p>
        </w:tc>
        <w:tc>
          <w:tcPr>
            <w:tcW w:w="414"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15.404</w:t>
            </w:r>
          </w:p>
        </w:tc>
      </w:tr>
      <w:tr w:rsidR="00531F43" w:rsidRPr="00531F43" w:rsidTr="00433074">
        <w:trPr>
          <w:trHeight w:val="240"/>
        </w:trPr>
        <w:tc>
          <w:tcPr>
            <w:cnfStyle w:val="001000000000" w:firstRow="0" w:lastRow="0" w:firstColumn="1" w:lastColumn="0" w:oddVBand="0" w:evenVBand="0" w:oddHBand="0" w:evenHBand="0" w:firstRowFirstColumn="0" w:firstRowLastColumn="0" w:lastRowFirstColumn="0" w:lastRowLastColumn="0"/>
            <w:tcW w:w="1422" w:type="pct"/>
            <w:noWrap/>
            <w:hideMark/>
          </w:tcPr>
          <w:p w:rsidR="00531F43" w:rsidRPr="00531F43" w:rsidRDefault="00531F43" w:rsidP="00531F43">
            <w:pPr>
              <w:spacing w:after="0" w:line="240" w:lineRule="auto"/>
              <w:jc w:val="left"/>
              <w:rPr>
                <w:rFonts w:ascii="Times New Roman" w:eastAsia="Times New Roman" w:hAnsi="Times New Roman"/>
                <w:sz w:val="16"/>
                <w:szCs w:val="16"/>
              </w:rPr>
            </w:pPr>
            <w:r w:rsidRPr="00531F43">
              <w:rPr>
                <w:rFonts w:ascii="Times New Roman" w:eastAsia="Times New Roman" w:hAnsi="Times New Roman"/>
                <w:sz w:val="16"/>
                <w:szCs w:val="16"/>
              </w:rPr>
              <w:t>Carinska ispostava Aerodrom Tivat</w:t>
            </w:r>
          </w:p>
        </w:tc>
        <w:tc>
          <w:tcPr>
            <w:tcW w:w="359"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16</w:t>
            </w:r>
          </w:p>
        </w:tc>
        <w:tc>
          <w:tcPr>
            <w:tcW w:w="288"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360"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14</w:t>
            </w:r>
          </w:p>
        </w:tc>
        <w:tc>
          <w:tcPr>
            <w:tcW w:w="432"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20</w:t>
            </w:r>
          </w:p>
        </w:tc>
        <w:tc>
          <w:tcPr>
            <w:tcW w:w="359"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503"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2"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3</w:t>
            </w:r>
          </w:p>
        </w:tc>
        <w:tc>
          <w:tcPr>
            <w:tcW w:w="431"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34</w:t>
            </w:r>
          </w:p>
        </w:tc>
        <w:tc>
          <w:tcPr>
            <w:tcW w:w="414"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87</w:t>
            </w:r>
          </w:p>
        </w:tc>
      </w:tr>
      <w:tr w:rsidR="00531F43" w:rsidRPr="00531F43" w:rsidTr="0043307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22" w:type="pct"/>
            <w:noWrap/>
            <w:hideMark/>
          </w:tcPr>
          <w:p w:rsidR="00531F43" w:rsidRPr="00531F43" w:rsidRDefault="00531F43" w:rsidP="00531F43">
            <w:pPr>
              <w:spacing w:after="0" w:line="240" w:lineRule="auto"/>
              <w:jc w:val="left"/>
              <w:rPr>
                <w:rFonts w:ascii="Times New Roman" w:eastAsia="Times New Roman" w:hAnsi="Times New Roman"/>
                <w:sz w:val="16"/>
                <w:szCs w:val="16"/>
              </w:rPr>
            </w:pPr>
            <w:r w:rsidRPr="00531F43">
              <w:rPr>
                <w:rFonts w:ascii="Times New Roman" w:eastAsia="Times New Roman" w:hAnsi="Times New Roman"/>
                <w:sz w:val="16"/>
                <w:szCs w:val="16"/>
              </w:rPr>
              <w:t>Carinska ispostava Bar</w:t>
            </w:r>
          </w:p>
        </w:tc>
        <w:tc>
          <w:tcPr>
            <w:tcW w:w="359"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230</w:t>
            </w:r>
          </w:p>
        </w:tc>
        <w:tc>
          <w:tcPr>
            <w:tcW w:w="288"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29</w:t>
            </w:r>
          </w:p>
        </w:tc>
        <w:tc>
          <w:tcPr>
            <w:tcW w:w="360"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98</w:t>
            </w:r>
          </w:p>
        </w:tc>
        <w:tc>
          <w:tcPr>
            <w:tcW w:w="432"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8.942</w:t>
            </w:r>
          </w:p>
        </w:tc>
        <w:tc>
          <w:tcPr>
            <w:tcW w:w="359"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77</w:t>
            </w:r>
          </w:p>
        </w:tc>
        <w:tc>
          <w:tcPr>
            <w:tcW w:w="503"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w:t>
            </w:r>
          </w:p>
        </w:tc>
        <w:tc>
          <w:tcPr>
            <w:tcW w:w="432"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1.083</w:t>
            </w:r>
          </w:p>
        </w:tc>
        <w:tc>
          <w:tcPr>
            <w:tcW w:w="431"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61</w:t>
            </w:r>
          </w:p>
        </w:tc>
        <w:tc>
          <w:tcPr>
            <w:tcW w:w="414"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10.521</w:t>
            </w:r>
          </w:p>
        </w:tc>
      </w:tr>
      <w:tr w:rsidR="00531F43" w:rsidRPr="00531F43" w:rsidTr="00433074">
        <w:trPr>
          <w:trHeight w:val="240"/>
        </w:trPr>
        <w:tc>
          <w:tcPr>
            <w:cnfStyle w:val="001000000000" w:firstRow="0" w:lastRow="0" w:firstColumn="1" w:lastColumn="0" w:oddVBand="0" w:evenVBand="0" w:oddHBand="0" w:evenHBand="0" w:firstRowFirstColumn="0" w:firstRowLastColumn="0" w:lastRowFirstColumn="0" w:lastRowLastColumn="0"/>
            <w:tcW w:w="1422" w:type="pct"/>
            <w:noWrap/>
            <w:hideMark/>
          </w:tcPr>
          <w:p w:rsidR="00531F43" w:rsidRPr="00531F43" w:rsidRDefault="00531F43" w:rsidP="00531F43">
            <w:pPr>
              <w:spacing w:after="0" w:line="240" w:lineRule="auto"/>
              <w:jc w:val="left"/>
              <w:rPr>
                <w:rFonts w:ascii="Times New Roman" w:eastAsia="Times New Roman" w:hAnsi="Times New Roman"/>
                <w:sz w:val="16"/>
                <w:szCs w:val="16"/>
              </w:rPr>
            </w:pPr>
            <w:r w:rsidRPr="00531F43">
              <w:rPr>
                <w:rFonts w:ascii="Times New Roman" w:eastAsia="Times New Roman" w:hAnsi="Times New Roman"/>
                <w:sz w:val="16"/>
                <w:szCs w:val="16"/>
              </w:rPr>
              <w:t>Carinska ispostava Berane</w:t>
            </w:r>
          </w:p>
        </w:tc>
        <w:tc>
          <w:tcPr>
            <w:tcW w:w="359"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1.737</w:t>
            </w:r>
          </w:p>
        </w:tc>
        <w:tc>
          <w:tcPr>
            <w:tcW w:w="288"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16</w:t>
            </w:r>
          </w:p>
        </w:tc>
        <w:tc>
          <w:tcPr>
            <w:tcW w:w="360"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15</w:t>
            </w:r>
          </w:p>
        </w:tc>
        <w:tc>
          <w:tcPr>
            <w:tcW w:w="432"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2.666</w:t>
            </w:r>
          </w:p>
        </w:tc>
        <w:tc>
          <w:tcPr>
            <w:tcW w:w="359"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29</w:t>
            </w:r>
          </w:p>
        </w:tc>
        <w:tc>
          <w:tcPr>
            <w:tcW w:w="503"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2"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41</w:t>
            </w:r>
          </w:p>
        </w:tc>
        <w:tc>
          <w:tcPr>
            <w:tcW w:w="431"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11</w:t>
            </w:r>
          </w:p>
        </w:tc>
        <w:tc>
          <w:tcPr>
            <w:tcW w:w="414"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4.515</w:t>
            </w:r>
          </w:p>
        </w:tc>
      </w:tr>
      <w:tr w:rsidR="00531F43" w:rsidRPr="00531F43" w:rsidTr="0043307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22" w:type="pct"/>
            <w:noWrap/>
            <w:hideMark/>
          </w:tcPr>
          <w:p w:rsidR="00531F43" w:rsidRPr="00531F43" w:rsidRDefault="00531F43" w:rsidP="00531F43">
            <w:pPr>
              <w:spacing w:after="0" w:line="240" w:lineRule="auto"/>
              <w:jc w:val="left"/>
              <w:rPr>
                <w:rFonts w:ascii="Times New Roman" w:eastAsia="Times New Roman" w:hAnsi="Times New Roman"/>
                <w:sz w:val="16"/>
                <w:szCs w:val="16"/>
              </w:rPr>
            </w:pPr>
            <w:r w:rsidRPr="00531F43">
              <w:rPr>
                <w:rFonts w:ascii="Times New Roman" w:eastAsia="Times New Roman" w:hAnsi="Times New Roman"/>
                <w:sz w:val="16"/>
                <w:szCs w:val="16"/>
              </w:rPr>
              <w:t>Carinska ispostava Bijela</w:t>
            </w:r>
          </w:p>
        </w:tc>
        <w:tc>
          <w:tcPr>
            <w:tcW w:w="359"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288"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360"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2</w:t>
            </w:r>
          </w:p>
        </w:tc>
        <w:tc>
          <w:tcPr>
            <w:tcW w:w="432"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61</w:t>
            </w:r>
          </w:p>
        </w:tc>
        <w:tc>
          <w:tcPr>
            <w:tcW w:w="359"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503"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2"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7</w:t>
            </w:r>
          </w:p>
        </w:tc>
        <w:tc>
          <w:tcPr>
            <w:tcW w:w="431"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4</w:t>
            </w:r>
          </w:p>
        </w:tc>
        <w:tc>
          <w:tcPr>
            <w:tcW w:w="414"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74</w:t>
            </w:r>
          </w:p>
        </w:tc>
      </w:tr>
      <w:tr w:rsidR="00531F43" w:rsidRPr="00531F43" w:rsidTr="00433074">
        <w:trPr>
          <w:trHeight w:val="240"/>
        </w:trPr>
        <w:tc>
          <w:tcPr>
            <w:cnfStyle w:val="001000000000" w:firstRow="0" w:lastRow="0" w:firstColumn="1" w:lastColumn="0" w:oddVBand="0" w:evenVBand="0" w:oddHBand="0" w:evenHBand="0" w:firstRowFirstColumn="0" w:firstRowLastColumn="0" w:lastRowFirstColumn="0" w:lastRowLastColumn="0"/>
            <w:tcW w:w="1422" w:type="pct"/>
            <w:noWrap/>
            <w:hideMark/>
          </w:tcPr>
          <w:p w:rsidR="00531F43" w:rsidRPr="00531F43" w:rsidRDefault="00531F43" w:rsidP="00531F43">
            <w:pPr>
              <w:spacing w:after="0" w:line="240" w:lineRule="auto"/>
              <w:jc w:val="left"/>
              <w:rPr>
                <w:rFonts w:ascii="Times New Roman" w:eastAsia="Times New Roman" w:hAnsi="Times New Roman"/>
                <w:sz w:val="16"/>
                <w:szCs w:val="16"/>
              </w:rPr>
            </w:pPr>
            <w:r w:rsidRPr="00531F43">
              <w:rPr>
                <w:rFonts w:ascii="Times New Roman" w:eastAsia="Times New Roman" w:hAnsi="Times New Roman"/>
                <w:sz w:val="16"/>
                <w:szCs w:val="16"/>
              </w:rPr>
              <w:t>Carinska ispostava Bijelo Polje</w:t>
            </w:r>
          </w:p>
        </w:tc>
        <w:tc>
          <w:tcPr>
            <w:tcW w:w="359"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1.213</w:t>
            </w:r>
          </w:p>
        </w:tc>
        <w:tc>
          <w:tcPr>
            <w:tcW w:w="288"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36</w:t>
            </w:r>
          </w:p>
        </w:tc>
        <w:tc>
          <w:tcPr>
            <w:tcW w:w="360"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178</w:t>
            </w:r>
          </w:p>
        </w:tc>
        <w:tc>
          <w:tcPr>
            <w:tcW w:w="432"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10.092</w:t>
            </w:r>
          </w:p>
        </w:tc>
        <w:tc>
          <w:tcPr>
            <w:tcW w:w="359"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732</w:t>
            </w:r>
          </w:p>
        </w:tc>
        <w:tc>
          <w:tcPr>
            <w:tcW w:w="503"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3</w:t>
            </w:r>
          </w:p>
        </w:tc>
        <w:tc>
          <w:tcPr>
            <w:tcW w:w="432"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257</w:t>
            </w:r>
          </w:p>
        </w:tc>
        <w:tc>
          <w:tcPr>
            <w:tcW w:w="431"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26</w:t>
            </w:r>
          </w:p>
        </w:tc>
        <w:tc>
          <w:tcPr>
            <w:tcW w:w="414"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12.537</w:t>
            </w:r>
          </w:p>
        </w:tc>
      </w:tr>
      <w:tr w:rsidR="00531F43" w:rsidRPr="00531F43" w:rsidTr="0043307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22" w:type="pct"/>
            <w:noWrap/>
            <w:hideMark/>
          </w:tcPr>
          <w:p w:rsidR="00531F43" w:rsidRPr="00531F43" w:rsidRDefault="00531F43" w:rsidP="00531F43">
            <w:pPr>
              <w:spacing w:after="0" w:line="240" w:lineRule="auto"/>
              <w:jc w:val="left"/>
              <w:rPr>
                <w:rFonts w:ascii="Times New Roman" w:eastAsia="Times New Roman" w:hAnsi="Times New Roman"/>
                <w:sz w:val="16"/>
                <w:szCs w:val="16"/>
              </w:rPr>
            </w:pPr>
            <w:r w:rsidRPr="00531F43">
              <w:rPr>
                <w:rFonts w:ascii="Times New Roman" w:eastAsia="Times New Roman" w:hAnsi="Times New Roman"/>
                <w:sz w:val="16"/>
                <w:szCs w:val="16"/>
              </w:rPr>
              <w:t>Carinska ispostava Božaj</w:t>
            </w:r>
          </w:p>
        </w:tc>
        <w:tc>
          <w:tcPr>
            <w:tcW w:w="359"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34</w:t>
            </w:r>
          </w:p>
        </w:tc>
        <w:tc>
          <w:tcPr>
            <w:tcW w:w="288"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360"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2"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14.058</w:t>
            </w:r>
          </w:p>
        </w:tc>
        <w:tc>
          <w:tcPr>
            <w:tcW w:w="359"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503"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2"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1"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18.422</w:t>
            </w:r>
          </w:p>
        </w:tc>
        <w:tc>
          <w:tcPr>
            <w:tcW w:w="414"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32.514</w:t>
            </w:r>
          </w:p>
        </w:tc>
      </w:tr>
      <w:tr w:rsidR="00531F43" w:rsidRPr="00531F43" w:rsidTr="00433074">
        <w:trPr>
          <w:trHeight w:val="240"/>
        </w:trPr>
        <w:tc>
          <w:tcPr>
            <w:cnfStyle w:val="001000000000" w:firstRow="0" w:lastRow="0" w:firstColumn="1" w:lastColumn="0" w:oddVBand="0" w:evenVBand="0" w:oddHBand="0" w:evenHBand="0" w:firstRowFirstColumn="0" w:firstRowLastColumn="0" w:lastRowFirstColumn="0" w:lastRowLastColumn="0"/>
            <w:tcW w:w="1422" w:type="pct"/>
            <w:noWrap/>
            <w:hideMark/>
          </w:tcPr>
          <w:p w:rsidR="00531F43" w:rsidRPr="00531F43" w:rsidRDefault="00531F43" w:rsidP="00531F43">
            <w:pPr>
              <w:spacing w:after="0" w:line="240" w:lineRule="auto"/>
              <w:jc w:val="left"/>
              <w:rPr>
                <w:rFonts w:ascii="Times New Roman" w:eastAsia="Times New Roman" w:hAnsi="Times New Roman"/>
                <w:sz w:val="16"/>
                <w:szCs w:val="16"/>
              </w:rPr>
            </w:pPr>
            <w:r w:rsidRPr="00531F43">
              <w:rPr>
                <w:rFonts w:ascii="Times New Roman" w:eastAsia="Times New Roman" w:hAnsi="Times New Roman"/>
                <w:sz w:val="16"/>
                <w:szCs w:val="16"/>
              </w:rPr>
              <w:t>Carinska ispostava Cetinje</w:t>
            </w:r>
          </w:p>
        </w:tc>
        <w:tc>
          <w:tcPr>
            <w:tcW w:w="359"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224</w:t>
            </w:r>
          </w:p>
        </w:tc>
        <w:tc>
          <w:tcPr>
            <w:tcW w:w="288"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w:t>
            </w:r>
          </w:p>
        </w:tc>
        <w:tc>
          <w:tcPr>
            <w:tcW w:w="360"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69</w:t>
            </w:r>
          </w:p>
        </w:tc>
        <w:tc>
          <w:tcPr>
            <w:tcW w:w="432"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2.536</w:t>
            </w:r>
          </w:p>
        </w:tc>
        <w:tc>
          <w:tcPr>
            <w:tcW w:w="359"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59</w:t>
            </w:r>
          </w:p>
        </w:tc>
        <w:tc>
          <w:tcPr>
            <w:tcW w:w="503"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2"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333</w:t>
            </w:r>
          </w:p>
        </w:tc>
        <w:tc>
          <w:tcPr>
            <w:tcW w:w="431"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26</w:t>
            </w:r>
          </w:p>
        </w:tc>
        <w:tc>
          <w:tcPr>
            <w:tcW w:w="414"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3.248</w:t>
            </w:r>
          </w:p>
        </w:tc>
      </w:tr>
      <w:tr w:rsidR="00531F43" w:rsidRPr="00531F43" w:rsidTr="0043307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22" w:type="pct"/>
            <w:noWrap/>
            <w:hideMark/>
          </w:tcPr>
          <w:p w:rsidR="00531F43" w:rsidRPr="00531F43" w:rsidRDefault="00531F43" w:rsidP="00531F43">
            <w:pPr>
              <w:spacing w:after="0" w:line="240" w:lineRule="auto"/>
              <w:jc w:val="left"/>
              <w:rPr>
                <w:rFonts w:ascii="Times New Roman" w:eastAsia="Times New Roman" w:hAnsi="Times New Roman"/>
                <w:sz w:val="16"/>
                <w:szCs w:val="16"/>
              </w:rPr>
            </w:pPr>
            <w:r w:rsidRPr="00531F43">
              <w:rPr>
                <w:rFonts w:ascii="Times New Roman" w:eastAsia="Times New Roman" w:hAnsi="Times New Roman"/>
                <w:sz w:val="16"/>
                <w:szCs w:val="16"/>
              </w:rPr>
              <w:t>Carinska ispostava Danilovgrad</w:t>
            </w:r>
          </w:p>
        </w:tc>
        <w:tc>
          <w:tcPr>
            <w:tcW w:w="359"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679</w:t>
            </w:r>
          </w:p>
        </w:tc>
        <w:tc>
          <w:tcPr>
            <w:tcW w:w="288"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73</w:t>
            </w:r>
          </w:p>
        </w:tc>
        <w:tc>
          <w:tcPr>
            <w:tcW w:w="360"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399</w:t>
            </w:r>
          </w:p>
        </w:tc>
        <w:tc>
          <w:tcPr>
            <w:tcW w:w="432"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18.750</w:t>
            </w:r>
          </w:p>
        </w:tc>
        <w:tc>
          <w:tcPr>
            <w:tcW w:w="359"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271</w:t>
            </w:r>
          </w:p>
        </w:tc>
        <w:tc>
          <w:tcPr>
            <w:tcW w:w="503"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2</w:t>
            </w:r>
          </w:p>
        </w:tc>
        <w:tc>
          <w:tcPr>
            <w:tcW w:w="432"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1.777</w:t>
            </w:r>
          </w:p>
        </w:tc>
        <w:tc>
          <w:tcPr>
            <w:tcW w:w="431"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591</w:t>
            </w:r>
          </w:p>
        </w:tc>
        <w:tc>
          <w:tcPr>
            <w:tcW w:w="414"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22.542</w:t>
            </w:r>
          </w:p>
        </w:tc>
      </w:tr>
      <w:tr w:rsidR="00531F43" w:rsidRPr="00531F43" w:rsidTr="00433074">
        <w:trPr>
          <w:trHeight w:val="240"/>
        </w:trPr>
        <w:tc>
          <w:tcPr>
            <w:cnfStyle w:val="001000000000" w:firstRow="0" w:lastRow="0" w:firstColumn="1" w:lastColumn="0" w:oddVBand="0" w:evenVBand="0" w:oddHBand="0" w:evenHBand="0" w:firstRowFirstColumn="0" w:firstRowLastColumn="0" w:lastRowFirstColumn="0" w:lastRowLastColumn="0"/>
            <w:tcW w:w="1422" w:type="pct"/>
            <w:noWrap/>
            <w:hideMark/>
          </w:tcPr>
          <w:p w:rsidR="00531F43" w:rsidRPr="00531F43" w:rsidRDefault="00531F43" w:rsidP="00531F43">
            <w:pPr>
              <w:spacing w:after="0" w:line="240" w:lineRule="auto"/>
              <w:jc w:val="left"/>
              <w:rPr>
                <w:rFonts w:ascii="Times New Roman" w:eastAsia="Times New Roman" w:hAnsi="Times New Roman"/>
                <w:sz w:val="16"/>
                <w:szCs w:val="16"/>
              </w:rPr>
            </w:pPr>
            <w:r w:rsidRPr="00531F43">
              <w:rPr>
                <w:rFonts w:ascii="Times New Roman" w:eastAsia="Times New Roman" w:hAnsi="Times New Roman"/>
                <w:sz w:val="16"/>
                <w:szCs w:val="16"/>
              </w:rPr>
              <w:t>Carinska ispostava Debeli Brijeg</w:t>
            </w:r>
          </w:p>
        </w:tc>
        <w:tc>
          <w:tcPr>
            <w:tcW w:w="359"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16</w:t>
            </w:r>
          </w:p>
        </w:tc>
        <w:tc>
          <w:tcPr>
            <w:tcW w:w="288"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360"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2"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1.436</w:t>
            </w:r>
          </w:p>
        </w:tc>
        <w:tc>
          <w:tcPr>
            <w:tcW w:w="359"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503"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w:t>
            </w:r>
          </w:p>
        </w:tc>
        <w:tc>
          <w:tcPr>
            <w:tcW w:w="432"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1"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20.032</w:t>
            </w:r>
          </w:p>
        </w:tc>
        <w:tc>
          <w:tcPr>
            <w:tcW w:w="414"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21.485</w:t>
            </w:r>
          </w:p>
        </w:tc>
      </w:tr>
      <w:tr w:rsidR="00531F43" w:rsidRPr="00531F43" w:rsidTr="0043307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22" w:type="pct"/>
            <w:noWrap/>
            <w:hideMark/>
          </w:tcPr>
          <w:p w:rsidR="00531F43" w:rsidRPr="00531F43" w:rsidRDefault="00531F43" w:rsidP="00531F43">
            <w:pPr>
              <w:spacing w:after="0" w:line="240" w:lineRule="auto"/>
              <w:jc w:val="left"/>
              <w:rPr>
                <w:rFonts w:ascii="Times New Roman" w:eastAsia="Times New Roman" w:hAnsi="Times New Roman"/>
                <w:sz w:val="16"/>
                <w:szCs w:val="16"/>
              </w:rPr>
            </w:pPr>
            <w:r w:rsidRPr="00531F43">
              <w:rPr>
                <w:rFonts w:ascii="Times New Roman" w:eastAsia="Times New Roman" w:hAnsi="Times New Roman"/>
                <w:sz w:val="16"/>
                <w:szCs w:val="16"/>
              </w:rPr>
              <w:t>Carinska ispostava Dobrakovo</w:t>
            </w:r>
          </w:p>
        </w:tc>
        <w:tc>
          <w:tcPr>
            <w:tcW w:w="359"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288"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360"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2"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9.962</w:t>
            </w:r>
          </w:p>
        </w:tc>
        <w:tc>
          <w:tcPr>
            <w:tcW w:w="359"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503"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2"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1"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58.763</w:t>
            </w:r>
          </w:p>
        </w:tc>
        <w:tc>
          <w:tcPr>
            <w:tcW w:w="414"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68.725</w:t>
            </w:r>
          </w:p>
        </w:tc>
      </w:tr>
      <w:tr w:rsidR="00531F43" w:rsidRPr="00531F43" w:rsidTr="00433074">
        <w:trPr>
          <w:trHeight w:val="240"/>
        </w:trPr>
        <w:tc>
          <w:tcPr>
            <w:cnfStyle w:val="001000000000" w:firstRow="0" w:lastRow="0" w:firstColumn="1" w:lastColumn="0" w:oddVBand="0" w:evenVBand="0" w:oddHBand="0" w:evenHBand="0" w:firstRowFirstColumn="0" w:firstRowLastColumn="0" w:lastRowFirstColumn="0" w:lastRowLastColumn="0"/>
            <w:tcW w:w="1422" w:type="pct"/>
            <w:noWrap/>
            <w:hideMark/>
          </w:tcPr>
          <w:p w:rsidR="00531F43" w:rsidRPr="00531F43" w:rsidRDefault="00531F43" w:rsidP="00531F43">
            <w:pPr>
              <w:spacing w:after="0" w:line="240" w:lineRule="auto"/>
              <w:jc w:val="left"/>
              <w:rPr>
                <w:rFonts w:ascii="Times New Roman" w:eastAsia="Times New Roman" w:hAnsi="Times New Roman"/>
                <w:sz w:val="16"/>
                <w:szCs w:val="16"/>
              </w:rPr>
            </w:pPr>
            <w:r w:rsidRPr="00531F43">
              <w:rPr>
                <w:rFonts w:ascii="Times New Roman" w:eastAsia="Times New Roman" w:hAnsi="Times New Roman"/>
                <w:sz w:val="16"/>
                <w:szCs w:val="16"/>
              </w:rPr>
              <w:t>Carinska ispostava Dračenovac</w:t>
            </w:r>
          </w:p>
        </w:tc>
        <w:tc>
          <w:tcPr>
            <w:tcW w:w="359"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288"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360"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2"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1.158</w:t>
            </w:r>
          </w:p>
        </w:tc>
        <w:tc>
          <w:tcPr>
            <w:tcW w:w="359"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503"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2"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1"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16.190</w:t>
            </w:r>
          </w:p>
        </w:tc>
        <w:tc>
          <w:tcPr>
            <w:tcW w:w="414"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17.348</w:t>
            </w:r>
          </w:p>
        </w:tc>
      </w:tr>
      <w:tr w:rsidR="00531F43" w:rsidRPr="00531F43" w:rsidTr="0043307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22" w:type="pct"/>
            <w:noWrap/>
            <w:hideMark/>
          </w:tcPr>
          <w:p w:rsidR="00531F43" w:rsidRPr="00531F43" w:rsidRDefault="00531F43" w:rsidP="00531F43">
            <w:pPr>
              <w:spacing w:after="0" w:line="240" w:lineRule="auto"/>
              <w:jc w:val="left"/>
              <w:rPr>
                <w:rFonts w:ascii="Times New Roman" w:eastAsia="Times New Roman" w:hAnsi="Times New Roman"/>
                <w:sz w:val="16"/>
                <w:szCs w:val="16"/>
              </w:rPr>
            </w:pPr>
            <w:r w:rsidRPr="00531F43">
              <w:rPr>
                <w:rFonts w:ascii="Times New Roman" w:eastAsia="Times New Roman" w:hAnsi="Times New Roman"/>
                <w:sz w:val="16"/>
                <w:szCs w:val="16"/>
              </w:rPr>
              <w:t>Carinska ispostava Ilino Brdo</w:t>
            </w:r>
          </w:p>
        </w:tc>
        <w:tc>
          <w:tcPr>
            <w:tcW w:w="359"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288"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360"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2"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5.178</w:t>
            </w:r>
          </w:p>
        </w:tc>
        <w:tc>
          <w:tcPr>
            <w:tcW w:w="359"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503"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2"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1"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26.526</w:t>
            </w:r>
          </w:p>
        </w:tc>
        <w:tc>
          <w:tcPr>
            <w:tcW w:w="414"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31.704</w:t>
            </w:r>
          </w:p>
        </w:tc>
      </w:tr>
      <w:tr w:rsidR="00531F43" w:rsidRPr="00531F43" w:rsidTr="00433074">
        <w:trPr>
          <w:trHeight w:val="240"/>
        </w:trPr>
        <w:tc>
          <w:tcPr>
            <w:cnfStyle w:val="001000000000" w:firstRow="0" w:lastRow="0" w:firstColumn="1" w:lastColumn="0" w:oddVBand="0" w:evenVBand="0" w:oddHBand="0" w:evenHBand="0" w:firstRowFirstColumn="0" w:firstRowLastColumn="0" w:lastRowFirstColumn="0" w:lastRowLastColumn="0"/>
            <w:tcW w:w="1422" w:type="pct"/>
            <w:noWrap/>
            <w:hideMark/>
          </w:tcPr>
          <w:p w:rsidR="00531F43" w:rsidRPr="00531F43" w:rsidRDefault="00531F43" w:rsidP="00531F43">
            <w:pPr>
              <w:spacing w:after="0" w:line="240" w:lineRule="auto"/>
              <w:jc w:val="left"/>
              <w:rPr>
                <w:rFonts w:ascii="Times New Roman" w:eastAsia="Times New Roman" w:hAnsi="Times New Roman"/>
                <w:sz w:val="16"/>
                <w:szCs w:val="16"/>
              </w:rPr>
            </w:pPr>
            <w:r w:rsidRPr="00531F43">
              <w:rPr>
                <w:rFonts w:ascii="Times New Roman" w:eastAsia="Times New Roman" w:hAnsi="Times New Roman"/>
                <w:sz w:val="16"/>
                <w:szCs w:val="16"/>
              </w:rPr>
              <w:t>Carinska ispostava Luka Tivat</w:t>
            </w:r>
          </w:p>
        </w:tc>
        <w:tc>
          <w:tcPr>
            <w:tcW w:w="359"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3</w:t>
            </w:r>
          </w:p>
        </w:tc>
        <w:tc>
          <w:tcPr>
            <w:tcW w:w="288"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360"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21</w:t>
            </w:r>
          </w:p>
        </w:tc>
        <w:tc>
          <w:tcPr>
            <w:tcW w:w="432"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35</w:t>
            </w:r>
          </w:p>
        </w:tc>
        <w:tc>
          <w:tcPr>
            <w:tcW w:w="359"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503"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2"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544</w:t>
            </w:r>
          </w:p>
        </w:tc>
        <w:tc>
          <w:tcPr>
            <w:tcW w:w="431"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51</w:t>
            </w:r>
          </w:p>
        </w:tc>
        <w:tc>
          <w:tcPr>
            <w:tcW w:w="414"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654</w:t>
            </w:r>
          </w:p>
        </w:tc>
      </w:tr>
      <w:tr w:rsidR="00531F43" w:rsidRPr="00531F43" w:rsidTr="0043307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22" w:type="pct"/>
            <w:noWrap/>
            <w:hideMark/>
          </w:tcPr>
          <w:p w:rsidR="00531F43" w:rsidRPr="00531F43" w:rsidRDefault="00531F43" w:rsidP="00531F43">
            <w:pPr>
              <w:spacing w:after="0" w:line="240" w:lineRule="auto"/>
              <w:jc w:val="left"/>
              <w:rPr>
                <w:rFonts w:ascii="Times New Roman" w:eastAsia="Times New Roman" w:hAnsi="Times New Roman"/>
                <w:sz w:val="16"/>
                <w:szCs w:val="16"/>
              </w:rPr>
            </w:pPr>
            <w:r w:rsidRPr="00531F43">
              <w:rPr>
                <w:rFonts w:ascii="Times New Roman" w:eastAsia="Times New Roman" w:hAnsi="Times New Roman"/>
                <w:sz w:val="16"/>
                <w:szCs w:val="16"/>
              </w:rPr>
              <w:t>Carinska ispostava Nikšić</w:t>
            </w:r>
          </w:p>
        </w:tc>
        <w:tc>
          <w:tcPr>
            <w:tcW w:w="359"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3.278</w:t>
            </w:r>
          </w:p>
        </w:tc>
        <w:tc>
          <w:tcPr>
            <w:tcW w:w="288"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45</w:t>
            </w:r>
          </w:p>
        </w:tc>
        <w:tc>
          <w:tcPr>
            <w:tcW w:w="360"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319</w:t>
            </w:r>
          </w:p>
        </w:tc>
        <w:tc>
          <w:tcPr>
            <w:tcW w:w="432"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11.919</w:t>
            </w:r>
          </w:p>
        </w:tc>
        <w:tc>
          <w:tcPr>
            <w:tcW w:w="359"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398</w:t>
            </w:r>
          </w:p>
        </w:tc>
        <w:tc>
          <w:tcPr>
            <w:tcW w:w="503"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4</w:t>
            </w:r>
          </w:p>
        </w:tc>
        <w:tc>
          <w:tcPr>
            <w:tcW w:w="432"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2.860</w:t>
            </w:r>
          </w:p>
        </w:tc>
        <w:tc>
          <w:tcPr>
            <w:tcW w:w="431"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38</w:t>
            </w:r>
          </w:p>
        </w:tc>
        <w:tc>
          <w:tcPr>
            <w:tcW w:w="414"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18.861</w:t>
            </w:r>
          </w:p>
        </w:tc>
      </w:tr>
      <w:tr w:rsidR="00531F43" w:rsidRPr="00531F43" w:rsidTr="00433074">
        <w:trPr>
          <w:trHeight w:val="240"/>
        </w:trPr>
        <w:tc>
          <w:tcPr>
            <w:cnfStyle w:val="001000000000" w:firstRow="0" w:lastRow="0" w:firstColumn="1" w:lastColumn="0" w:oddVBand="0" w:evenVBand="0" w:oddHBand="0" w:evenHBand="0" w:firstRowFirstColumn="0" w:firstRowLastColumn="0" w:lastRowFirstColumn="0" w:lastRowLastColumn="0"/>
            <w:tcW w:w="1422" w:type="pct"/>
            <w:noWrap/>
            <w:hideMark/>
          </w:tcPr>
          <w:p w:rsidR="00531F43" w:rsidRPr="00531F43" w:rsidRDefault="00531F43" w:rsidP="00531F43">
            <w:pPr>
              <w:spacing w:after="0" w:line="240" w:lineRule="auto"/>
              <w:jc w:val="left"/>
              <w:rPr>
                <w:rFonts w:ascii="Times New Roman" w:eastAsia="Times New Roman" w:hAnsi="Times New Roman"/>
                <w:sz w:val="16"/>
                <w:szCs w:val="16"/>
              </w:rPr>
            </w:pPr>
            <w:r w:rsidRPr="00531F43">
              <w:rPr>
                <w:rFonts w:ascii="Times New Roman" w:eastAsia="Times New Roman" w:hAnsi="Times New Roman"/>
                <w:sz w:val="16"/>
                <w:szCs w:val="16"/>
              </w:rPr>
              <w:t>Carinska ispostava Pljevlja</w:t>
            </w:r>
          </w:p>
        </w:tc>
        <w:tc>
          <w:tcPr>
            <w:tcW w:w="359"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1.150</w:t>
            </w:r>
          </w:p>
        </w:tc>
        <w:tc>
          <w:tcPr>
            <w:tcW w:w="288"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41</w:t>
            </w:r>
          </w:p>
        </w:tc>
        <w:tc>
          <w:tcPr>
            <w:tcW w:w="360"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39</w:t>
            </w:r>
          </w:p>
        </w:tc>
        <w:tc>
          <w:tcPr>
            <w:tcW w:w="432"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2.046</w:t>
            </w:r>
          </w:p>
        </w:tc>
        <w:tc>
          <w:tcPr>
            <w:tcW w:w="359"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53</w:t>
            </w:r>
          </w:p>
        </w:tc>
        <w:tc>
          <w:tcPr>
            <w:tcW w:w="503"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2"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3</w:t>
            </w:r>
          </w:p>
        </w:tc>
        <w:tc>
          <w:tcPr>
            <w:tcW w:w="431"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7</w:t>
            </w:r>
          </w:p>
        </w:tc>
        <w:tc>
          <w:tcPr>
            <w:tcW w:w="414"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3.339</w:t>
            </w:r>
          </w:p>
        </w:tc>
      </w:tr>
      <w:tr w:rsidR="00531F43" w:rsidRPr="00531F43" w:rsidTr="0043307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22" w:type="pct"/>
            <w:noWrap/>
            <w:hideMark/>
          </w:tcPr>
          <w:p w:rsidR="00531F43" w:rsidRPr="00531F43" w:rsidRDefault="00531F43" w:rsidP="00531F43">
            <w:pPr>
              <w:spacing w:after="0" w:line="240" w:lineRule="auto"/>
              <w:jc w:val="left"/>
              <w:rPr>
                <w:rFonts w:ascii="Times New Roman" w:eastAsia="Times New Roman" w:hAnsi="Times New Roman"/>
                <w:sz w:val="16"/>
                <w:szCs w:val="16"/>
              </w:rPr>
            </w:pPr>
            <w:r w:rsidRPr="00531F43">
              <w:rPr>
                <w:rFonts w:ascii="Times New Roman" w:eastAsia="Times New Roman" w:hAnsi="Times New Roman"/>
                <w:sz w:val="16"/>
                <w:szCs w:val="16"/>
              </w:rPr>
              <w:t>Carinska ispostava Pošta Podgorica</w:t>
            </w:r>
          </w:p>
        </w:tc>
        <w:tc>
          <w:tcPr>
            <w:tcW w:w="359"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13</w:t>
            </w:r>
          </w:p>
        </w:tc>
        <w:tc>
          <w:tcPr>
            <w:tcW w:w="288"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360"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2"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759</w:t>
            </w:r>
          </w:p>
        </w:tc>
        <w:tc>
          <w:tcPr>
            <w:tcW w:w="359"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503"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2"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1"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w:t>
            </w:r>
          </w:p>
        </w:tc>
        <w:tc>
          <w:tcPr>
            <w:tcW w:w="414"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773</w:t>
            </w:r>
          </w:p>
        </w:tc>
      </w:tr>
      <w:tr w:rsidR="00531F43" w:rsidRPr="00531F43" w:rsidTr="00433074">
        <w:trPr>
          <w:trHeight w:val="240"/>
        </w:trPr>
        <w:tc>
          <w:tcPr>
            <w:cnfStyle w:val="001000000000" w:firstRow="0" w:lastRow="0" w:firstColumn="1" w:lastColumn="0" w:oddVBand="0" w:evenVBand="0" w:oddHBand="0" w:evenHBand="0" w:firstRowFirstColumn="0" w:firstRowLastColumn="0" w:lastRowFirstColumn="0" w:lastRowLastColumn="0"/>
            <w:tcW w:w="1422" w:type="pct"/>
            <w:noWrap/>
            <w:hideMark/>
          </w:tcPr>
          <w:p w:rsidR="00531F43" w:rsidRPr="00531F43" w:rsidRDefault="00531F43" w:rsidP="00531F43">
            <w:pPr>
              <w:spacing w:after="0" w:line="240" w:lineRule="auto"/>
              <w:jc w:val="left"/>
              <w:rPr>
                <w:rFonts w:ascii="Times New Roman" w:eastAsia="Times New Roman" w:hAnsi="Times New Roman"/>
                <w:sz w:val="16"/>
                <w:szCs w:val="16"/>
              </w:rPr>
            </w:pPr>
            <w:r w:rsidRPr="00531F43">
              <w:rPr>
                <w:rFonts w:ascii="Times New Roman" w:eastAsia="Times New Roman" w:hAnsi="Times New Roman"/>
                <w:sz w:val="16"/>
                <w:szCs w:val="16"/>
              </w:rPr>
              <w:t>Carinska ispostava Putnički terminal Bar</w:t>
            </w:r>
          </w:p>
        </w:tc>
        <w:tc>
          <w:tcPr>
            <w:tcW w:w="359"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288"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360"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61</w:t>
            </w:r>
          </w:p>
        </w:tc>
        <w:tc>
          <w:tcPr>
            <w:tcW w:w="432"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12</w:t>
            </w:r>
          </w:p>
        </w:tc>
        <w:tc>
          <w:tcPr>
            <w:tcW w:w="359"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503"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2"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23</w:t>
            </w:r>
          </w:p>
        </w:tc>
        <w:tc>
          <w:tcPr>
            <w:tcW w:w="431"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95</w:t>
            </w:r>
          </w:p>
        </w:tc>
        <w:tc>
          <w:tcPr>
            <w:tcW w:w="414"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191</w:t>
            </w:r>
          </w:p>
        </w:tc>
      </w:tr>
      <w:tr w:rsidR="00531F43" w:rsidRPr="00531F43" w:rsidTr="0043307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22" w:type="pct"/>
            <w:noWrap/>
            <w:hideMark/>
          </w:tcPr>
          <w:p w:rsidR="00531F43" w:rsidRPr="00531F43" w:rsidRDefault="00531F43" w:rsidP="00531F43">
            <w:pPr>
              <w:spacing w:after="0" w:line="240" w:lineRule="auto"/>
              <w:jc w:val="left"/>
              <w:rPr>
                <w:rFonts w:ascii="Times New Roman" w:eastAsia="Times New Roman" w:hAnsi="Times New Roman"/>
                <w:sz w:val="16"/>
                <w:szCs w:val="16"/>
              </w:rPr>
            </w:pPr>
            <w:r w:rsidRPr="00531F43">
              <w:rPr>
                <w:rFonts w:ascii="Times New Roman" w:eastAsia="Times New Roman" w:hAnsi="Times New Roman"/>
                <w:sz w:val="16"/>
                <w:szCs w:val="16"/>
              </w:rPr>
              <w:t>Carinska ispostava Kula</w:t>
            </w:r>
          </w:p>
        </w:tc>
        <w:tc>
          <w:tcPr>
            <w:tcW w:w="359"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288"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360"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2"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359"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503"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2"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1"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7330</w:t>
            </w:r>
          </w:p>
        </w:tc>
        <w:tc>
          <w:tcPr>
            <w:tcW w:w="414"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7.330</w:t>
            </w:r>
          </w:p>
        </w:tc>
      </w:tr>
      <w:tr w:rsidR="00531F43" w:rsidRPr="00531F43" w:rsidTr="00433074">
        <w:trPr>
          <w:trHeight w:val="240"/>
        </w:trPr>
        <w:tc>
          <w:tcPr>
            <w:cnfStyle w:val="001000000000" w:firstRow="0" w:lastRow="0" w:firstColumn="1" w:lastColumn="0" w:oddVBand="0" w:evenVBand="0" w:oddHBand="0" w:evenHBand="0" w:firstRowFirstColumn="0" w:firstRowLastColumn="0" w:lastRowFirstColumn="0" w:lastRowLastColumn="0"/>
            <w:tcW w:w="1422" w:type="pct"/>
            <w:noWrap/>
            <w:hideMark/>
          </w:tcPr>
          <w:p w:rsidR="00531F43" w:rsidRPr="00531F43" w:rsidRDefault="00531F43" w:rsidP="00531F43">
            <w:pPr>
              <w:spacing w:after="0" w:line="240" w:lineRule="auto"/>
              <w:jc w:val="left"/>
              <w:rPr>
                <w:rFonts w:ascii="Times New Roman" w:eastAsia="Times New Roman" w:hAnsi="Times New Roman"/>
                <w:sz w:val="16"/>
                <w:szCs w:val="16"/>
              </w:rPr>
            </w:pPr>
            <w:r w:rsidRPr="00531F43">
              <w:rPr>
                <w:rFonts w:ascii="Times New Roman" w:eastAsia="Times New Roman" w:hAnsi="Times New Roman"/>
                <w:sz w:val="16"/>
                <w:szCs w:val="16"/>
              </w:rPr>
              <w:t>Carinska ispostava Željeznička stanica Tuzi</w:t>
            </w:r>
          </w:p>
        </w:tc>
        <w:tc>
          <w:tcPr>
            <w:tcW w:w="359"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288"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360"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2"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359"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503"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2"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1"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3</w:t>
            </w:r>
          </w:p>
        </w:tc>
        <w:tc>
          <w:tcPr>
            <w:tcW w:w="414"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3</w:t>
            </w:r>
          </w:p>
        </w:tc>
      </w:tr>
      <w:tr w:rsidR="00531F43" w:rsidRPr="00531F43" w:rsidTr="0043307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22" w:type="pct"/>
            <w:noWrap/>
            <w:hideMark/>
          </w:tcPr>
          <w:p w:rsidR="00531F43" w:rsidRPr="00531F43" w:rsidRDefault="00531F43" w:rsidP="00531F43">
            <w:pPr>
              <w:spacing w:after="0" w:line="240" w:lineRule="auto"/>
              <w:jc w:val="left"/>
              <w:rPr>
                <w:rFonts w:ascii="Times New Roman" w:eastAsia="Times New Roman" w:hAnsi="Times New Roman"/>
                <w:sz w:val="16"/>
                <w:szCs w:val="16"/>
              </w:rPr>
            </w:pPr>
            <w:r w:rsidRPr="00531F43">
              <w:rPr>
                <w:rFonts w:ascii="Times New Roman" w:eastAsia="Times New Roman" w:hAnsi="Times New Roman"/>
                <w:sz w:val="16"/>
                <w:szCs w:val="16"/>
              </w:rPr>
              <w:t>Carinska ispostava Metaljka</w:t>
            </w:r>
          </w:p>
        </w:tc>
        <w:tc>
          <w:tcPr>
            <w:tcW w:w="359"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288"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360"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2"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359"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503"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2"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1"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482</w:t>
            </w:r>
          </w:p>
        </w:tc>
        <w:tc>
          <w:tcPr>
            <w:tcW w:w="414"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482</w:t>
            </w:r>
          </w:p>
        </w:tc>
      </w:tr>
      <w:tr w:rsidR="00531F43" w:rsidRPr="00531F43" w:rsidTr="00433074">
        <w:trPr>
          <w:trHeight w:val="240"/>
        </w:trPr>
        <w:tc>
          <w:tcPr>
            <w:cnfStyle w:val="001000000000" w:firstRow="0" w:lastRow="0" w:firstColumn="1" w:lastColumn="0" w:oddVBand="0" w:evenVBand="0" w:oddHBand="0" w:evenHBand="0" w:firstRowFirstColumn="0" w:firstRowLastColumn="0" w:lastRowFirstColumn="0" w:lastRowLastColumn="0"/>
            <w:tcW w:w="1422" w:type="pct"/>
            <w:noWrap/>
            <w:hideMark/>
          </w:tcPr>
          <w:p w:rsidR="00531F43" w:rsidRPr="00531F43" w:rsidRDefault="00531F43" w:rsidP="00531F43">
            <w:pPr>
              <w:spacing w:after="0" w:line="240" w:lineRule="auto"/>
              <w:jc w:val="left"/>
              <w:rPr>
                <w:rFonts w:ascii="Times New Roman" w:eastAsia="Times New Roman" w:hAnsi="Times New Roman"/>
                <w:sz w:val="16"/>
                <w:szCs w:val="16"/>
              </w:rPr>
            </w:pPr>
            <w:r w:rsidRPr="00531F43">
              <w:rPr>
                <w:rFonts w:ascii="Times New Roman" w:eastAsia="Times New Roman" w:hAnsi="Times New Roman"/>
                <w:sz w:val="16"/>
                <w:szCs w:val="16"/>
              </w:rPr>
              <w:t>Carinska ispostava Šćepan Polje</w:t>
            </w:r>
          </w:p>
        </w:tc>
        <w:tc>
          <w:tcPr>
            <w:tcW w:w="359"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288"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360"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2"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359"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503"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2"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1"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431</w:t>
            </w:r>
          </w:p>
        </w:tc>
        <w:tc>
          <w:tcPr>
            <w:tcW w:w="414"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431</w:t>
            </w:r>
          </w:p>
        </w:tc>
      </w:tr>
      <w:tr w:rsidR="00531F43" w:rsidRPr="00531F43" w:rsidTr="0043307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22" w:type="pct"/>
            <w:noWrap/>
            <w:hideMark/>
          </w:tcPr>
          <w:p w:rsidR="00531F43" w:rsidRPr="00531F43" w:rsidRDefault="00531F43" w:rsidP="00531F43">
            <w:pPr>
              <w:spacing w:after="0" w:line="240" w:lineRule="auto"/>
              <w:jc w:val="left"/>
              <w:rPr>
                <w:rFonts w:ascii="Times New Roman" w:eastAsia="Times New Roman" w:hAnsi="Times New Roman"/>
                <w:sz w:val="16"/>
                <w:szCs w:val="16"/>
              </w:rPr>
            </w:pPr>
            <w:r w:rsidRPr="00531F43">
              <w:rPr>
                <w:rFonts w:ascii="Times New Roman" w:eastAsia="Times New Roman" w:hAnsi="Times New Roman"/>
                <w:sz w:val="16"/>
                <w:szCs w:val="16"/>
              </w:rPr>
              <w:t>Carinska ispostava Ranče</w:t>
            </w:r>
          </w:p>
        </w:tc>
        <w:tc>
          <w:tcPr>
            <w:tcW w:w="359"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288"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360"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2"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61</w:t>
            </w:r>
          </w:p>
        </w:tc>
        <w:tc>
          <w:tcPr>
            <w:tcW w:w="359"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503"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2"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1"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5.466</w:t>
            </w:r>
          </w:p>
        </w:tc>
        <w:tc>
          <w:tcPr>
            <w:tcW w:w="414"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5.527</w:t>
            </w:r>
          </w:p>
        </w:tc>
      </w:tr>
      <w:tr w:rsidR="00531F43" w:rsidRPr="00531F43" w:rsidTr="00433074">
        <w:trPr>
          <w:trHeight w:val="240"/>
        </w:trPr>
        <w:tc>
          <w:tcPr>
            <w:cnfStyle w:val="001000000000" w:firstRow="0" w:lastRow="0" w:firstColumn="1" w:lastColumn="0" w:oddVBand="0" w:evenVBand="0" w:oddHBand="0" w:evenHBand="0" w:firstRowFirstColumn="0" w:firstRowLastColumn="0" w:lastRowFirstColumn="0" w:lastRowLastColumn="0"/>
            <w:tcW w:w="1422" w:type="pct"/>
            <w:noWrap/>
            <w:hideMark/>
          </w:tcPr>
          <w:p w:rsidR="00531F43" w:rsidRPr="00531F43" w:rsidRDefault="00531F43" w:rsidP="00531F43">
            <w:pPr>
              <w:spacing w:after="0" w:line="240" w:lineRule="auto"/>
              <w:jc w:val="left"/>
              <w:rPr>
                <w:rFonts w:ascii="Times New Roman" w:eastAsia="Times New Roman" w:hAnsi="Times New Roman"/>
                <w:sz w:val="16"/>
                <w:szCs w:val="16"/>
              </w:rPr>
            </w:pPr>
            <w:r w:rsidRPr="00531F43">
              <w:rPr>
                <w:rFonts w:ascii="Times New Roman" w:eastAsia="Times New Roman" w:hAnsi="Times New Roman"/>
                <w:sz w:val="16"/>
                <w:szCs w:val="16"/>
              </w:rPr>
              <w:t>Carinska ispostava Rožaje</w:t>
            </w:r>
          </w:p>
        </w:tc>
        <w:tc>
          <w:tcPr>
            <w:tcW w:w="359"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1.597</w:t>
            </w:r>
          </w:p>
        </w:tc>
        <w:tc>
          <w:tcPr>
            <w:tcW w:w="288"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360"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137</w:t>
            </w:r>
          </w:p>
        </w:tc>
        <w:tc>
          <w:tcPr>
            <w:tcW w:w="432"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4.009</w:t>
            </w:r>
          </w:p>
        </w:tc>
        <w:tc>
          <w:tcPr>
            <w:tcW w:w="359"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12</w:t>
            </w:r>
          </w:p>
        </w:tc>
        <w:tc>
          <w:tcPr>
            <w:tcW w:w="503"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3</w:t>
            </w:r>
          </w:p>
        </w:tc>
        <w:tc>
          <w:tcPr>
            <w:tcW w:w="432"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126</w:t>
            </w:r>
          </w:p>
        </w:tc>
        <w:tc>
          <w:tcPr>
            <w:tcW w:w="431"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6</w:t>
            </w:r>
          </w:p>
        </w:tc>
        <w:tc>
          <w:tcPr>
            <w:tcW w:w="414"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5.890</w:t>
            </w:r>
          </w:p>
        </w:tc>
      </w:tr>
      <w:tr w:rsidR="00531F43" w:rsidRPr="00531F43" w:rsidTr="0043307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22" w:type="pct"/>
            <w:noWrap/>
            <w:hideMark/>
          </w:tcPr>
          <w:p w:rsidR="00531F43" w:rsidRPr="00531F43" w:rsidRDefault="00531F43" w:rsidP="00531F43">
            <w:pPr>
              <w:spacing w:after="0" w:line="240" w:lineRule="auto"/>
              <w:jc w:val="left"/>
              <w:rPr>
                <w:rFonts w:ascii="Times New Roman" w:eastAsia="Times New Roman" w:hAnsi="Times New Roman"/>
                <w:sz w:val="16"/>
                <w:szCs w:val="16"/>
              </w:rPr>
            </w:pPr>
            <w:r w:rsidRPr="00531F43">
              <w:rPr>
                <w:rFonts w:ascii="Times New Roman" w:eastAsia="Times New Roman" w:hAnsi="Times New Roman"/>
                <w:sz w:val="16"/>
                <w:szCs w:val="16"/>
              </w:rPr>
              <w:t>Carinska ispostava Slobodna zona Bar</w:t>
            </w:r>
          </w:p>
        </w:tc>
        <w:tc>
          <w:tcPr>
            <w:tcW w:w="359"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162</w:t>
            </w:r>
          </w:p>
        </w:tc>
        <w:tc>
          <w:tcPr>
            <w:tcW w:w="288"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11</w:t>
            </w:r>
          </w:p>
        </w:tc>
        <w:tc>
          <w:tcPr>
            <w:tcW w:w="360"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49</w:t>
            </w:r>
          </w:p>
        </w:tc>
        <w:tc>
          <w:tcPr>
            <w:tcW w:w="432"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2.963</w:t>
            </w:r>
          </w:p>
        </w:tc>
        <w:tc>
          <w:tcPr>
            <w:tcW w:w="359"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7</w:t>
            </w:r>
          </w:p>
        </w:tc>
        <w:tc>
          <w:tcPr>
            <w:tcW w:w="503"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7</w:t>
            </w:r>
          </w:p>
        </w:tc>
        <w:tc>
          <w:tcPr>
            <w:tcW w:w="432"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53</w:t>
            </w:r>
          </w:p>
        </w:tc>
        <w:tc>
          <w:tcPr>
            <w:tcW w:w="431"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18.542</w:t>
            </w:r>
          </w:p>
        </w:tc>
        <w:tc>
          <w:tcPr>
            <w:tcW w:w="414"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21.794</w:t>
            </w:r>
          </w:p>
        </w:tc>
      </w:tr>
      <w:tr w:rsidR="00531F43" w:rsidRPr="00531F43" w:rsidTr="00433074">
        <w:trPr>
          <w:trHeight w:val="240"/>
        </w:trPr>
        <w:tc>
          <w:tcPr>
            <w:cnfStyle w:val="001000000000" w:firstRow="0" w:lastRow="0" w:firstColumn="1" w:lastColumn="0" w:oddVBand="0" w:evenVBand="0" w:oddHBand="0" w:evenHBand="0" w:firstRowFirstColumn="0" w:firstRowLastColumn="0" w:lastRowFirstColumn="0" w:lastRowLastColumn="0"/>
            <w:tcW w:w="1422" w:type="pct"/>
            <w:noWrap/>
            <w:hideMark/>
          </w:tcPr>
          <w:p w:rsidR="00531F43" w:rsidRPr="00531F43" w:rsidRDefault="00531F43" w:rsidP="00531F43">
            <w:pPr>
              <w:spacing w:after="0" w:line="240" w:lineRule="auto"/>
              <w:jc w:val="left"/>
              <w:rPr>
                <w:rFonts w:ascii="Times New Roman" w:eastAsia="Times New Roman" w:hAnsi="Times New Roman"/>
                <w:sz w:val="16"/>
                <w:szCs w:val="16"/>
              </w:rPr>
            </w:pPr>
            <w:r w:rsidRPr="00531F43">
              <w:rPr>
                <w:rFonts w:ascii="Times New Roman" w:eastAsia="Times New Roman" w:hAnsi="Times New Roman"/>
                <w:sz w:val="16"/>
                <w:szCs w:val="16"/>
              </w:rPr>
              <w:t>Carinska ispostava Slobodna Zona Podgorica</w:t>
            </w:r>
          </w:p>
        </w:tc>
        <w:tc>
          <w:tcPr>
            <w:tcW w:w="359"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8</w:t>
            </w:r>
          </w:p>
        </w:tc>
        <w:tc>
          <w:tcPr>
            <w:tcW w:w="288"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5</w:t>
            </w:r>
          </w:p>
        </w:tc>
        <w:tc>
          <w:tcPr>
            <w:tcW w:w="360"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63</w:t>
            </w:r>
          </w:p>
        </w:tc>
        <w:tc>
          <w:tcPr>
            <w:tcW w:w="432"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50</w:t>
            </w:r>
          </w:p>
        </w:tc>
        <w:tc>
          <w:tcPr>
            <w:tcW w:w="359"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124</w:t>
            </w:r>
          </w:p>
        </w:tc>
        <w:tc>
          <w:tcPr>
            <w:tcW w:w="503"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16</w:t>
            </w:r>
          </w:p>
        </w:tc>
        <w:tc>
          <w:tcPr>
            <w:tcW w:w="432"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2</w:t>
            </w:r>
          </w:p>
        </w:tc>
        <w:tc>
          <w:tcPr>
            <w:tcW w:w="431"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14"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268</w:t>
            </w:r>
          </w:p>
        </w:tc>
      </w:tr>
      <w:tr w:rsidR="00531F43" w:rsidRPr="00531F43" w:rsidTr="0043307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22" w:type="pct"/>
            <w:noWrap/>
            <w:hideMark/>
          </w:tcPr>
          <w:p w:rsidR="00531F43" w:rsidRPr="00531F43" w:rsidRDefault="00531F43" w:rsidP="00531F43">
            <w:pPr>
              <w:spacing w:after="0" w:line="240" w:lineRule="auto"/>
              <w:jc w:val="left"/>
              <w:rPr>
                <w:rFonts w:ascii="Times New Roman" w:eastAsia="Times New Roman" w:hAnsi="Times New Roman"/>
                <w:sz w:val="16"/>
                <w:szCs w:val="16"/>
              </w:rPr>
            </w:pPr>
            <w:r w:rsidRPr="00531F43">
              <w:rPr>
                <w:rFonts w:ascii="Times New Roman" w:eastAsia="Times New Roman" w:hAnsi="Times New Roman"/>
                <w:sz w:val="16"/>
                <w:szCs w:val="16"/>
              </w:rPr>
              <w:t>Carinska ispostava Terminal Kotor</w:t>
            </w:r>
          </w:p>
        </w:tc>
        <w:tc>
          <w:tcPr>
            <w:tcW w:w="359"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238</w:t>
            </w:r>
          </w:p>
        </w:tc>
        <w:tc>
          <w:tcPr>
            <w:tcW w:w="288"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14</w:t>
            </w:r>
          </w:p>
        </w:tc>
        <w:tc>
          <w:tcPr>
            <w:tcW w:w="360"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82</w:t>
            </w:r>
          </w:p>
        </w:tc>
        <w:tc>
          <w:tcPr>
            <w:tcW w:w="432"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5.667</w:t>
            </w:r>
          </w:p>
        </w:tc>
        <w:tc>
          <w:tcPr>
            <w:tcW w:w="359"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45</w:t>
            </w:r>
          </w:p>
        </w:tc>
        <w:tc>
          <w:tcPr>
            <w:tcW w:w="503"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2"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871</w:t>
            </w:r>
          </w:p>
        </w:tc>
        <w:tc>
          <w:tcPr>
            <w:tcW w:w="431"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18</w:t>
            </w:r>
          </w:p>
        </w:tc>
        <w:tc>
          <w:tcPr>
            <w:tcW w:w="414"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6.935</w:t>
            </w:r>
          </w:p>
        </w:tc>
      </w:tr>
      <w:tr w:rsidR="00531F43" w:rsidRPr="00531F43" w:rsidTr="00433074">
        <w:trPr>
          <w:trHeight w:val="240"/>
        </w:trPr>
        <w:tc>
          <w:tcPr>
            <w:cnfStyle w:val="001000000000" w:firstRow="0" w:lastRow="0" w:firstColumn="1" w:lastColumn="0" w:oddVBand="0" w:evenVBand="0" w:oddHBand="0" w:evenHBand="0" w:firstRowFirstColumn="0" w:firstRowLastColumn="0" w:lastRowFirstColumn="0" w:lastRowLastColumn="0"/>
            <w:tcW w:w="1422" w:type="pct"/>
            <w:noWrap/>
            <w:hideMark/>
          </w:tcPr>
          <w:p w:rsidR="00531F43" w:rsidRPr="00531F43" w:rsidRDefault="00531F43" w:rsidP="00531F43">
            <w:pPr>
              <w:spacing w:after="0" w:line="240" w:lineRule="auto"/>
              <w:jc w:val="left"/>
              <w:rPr>
                <w:rFonts w:ascii="Times New Roman" w:eastAsia="Times New Roman" w:hAnsi="Times New Roman"/>
                <w:sz w:val="16"/>
                <w:szCs w:val="16"/>
              </w:rPr>
            </w:pPr>
            <w:r w:rsidRPr="00531F43">
              <w:rPr>
                <w:rFonts w:ascii="Times New Roman" w:eastAsia="Times New Roman" w:hAnsi="Times New Roman"/>
                <w:sz w:val="16"/>
                <w:szCs w:val="16"/>
              </w:rPr>
              <w:t>Carinska ispostava Terminal Podgorica</w:t>
            </w:r>
          </w:p>
        </w:tc>
        <w:tc>
          <w:tcPr>
            <w:tcW w:w="359"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5.997</w:t>
            </w:r>
          </w:p>
        </w:tc>
        <w:tc>
          <w:tcPr>
            <w:tcW w:w="288"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270</w:t>
            </w:r>
          </w:p>
        </w:tc>
        <w:tc>
          <w:tcPr>
            <w:tcW w:w="360"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1.525</w:t>
            </w:r>
          </w:p>
        </w:tc>
        <w:tc>
          <w:tcPr>
            <w:tcW w:w="432"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84.048</w:t>
            </w:r>
          </w:p>
        </w:tc>
        <w:tc>
          <w:tcPr>
            <w:tcW w:w="359"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1.020</w:t>
            </w:r>
          </w:p>
        </w:tc>
        <w:tc>
          <w:tcPr>
            <w:tcW w:w="503"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47</w:t>
            </w:r>
          </w:p>
        </w:tc>
        <w:tc>
          <w:tcPr>
            <w:tcW w:w="432"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11.626</w:t>
            </w:r>
          </w:p>
        </w:tc>
        <w:tc>
          <w:tcPr>
            <w:tcW w:w="431"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642</w:t>
            </w:r>
          </w:p>
        </w:tc>
        <w:tc>
          <w:tcPr>
            <w:tcW w:w="414"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105.175</w:t>
            </w:r>
          </w:p>
        </w:tc>
      </w:tr>
      <w:tr w:rsidR="00531F43" w:rsidRPr="00531F43" w:rsidTr="0043307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22" w:type="pct"/>
            <w:noWrap/>
            <w:hideMark/>
          </w:tcPr>
          <w:p w:rsidR="00531F43" w:rsidRPr="00531F43" w:rsidRDefault="00531F43" w:rsidP="00531F43">
            <w:pPr>
              <w:spacing w:after="0" w:line="240" w:lineRule="auto"/>
              <w:jc w:val="left"/>
              <w:rPr>
                <w:rFonts w:ascii="Times New Roman" w:eastAsia="Times New Roman" w:hAnsi="Times New Roman"/>
                <w:sz w:val="16"/>
                <w:szCs w:val="16"/>
              </w:rPr>
            </w:pPr>
            <w:r w:rsidRPr="00531F43">
              <w:rPr>
                <w:rFonts w:ascii="Times New Roman" w:eastAsia="Times New Roman" w:hAnsi="Times New Roman"/>
                <w:sz w:val="16"/>
                <w:szCs w:val="16"/>
              </w:rPr>
              <w:t>Carinska ispostava Vraćenovići</w:t>
            </w:r>
          </w:p>
        </w:tc>
        <w:tc>
          <w:tcPr>
            <w:tcW w:w="359"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288"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360"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2"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289</w:t>
            </w:r>
          </w:p>
        </w:tc>
        <w:tc>
          <w:tcPr>
            <w:tcW w:w="359"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503"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2"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1"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6.883</w:t>
            </w:r>
          </w:p>
        </w:tc>
        <w:tc>
          <w:tcPr>
            <w:tcW w:w="414"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7.172</w:t>
            </w:r>
          </w:p>
        </w:tc>
      </w:tr>
      <w:tr w:rsidR="00531F43" w:rsidRPr="00531F43" w:rsidTr="00433074">
        <w:trPr>
          <w:trHeight w:val="240"/>
        </w:trPr>
        <w:tc>
          <w:tcPr>
            <w:cnfStyle w:val="001000000000" w:firstRow="0" w:lastRow="0" w:firstColumn="1" w:lastColumn="0" w:oddVBand="0" w:evenVBand="0" w:oddHBand="0" w:evenHBand="0" w:firstRowFirstColumn="0" w:firstRowLastColumn="0" w:lastRowFirstColumn="0" w:lastRowLastColumn="0"/>
            <w:tcW w:w="1422" w:type="pct"/>
            <w:noWrap/>
            <w:hideMark/>
          </w:tcPr>
          <w:p w:rsidR="00531F43" w:rsidRPr="00531F43" w:rsidRDefault="00531F43" w:rsidP="00531F43">
            <w:pPr>
              <w:spacing w:after="0" w:line="240" w:lineRule="auto"/>
              <w:jc w:val="left"/>
              <w:rPr>
                <w:rFonts w:ascii="Times New Roman" w:eastAsia="Times New Roman" w:hAnsi="Times New Roman"/>
                <w:sz w:val="16"/>
                <w:szCs w:val="16"/>
              </w:rPr>
            </w:pPr>
            <w:r w:rsidRPr="00531F43">
              <w:rPr>
                <w:rFonts w:ascii="Times New Roman" w:eastAsia="Times New Roman" w:hAnsi="Times New Roman"/>
                <w:sz w:val="16"/>
                <w:szCs w:val="16"/>
              </w:rPr>
              <w:t>Carinska ispostava Zelenika</w:t>
            </w:r>
          </w:p>
        </w:tc>
        <w:tc>
          <w:tcPr>
            <w:tcW w:w="359"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113</w:t>
            </w:r>
          </w:p>
        </w:tc>
        <w:tc>
          <w:tcPr>
            <w:tcW w:w="288"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12</w:t>
            </w:r>
          </w:p>
        </w:tc>
        <w:tc>
          <w:tcPr>
            <w:tcW w:w="360"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86</w:t>
            </w:r>
          </w:p>
        </w:tc>
        <w:tc>
          <w:tcPr>
            <w:tcW w:w="432"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4.570</w:t>
            </w:r>
          </w:p>
        </w:tc>
        <w:tc>
          <w:tcPr>
            <w:tcW w:w="359"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35</w:t>
            </w:r>
          </w:p>
        </w:tc>
        <w:tc>
          <w:tcPr>
            <w:tcW w:w="503"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w:t>
            </w:r>
          </w:p>
        </w:tc>
        <w:tc>
          <w:tcPr>
            <w:tcW w:w="432"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327</w:t>
            </w:r>
          </w:p>
        </w:tc>
        <w:tc>
          <w:tcPr>
            <w:tcW w:w="431"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18</w:t>
            </w:r>
          </w:p>
        </w:tc>
        <w:tc>
          <w:tcPr>
            <w:tcW w:w="414"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5.162</w:t>
            </w:r>
          </w:p>
        </w:tc>
      </w:tr>
      <w:tr w:rsidR="00531F43" w:rsidRPr="00531F43" w:rsidTr="0043307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22" w:type="pct"/>
            <w:noWrap/>
            <w:hideMark/>
          </w:tcPr>
          <w:p w:rsidR="00531F43" w:rsidRPr="00531F43" w:rsidRDefault="00531F43" w:rsidP="00531F43">
            <w:pPr>
              <w:spacing w:after="0" w:line="240" w:lineRule="auto"/>
              <w:jc w:val="left"/>
              <w:rPr>
                <w:rFonts w:ascii="Times New Roman" w:eastAsia="Times New Roman" w:hAnsi="Times New Roman"/>
                <w:sz w:val="16"/>
                <w:szCs w:val="16"/>
              </w:rPr>
            </w:pPr>
            <w:r w:rsidRPr="00531F43">
              <w:rPr>
                <w:rFonts w:ascii="Times New Roman" w:eastAsia="Times New Roman" w:hAnsi="Times New Roman"/>
                <w:sz w:val="16"/>
                <w:szCs w:val="16"/>
              </w:rPr>
              <w:t>Carinska ispostava Željeznička stanica B. Polje</w:t>
            </w:r>
          </w:p>
        </w:tc>
        <w:tc>
          <w:tcPr>
            <w:tcW w:w="359"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288"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360"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2</w:t>
            </w:r>
          </w:p>
        </w:tc>
        <w:tc>
          <w:tcPr>
            <w:tcW w:w="432"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359"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3</w:t>
            </w:r>
          </w:p>
        </w:tc>
        <w:tc>
          <w:tcPr>
            <w:tcW w:w="503"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2"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1"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3</w:t>
            </w:r>
          </w:p>
        </w:tc>
        <w:tc>
          <w:tcPr>
            <w:tcW w:w="414" w:type="pct"/>
            <w:noWrap/>
            <w:vAlign w:val="center"/>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8</w:t>
            </w:r>
          </w:p>
        </w:tc>
      </w:tr>
      <w:tr w:rsidR="00531F43" w:rsidRPr="00531F43" w:rsidTr="00433074">
        <w:trPr>
          <w:trHeight w:val="240"/>
        </w:trPr>
        <w:tc>
          <w:tcPr>
            <w:cnfStyle w:val="001000000000" w:firstRow="0" w:lastRow="0" w:firstColumn="1" w:lastColumn="0" w:oddVBand="0" w:evenVBand="0" w:oddHBand="0" w:evenHBand="0" w:firstRowFirstColumn="0" w:firstRowLastColumn="0" w:lastRowFirstColumn="0" w:lastRowLastColumn="0"/>
            <w:tcW w:w="1422" w:type="pct"/>
            <w:noWrap/>
            <w:hideMark/>
          </w:tcPr>
          <w:p w:rsidR="00531F43" w:rsidRPr="00531F43" w:rsidRDefault="00531F43" w:rsidP="00531F43">
            <w:pPr>
              <w:spacing w:after="0" w:line="240" w:lineRule="auto"/>
              <w:jc w:val="left"/>
              <w:rPr>
                <w:rFonts w:ascii="Times New Roman" w:eastAsia="Times New Roman" w:hAnsi="Times New Roman"/>
                <w:sz w:val="16"/>
                <w:szCs w:val="16"/>
              </w:rPr>
            </w:pPr>
            <w:r w:rsidRPr="00531F43">
              <w:rPr>
                <w:rFonts w:ascii="Times New Roman" w:eastAsia="Times New Roman" w:hAnsi="Times New Roman"/>
                <w:sz w:val="16"/>
                <w:szCs w:val="16"/>
              </w:rPr>
              <w:t>Carinska ispostava Željeznička stanica Podgorica</w:t>
            </w:r>
          </w:p>
        </w:tc>
        <w:tc>
          <w:tcPr>
            <w:tcW w:w="359"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7</w:t>
            </w:r>
          </w:p>
        </w:tc>
        <w:tc>
          <w:tcPr>
            <w:tcW w:w="288"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4</w:t>
            </w:r>
          </w:p>
        </w:tc>
        <w:tc>
          <w:tcPr>
            <w:tcW w:w="360"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w:t>
            </w:r>
          </w:p>
        </w:tc>
        <w:tc>
          <w:tcPr>
            <w:tcW w:w="432"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54</w:t>
            </w:r>
          </w:p>
        </w:tc>
        <w:tc>
          <w:tcPr>
            <w:tcW w:w="359"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w:t>
            </w:r>
          </w:p>
        </w:tc>
        <w:tc>
          <w:tcPr>
            <w:tcW w:w="503"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0</w:t>
            </w:r>
          </w:p>
        </w:tc>
        <w:tc>
          <w:tcPr>
            <w:tcW w:w="432"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22</w:t>
            </w:r>
          </w:p>
        </w:tc>
        <w:tc>
          <w:tcPr>
            <w:tcW w:w="431"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52</w:t>
            </w:r>
          </w:p>
        </w:tc>
        <w:tc>
          <w:tcPr>
            <w:tcW w:w="414" w:type="pct"/>
            <w:noWrap/>
            <w:vAlign w:val="center"/>
            <w:hideMark/>
          </w:tcPr>
          <w:p w:rsidR="00531F43" w:rsidRPr="00531F43" w:rsidRDefault="00531F43" w:rsidP="00531F4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rPr>
            </w:pPr>
            <w:r w:rsidRPr="00531F43">
              <w:rPr>
                <w:rFonts w:ascii="Times New Roman" w:eastAsia="Times New Roman" w:hAnsi="Times New Roman"/>
                <w:color w:val="000000"/>
                <w:sz w:val="16"/>
                <w:szCs w:val="16"/>
              </w:rPr>
              <w:t>141</w:t>
            </w:r>
          </w:p>
        </w:tc>
      </w:tr>
      <w:tr w:rsidR="00531F43" w:rsidRPr="00531F43" w:rsidTr="00433074">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22" w:type="pct"/>
            <w:noWrap/>
            <w:hideMark/>
          </w:tcPr>
          <w:p w:rsidR="00531F43" w:rsidRPr="00531F43" w:rsidRDefault="00531F43" w:rsidP="00531F43">
            <w:pPr>
              <w:spacing w:after="0" w:line="240" w:lineRule="auto"/>
              <w:jc w:val="left"/>
              <w:rPr>
                <w:rFonts w:ascii="Times New Roman" w:eastAsia="Times New Roman" w:hAnsi="Times New Roman"/>
                <w:sz w:val="16"/>
                <w:szCs w:val="16"/>
              </w:rPr>
            </w:pPr>
            <w:r w:rsidRPr="00531F43">
              <w:rPr>
                <w:rFonts w:ascii="Times New Roman" w:eastAsia="Times New Roman" w:hAnsi="Times New Roman"/>
                <w:sz w:val="16"/>
                <w:szCs w:val="16"/>
              </w:rPr>
              <w:t>Ukupno:</w:t>
            </w:r>
          </w:p>
        </w:tc>
        <w:tc>
          <w:tcPr>
            <w:tcW w:w="359" w:type="pct"/>
            <w:noWrap/>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000000"/>
                <w:sz w:val="16"/>
                <w:szCs w:val="16"/>
              </w:rPr>
            </w:pPr>
            <w:r w:rsidRPr="00531F43">
              <w:rPr>
                <w:rFonts w:ascii="Times New Roman" w:eastAsia="Times New Roman" w:hAnsi="Times New Roman"/>
                <w:b/>
                <w:color w:val="000000"/>
                <w:sz w:val="16"/>
                <w:szCs w:val="16"/>
              </w:rPr>
              <w:t>18.812</w:t>
            </w:r>
          </w:p>
        </w:tc>
        <w:tc>
          <w:tcPr>
            <w:tcW w:w="288" w:type="pct"/>
            <w:noWrap/>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000000"/>
                <w:sz w:val="16"/>
                <w:szCs w:val="16"/>
              </w:rPr>
            </w:pPr>
            <w:r w:rsidRPr="00531F43">
              <w:rPr>
                <w:rFonts w:ascii="Times New Roman" w:eastAsia="Times New Roman" w:hAnsi="Times New Roman"/>
                <w:b/>
                <w:color w:val="000000"/>
                <w:sz w:val="16"/>
                <w:szCs w:val="16"/>
              </w:rPr>
              <w:t>677</w:t>
            </w:r>
          </w:p>
        </w:tc>
        <w:tc>
          <w:tcPr>
            <w:tcW w:w="360" w:type="pct"/>
            <w:noWrap/>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000000"/>
                <w:sz w:val="16"/>
                <w:szCs w:val="16"/>
              </w:rPr>
            </w:pPr>
            <w:r w:rsidRPr="00531F43">
              <w:rPr>
                <w:rFonts w:ascii="Times New Roman" w:eastAsia="Times New Roman" w:hAnsi="Times New Roman"/>
                <w:b/>
                <w:color w:val="000000"/>
                <w:sz w:val="16"/>
                <w:szCs w:val="16"/>
              </w:rPr>
              <w:t>3.252</w:t>
            </w:r>
          </w:p>
        </w:tc>
        <w:tc>
          <w:tcPr>
            <w:tcW w:w="432" w:type="pct"/>
            <w:noWrap/>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000000"/>
                <w:sz w:val="16"/>
                <w:szCs w:val="16"/>
              </w:rPr>
            </w:pPr>
            <w:r w:rsidRPr="00531F43">
              <w:rPr>
                <w:rFonts w:ascii="Times New Roman" w:eastAsia="Times New Roman" w:hAnsi="Times New Roman"/>
                <w:b/>
                <w:color w:val="000000"/>
                <w:sz w:val="16"/>
                <w:szCs w:val="16"/>
              </w:rPr>
              <w:t>202.840</w:t>
            </w:r>
          </w:p>
        </w:tc>
        <w:tc>
          <w:tcPr>
            <w:tcW w:w="359" w:type="pct"/>
            <w:noWrap/>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000000"/>
                <w:sz w:val="16"/>
                <w:szCs w:val="16"/>
              </w:rPr>
            </w:pPr>
            <w:r w:rsidRPr="00531F43">
              <w:rPr>
                <w:rFonts w:ascii="Times New Roman" w:eastAsia="Times New Roman" w:hAnsi="Times New Roman"/>
                <w:b/>
                <w:color w:val="000000"/>
                <w:sz w:val="16"/>
                <w:szCs w:val="16"/>
              </w:rPr>
              <w:t>2.887</w:t>
            </w:r>
          </w:p>
        </w:tc>
        <w:tc>
          <w:tcPr>
            <w:tcW w:w="503" w:type="pct"/>
            <w:noWrap/>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000000"/>
                <w:sz w:val="16"/>
                <w:szCs w:val="16"/>
              </w:rPr>
            </w:pPr>
            <w:r w:rsidRPr="00531F43">
              <w:rPr>
                <w:rFonts w:ascii="Times New Roman" w:eastAsia="Times New Roman" w:hAnsi="Times New Roman"/>
                <w:b/>
                <w:color w:val="000000"/>
                <w:sz w:val="16"/>
                <w:szCs w:val="16"/>
              </w:rPr>
              <w:t>85</w:t>
            </w:r>
          </w:p>
        </w:tc>
        <w:tc>
          <w:tcPr>
            <w:tcW w:w="432" w:type="pct"/>
            <w:noWrap/>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000000"/>
                <w:sz w:val="16"/>
                <w:szCs w:val="16"/>
              </w:rPr>
            </w:pPr>
            <w:r w:rsidRPr="00531F43">
              <w:rPr>
                <w:rFonts w:ascii="Times New Roman" w:eastAsia="Times New Roman" w:hAnsi="Times New Roman"/>
                <w:b/>
                <w:color w:val="000000"/>
                <w:sz w:val="16"/>
                <w:szCs w:val="16"/>
              </w:rPr>
              <w:t>20.189</w:t>
            </w:r>
          </w:p>
        </w:tc>
        <w:tc>
          <w:tcPr>
            <w:tcW w:w="431" w:type="pct"/>
            <w:noWrap/>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000000"/>
                <w:sz w:val="16"/>
                <w:szCs w:val="16"/>
              </w:rPr>
            </w:pPr>
            <w:r w:rsidRPr="00531F43">
              <w:rPr>
                <w:rFonts w:ascii="Times New Roman" w:eastAsia="Times New Roman" w:hAnsi="Times New Roman"/>
                <w:b/>
                <w:color w:val="000000"/>
                <w:sz w:val="16"/>
                <w:szCs w:val="16"/>
              </w:rPr>
              <w:t>182.098</w:t>
            </w:r>
          </w:p>
        </w:tc>
        <w:tc>
          <w:tcPr>
            <w:tcW w:w="414" w:type="pct"/>
            <w:noWrap/>
            <w:hideMark/>
          </w:tcPr>
          <w:p w:rsidR="00531F43" w:rsidRPr="00531F43" w:rsidRDefault="00531F43" w:rsidP="00531F4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000000"/>
                <w:sz w:val="16"/>
                <w:szCs w:val="16"/>
              </w:rPr>
            </w:pPr>
            <w:r w:rsidRPr="00531F43">
              <w:rPr>
                <w:rFonts w:ascii="Times New Roman" w:eastAsia="Times New Roman" w:hAnsi="Times New Roman"/>
                <w:b/>
                <w:color w:val="000000"/>
                <w:sz w:val="16"/>
                <w:szCs w:val="16"/>
              </w:rPr>
              <w:t>430.840</w:t>
            </w:r>
          </w:p>
        </w:tc>
      </w:tr>
    </w:tbl>
    <w:p w:rsidR="00DD31D5" w:rsidRPr="00DD31D5" w:rsidRDefault="00DD31D5" w:rsidP="00A27A45">
      <w:pPr>
        <w:keepNext/>
        <w:keepLines/>
        <w:spacing w:before="480" w:after="0"/>
        <w:ind w:firstLine="709"/>
        <w:jc w:val="left"/>
        <w:outlineLvl w:val="0"/>
        <w:rPr>
          <w:rFonts w:eastAsia="Calibri" w:cs="Times New Roman"/>
          <w:b/>
          <w:szCs w:val="24"/>
          <w:lang w:val="sl-SI"/>
        </w:rPr>
      </w:pPr>
      <w:r w:rsidRPr="00DD31D5">
        <w:rPr>
          <w:rFonts w:eastAsia="Calibri" w:cs="Times New Roman"/>
          <w:b/>
          <w:szCs w:val="24"/>
          <w:lang w:val="sl-SI"/>
        </w:rPr>
        <w:lastRenderedPageBreak/>
        <w:t>AKTIVNOSTI U PROCESU EVROPSKIH INTEGRACIJA I MODERNIZACIJA</w:t>
      </w:r>
    </w:p>
    <w:p w:rsidR="00DD31D5" w:rsidRPr="00DD31D5" w:rsidRDefault="00DD31D5" w:rsidP="00DD31D5">
      <w:pPr>
        <w:keepNext/>
        <w:keepLines/>
        <w:tabs>
          <w:tab w:val="left" w:pos="4962"/>
        </w:tabs>
        <w:spacing w:after="0" w:line="269" w:lineRule="auto"/>
        <w:ind w:hanging="11"/>
        <w:jc w:val="left"/>
        <w:outlineLvl w:val="2"/>
        <w:rPr>
          <w:rFonts w:eastAsia="Times New Roman" w:cs="Times New Roman"/>
          <w:b/>
          <w:bCs/>
          <w:noProof/>
          <w:color w:val="000000"/>
          <w:szCs w:val="24"/>
        </w:rPr>
      </w:pPr>
      <w:bookmarkStart w:id="26" w:name="_Toc62197135"/>
      <w:bookmarkStart w:id="27" w:name="_Toc62552706"/>
      <w:bookmarkStart w:id="28" w:name="_Toc62813705"/>
      <w:r w:rsidRPr="00433074">
        <w:rPr>
          <w:rFonts w:eastAsia="Times New Roman" w:cs="Times New Roman"/>
          <w:b/>
          <w:bCs/>
          <w:noProof/>
          <w:color w:val="000000"/>
          <w:szCs w:val="24"/>
        </w:rPr>
        <w:tab/>
        <w:t xml:space="preserve">            </w:t>
      </w:r>
      <w:r w:rsidRPr="00DD31D5">
        <w:rPr>
          <w:rFonts w:eastAsia="Times New Roman" w:cs="Times New Roman"/>
          <w:b/>
          <w:bCs/>
          <w:noProof/>
          <w:color w:val="000000"/>
          <w:szCs w:val="24"/>
        </w:rPr>
        <w:t>Aktivnosti na usklađivanju sa EU zakonodavstvom</w:t>
      </w:r>
      <w:bookmarkEnd w:id="26"/>
      <w:bookmarkEnd w:id="27"/>
      <w:bookmarkEnd w:id="28"/>
    </w:p>
    <w:p w:rsidR="00DD31D5" w:rsidRPr="00DD31D5" w:rsidRDefault="00DD31D5" w:rsidP="00433074">
      <w:pPr>
        <w:spacing w:before="0" w:after="0" w:line="240" w:lineRule="auto"/>
        <w:ind w:firstLine="567"/>
        <w:rPr>
          <w:rFonts w:eastAsia="Calibri" w:cs="Times New Roman"/>
          <w:szCs w:val="24"/>
          <w:lang w:val="sl-SI"/>
        </w:rPr>
      </w:pPr>
      <w:r w:rsidRPr="00DD31D5">
        <w:rPr>
          <w:rFonts w:eastAsia="Calibri" w:cs="Times New Roman"/>
          <w:szCs w:val="24"/>
          <w:lang w:val="sl-SI"/>
        </w:rPr>
        <w:t>U skladu sa procesom evropskih integracija Crne Gore, Uprava carina je i u 2020.godini nastavila aktivnosti na usklađivanju carinskog zakonodavstva, jačanju administrativnih kapaciteta kao i na razvoju interkonektivnosti i interoperabilnosti IT sistema sa EU sistemima.</w:t>
      </w:r>
    </w:p>
    <w:p w:rsidR="00DD31D5" w:rsidRPr="00DD31D5" w:rsidRDefault="00DD31D5" w:rsidP="00433074">
      <w:pPr>
        <w:spacing w:before="0" w:after="0" w:line="240" w:lineRule="auto"/>
        <w:ind w:firstLine="567"/>
        <w:rPr>
          <w:rFonts w:eastAsia="Calibri" w:cs="Times New Roman"/>
          <w:szCs w:val="24"/>
          <w:lang w:val="sl-SI"/>
        </w:rPr>
      </w:pPr>
      <w:r w:rsidRPr="00DD31D5">
        <w:rPr>
          <w:rFonts w:eastAsia="Calibri" w:cs="Times New Roman"/>
          <w:szCs w:val="24"/>
          <w:lang w:val="sl-SI"/>
        </w:rPr>
        <w:tab/>
        <w:t>Trinaesti sastanak Pododbora za trgovinu, industriju, carine i poreze i saradnju sa drugim zemljama kandidatima, održan je 7.oktobra 2020.godine, na kojem se EK osvrnula na Izvještaj o Crnoj Gori u kom se navodi da je Crna Gora  umjereno spremna u oblasti carina, te da je ostvarila određeni  napredak u prethodnoj godini. Posebno je istaknut napredak u dijelu pripreme za pristupanje Konvenciji o zajedničkom procesu tranzita, kao i o sprovođenju Strategije trgovinskih olakšica. Takođe, ukazano je da je stepen usklađenosti Crne Gore sa pravnom tekovinom EU visok.</w:t>
      </w:r>
    </w:p>
    <w:p w:rsidR="00DD31D5" w:rsidRPr="00DD31D5" w:rsidRDefault="00DD31D5" w:rsidP="00433074">
      <w:pPr>
        <w:spacing w:before="0" w:after="0" w:line="240" w:lineRule="auto"/>
        <w:ind w:firstLine="567"/>
        <w:rPr>
          <w:rFonts w:eastAsia="Calibri" w:cs="Times New Roman"/>
          <w:szCs w:val="24"/>
          <w:lang w:val="sl-SI"/>
        </w:rPr>
      </w:pPr>
      <w:r w:rsidRPr="00DD31D5">
        <w:rPr>
          <w:rFonts w:eastAsia="Calibri" w:cs="Times New Roman"/>
          <w:szCs w:val="24"/>
          <w:lang w:val="sl-SI"/>
        </w:rPr>
        <w:t>Deseti sastanak Odbora za stabilizaciju i pridruživanje, održan je u formi video konferencije 4. decembra 2020, na kojem je istaknuto da će Uprava carina i u periodu koji predstoji nastaviti sa sprovođenjem neophodnih aktivnosti u cilju jačanja borbe protiv ilegalnog prometa roba na cjelokupnom carinskom području Crne Gore. Takođe, ukazano je da će Uprava carina u saradnji s partnerima iz EU nastaviti s aktivnostima koje se odnose na jačanje kapaciteta, sprovođenje Strategije trgovinskih olakšica i razvoju IT sistema kako bi ispunila mjerila u pregovaračkom poglavlju 29.</w:t>
      </w:r>
    </w:p>
    <w:p w:rsidR="00DD31D5" w:rsidRPr="00DD31D5" w:rsidRDefault="00DD31D5" w:rsidP="00433074">
      <w:pPr>
        <w:spacing w:before="0" w:after="0" w:line="240" w:lineRule="auto"/>
        <w:ind w:firstLine="567"/>
        <w:rPr>
          <w:rFonts w:eastAsia="Calibri" w:cs="Times New Roman"/>
          <w:szCs w:val="24"/>
          <w:lang w:val="sl-SI"/>
        </w:rPr>
      </w:pPr>
      <w:r w:rsidRPr="00DD31D5">
        <w:rPr>
          <w:rFonts w:eastAsia="Calibri" w:cs="Times New Roman"/>
          <w:szCs w:val="24"/>
          <w:lang w:val="sl-SI"/>
        </w:rPr>
        <w:t>Izvještaj o napretku Crne Gore u procesu EU integracija u 2020 godini za Poglavlje 29: Carinska unija, konstatovao je visok stepen usklađenosti carinskog zakonodavstva sa pravnom tekovinom EU. Napredak je konstatovan u mnogim oblastima carine, a posebno  u implementaciji NCTS projekta; Projekta za akcize; Projekta za inspekcijski nadzor; Jačanju naknadne kontrole; Zaštiti prava intelektualne svojine; Pojačanom nadzoru u Luci Bar, uključujući i zajedničke akcije sa policijom; Jačanju kapaciteta u finansijskim istragama; Integritetu carinskih službenika i jačanju mjera protiv korupcije, itd. U dijelu izvještaja koji se odnosi na Poglavlje 24, istaknuti su pojačani napori  u sprovođenju zakona i unaprijeđena saradnja Uprave carina sa EU i međunarodnim partnerima, što je jedan od fokusa rada Uprave carina.</w:t>
      </w:r>
    </w:p>
    <w:p w:rsidR="00DD31D5" w:rsidRPr="00DD31D5" w:rsidRDefault="00DD31D5" w:rsidP="00433074">
      <w:pPr>
        <w:spacing w:before="0" w:after="0" w:line="240" w:lineRule="auto"/>
        <w:ind w:firstLine="708"/>
        <w:rPr>
          <w:rFonts w:eastAsia="Calibri" w:cs="Times New Roman"/>
          <w:szCs w:val="24"/>
          <w:shd w:val="clear" w:color="auto" w:fill="FFFFFF"/>
          <w:lang w:val="en-US"/>
        </w:rPr>
      </w:pPr>
      <w:r w:rsidRPr="00DD31D5">
        <w:rPr>
          <w:rFonts w:eastAsia="Calibri" w:cs="Times New Roman"/>
          <w:szCs w:val="24"/>
          <w:shd w:val="clear" w:color="auto" w:fill="FFFFFF"/>
          <w:lang w:val="en-US"/>
        </w:rPr>
        <w:t xml:space="preserve">Nastavljeno je praćenje izmjena carinskih propisa na nivou EU i u skladu sa tim usklađivanje carinskog zakonodavstva radi primjene evropskih standarda u ovoj oblasti. Donešena je Uredba o carinskoj tarifi za 2020.g. kojom su usklađene carinske stope sa obavezama koje proističu iz Sporazuma koje je Crna Gora zaključila.  </w:t>
      </w:r>
      <w:r w:rsidRPr="00DD31D5">
        <w:rPr>
          <w:rFonts w:eastAsia="Calibri" w:cs="Times New Roman"/>
          <w:szCs w:val="24"/>
          <w:shd w:val="clear" w:color="auto" w:fill="FFFFFF"/>
          <w:lang w:val="en-US"/>
        </w:rPr>
        <w:tab/>
      </w:r>
    </w:p>
    <w:p w:rsidR="00DD31D5" w:rsidRPr="00DD31D5" w:rsidRDefault="00DD31D5" w:rsidP="00433074">
      <w:pPr>
        <w:spacing w:before="0" w:after="0" w:line="240" w:lineRule="auto"/>
        <w:ind w:firstLine="708"/>
        <w:rPr>
          <w:rFonts w:eastAsia="Calibri" w:cs="Times New Roman"/>
          <w:szCs w:val="24"/>
          <w:shd w:val="clear" w:color="auto" w:fill="FFFFFF"/>
          <w:lang w:val="en-US"/>
        </w:rPr>
      </w:pPr>
      <w:r w:rsidRPr="00DD31D5">
        <w:rPr>
          <w:rFonts w:eastAsia="Calibri" w:cs="Times New Roman"/>
          <w:szCs w:val="24"/>
          <w:shd w:val="clear" w:color="auto" w:fill="FFFFFF"/>
          <w:lang w:val="en-US"/>
        </w:rPr>
        <w:t>Službenici Uprave carina i Ministarstva finansija i socijalnog staranja su, uz tehničku pomoć GIZ-a, pripremili nacrt novog Carinskog zakona, koji će biti usklađen s Carinskim</w:t>
      </w:r>
      <w:r w:rsidR="00A27A45">
        <w:rPr>
          <w:rFonts w:eastAsia="Calibri" w:cs="Times New Roman"/>
          <w:szCs w:val="24"/>
          <w:shd w:val="clear" w:color="auto" w:fill="FFFFFF"/>
          <w:lang w:val="en-US"/>
        </w:rPr>
        <w:t xml:space="preserve"> zakonikom Unije. Sekretarijat </w:t>
      </w:r>
      <w:r w:rsidRPr="00DD31D5">
        <w:rPr>
          <w:rFonts w:eastAsia="Calibri" w:cs="Times New Roman"/>
          <w:szCs w:val="24"/>
          <w:shd w:val="clear" w:color="auto" w:fill="FFFFFF"/>
          <w:lang w:val="en-US"/>
        </w:rPr>
        <w:t>za zakonodavstvo je dao pozitivno mišljenj</w:t>
      </w:r>
      <w:r w:rsidR="00A27A45">
        <w:rPr>
          <w:rFonts w:eastAsia="Calibri" w:cs="Times New Roman"/>
          <w:szCs w:val="24"/>
          <w:shd w:val="clear" w:color="auto" w:fill="FFFFFF"/>
          <w:lang w:val="en-US"/>
        </w:rPr>
        <w:t xml:space="preserve">e krajem 2020.godine i isti će, nakon </w:t>
      </w:r>
      <w:r w:rsidRPr="00DD31D5">
        <w:rPr>
          <w:rFonts w:eastAsia="Calibri" w:cs="Times New Roman"/>
          <w:szCs w:val="24"/>
          <w:shd w:val="clear" w:color="auto" w:fill="FFFFFF"/>
          <w:lang w:val="en-US"/>
        </w:rPr>
        <w:t>konsultacija s relevantnim ministarstvima, biti poslat Evropskoj komisiji na mišljenje. U susret novinama koje donosi novi Carinski zakon, u Privrednoj komori Crne Gore, na sjednici Odbora udruženja špeditera, održanoj 10.03.2020. godine, su iste predstavljene kako bi se privredni subjekti blagovremeno upoznali i pripremili za primjenu Zakona. Najznačajnija novina u Zakonu je prelazak na bespapirno poslovanje, što će ubrzati carinske procedure i smanjiti troškove privrednicima. Novim Zakonom će biti unaprijeđena komunikacija između carinske službe i privrednih subjekata, koja će se obavljati elektronskim putem, što će svakako doprinijeti većoj pravnoj sigurnosti, pojednostavljenju, modernizaciji i racionalizaciji carinskih procedura u skladu sa savremenim potrebama. Za punu primjenu novog Carinskog zakona potrebno je razviti nove i nadograditi postojeće IT sisteme, što zahtjeva izvjesno vrijeme, te će se primjena odredbi koje regulišu upotrebu elektronskih sistema koji ne budu bili operativni, odložiti do njihovog uspostavljanja, što je praksa i u EU.</w:t>
      </w:r>
    </w:p>
    <w:p w:rsidR="00DD31D5" w:rsidRPr="00DD31D5" w:rsidRDefault="00DD31D5" w:rsidP="00433074">
      <w:pPr>
        <w:spacing w:before="0" w:after="0" w:line="240" w:lineRule="auto"/>
        <w:ind w:firstLine="708"/>
        <w:rPr>
          <w:rFonts w:eastAsia="Calibri" w:cs="Times New Roman"/>
          <w:szCs w:val="24"/>
          <w:shd w:val="clear" w:color="auto" w:fill="FFFFFF"/>
          <w:lang w:val="en-US"/>
        </w:rPr>
      </w:pPr>
      <w:r w:rsidRPr="00DD31D5">
        <w:rPr>
          <w:rFonts w:eastAsia="Calibri" w:cs="Times New Roman"/>
          <w:szCs w:val="24"/>
          <w:shd w:val="clear" w:color="auto" w:fill="FFFFFF"/>
          <w:lang w:val="en-US"/>
        </w:rPr>
        <w:lastRenderedPageBreak/>
        <w:t xml:space="preserve">Radi potpune primjene Carinskog zakona, Ministarstvo finansija i socijalnog staranja i Uprava carina su započele rad na novoj Uredbi za sprovođenje Carinskog zakona, uz tehničku pomoć GIZ-a, koji je angažovao eksperte iz Ministarstva finansija i Uprave carina Republike Srbije. </w:t>
      </w:r>
    </w:p>
    <w:p w:rsidR="00DD31D5" w:rsidRPr="00DD31D5" w:rsidRDefault="00DD31D5" w:rsidP="00433074">
      <w:pPr>
        <w:spacing w:before="0" w:after="0" w:line="240" w:lineRule="auto"/>
        <w:ind w:firstLine="708"/>
        <w:rPr>
          <w:rFonts w:eastAsia="Calibri" w:cs="Times New Roman"/>
          <w:szCs w:val="24"/>
          <w:shd w:val="clear" w:color="auto" w:fill="FFFFFF"/>
          <w:lang w:val="en-US"/>
        </w:rPr>
      </w:pPr>
      <w:r w:rsidRPr="00DD31D5">
        <w:rPr>
          <w:rFonts w:eastAsia="Calibri" w:cs="Times New Roman"/>
          <w:szCs w:val="24"/>
          <w:shd w:val="clear" w:color="auto" w:fill="FFFFFF"/>
          <w:lang w:val="en-US"/>
        </w:rPr>
        <w:t>Zakon o izmjenama i dopunama Zakona o akcizama je stupio na snagu 05.08.2020.</w:t>
      </w:r>
      <w:r w:rsidR="00A27A45">
        <w:rPr>
          <w:rFonts w:eastAsia="Calibri" w:cs="Times New Roman"/>
          <w:szCs w:val="24"/>
          <w:shd w:val="clear" w:color="auto" w:fill="FFFFFF"/>
          <w:lang w:val="en-US"/>
        </w:rPr>
        <w:t xml:space="preserve"> </w:t>
      </w:r>
      <w:r w:rsidRPr="00DD31D5">
        <w:rPr>
          <w:rFonts w:eastAsia="Calibri" w:cs="Times New Roman"/>
          <w:szCs w:val="24"/>
          <w:shd w:val="clear" w:color="auto" w:fill="FFFFFF"/>
          <w:lang w:val="en-US"/>
        </w:rPr>
        <w:t>godine. Ovim Zakonom je izvršena izmjena člana 36a tako da su u slučaju promjene visine akcize akciznih proizvoda, proizvođači, uvoznici kao i lica koja obavljaju trgovinu na veliko, i/ili trgovinu na malo, a imaju na zalihama akcizne proizvode, dužni da izvrše popis zaliha tih proizvoda. Međutim, lica koja obavljaju trgovinu na malo duvanskih proizvoda, nijesu u obavezi da vrše popis zaliha u slučaju promjene visine akcize. Zakonom su smanjene stope akcize za: etil alkohol, tečnosti za punjenje elektronskih cigareta i gaziranu vodu. Takođe, članom 16 je objedinjena namjena korišćenja za tečni naftni gas (TNG), umjesto dosadašnje dvije „za industrijske i komercijalne svrhe“ i „grijanje“ u jednu „za industrijske i komercijalne svrhe i grijanje“. Ovim Zakonom izraz „nesagorijevajući duvan“ je zamijenjen novim izrazom „bezdimni duvanski proizvodi“, dok je izraz „srednja alkoholna pića“ zamijenjen izrazom „Međuproizvodi“, a uvedeni su i instituti „Informacioni sistem za elektronsku razmjenu podataka podataka o akcizama” i “mali proizvođač piva”.</w:t>
      </w:r>
    </w:p>
    <w:p w:rsidR="00DD31D5" w:rsidRPr="00DD31D5" w:rsidRDefault="00DD31D5" w:rsidP="00433074">
      <w:pPr>
        <w:spacing w:before="0" w:after="0" w:line="240" w:lineRule="auto"/>
        <w:ind w:firstLine="708"/>
        <w:rPr>
          <w:rFonts w:eastAsia="Calibri" w:cs="Times New Roman"/>
          <w:szCs w:val="24"/>
          <w:shd w:val="clear" w:color="auto" w:fill="FFFFFF"/>
          <w:lang w:val="en-US"/>
        </w:rPr>
      </w:pPr>
      <w:r w:rsidRPr="00DD31D5">
        <w:rPr>
          <w:rFonts w:eastAsia="Calibri" w:cs="Times New Roman"/>
          <w:szCs w:val="24"/>
          <w:shd w:val="clear" w:color="auto" w:fill="FFFFFF"/>
          <w:lang w:val="en-US"/>
        </w:rPr>
        <w:t>Nastavljena je primjena Protokola 3 Sporazuma o stabilizaciji i pridruživanju koji se odnosi na definiciju pojma “proizvodi sa porijeklom” i metode administrativne saradnje, ukl</w:t>
      </w:r>
      <w:r w:rsidR="0065427D">
        <w:rPr>
          <w:rFonts w:eastAsia="Calibri" w:cs="Times New Roman"/>
          <w:szCs w:val="24"/>
          <w:shd w:val="clear" w:color="auto" w:fill="FFFFFF"/>
          <w:lang w:val="en-US"/>
        </w:rPr>
        <w:t xml:space="preserve">jučujući pravnu vezu Priloga I </w:t>
      </w:r>
      <w:r w:rsidRPr="00DD31D5">
        <w:rPr>
          <w:rFonts w:eastAsia="Calibri" w:cs="Times New Roman"/>
          <w:szCs w:val="24"/>
          <w:shd w:val="clear" w:color="auto" w:fill="FFFFFF"/>
          <w:lang w:val="en-US"/>
        </w:rPr>
        <w:t>Regionalne konvencije o Pen-Euro-Mediteranskim preferncijalnim pravilima o porijeklu robe. Bez poteškoća se sprovode i odredbe Protokola o uzajamnoj pomoći u carinskim pitanjima – Protokol IV.</w:t>
      </w:r>
    </w:p>
    <w:p w:rsidR="00DD31D5" w:rsidRPr="00DD31D5" w:rsidRDefault="00DD31D5" w:rsidP="00433074">
      <w:pPr>
        <w:spacing w:before="0" w:after="0" w:line="240" w:lineRule="auto"/>
        <w:ind w:firstLine="708"/>
        <w:rPr>
          <w:rFonts w:eastAsia="Calibri" w:cs="Times New Roman"/>
          <w:szCs w:val="24"/>
          <w:shd w:val="clear" w:color="auto" w:fill="FFFFFF"/>
          <w:lang w:val="en-US"/>
        </w:rPr>
      </w:pPr>
      <w:r w:rsidRPr="00DD31D5">
        <w:rPr>
          <w:rFonts w:eastAsia="Calibri" w:cs="Times New Roman"/>
          <w:szCs w:val="24"/>
          <w:shd w:val="clear" w:color="auto" w:fill="FFFFFF"/>
          <w:lang w:val="en-US"/>
        </w:rPr>
        <w:t>Ugovorne strane PEM konvencije su iskazale zainteresovanost za primjenu prelaznih pravila (pravila iz revidirane PEM konvencije) o porijeklu robe u bilateralnim sporazumima o slobodnoj trgovini, na sastanku održanom 05.02.2020.</w:t>
      </w:r>
      <w:r w:rsidR="0065427D">
        <w:rPr>
          <w:rFonts w:eastAsia="Calibri" w:cs="Times New Roman"/>
          <w:szCs w:val="24"/>
          <w:shd w:val="clear" w:color="auto" w:fill="FFFFFF"/>
          <w:lang w:val="en-US"/>
        </w:rPr>
        <w:t xml:space="preserve"> </w:t>
      </w:r>
      <w:r w:rsidRPr="00DD31D5">
        <w:rPr>
          <w:rFonts w:eastAsia="Calibri" w:cs="Times New Roman"/>
          <w:szCs w:val="24"/>
          <w:shd w:val="clear" w:color="auto" w:fill="FFFFFF"/>
          <w:lang w:val="en-US"/>
        </w:rPr>
        <w:t>godine u Briselu, sa DG TAXUD-om. Crna Gora je podržala izmjene bilateralnih sporazuma o slobodnoj trgovini. Nakon sastanka je nastavljena komunikacija sa DG TAXUD-om vezano za primjenu prelaznih pravila (pravila iz revidirane PEM konvencije) o porijeklu robe u bilateralnim sporazumima o slobodnoj trgovini. Inicirana je izmjena Sporazuma o slobodnoj trgovini između Vlade Crne Gore i Vlade Ukrajine u cilju stvaranja pravne veze sa PEM konvencijom. Inicijativa će biti upućena Ministarstvu ekonomije na dalju nadležnost.</w:t>
      </w:r>
    </w:p>
    <w:p w:rsidR="00DD31D5" w:rsidRPr="00DD31D5" w:rsidRDefault="00DD31D5" w:rsidP="00433074">
      <w:pPr>
        <w:spacing w:before="0" w:after="0" w:line="240" w:lineRule="auto"/>
        <w:ind w:firstLine="708"/>
        <w:rPr>
          <w:rFonts w:eastAsia="Calibri" w:cs="Times New Roman"/>
          <w:szCs w:val="24"/>
          <w:shd w:val="clear" w:color="auto" w:fill="FFFFFF"/>
          <w:lang w:val="en-US"/>
        </w:rPr>
      </w:pPr>
      <w:r w:rsidRPr="00DD31D5">
        <w:rPr>
          <w:rFonts w:eastAsia="Calibri" w:cs="Times New Roman"/>
          <w:szCs w:val="24"/>
          <w:shd w:val="clear" w:color="auto" w:fill="FFFFFF"/>
          <w:lang w:val="en-US"/>
        </w:rPr>
        <w:t>Nastavljena je komunikacija sa EFTA Sekretarijatom u vezi izmjene sporazuma o slobodnoj trgovini između Crne Gore i EFTA država, za dio sporazuma iz nadležnosti Uprave carina.</w:t>
      </w:r>
    </w:p>
    <w:p w:rsidR="00DD31D5" w:rsidRPr="00DD31D5" w:rsidRDefault="00DD31D5" w:rsidP="00433074">
      <w:pPr>
        <w:spacing w:before="0" w:after="0" w:line="240" w:lineRule="auto"/>
        <w:ind w:firstLine="708"/>
        <w:rPr>
          <w:rFonts w:eastAsia="Calibri" w:cs="Times New Roman"/>
          <w:szCs w:val="24"/>
          <w:shd w:val="clear" w:color="auto" w:fill="FFFFFF"/>
          <w:lang w:val="en-US"/>
        </w:rPr>
      </w:pPr>
      <w:r w:rsidRPr="00DD31D5">
        <w:rPr>
          <w:rFonts w:eastAsia="Calibri" w:cs="Times New Roman"/>
          <w:szCs w:val="24"/>
          <w:shd w:val="clear" w:color="auto" w:fill="FFFFFF"/>
          <w:lang w:val="en-US"/>
        </w:rPr>
        <w:t>Ministarstvu vanjskih poslova je dostavljeno mišljenje na inovirani tekst Sporazuma o trgovini, partnerstvu i saradnji sa Ujedinjenim kraljevstvom, za dio sporazuma iz nadležnosti Uprave carina (uzajamna carinska saradnja i Protokol o pravilima porijekla i metodama administrativne saradnje).</w:t>
      </w:r>
    </w:p>
    <w:p w:rsidR="00DD31D5" w:rsidRPr="00DD31D5" w:rsidRDefault="00DD31D5" w:rsidP="00433074">
      <w:pPr>
        <w:spacing w:before="0" w:after="0" w:line="240" w:lineRule="auto"/>
        <w:ind w:firstLine="708"/>
        <w:rPr>
          <w:rFonts w:eastAsia="Calibri" w:cs="Times New Roman"/>
          <w:szCs w:val="24"/>
          <w:shd w:val="clear" w:color="auto" w:fill="FFFFFF"/>
          <w:lang w:val="en-US"/>
        </w:rPr>
      </w:pPr>
      <w:r w:rsidRPr="00DD31D5">
        <w:rPr>
          <w:rFonts w:eastAsia="Calibri" w:cs="Times New Roman"/>
          <w:szCs w:val="24"/>
          <w:shd w:val="clear" w:color="auto" w:fill="FFFFFF"/>
          <w:lang w:val="en-US"/>
        </w:rPr>
        <w:t xml:space="preserve">Uprava carina je uključena u rad na izradi Nacionalne strategije intelektualne svojine Crne Gore za naredni četvorogodišnji period, kojim koordinira Ministarstvo ekonomskog razvoja, uz angažovane eksperte iz Svjetske organizacije za intelektualnu svojinu (WIPO). </w:t>
      </w:r>
    </w:p>
    <w:p w:rsidR="00DD31D5" w:rsidRPr="00DD31D5" w:rsidRDefault="00DD31D5" w:rsidP="00433074">
      <w:pPr>
        <w:spacing w:before="0" w:after="0" w:line="240" w:lineRule="auto"/>
        <w:ind w:firstLine="708"/>
        <w:rPr>
          <w:rFonts w:eastAsia="Calibri" w:cs="Times New Roman"/>
          <w:szCs w:val="24"/>
          <w:shd w:val="clear" w:color="auto" w:fill="FFFFFF"/>
          <w:lang w:val="en-US"/>
        </w:rPr>
      </w:pPr>
      <w:r w:rsidRPr="00DD31D5">
        <w:rPr>
          <w:rFonts w:eastAsia="Calibri" w:cs="Times New Roman"/>
          <w:szCs w:val="24"/>
          <w:shd w:val="clear" w:color="auto" w:fill="FFFFFF"/>
          <w:lang w:val="en-US"/>
        </w:rPr>
        <w:t>Tokom godine, Uprava carina je dala mišljenja na veliki broj posebnih propisa koji se odnose na različite oblasti (dozvole za uvoz i izvoz roba, tržišni nadzor, naoružanje, ozonski omotač, invazivne strane vrste i dr.)</w:t>
      </w:r>
    </w:p>
    <w:p w:rsidR="00DD31D5" w:rsidRPr="00DD31D5" w:rsidRDefault="00DD31D5" w:rsidP="00DD31D5">
      <w:pPr>
        <w:spacing w:before="0" w:after="0" w:line="240" w:lineRule="auto"/>
        <w:ind w:firstLine="708"/>
        <w:rPr>
          <w:rFonts w:ascii="Times New Roman" w:eastAsia="Calibri" w:hAnsi="Times New Roman" w:cs="Times New Roman"/>
          <w:szCs w:val="24"/>
          <w:shd w:val="clear" w:color="auto" w:fill="FFFFFF"/>
          <w:lang w:val="en-US"/>
        </w:rPr>
      </w:pPr>
    </w:p>
    <w:p w:rsidR="00DD31D5" w:rsidRPr="00DD31D5" w:rsidRDefault="00E04B44" w:rsidP="00DD31D5">
      <w:pPr>
        <w:shd w:val="clear" w:color="auto" w:fill="FFFFFF"/>
        <w:spacing w:before="0" w:after="0" w:line="240" w:lineRule="auto"/>
        <w:ind w:right="4"/>
        <w:rPr>
          <w:rFonts w:ascii="Times New Roman" w:eastAsia="Times New Roman" w:hAnsi="Times New Roman" w:cs="Times New Roman"/>
          <w:i/>
          <w:color w:val="000000"/>
          <w:sz w:val="22"/>
          <w:szCs w:val="24"/>
          <w:lang w:val="sl-SI"/>
        </w:rPr>
      </w:pPr>
      <w:r>
        <w:rPr>
          <w:rFonts w:ascii="Times New Roman" w:eastAsia="Times New Roman" w:hAnsi="Times New Roman" w:cs="Times New Roman"/>
          <w:b/>
          <w:color w:val="000000"/>
          <w:sz w:val="22"/>
          <w:szCs w:val="24"/>
          <w:lang w:val="sl-SI"/>
        </w:rPr>
        <w:t xml:space="preserve">                                 </w:t>
      </w:r>
      <w:r w:rsidR="00DD31D5" w:rsidRPr="00DD31D5">
        <w:rPr>
          <w:rFonts w:ascii="Times New Roman" w:eastAsia="Times New Roman" w:hAnsi="Times New Roman" w:cs="Times New Roman"/>
          <w:b/>
          <w:color w:val="000000"/>
          <w:sz w:val="22"/>
          <w:szCs w:val="24"/>
          <w:lang w:val="sl-SI"/>
        </w:rPr>
        <w:t>Tabela 5:</w:t>
      </w:r>
      <w:r w:rsidR="00DD31D5" w:rsidRPr="00DD31D5">
        <w:rPr>
          <w:rFonts w:ascii="Times New Roman" w:eastAsia="Times New Roman" w:hAnsi="Times New Roman" w:cs="Times New Roman"/>
          <w:color w:val="000000"/>
          <w:sz w:val="22"/>
          <w:szCs w:val="24"/>
          <w:lang w:val="sl-SI"/>
        </w:rPr>
        <w:t>Pregled usvojenih zakona, uredbi, pravilnika u 2020.g.</w:t>
      </w:r>
    </w:p>
    <w:tbl>
      <w:tblPr>
        <w:tblStyle w:val="MediumGrid3-Accent1"/>
        <w:tblW w:w="9639" w:type="dxa"/>
        <w:tblLook w:val="04A0" w:firstRow="1" w:lastRow="0" w:firstColumn="1" w:lastColumn="0" w:noHBand="0" w:noVBand="1"/>
      </w:tblPr>
      <w:tblGrid>
        <w:gridCol w:w="1194"/>
        <w:gridCol w:w="5469"/>
        <w:gridCol w:w="2976"/>
      </w:tblGrid>
      <w:tr w:rsidR="00DD31D5" w:rsidRPr="00DD31D5" w:rsidTr="00433074">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194" w:type="dxa"/>
            <w:hideMark/>
          </w:tcPr>
          <w:p w:rsidR="00DD31D5" w:rsidRPr="00DD31D5" w:rsidRDefault="00DD31D5" w:rsidP="00DD31D5">
            <w:pPr>
              <w:spacing w:before="0" w:after="0" w:line="240" w:lineRule="auto"/>
              <w:jc w:val="center"/>
              <w:textAlignment w:val="baseline"/>
              <w:rPr>
                <w:rFonts w:ascii="Times New Roman" w:eastAsia="Times New Roman" w:hAnsi="Times New Roman"/>
                <w:sz w:val="20"/>
              </w:rPr>
            </w:pPr>
            <w:r w:rsidRPr="00DD31D5">
              <w:rPr>
                <w:rFonts w:ascii="Times New Roman" w:eastAsia="Times New Roman" w:hAnsi="Times New Roman"/>
                <w:sz w:val="20"/>
                <w:lang w:val="hr-HR"/>
              </w:rPr>
              <w:t>R.BROJ</w:t>
            </w:r>
          </w:p>
        </w:tc>
        <w:tc>
          <w:tcPr>
            <w:tcW w:w="5469" w:type="dxa"/>
            <w:hideMark/>
          </w:tcPr>
          <w:p w:rsidR="00DD31D5" w:rsidRPr="00DD31D5" w:rsidRDefault="00DD31D5" w:rsidP="00DD31D5">
            <w:pPr>
              <w:spacing w:before="0" w:after="0"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rPr>
            </w:pPr>
            <w:r w:rsidRPr="00DD31D5">
              <w:rPr>
                <w:rFonts w:ascii="Times New Roman" w:eastAsia="Times New Roman" w:hAnsi="Times New Roman"/>
                <w:sz w:val="20"/>
              </w:rPr>
              <w:t>Pregled usvojenih zakona</w:t>
            </w:r>
          </w:p>
        </w:tc>
        <w:tc>
          <w:tcPr>
            <w:tcW w:w="2976" w:type="dxa"/>
            <w:hideMark/>
          </w:tcPr>
          <w:p w:rsidR="00DD31D5" w:rsidRPr="00DD31D5" w:rsidRDefault="00DD31D5" w:rsidP="00DD31D5">
            <w:pPr>
              <w:spacing w:before="0" w:after="0"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rPr>
            </w:pPr>
            <w:r w:rsidRPr="00DD31D5">
              <w:rPr>
                <w:rFonts w:ascii="Times New Roman" w:eastAsia="Times New Roman" w:hAnsi="Times New Roman"/>
                <w:sz w:val="20"/>
                <w:lang w:val="hr-HR"/>
              </w:rPr>
              <w:t>Broj Sl.</w:t>
            </w:r>
          </w:p>
        </w:tc>
      </w:tr>
      <w:tr w:rsidR="00DD31D5" w:rsidRPr="00DD31D5" w:rsidTr="00433074">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1194" w:type="dxa"/>
            <w:hideMark/>
          </w:tcPr>
          <w:p w:rsidR="00DD31D5" w:rsidRPr="00DD31D5" w:rsidRDefault="00DD31D5" w:rsidP="00DD31D5">
            <w:pPr>
              <w:spacing w:before="0" w:after="0" w:line="240" w:lineRule="auto"/>
              <w:jc w:val="center"/>
              <w:textAlignment w:val="baseline"/>
              <w:rPr>
                <w:rFonts w:ascii="Times New Roman" w:eastAsia="Times New Roman" w:hAnsi="Times New Roman"/>
                <w:sz w:val="20"/>
              </w:rPr>
            </w:pPr>
            <w:r w:rsidRPr="00DD31D5">
              <w:rPr>
                <w:rFonts w:ascii="Times New Roman" w:eastAsia="Times New Roman" w:hAnsi="Times New Roman"/>
                <w:sz w:val="20"/>
                <w:lang w:val="hr-HR"/>
              </w:rPr>
              <w:t>1.</w:t>
            </w:r>
          </w:p>
        </w:tc>
        <w:tc>
          <w:tcPr>
            <w:tcW w:w="5469" w:type="dxa"/>
            <w:hideMark/>
          </w:tcPr>
          <w:p w:rsidR="00DD31D5" w:rsidRPr="00DD31D5" w:rsidRDefault="00DD31D5" w:rsidP="00DD31D5">
            <w:pPr>
              <w:spacing w:before="0" w:after="0" w:line="240" w:lineRule="auto"/>
              <w:jc w:val="left"/>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rPr>
            </w:pPr>
            <w:r w:rsidRPr="00DD31D5">
              <w:rPr>
                <w:rFonts w:ascii="Times New Roman" w:eastAsia="Times New Roman" w:hAnsi="Times New Roman"/>
                <w:color w:val="000000"/>
                <w:sz w:val="20"/>
                <w:lang w:val="hr-HR"/>
              </w:rPr>
              <w:t> Zakon o akcizama</w:t>
            </w:r>
          </w:p>
        </w:tc>
        <w:tc>
          <w:tcPr>
            <w:tcW w:w="2976" w:type="dxa"/>
            <w:hideMark/>
          </w:tcPr>
          <w:p w:rsidR="00DD31D5" w:rsidRPr="00DD31D5" w:rsidRDefault="00DD31D5" w:rsidP="00DD31D5">
            <w:pPr>
              <w:spacing w:before="0" w:after="0"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rPr>
            </w:pPr>
            <w:r w:rsidRPr="00DD31D5">
              <w:rPr>
                <w:rFonts w:ascii="Times New Roman" w:eastAsia="Times New Roman" w:hAnsi="Times New Roman"/>
                <w:color w:val="000000"/>
                <w:sz w:val="20"/>
                <w:lang w:val="hr-HR"/>
              </w:rPr>
              <w:t xml:space="preserve">Sl.list br. 76/20 </w:t>
            </w:r>
          </w:p>
        </w:tc>
      </w:tr>
      <w:tr w:rsidR="00DD31D5" w:rsidRPr="00DD31D5" w:rsidTr="00433074">
        <w:trPr>
          <w:trHeight w:val="444"/>
        </w:trPr>
        <w:tc>
          <w:tcPr>
            <w:cnfStyle w:val="001000000000" w:firstRow="0" w:lastRow="0" w:firstColumn="1" w:lastColumn="0" w:oddVBand="0" w:evenVBand="0" w:oddHBand="0" w:evenHBand="0" w:firstRowFirstColumn="0" w:firstRowLastColumn="0" w:lastRowFirstColumn="0" w:lastRowLastColumn="0"/>
            <w:tcW w:w="1194" w:type="dxa"/>
            <w:hideMark/>
          </w:tcPr>
          <w:p w:rsidR="00DD31D5" w:rsidRPr="00DD31D5" w:rsidRDefault="00DD31D5" w:rsidP="00DD31D5">
            <w:pPr>
              <w:spacing w:before="0" w:after="0" w:line="240" w:lineRule="auto"/>
              <w:jc w:val="center"/>
              <w:textAlignment w:val="baseline"/>
              <w:rPr>
                <w:rFonts w:ascii="Times New Roman" w:eastAsia="Times New Roman" w:hAnsi="Times New Roman"/>
                <w:sz w:val="20"/>
              </w:rPr>
            </w:pPr>
            <w:r w:rsidRPr="00DD31D5">
              <w:rPr>
                <w:rFonts w:ascii="Times New Roman" w:eastAsia="Times New Roman" w:hAnsi="Times New Roman"/>
                <w:sz w:val="20"/>
                <w:lang w:val="hr-HR"/>
              </w:rPr>
              <w:t>2.</w:t>
            </w:r>
          </w:p>
        </w:tc>
        <w:tc>
          <w:tcPr>
            <w:tcW w:w="5469" w:type="dxa"/>
            <w:hideMark/>
          </w:tcPr>
          <w:p w:rsidR="00DD31D5" w:rsidRPr="00DD31D5" w:rsidRDefault="00DD31D5" w:rsidP="00DD31D5">
            <w:pPr>
              <w:spacing w:before="0" w:after="0" w:line="240" w:lineRule="auto"/>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rPr>
            </w:pPr>
            <w:r w:rsidRPr="00DD31D5">
              <w:rPr>
                <w:rFonts w:ascii="Times New Roman" w:eastAsia="Times New Roman" w:hAnsi="Times New Roman"/>
                <w:color w:val="000000"/>
                <w:sz w:val="20"/>
                <w:lang w:val="hr-HR"/>
              </w:rPr>
              <w:t> Zakon o porezu na dodatu vrijednost</w:t>
            </w:r>
          </w:p>
        </w:tc>
        <w:tc>
          <w:tcPr>
            <w:tcW w:w="2976" w:type="dxa"/>
            <w:hideMark/>
          </w:tcPr>
          <w:p w:rsidR="00DD31D5" w:rsidRPr="00DD31D5" w:rsidRDefault="00DD31D5" w:rsidP="00DD31D5">
            <w:pPr>
              <w:spacing w:before="0"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rPr>
            </w:pPr>
            <w:r w:rsidRPr="00DD31D5">
              <w:rPr>
                <w:rFonts w:ascii="Times New Roman" w:eastAsia="Times New Roman" w:hAnsi="Times New Roman"/>
                <w:color w:val="000000"/>
                <w:sz w:val="20"/>
                <w:lang w:val="hr-HR"/>
              </w:rPr>
              <w:t>Sl.list br. 80/20</w:t>
            </w:r>
          </w:p>
        </w:tc>
      </w:tr>
      <w:tr w:rsidR="00DD31D5" w:rsidRPr="00DD31D5" w:rsidTr="00433074">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1194" w:type="dxa"/>
            <w:noWrap/>
            <w:hideMark/>
          </w:tcPr>
          <w:p w:rsidR="00DD31D5" w:rsidRPr="00DD31D5" w:rsidRDefault="00DD31D5" w:rsidP="00DD31D5">
            <w:pPr>
              <w:spacing w:before="0" w:after="0" w:line="240" w:lineRule="auto"/>
              <w:jc w:val="center"/>
              <w:textAlignment w:val="baseline"/>
              <w:rPr>
                <w:rFonts w:ascii="Times New Roman" w:eastAsia="Times New Roman" w:hAnsi="Times New Roman"/>
                <w:sz w:val="20"/>
              </w:rPr>
            </w:pPr>
            <w:r w:rsidRPr="00DD31D5">
              <w:rPr>
                <w:rFonts w:ascii="Times New Roman" w:eastAsia="Times New Roman" w:hAnsi="Times New Roman"/>
                <w:sz w:val="20"/>
                <w:lang w:val="hr-HR"/>
              </w:rPr>
              <w:t>R.BROJ</w:t>
            </w:r>
          </w:p>
        </w:tc>
        <w:tc>
          <w:tcPr>
            <w:tcW w:w="5469" w:type="dxa"/>
            <w:hideMark/>
          </w:tcPr>
          <w:p w:rsidR="00DD31D5" w:rsidRPr="00DD31D5" w:rsidRDefault="00DD31D5" w:rsidP="00DD31D5">
            <w:pPr>
              <w:spacing w:before="0" w:after="0"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FFFF"/>
                <w:sz w:val="20"/>
              </w:rPr>
            </w:pPr>
            <w:r w:rsidRPr="00DD31D5">
              <w:rPr>
                <w:rFonts w:ascii="Times New Roman" w:eastAsia="Times New Roman" w:hAnsi="Times New Roman"/>
                <w:color w:val="FFFFFF"/>
                <w:sz w:val="20"/>
              </w:rPr>
              <w:t>Pregled usvojenih pravilnika</w:t>
            </w:r>
          </w:p>
        </w:tc>
        <w:tc>
          <w:tcPr>
            <w:tcW w:w="2976" w:type="dxa"/>
            <w:noWrap/>
            <w:hideMark/>
          </w:tcPr>
          <w:p w:rsidR="00DD31D5" w:rsidRPr="00DD31D5" w:rsidRDefault="00DD31D5" w:rsidP="00DD31D5">
            <w:pPr>
              <w:spacing w:before="0" w:after="0"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FFFFFF"/>
                <w:sz w:val="20"/>
              </w:rPr>
            </w:pPr>
            <w:r w:rsidRPr="00DD31D5">
              <w:rPr>
                <w:rFonts w:ascii="Times New Roman" w:eastAsia="Times New Roman" w:hAnsi="Times New Roman"/>
                <w:bCs/>
                <w:color w:val="FFFFFF"/>
                <w:sz w:val="20"/>
                <w:lang w:val="hr-HR"/>
              </w:rPr>
              <w:t>Broj Sl.</w:t>
            </w:r>
          </w:p>
        </w:tc>
      </w:tr>
      <w:tr w:rsidR="00DD31D5" w:rsidRPr="00DD31D5" w:rsidTr="00433074">
        <w:trPr>
          <w:trHeight w:val="216"/>
        </w:trPr>
        <w:tc>
          <w:tcPr>
            <w:cnfStyle w:val="001000000000" w:firstRow="0" w:lastRow="0" w:firstColumn="1" w:lastColumn="0" w:oddVBand="0" w:evenVBand="0" w:oddHBand="0" w:evenHBand="0" w:firstRowFirstColumn="0" w:firstRowLastColumn="0" w:lastRowFirstColumn="0" w:lastRowLastColumn="0"/>
            <w:tcW w:w="1194" w:type="dxa"/>
            <w:noWrap/>
            <w:hideMark/>
          </w:tcPr>
          <w:p w:rsidR="00DD31D5" w:rsidRPr="00DD31D5" w:rsidRDefault="00DD31D5" w:rsidP="00DD31D5">
            <w:pPr>
              <w:spacing w:before="0" w:after="200" w:line="216" w:lineRule="atLeast"/>
              <w:jc w:val="center"/>
              <w:textAlignment w:val="baseline"/>
              <w:rPr>
                <w:rFonts w:ascii="Times New Roman" w:eastAsia="Times New Roman" w:hAnsi="Times New Roman"/>
                <w:sz w:val="20"/>
              </w:rPr>
            </w:pPr>
            <w:r w:rsidRPr="00DD31D5">
              <w:rPr>
                <w:rFonts w:ascii="Times New Roman" w:eastAsia="Times New Roman" w:hAnsi="Times New Roman"/>
                <w:sz w:val="20"/>
                <w:lang w:val="hr-HR"/>
              </w:rPr>
              <w:lastRenderedPageBreak/>
              <w:t>1.</w:t>
            </w:r>
          </w:p>
        </w:tc>
        <w:tc>
          <w:tcPr>
            <w:tcW w:w="5469" w:type="dxa"/>
            <w:hideMark/>
          </w:tcPr>
          <w:p w:rsidR="00DD31D5" w:rsidRPr="00DD31D5" w:rsidRDefault="00DD31D5" w:rsidP="00DD31D5">
            <w:pPr>
              <w:spacing w:before="0" w:after="200" w:line="216" w:lineRule="atLeast"/>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rPr>
            </w:pPr>
            <w:r w:rsidRPr="00DD31D5">
              <w:rPr>
                <w:rFonts w:ascii="Times New Roman" w:eastAsia="Times New Roman" w:hAnsi="Times New Roman"/>
                <w:color w:val="000000"/>
                <w:sz w:val="20"/>
                <w:lang w:val="hr-HR"/>
              </w:rPr>
              <w:t>Pravilnik o izmjeni Pravilnika o posebnim mjerama carinskog nadzora i carinskom postupku za robe koje se koriste za snabdijevanje prevoznih sredstava u međunarodnom saobraćaju</w:t>
            </w:r>
          </w:p>
        </w:tc>
        <w:tc>
          <w:tcPr>
            <w:tcW w:w="2976" w:type="dxa"/>
            <w:noWrap/>
            <w:hideMark/>
          </w:tcPr>
          <w:p w:rsidR="00DD31D5" w:rsidRPr="00DD31D5" w:rsidRDefault="00DD31D5" w:rsidP="00DD31D5">
            <w:pPr>
              <w:spacing w:before="0" w:after="200" w:line="216" w:lineRule="atLeast"/>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rPr>
            </w:pPr>
            <w:r w:rsidRPr="00DD31D5">
              <w:rPr>
                <w:rFonts w:ascii="Times New Roman" w:eastAsia="Times New Roman" w:hAnsi="Times New Roman"/>
                <w:color w:val="000000"/>
                <w:sz w:val="20"/>
                <w:lang w:val="hr-HR"/>
              </w:rPr>
              <w:t>‘’Sl. list CG’’, br. 126/20</w:t>
            </w:r>
          </w:p>
        </w:tc>
      </w:tr>
      <w:tr w:rsidR="00DD31D5" w:rsidRPr="00DD31D5" w:rsidTr="00433074">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1194" w:type="dxa"/>
            <w:noWrap/>
            <w:hideMark/>
          </w:tcPr>
          <w:p w:rsidR="00DD31D5" w:rsidRPr="00DD31D5" w:rsidRDefault="00DD31D5" w:rsidP="00DD31D5">
            <w:pPr>
              <w:spacing w:before="0" w:after="200" w:line="240" w:lineRule="auto"/>
              <w:jc w:val="center"/>
              <w:textAlignment w:val="baseline"/>
              <w:rPr>
                <w:rFonts w:ascii="Times New Roman" w:eastAsia="Times New Roman" w:hAnsi="Times New Roman"/>
                <w:sz w:val="20"/>
              </w:rPr>
            </w:pPr>
            <w:r w:rsidRPr="00DD31D5">
              <w:rPr>
                <w:rFonts w:ascii="Times New Roman" w:eastAsia="Times New Roman" w:hAnsi="Times New Roman"/>
                <w:sz w:val="20"/>
                <w:lang w:val="hr-HR"/>
              </w:rPr>
              <w:t>2.</w:t>
            </w:r>
          </w:p>
        </w:tc>
        <w:tc>
          <w:tcPr>
            <w:tcW w:w="5469" w:type="dxa"/>
            <w:hideMark/>
          </w:tcPr>
          <w:p w:rsidR="00DD31D5" w:rsidRPr="00DD31D5" w:rsidRDefault="00DD31D5" w:rsidP="00DD31D5">
            <w:pPr>
              <w:spacing w:before="0" w:after="200" w:line="240" w:lineRule="auto"/>
              <w:jc w:val="left"/>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lang w:val="hr-HR"/>
              </w:rPr>
            </w:pPr>
            <w:r w:rsidRPr="00DD31D5">
              <w:rPr>
                <w:rFonts w:ascii="Times New Roman" w:eastAsia="Times New Roman" w:hAnsi="Times New Roman"/>
                <w:color w:val="000000"/>
                <w:sz w:val="20"/>
                <w:lang w:val="hr-HR"/>
              </w:rPr>
              <w:t>Pravilnik o bližem načinu funkcionisanja informacionog sistema za elektronsku razmjenu podataka i postupku elektronske razmjene podataka o akcizama</w:t>
            </w:r>
          </w:p>
        </w:tc>
        <w:tc>
          <w:tcPr>
            <w:tcW w:w="2976" w:type="dxa"/>
            <w:noWrap/>
            <w:hideMark/>
          </w:tcPr>
          <w:p w:rsidR="00DD31D5" w:rsidRPr="00DD31D5" w:rsidRDefault="00DD31D5" w:rsidP="00DD31D5">
            <w:pPr>
              <w:spacing w:before="0" w:after="200"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rPr>
            </w:pPr>
            <w:r w:rsidRPr="00DD31D5">
              <w:rPr>
                <w:rFonts w:ascii="Times New Roman" w:eastAsia="Times New Roman" w:hAnsi="Times New Roman"/>
                <w:color w:val="000000"/>
                <w:sz w:val="20"/>
                <w:lang w:val="hr-HR"/>
              </w:rPr>
              <w:t>Sl.list br. 115/20</w:t>
            </w:r>
          </w:p>
        </w:tc>
      </w:tr>
    </w:tbl>
    <w:p w:rsidR="00DD31D5" w:rsidRPr="00DD31D5" w:rsidRDefault="00DD31D5" w:rsidP="00DD31D5">
      <w:pPr>
        <w:spacing w:before="0" w:after="0" w:line="240" w:lineRule="auto"/>
        <w:ind w:firstLine="708"/>
        <w:rPr>
          <w:rFonts w:ascii="Times New Roman" w:eastAsia="Calibri" w:hAnsi="Times New Roman" w:cs="Times New Roman"/>
          <w:szCs w:val="24"/>
          <w:shd w:val="clear" w:color="auto" w:fill="FFFFFF"/>
          <w:lang w:val="en-US"/>
        </w:rPr>
      </w:pPr>
    </w:p>
    <w:p w:rsidR="00DD31D5" w:rsidRPr="00E04B44" w:rsidRDefault="00E04B44" w:rsidP="00E04B44">
      <w:pPr>
        <w:keepNext/>
        <w:keepLines/>
        <w:tabs>
          <w:tab w:val="left" w:pos="4962"/>
        </w:tabs>
        <w:spacing w:before="0" w:after="0" w:line="240" w:lineRule="auto"/>
        <w:ind w:hanging="11"/>
        <w:jc w:val="left"/>
        <w:outlineLvl w:val="2"/>
        <w:rPr>
          <w:rFonts w:eastAsia="Times New Roman" w:cs="Times New Roman"/>
          <w:b/>
          <w:bCs/>
          <w:noProof/>
          <w:color w:val="000000"/>
          <w:szCs w:val="24"/>
        </w:rPr>
      </w:pPr>
      <w:bookmarkStart w:id="29" w:name="_Toc32584041"/>
      <w:bookmarkStart w:id="30" w:name="_Toc32835779"/>
      <w:bookmarkStart w:id="31" w:name="_Toc32835846"/>
      <w:bookmarkStart w:id="32" w:name="_Toc62197136"/>
      <w:bookmarkStart w:id="33" w:name="_Toc62552707"/>
      <w:bookmarkStart w:id="34" w:name="_Toc62813706"/>
      <w:r>
        <w:rPr>
          <w:rFonts w:ascii="Times New Roman" w:eastAsia="Times New Roman" w:hAnsi="Times New Roman" w:cs="Times New Roman"/>
          <w:b/>
          <w:bCs/>
          <w:noProof/>
          <w:color w:val="000000"/>
          <w:sz w:val="22"/>
          <w:szCs w:val="24"/>
        </w:rPr>
        <w:tab/>
        <w:t xml:space="preserve">             </w:t>
      </w:r>
      <w:r w:rsidR="00DD31D5" w:rsidRPr="00E04B44">
        <w:rPr>
          <w:rFonts w:eastAsia="Times New Roman" w:cs="Times New Roman"/>
          <w:b/>
          <w:bCs/>
          <w:noProof/>
          <w:color w:val="000000"/>
          <w:szCs w:val="24"/>
        </w:rPr>
        <w:t>Trgovinske olakšice</w:t>
      </w:r>
      <w:bookmarkEnd w:id="29"/>
      <w:bookmarkEnd w:id="30"/>
      <w:bookmarkEnd w:id="31"/>
      <w:bookmarkEnd w:id="32"/>
      <w:bookmarkEnd w:id="33"/>
      <w:bookmarkEnd w:id="34"/>
    </w:p>
    <w:p w:rsidR="00DD31D5" w:rsidRPr="00E04B44" w:rsidRDefault="00DD31D5" w:rsidP="00E04B44">
      <w:pPr>
        <w:spacing w:before="0" w:after="0" w:line="240" w:lineRule="auto"/>
        <w:ind w:firstLine="708"/>
        <w:rPr>
          <w:rFonts w:eastAsia="Calibri" w:cs="Times New Roman"/>
          <w:szCs w:val="24"/>
          <w:lang w:val="en-US"/>
        </w:rPr>
      </w:pPr>
      <w:r w:rsidRPr="00E04B44">
        <w:rPr>
          <w:rFonts w:eastAsia="Calibri" w:cs="Times New Roman"/>
          <w:szCs w:val="24"/>
          <w:lang w:val="en-US"/>
        </w:rPr>
        <w:t>Uprava carina je i u 2020.</w:t>
      </w:r>
      <w:r w:rsidR="00E04B44" w:rsidRPr="00E04B44">
        <w:rPr>
          <w:rFonts w:eastAsia="Calibri" w:cs="Times New Roman"/>
          <w:szCs w:val="24"/>
          <w:lang w:val="en-US"/>
        </w:rPr>
        <w:t xml:space="preserve"> </w:t>
      </w:r>
      <w:r w:rsidRPr="00E04B44">
        <w:rPr>
          <w:rFonts w:eastAsia="Calibri" w:cs="Times New Roman"/>
          <w:szCs w:val="24"/>
          <w:lang w:val="en-US"/>
        </w:rPr>
        <w:t>godini nastavila sa implementacijom pojednostavljenih uvoznih i izvoznih carinskih postupaka na osnovu knjigovodstvenog upisa i na osnovu trgovačke isprave, pa je tokom godine izdato 2 odobrenja na osnovu knjigovodstvenog upisa i 37 odobrenja na osnovu trgovačke isprave.</w:t>
      </w:r>
    </w:p>
    <w:p w:rsidR="00DD31D5" w:rsidRPr="00E04B44" w:rsidRDefault="00DD31D5" w:rsidP="00E04B44">
      <w:pPr>
        <w:spacing w:before="0" w:after="0" w:line="240" w:lineRule="auto"/>
        <w:ind w:firstLine="708"/>
        <w:rPr>
          <w:rFonts w:eastAsia="Calibri" w:cs="Times New Roman"/>
          <w:szCs w:val="24"/>
          <w:lang w:val="en-US"/>
        </w:rPr>
      </w:pPr>
      <w:r w:rsidRPr="00E04B44">
        <w:rPr>
          <w:rFonts w:eastAsia="Calibri" w:cs="Times New Roman"/>
          <w:szCs w:val="24"/>
          <w:lang w:val="en-US"/>
        </w:rPr>
        <w:t>Odobravanje carinskih pojednostavljenja dovelo je do suštinskih promjena u sprovođenju carinskih postupaka, koji se sprovode bez dopremanja robe i podnošenja carinske deklaracije i prateće dokumentacije u pisanom obliku carinskim terminalima, što olakšava i ubrzava carinjenje robe privrednim subjektima, a carinskim službenicima omogućava da svoje kontrole usmjere na sumnjive pošiljke. Na ovaj način se razvija i partnerski odnos između carinske službe i poslovne zajednice, što vodi ka unaprjeđenju trgovinskih olakšica.</w:t>
      </w:r>
    </w:p>
    <w:p w:rsidR="00DD31D5" w:rsidRPr="00E04B44" w:rsidRDefault="00DD31D5" w:rsidP="00E04B44">
      <w:pPr>
        <w:spacing w:before="0" w:after="0" w:line="240" w:lineRule="auto"/>
        <w:ind w:firstLine="708"/>
        <w:rPr>
          <w:rFonts w:eastAsia="Calibri" w:cs="Times New Roman"/>
          <w:szCs w:val="24"/>
          <w:lang w:val="en-US"/>
        </w:rPr>
      </w:pPr>
      <w:r w:rsidRPr="00E04B44">
        <w:rPr>
          <w:rFonts w:eastAsia="Calibri" w:cs="Times New Roman"/>
          <w:szCs w:val="24"/>
          <w:lang w:val="en-US"/>
        </w:rPr>
        <w:t xml:space="preserve">Takođe, na osnovu AEO programa, koji je uspostavljen 2019.godine, otpočeli smo sa izdavanjem odobrenja za AEO status. Dva privredna subjekta su, u drugoj polovini 2020.godine, dobila status AEO za carinska pojednostavljenja i za sigurnost i bezbjednost. Status ovlašćenog privrednog subjekta simbolizuje najviši stepen povjerenja koji stiče domaći subject, uključen u međunarodni lanac trgovinske razmjene, ukoliko ispunjava široki spektar propisanih kriterijuma. Prednosti koje privredna društva sa ovim statusom imaju su brojne, od jednostavnijeg odobravanja pojednostavljenih carinskih postupaka, podnošenja manjeg seta podataka u deklaraciji, manjeg broja fizičkih i dokumentarnih kontrola, prethodnog obavještenja da će se vršiti kontrola pošiljke, izbor mjesta vršenja kontrole, do uzajamnog priznavanja ovog statusa u drugim državama koje primenjuju program ovlašćenog privrednog subjekta ili neki odgovarajući program. </w:t>
      </w:r>
    </w:p>
    <w:p w:rsidR="00DD31D5" w:rsidRPr="00E04B44" w:rsidRDefault="00DD31D5" w:rsidP="00E04B44">
      <w:pPr>
        <w:spacing w:before="0" w:after="0" w:line="240" w:lineRule="auto"/>
        <w:ind w:firstLine="708"/>
        <w:rPr>
          <w:rFonts w:eastAsia="Calibri" w:cs="Times New Roman"/>
          <w:szCs w:val="24"/>
          <w:lang w:val="sl-SI"/>
        </w:rPr>
      </w:pPr>
      <w:r w:rsidRPr="00E04B44">
        <w:rPr>
          <w:rFonts w:eastAsia="Calibri" w:cs="Times New Roman"/>
          <w:szCs w:val="24"/>
          <w:lang w:val="sl-SI"/>
        </w:rPr>
        <w:t>U cilju ubrzanja protoka roba preko graničnih prelaza u uslovima pandemije Covid-19, Uprava carina je uspješno implementirala regionalni projekat CEFTA Zelenih koridora. Sinhronizovanim aktivnostima u okviru Projekta, omogućen je prioritetan tretman na graničnim prelazima za osnovne proizvode - hranu, ljekove i medicinska sredstva. Projekat je iniciran i koordinisan od strane CEFTA sekretarijata, Stalnog EU sekretarijata transportne zajednice, predstavnika Evropske komisije, zemalja članica CEFTA i drugih partnera. Ove aktivnosti značajno umanjuju negativni uticaj aktuelne krize na privredu regiona, kroz obezbjeđenje stabilnog snabdijevanja. U prvim danima primjene koncepta Zelenih koridora, 20% cjelokupne robe u prekograničnom prometu bilo je prioritetno na prelazima CEFTA zemalja, čime se osigurala ušteda u vremenu i novcu, kao i podrška stanovništvu, institucijama i privredi na tržištu CEFTA.</w:t>
      </w:r>
    </w:p>
    <w:p w:rsidR="00DD31D5" w:rsidRPr="00DD31D5" w:rsidRDefault="00DD31D5" w:rsidP="00DD31D5">
      <w:pPr>
        <w:spacing w:before="0" w:after="0" w:line="240" w:lineRule="auto"/>
        <w:ind w:firstLine="708"/>
        <w:rPr>
          <w:rFonts w:ascii="Times New Roman" w:eastAsia="Calibri" w:hAnsi="Times New Roman" w:cs="Times New Roman"/>
          <w:sz w:val="22"/>
          <w:szCs w:val="18"/>
          <w:shd w:val="clear" w:color="auto" w:fill="FFFFFF"/>
          <w:lang w:val="en-US"/>
        </w:rPr>
      </w:pPr>
    </w:p>
    <w:p w:rsidR="00DD31D5" w:rsidRPr="00DD31D5" w:rsidRDefault="00DD31D5" w:rsidP="00DD31D5">
      <w:pPr>
        <w:spacing w:before="0" w:after="0" w:line="240" w:lineRule="auto"/>
        <w:ind w:right="4"/>
        <w:rPr>
          <w:rFonts w:ascii="Times New Roman" w:eastAsia="Times New Roman" w:hAnsi="Times New Roman" w:cs="Times New Roman"/>
          <w:sz w:val="22"/>
          <w:lang w:val="sl-SI" w:eastAsia="sl-SI"/>
        </w:rPr>
      </w:pPr>
      <w:r w:rsidRPr="00DD31D5">
        <w:rPr>
          <w:rFonts w:ascii="Times New Roman" w:eastAsia="Times New Roman" w:hAnsi="Times New Roman" w:cs="Times New Roman"/>
          <w:b/>
          <w:sz w:val="22"/>
          <w:lang w:val="sl-SI" w:eastAsia="sl-SI"/>
        </w:rPr>
        <w:t>Tabela 6:</w:t>
      </w:r>
      <w:r w:rsidRPr="00DD31D5">
        <w:rPr>
          <w:rFonts w:ascii="Times New Roman" w:eastAsia="Calibri" w:hAnsi="Times New Roman" w:cs="Times New Roman"/>
          <w:sz w:val="22"/>
          <w:lang w:val="sl-SI"/>
        </w:rPr>
        <w:t>Prikaz c</w:t>
      </w:r>
      <w:r w:rsidRPr="00DD31D5">
        <w:rPr>
          <w:rFonts w:ascii="Times New Roman" w:eastAsia="Times New Roman" w:hAnsi="Times New Roman" w:cs="Times New Roman"/>
          <w:sz w:val="22"/>
          <w:lang w:val="sl-SI" w:eastAsia="sl-SI"/>
        </w:rPr>
        <w:t>arinskih odobrenja</w:t>
      </w:r>
    </w:p>
    <w:tbl>
      <w:tblPr>
        <w:tblStyle w:val="MediumGrid3-Accent1"/>
        <w:tblW w:w="8703" w:type="dxa"/>
        <w:tblLook w:val="04A0" w:firstRow="1" w:lastRow="0" w:firstColumn="1" w:lastColumn="0" w:noHBand="0" w:noVBand="1"/>
      </w:tblPr>
      <w:tblGrid>
        <w:gridCol w:w="7371"/>
        <w:gridCol w:w="1332"/>
      </w:tblGrid>
      <w:tr w:rsidR="00DD31D5" w:rsidRPr="00DD31D5" w:rsidTr="00433074">
        <w:trPr>
          <w:cnfStyle w:val="100000000000" w:firstRow="1" w:lastRow="0" w:firstColumn="0" w:lastColumn="0" w:oddVBand="0" w:evenVBand="0" w:oddHBand="0"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7371" w:type="dxa"/>
          </w:tcPr>
          <w:p w:rsidR="00DD31D5" w:rsidRPr="00DD31D5" w:rsidRDefault="00DD31D5" w:rsidP="00DD31D5">
            <w:pPr>
              <w:spacing w:before="0" w:after="0" w:line="240" w:lineRule="auto"/>
              <w:jc w:val="left"/>
              <w:rPr>
                <w:rFonts w:ascii="Times New Roman" w:hAnsi="Times New Roman"/>
                <w:sz w:val="20"/>
                <w:lang w:val="en-US"/>
              </w:rPr>
            </w:pPr>
          </w:p>
        </w:tc>
        <w:tc>
          <w:tcPr>
            <w:tcW w:w="1332" w:type="dxa"/>
            <w:hideMark/>
          </w:tcPr>
          <w:p w:rsidR="00DD31D5" w:rsidRPr="00DD31D5" w:rsidRDefault="00DD31D5" w:rsidP="00DD31D5">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lang w:val="en-US"/>
              </w:rPr>
            </w:pPr>
            <w:r w:rsidRPr="00DD31D5">
              <w:rPr>
                <w:rFonts w:ascii="Times New Roman" w:hAnsi="Times New Roman"/>
                <w:sz w:val="20"/>
                <w:lang w:val="en-US"/>
              </w:rPr>
              <w:t>Ukupno</w:t>
            </w:r>
          </w:p>
        </w:tc>
      </w:tr>
      <w:tr w:rsidR="00DD31D5" w:rsidRPr="00DD31D5" w:rsidTr="00433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hideMark/>
          </w:tcPr>
          <w:p w:rsidR="00DD31D5" w:rsidRPr="00DD31D5" w:rsidRDefault="00DD31D5" w:rsidP="00DD31D5">
            <w:pPr>
              <w:spacing w:before="0" w:after="0" w:line="240" w:lineRule="auto"/>
              <w:jc w:val="left"/>
              <w:rPr>
                <w:rFonts w:ascii="Times New Roman" w:hAnsi="Times New Roman"/>
                <w:sz w:val="20"/>
                <w:szCs w:val="24"/>
                <w:lang w:val="en-US"/>
              </w:rPr>
            </w:pPr>
            <w:r w:rsidRPr="00DD31D5">
              <w:rPr>
                <w:rFonts w:ascii="Times New Roman" w:hAnsi="Times New Roman"/>
                <w:sz w:val="20"/>
                <w:szCs w:val="24"/>
                <w:lang w:val="en-US"/>
              </w:rPr>
              <w:t>Odobrenja za deklarisanje na osnovu knjigovodstvenog zapisa</w:t>
            </w:r>
          </w:p>
        </w:tc>
        <w:tc>
          <w:tcPr>
            <w:tcW w:w="1332" w:type="dxa"/>
            <w:hideMark/>
          </w:tcPr>
          <w:p w:rsidR="00DD31D5" w:rsidRPr="00DD31D5" w:rsidRDefault="00DD31D5" w:rsidP="00DD31D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4"/>
                <w:lang w:val="en-US"/>
              </w:rPr>
            </w:pPr>
            <w:r w:rsidRPr="00DD31D5">
              <w:rPr>
                <w:rFonts w:ascii="Times New Roman" w:hAnsi="Times New Roman"/>
                <w:sz w:val="20"/>
                <w:szCs w:val="24"/>
                <w:lang w:val="en-US"/>
              </w:rPr>
              <w:t>2</w:t>
            </w:r>
          </w:p>
        </w:tc>
      </w:tr>
      <w:tr w:rsidR="00DD31D5" w:rsidRPr="00DD31D5" w:rsidTr="00433074">
        <w:tc>
          <w:tcPr>
            <w:cnfStyle w:val="001000000000" w:firstRow="0" w:lastRow="0" w:firstColumn="1" w:lastColumn="0" w:oddVBand="0" w:evenVBand="0" w:oddHBand="0" w:evenHBand="0" w:firstRowFirstColumn="0" w:firstRowLastColumn="0" w:lastRowFirstColumn="0" w:lastRowLastColumn="0"/>
            <w:tcW w:w="7371" w:type="dxa"/>
            <w:hideMark/>
          </w:tcPr>
          <w:p w:rsidR="00DD31D5" w:rsidRPr="00DD31D5" w:rsidRDefault="00DD31D5" w:rsidP="00DD31D5">
            <w:pPr>
              <w:spacing w:before="0" w:after="0" w:line="240" w:lineRule="auto"/>
              <w:jc w:val="left"/>
              <w:rPr>
                <w:rFonts w:ascii="Times New Roman" w:hAnsi="Times New Roman"/>
                <w:sz w:val="20"/>
                <w:szCs w:val="24"/>
                <w:lang w:val="en-US"/>
              </w:rPr>
            </w:pPr>
            <w:r w:rsidRPr="00DD31D5">
              <w:rPr>
                <w:rFonts w:ascii="Times New Roman" w:hAnsi="Times New Roman"/>
                <w:sz w:val="20"/>
                <w:szCs w:val="24"/>
                <w:lang w:val="en-US"/>
              </w:rPr>
              <w:t>Odobrenja za ovlašćenog izvoznika</w:t>
            </w:r>
          </w:p>
        </w:tc>
        <w:tc>
          <w:tcPr>
            <w:tcW w:w="1332" w:type="dxa"/>
            <w:hideMark/>
          </w:tcPr>
          <w:p w:rsidR="00DD31D5" w:rsidRPr="00DD31D5" w:rsidRDefault="00DD31D5" w:rsidP="00DD31D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4"/>
                <w:lang w:val="en-US"/>
              </w:rPr>
            </w:pPr>
            <w:r w:rsidRPr="00DD31D5">
              <w:rPr>
                <w:rFonts w:ascii="Times New Roman" w:hAnsi="Times New Roman"/>
                <w:sz w:val="20"/>
                <w:szCs w:val="24"/>
                <w:lang w:val="en-US"/>
              </w:rPr>
              <w:t>1</w:t>
            </w:r>
          </w:p>
        </w:tc>
      </w:tr>
      <w:tr w:rsidR="00DD31D5" w:rsidRPr="00DD31D5" w:rsidTr="00433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hideMark/>
          </w:tcPr>
          <w:p w:rsidR="00DD31D5" w:rsidRPr="00DD31D5" w:rsidRDefault="00DD31D5" w:rsidP="00DD31D5">
            <w:pPr>
              <w:spacing w:before="0" w:after="0" w:line="240" w:lineRule="auto"/>
              <w:jc w:val="left"/>
              <w:rPr>
                <w:rFonts w:ascii="Times New Roman" w:hAnsi="Times New Roman"/>
                <w:sz w:val="20"/>
                <w:szCs w:val="24"/>
                <w:lang w:val="en-US"/>
              </w:rPr>
            </w:pPr>
            <w:r w:rsidRPr="00DD31D5">
              <w:rPr>
                <w:rFonts w:ascii="Times New Roman" w:hAnsi="Times New Roman"/>
                <w:sz w:val="20"/>
                <w:szCs w:val="24"/>
                <w:lang w:val="en-US"/>
              </w:rPr>
              <w:t>Odobrenja za ovlašćenog primaoca</w:t>
            </w:r>
          </w:p>
        </w:tc>
        <w:tc>
          <w:tcPr>
            <w:tcW w:w="1332" w:type="dxa"/>
            <w:hideMark/>
          </w:tcPr>
          <w:p w:rsidR="00DD31D5" w:rsidRPr="00DD31D5" w:rsidRDefault="00DD31D5" w:rsidP="00DD31D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4"/>
                <w:lang w:val="en-US"/>
              </w:rPr>
            </w:pPr>
            <w:r w:rsidRPr="00DD31D5">
              <w:rPr>
                <w:rFonts w:ascii="Times New Roman" w:hAnsi="Times New Roman"/>
                <w:sz w:val="20"/>
                <w:szCs w:val="24"/>
                <w:lang w:val="en-US"/>
              </w:rPr>
              <w:t>1</w:t>
            </w:r>
          </w:p>
        </w:tc>
      </w:tr>
      <w:tr w:rsidR="00DD31D5" w:rsidRPr="00DD31D5" w:rsidTr="00433074">
        <w:tc>
          <w:tcPr>
            <w:cnfStyle w:val="001000000000" w:firstRow="0" w:lastRow="0" w:firstColumn="1" w:lastColumn="0" w:oddVBand="0" w:evenVBand="0" w:oddHBand="0" w:evenHBand="0" w:firstRowFirstColumn="0" w:firstRowLastColumn="0" w:lastRowFirstColumn="0" w:lastRowLastColumn="0"/>
            <w:tcW w:w="7371" w:type="dxa"/>
            <w:hideMark/>
          </w:tcPr>
          <w:p w:rsidR="00DD31D5" w:rsidRPr="00DD31D5" w:rsidRDefault="00DD31D5" w:rsidP="00DD31D5">
            <w:pPr>
              <w:spacing w:before="0" w:after="0" w:line="240" w:lineRule="auto"/>
              <w:jc w:val="left"/>
              <w:rPr>
                <w:rFonts w:ascii="Times New Roman" w:hAnsi="Times New Roman"/>
                <w:sz w:val="20"/>
                <w:szCs w:val="24"/>
                <w:lang w:val="en-US"/>
              </w:rPr>
            </w:pPr>
            <w:r w:rsidRPr="00DD31D5">
              <w:rPr>
                <w:rFonts w:ascii="Times New Roman" w:hAnsi="Times New Roman"/>
                <w:sz w:val="20"/>
                <w:szCs w:val="24"/>
                <w:lang w:val="en-US"/>
              </w:rPr>
              <w:t>Odobrenja za deklarisanje na osnovu trgovačke isprave-fakture</w:t>
            </w:r>
          </w:p>
        </w:tc>
        <w:tc>
          <w:tcPr>
            <w:tcW w:w="1332" w:type="dxa"/>
            <w:hideMark/>
          </w:tcPr>
          <w:p w:rsidR="00DD31D5" w:rsidRPr="00DD31D5" w:rsidRDefault="00DD31D5" w:rsidP="00DD31D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4"/>
                <w:lang w:val="en-US"/>
              </w:rPr>
            </w:pPr>
            <w:r w:rsidRPr="00DD31D5">
              <w:rPr>
                <w:rFonts w:ascii="Times New Roman" w:hAnsi="Times New Roman"/>
                <w:sz w:val="20"/>
                <w:szCs w:val="24"/>
                <w:lang w:val="en-US"/>
              </w:rPr>
              <w:t>36</w:t>
            </w:r>
          </w:p>
        </w:tc>
      </w:tr>
      <w:tr w:rsidR="00DD31D5" w:rsidRPr="00DD31D5" w:rsidTr="00433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hideMark/>
          </w:tcPr>
          <w:p w:rsidR="00DD31D5" w:rsidRPr="00DD31D5" w:rsidRDefault="00DD31D5" w:rsidP="00DD31D5">
            <w:pPr>
              <w:spacing w:before="0" w:after="0" w:line="240" w:lineRule="auto"/>
              <w:jc w:val="left"/>
              <w:rPr>
                <w:rFonts w:ascii="Times New Roman" w:eastAsia="Times New Roman" w:hAnsi="Times New Roman"/>
                <w:sz w:val="20"/>
                <w:szCs w:val="24"/>
                <w:lang w:val="en-US"/>
              </w:rPr>
            </w:pPr>
            <w:r w:rsidRPr="00DD31D5">
              <w:rPr>
                <w:rFonts w:ascii="Times New Roman" w:hAnsi="Times New Roman"/>
                <w:sz w:val="20"/>
                <w:szCs w:val="24"/>
                <w:lang w:val="en-US"/>
              </w:rPr>
              <w:t>Rješenja o usvajanju zahtjeva  za preduzimanje carinskih mjera za zaštitu prava intelektualne svojine</w:t>
            </w:r>
          </w:p>
        </w:tc>
        <w:tc>
          <w:tcPr>
            <w:tcW w:w="1332" w:type="dxa"/>
            <w:hideMark/>
          </w:tcPr>
          <w:p w:rsidR="00DD31D5" w:rsidRPr="00DD31D5" w:rsidRDefault="00DD31D5" w:rsidP="00DD31D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4"/>
                <w:lang w:val="en-US"/>
              </w:rPr>
            </w:pPr>
            <w:r w:rsidRPr="00DD31D5">
              <w:rPr>
                <w:rFonts w:ascii="Times New Roman" w:hAnsi="Times New Roman"/>
                <w:sz w:val="20"/>
                <w:szCs w:val="24"/>
                <w:lang w:val="en-US"/>
              </w:rPr>
              <w:t>137</w:t>
            </w:r>
          </w:p>
        </w:tc>
      </w:tr>
    </w:tbl>
    <w:p w:rsidR="00DD31D5" w:rsidRPr="00DD31D5" w:rsidRDefault="00DD31D5" w:rsidP="00DD31D5">
      <w:pPr>
        <w:spacing w:before="0" w:after="0" w:line="240" w:lineRule="auto"/>
        <w:ind w:right="4"/>
        <w:rPr>
          <w:rFonts w:ascii="Times New Roman" w:eastAsia="Times New Roman" w:hAnsi="Times New Roman" w:cs="Times New Roman"/>
          <w:szCs w:val="24"/>
          <w:lang w:val="sl-SI" w:eastAsia="sl-SI"/>
        </w:rPr>
      </w:pPr>
    </w:p>
    <w:p w:rsidR="00DD31D5" w:rsidRPr="00DD31D5" w:rsidRDefault="00DD31D5" w:rsidP="00DD31D5">
      <w:pPr>
        <w:spacing w:before="0" w:after="0" w:line="240" w:lineRule="auto"/>
        <w:ind w:right="4" w:firstLine="720"/>
        <w:rPr>
          <w:rFonts w:ascii="Times New Roman" w:eastAsia="Times New Roman" w:hAnsi="Times New Roman" w:cs="Times New Roman"/>
          <w:szCs w:val="24"/>
          <w:lang w:val="sl-SI" w:eastAsia="sl-SI"/>
        </w:rPr>
      </w:pPr>
    </w:p>
    <w:p w:rsidR="002F73A8" w:rsidRDefault="002F73A8" w:rsidP="00DD31D5">
      <w:pPr>
        <w:spacing w:before="0" w:after="0" w:line="240" w:lineRule="auto"/>
        <w:ind w:right="4"/>
        <w:rPr>
          <w:rFonts w:ascii="Times New Roman" w:eastAsia="Times New Roman" w:hAnsi="Times New Roman" w:cs="Times New Roman"/>
          <w:b/>
          <w:sz w:val="22"/>
          <w:szCs w:val="24"/>
          <w:lang w:val="sl-SI" w:eastAsia="sl-SI"/>
        </w:rPr>
      </w:pPr>
    </w:p>
    <w:p w:rsidR="00DD31D5" w:rsidRPr="00DD31D5" w:rsidRDefault="00DD31D5" w:rsidP="00DD31D5">
      <w:pPr>
        <w:spacing w:before="0" w:after="0" w:line="240" w:lineRule="auto"/>
        <w:ind w:right="4"/>
        <w:rPr>
          <w:rFonts w:ascii="Times New Roman" w:eastAsia="Times New Roman" w:hAnsi="Times New Roman" w:cs="Times New Roman"/>
          <w:b/>
          <w:i/>
          <w:sz w:val="22"/>
          <w:szCs w:val="24"/>
          <w:lang w:val="sl-SI" w:eastAsia="sl-SI"/>
        </w:rPr>
      </w:pPr>
      <w:r w:rsidRPr="00DD31D5">
        <w:rPr>
          <w:rFonts w:ascii="Times New Roman" w:eastAsia="Times New Roman" w:hAnsi="Times New Roman" w:cs="Times New Roman"/>
          <w:b/>
          <w:sz w:val="22"/>
          <w:szCs w:val="24"/>
          <w:lang w:val="sl-SI" w:eastAsia="sl-SI"/>
        </w:rPr>
        <w:lastRenderedPageBreak/>
        <w:t>Tabela 7:</w:t>
      </w:r>
      <w:r w:rsidRPr="00DD31D5">
        <w:rPr>
          <w:rFonts w:ascii="Times New Roman" w:eastAsia="Times New Roman" w:hAnsi="Times New Roman" w:cs="Times New Roman"/>
          <w:sz w:val="22"/>
          <w:szCs w:val="24"/>
          <w:lang w:val="sl-SI" w:eastAsia="sl-SI"/>
        </w:rPr>
        <w:t>Prikaz izdatih obavezujućih informacija</w:t>
      </w:r>
    </w:p>
    <w:tbl>
      <w:tblPr>
        <w:tblStyle w:val="MediumGrid3-Accent1"/>
        <w:tblW w:w="8647" w:type="dxa"/>
        <w:tblLayout w:type="fixed"/>
        <w:tblLook w:val="04A0" w:firstRow="1" w:lastRow="0" w:firstColumn="1" w:lastColumn="0" w:noHBand="0" w:noVBand="1"/>
      </w:tblPr>
      <w:tblGrid>
        <w:gridCol w:w="7371"/>
        <w:gridCol w:w="1276"/>
      </w:tblGrid>
      <w:tr w:rsidR="00DD31D5" w:rsidRPr="00DD31D5" w:rsidTr="00433074">
        <w:trPr>
          <w:cnfStyle w:val="100000000000" w:firstRow="1" w:lastRow="0" w:firstColumn="0" w:lastColumn="0" w:oddVBand="0" w:evenVBand="0" w:oddHBand="0"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7371" w:type="dxa"/>
          </w:tcPr>
          <w:p w:rsidR="00DD31D5" w:rsidRPr="00DD31D5" w:rsidRDefault="00DD31D5" w:rsidP="00DD31D5">
            <w:pPr>
              <w:spacing w:before="0" w:after="0" w:line="240" w:lineRule="auto"/>
              <w:jc w:val="left"/>
              <w:rPr>
                <w:rFonts w:ascii="Times New Roman" w:hAnsi="Times New Roman"/>
                <w:sz w:val="20"/>
                <w:szCs w:val="24"/>
                <w:lang w:val="en-US"/>
              </w:rPr>
            </w:pPr>
          </w:p>
        </w:tc>
        <w:tc>
          <w:tcPr>
            <w:tcW w:w="1276" w:type="dxa"/>
            <w:hideMark/>
          </w:tcPr>
          <w:p w:rsidR="00DD31D5" w:rsidRPr="00DD31D5" w:rsidRDefault="00DD31D5" w:rsidP="00DD31D5">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4"/>
                <w:lang w:val="en-US"/>
              </w:rPr>
            </w:pPr>
            <w:r w:rsidRPr="00DD31D5">
              <w:rPr>
                <w:rFonts w:ascii="Times New Roman" w:hAnsi="Times New Roman"/>
                <w:sz w:val="20"/>
                <w:szCs w:val="24"/>
                <w:lang w:val="en-US"/>
              </w:rPr>
              <w:t>Ukupno</w:t>
            </w:r>
          </w:p>
        </w:tc>
      </w:tr>
      <w:tr w:rsidR="00DD31D5" w:rsidRPr="00DD31D5" w:rsidTr="00433074">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7371" w:type="dxa"/>
            <w:hideMark/>
          </w:tcPr>
          <w:p w:rsidR="00DD31D5" w:rsidRPr="00DD31D5" w:rsidRDefault="00DD31D5" w:rsidP="00DD31D5">
            <w:pPr>
              <w:spacing w:before="0" w:after="0" w:line="240" w:lineRule="auto"/>
              <w:jc w:val="left"/>
              <w:rPr>
                <w:rFonts w:ascii="Times New Roman" w:hAnsi="Times New Roman"/>
                <w:sz w:val="20"/>
                <w:szCs w:val="24"/>
                <w:lang w:val="en-US"/>
              </w:rPr>
            </w:pPr>
            <w:r w:rsidRPr="00DD31D5">
              <w:rPr>
                <w:rFonts w:ascii="Times New Roman" w:hAnsi="Times New Roman"/>
                <w:sz w:val="20"/>
                <w:szCs w:val="24"/>
                <w:lang w:val="en-US"/>
              </w:rPr>
              <w:t>Broj obavezujućih informacija o svrstavanju robe u carinsku tarifu</w:t>
            </w:r>
          </w:p>
        </w:tc>
        <w:tc>
          <w:tcPr>
            <w:tcW w:w="1276" w:type="dxa"/>
            <w:hideMark/>
          </w:tcPr>
          <w:p w:rsidR="00DD31D5" w:rsidRPr="00DD31D5" w:rsidRDefault="00DD31D5" w:rsidP="00DD31D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4"/>
                <w:lang w:val="en-US"/>
              </w:rPr>
            </w:pPr>
            <w:r w:rsidRPr="00DD31D5">
              <w:rPr>
                <w:rFonts w:ascii="Times New Roman" w:hAnsi="Times New Roman"/>
                <w:sz w:val="20"/>
                <w:szCs w:val="24"/>
                <w:lang w:val="en-US"/>
              </w:rPr>
              <w:t>11</w:t>
            </w:r>
          </w:p>
        </w:tc>
      </w:tr>
      <w:tr w:rsidR="00DD31D5" w:rsidRPr="00DD31D5" w:rsidTr="00433074">
        <w:trPr>
          <w:trHeight w:val="204"/>
        </w:trPr>
        <w:tc>
          <w:tcPr>
            <w:cnfStyle w:val="001000000000" w:firstRow="0" w:lastRow="0" w:firstColumn="1" w:lastColumn="0" w:oddVBand="0" w:evenVBand="0" w:oddHBand="0" w:evenHBand="0" w:firstRowFirstColumn="0" w:firstRowLastColumn="0" w:lastRowFirstColumn="0" w:lastRowLastColumn="0"/>
            <w:tcW w:w="7371" w:type="dxa"/>
            <w:hideMark/>
          </w:tcPr>
          <w:p w:rsidR="00DD31D5" w:rsidRPr="00DD31D5" w:rsidRDefault="00DD31D5" w:rsidP="00DD31D5">
            <w:pPr>
              <w:spacing w:before="0" w:after="0" w:line="240" w:lineRule="auto"/>
              <w:jc w:val="left"/>
              <w:rPr>
                <w:rFonts w:ascii="Times New Roman" w:hAnsi="Times New Roman"/>
                <w:sz w:val="20"/>
                <w:szCs w:val="24"/>
                <w:lang w:val="en-US"/>
              </w:rPr>
            </w:pPr>
            <w:r w:rsidRPr="00DD31D5">
              <w:rPr>
                <w:rFonts w:ascii="Times New Roman" w:hAnsi="Times New Roman"/>
                <w:sz w:val="20"/>
                <w:szCs w:val="24"/>
                <w:lang w:val="en-US"/>
              </w:rPr>
              <w:t>Broj obavezujućih informacija o porijeklu robe</w:t>
            </w:r>
          </w:p>
        </w:tc>
        <w:tc>
          <w:tcPr>
            <w:tcW w:w="1276" w:type="dxa"/>
            <w:hideMark/>
          </w:tcPr>
          <w:p w:rsidR="00DD31D5" w:rsidRPr="00DD31D5" w:rsidRDefault="00DD31D5" w:rsidP="00DD31D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4"/>
                <w:lang w:val="en-US"/>
              </w:rPr>
            </w:pPr>
            <w:r w:rsidRPr="00DD31D5">
              <w:rPr>
                <w:rFonts w:ascii="Times New Roman" w:hAnsi="Times New Roman"/>
                <w:sz w:val="20"/>
                <w:szCs w:val="24"/>
                <w:lang w:val="en-US"/>
              </w:rPr>
              <w:t>/</w:t>
            </w:r>
          </w:p>
        </w:tc>
      </w:tr>
      <w:tr w:rsidR="00DD31D5" w:rsidRPr="00DD31D5" w:rsidTr="00433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hideMark/>
          </w:tcPr>
          <w:p w:rsidR="00DD31D5" w:rsidRPr="00DD31D5" w:rsidRDefault="00DD31D5" w:rsidP="00DD31D5">
            <w:pPr>
              <w:spacing w:before="0" w:after="0" w:line="240" w:lineRule="auto"/>
              <w:jc w:val="left"/>
              <w:rPr>
                <w:rFonts w:ascii="Times New Roman" w:hAnsi="Times New Roman"/>
                <w:sz w:val="20"/>
                <w:szCs w:val="24"/>
                <w:lang w:val="en-US"/>
              </w:rPr>
            </w:pPr>
            <w:r w:rsidRPr="00DD31D5">
              <w:rPr>
                <w:rFonts w:ascii="Times New Roman" w:hAnsi="Times New Roman"/>
                <w:sz w:val="20"/>
                <w:szCs w:val="24"/>
                <w:lang w:val="en-US"/>
              </w:rPr>
              <w:t>Broj izdatih mišljenja o svrstavanju robe po carinskoj tarifi</w:t>
            </w:r>
          </w:p>
        </w:tc>
        <w:tc>
          <w:tcPr>
            <w:tcW w:w="1276" w:type="dxa"/>
            <w:hideMark/>
          </w:tcPr>
          <w:p w:rsidR="00DD31D5" w:rsidRPr="00DD31D5" w:rsidRDefault="00DD31D5" w:rsidP="00DD31D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4"/>
                <w:lang w:val="en-US"/>
              </w:rPr>
            </w:pPr>
            <w:r w:rsidRPr="00DD31D5">
              <w:rPr>
                <w:rFonts w:ascii="Times New Roman" w:hAnsi="Times New Roman"/>
                <w:sz w:val="20"/>
                <w:szCs w:val="24"/>
                <w:lang w:val="en-US"/>
              </w:rPr>
              <w:t>19</w:t>
            </w:r>
          </w:p>
        </w:tc>
      </w:tr>
      <w:tr w:rsidR="00DD31D5" w:rsidRPr="00DD31D5" w:rsidTr="00433074">
        <w:tc>
          <w:tcPr>
            <w:cnfStyle w:val="001000000000" w:firstRow="0" w:lastRow="0" w:firstColumn="1" w:lastColumn="0" w:oddVBand="0" w:evenVBand="0" w:oddHBand="0" w:evenHBand="0" w:firstRowFirstColumn="0" w:firstRowLastColumn="0" w:lastRowFirstColumn="0" w:lastRowLastColumn="0"/>
            <w:tcW w:w="7371" w:type="dxa"/>
            <w:hideMark/>
          </w:tcPr>
          <w:p w:rsidR="00DD31D5" w:rsidRPr="00DD31D5" w:rsidRDefault="00DD31D5" w:rsidP="00DD31D5">
            <w:pPr>
              <w:spacing w:before="0" w:after="0" w:line="240" w:lineRule="auto"/>
              <w:jc w:val="left"/>
              <w:rPr>
                <w:rFonts w:ascii="Times New Roman" w:hAnsi="Times New Roman"/>
                <w:sz w:val="20"/>
                <w:szCs w:val="24"/>
                <w:lang w:val="en-US"/>
              </w:rPr>
            </w:pPr>
            <w:r w:rsidRPr="00DD31D5">
              <w:rPr>
                <w:rFonts w:ascii="Times New Roman" w:hAnsi="Times New Roman"/>
                <w:sz w:val="20"/>
                <w:szCs w:val="24"/>
                <w:lang w:val="en-US"/>
              </w:rPr>
              <w:t>Broj izdatih nalaza carinske laboratorije</w:t>
            </w:r>
          </w:p>
        </w:tc>
        <w:tc>
          <w:tcPr>
            <w:tcW w:w="1276" w:type="dxa"/>
            <w:hideMark/>
          </w:tcPr>
          <w:p w:rsidR="00DD31D5" w:rsidRPr="00DD31D5" w:rsidRDefault="00DD31D5" w:rsidP="00DD31D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4"/>
                <w:lang w:val="en-US"/>
              </w:rPr>
            </w:pPr>
            <w:r w:rsidRPr="00DD31D5">
              <w:rPr>
                <w:rFonts w:ascii="Times New Roman" w:hAnsi="Times New Roman"/>
                <w:sz w:val="20"/>
                <w:szCs w:val="24"/>
                <w:lang w:val="en-US"/>
              </w:rPr>
              <w:t>7</w:t>
            </w:r>
          </w:p>
        </w:tc>
      </w:tr>
      <w:tr w:rsidR="00DD31D5" w:rsidRPr="00DD31D5" w:rsidTr="00433074">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7371" w:type="dxa"/>
            <w:hideMark/>
          </w:tcPr>
          <w:p w:rsidR="00DD31D5" w:rsidRPr="00DD31D5" w:rsidRDefault="00DD31D5" w:rsidP="00DD31D5">
            <w:pPr>
              <w:spacing w:before="0" w:after="0" w:line="240" w:lineRule="auto"/>
              <w:jc w:val="left"/>
              <w:rPr>
                <w:rFonts w:ascii="Times New Roman" w:hAnsi="Times New Roman"/>
                <w:sz w:val="20"/>
                <w:szCs w:val="24"/>
                <w:lang w:val="en-US"/>
              </w:rPr>
            </w:pPr>
            <w:r w:rsidRPr="00DD31D5">
              <w:rPr>
                <w:rFonts w:ascii="Times New Roman" w:hAnsi="Times New Roman"/>
                <w:sz w:val="20"/>
                <w:szCs w:val="24"/>
                <w:lang w:val="en-US"/>
              </w:rPr>
              <w:t xml:space="preserve">Broj dobijenih uzoraka </w:t>
            </w:r>
          </w:p>
        </w:tc>
        <w:tc>
          <w:tcPr>
            <w:tcW w:w="1276" w:type="dxa"/>
            <w:hideMark/>
          </w:tcPr>
          <w:p w:rsidR="00DD31D5" w:rsidRPr="00DD31D5" w:rsidRDefault="00DD31D5" w:rsidP="00DD31D5">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4"/>
                <w:lang w:val="en-US"/>
              </w:rPr>
            </w:pPr>
            <w:r w:rsidRPr="00DD31D5">
              <w:rPr>
                <w:rFonts w:ascii="Times New Roman" w:hAnsi="Times New Roman"/>
                <w:sz w:val="20"/>
                <w:szCs w:val="24"/>
                <w:lang w:val="en-US"/>
              </w:rPr>
              <w:t>7</w:t>
            </w:r>
          </w:p>
        </w:tc>
      </w:tr>
    </w:tbl>
    <w:p w:rsidR="00DD31D5" w:rsidRPr="00DD31D5" w:rsidRDefault="00DD31D5" w:rsidP="00DD31D5">
      <w:pPr>
        <w:spacing w:before="0" w:after="0" w:line="240" w:lineRule="auto"/>
        <w:ind w:firstLine="708"/>
        <w:rPr>
          <w:rFonts w:ascii="Times New Roman" w:eastAsia="Calibri" w:hAnsi="Times New Roman" w:cs="Times New Roman"/>
          <w:sz w:val="22"/>
          <w:szCs w:val="18"/>
          <w:shd w:val="clear" w:color="auto" w:fill="FFFFFF"/>
          <w:lang w:val="en-US"/>
        </w:rPr>
      </w:pPr>
    </w:p>
    <w:p w:rsidR="00DD31D5" w:rsidRPr="00E04B44" w:rsidRDefault="00DD31D5" w:rsidP="00E04B44">
      <w:pPr>
        <w:spacing w:before="0" w:after="0" w:line="240" w:lineRule="auto"/>
        <w:ind w:firstLine="708"/>
        <w:rPr>
          <w:rFonts w:eastAsia="Calibri" w:cs="Times New Roman"/>
          <w:szCs w:val="24"/>
          <w:shd w:val="clear" w:color="auto" w:fill="FFFFFF"/>
          <w:lang w:val="en-US"/>
        </w:rPr>
      </w:pPr>
      <w:r w:rsidRPr="00E04B44">
        <w:rPr>
          <w:rFonts w:eastAsia="Calibri" w:cs="Times New Roman"/>
          <w:szCs w:val="24"/>
          <w:shd w:val="clear" w:color="auto" w:fill="FFFFFF"/>
          <w:lang w:val="en-US"/>
        </w:rPr>
        <w:t>Održan je online sastanak sa kolegama i predstavnicima Poreske uprave i Centralnog registra u vezi primjene novih poreskih i carinskih brojeva za privredne subjekte.</w:t>
      </w:r>
    </w:p>
    <w:p w:rsidR="00DD31D5" w:rsidRPr="00E04B44" w:rsidRDefault="00DD31D5" w:rsidP="00E04B44">
      <w:pPr>
        <w:spacing w:before="0" w:after="0" w:line="240" w:lineRule="auto"/>
        <w:ind w:firstLine="708"/>
        <w:rPr>
          <w:rFonts w:eastAsia="Calibri" w:cs="Times New Roman"/>
          <w:szCs w:val="24"/>
          <w:shd w:val="clear" w:color="auto" w:fill="FFFFFF"/>
          <w:lang w:val="en-US"/>
        </w:rPr>
      </w:pPr>
      <w:r w:rsidRPr="00E04B44">
        <w:rPr>
          <w:rFonts w:eastAsia="Calibri" w:cs="Times New Roman"/>
          <w:szCs w:val="24"/>
          <w:shd w:val="clear" w:color="auto" w:fill="FFFFFF"/>
          <w:lang w:val="en-US"/>
        </w:rPr>
        <w:t>Održana je TAIEX ekspertska misija za unapređenje procedura i poslovnih pravila u području akciza.</w:t>
      </w:r>
    </w:p>
    <w:p w:rsidR="00DD31D5" w:rsidRPr="00E04B44" w:rsidRDefault="00DD31D5" w:rsidP="00E04B44">
      <w:pPr>
        <w:spacing w:before="0" w:after="0" w:line="240" w:lineRule="auto"/>
        <w:ind w:firstLine="708"/>
        <w:rPr>
          <w:rFonts w:eastAsia="Calibri" w:cs="Times New Roman"/>
          <w:szCs w:val="24"/>
          <w:shd w:val="clear" w:color="auto" w:fill="FFFFFF"/>
          <w:lang w:val="en-US"/>
        </w:rPr>
      </w:pPr>
      <w:r w:rsidRPr="00E04B44">
        <w:rPr>
          <w:rFonts w:eastAsia="Calibri" w:cs="Times New Roman"/>
          <w:szCs w:val="24"/>
          <w:shd w:val="clear" w:color="auto" w:fill="FFFFFF"/>
          <w:lang w:val="en-US"/>
        </w:rPr>
        <w:t>Održan je sastanak CEFTA Podkomiteta za carine i pravila porijekla, putem video konferencije. Na sastanku je razmatrana izmjena Protokola o pravilima o porijeklu svih bilateralnih sporazuma o slobodnoj trgovini koje imaju zaključene ugovorne strane PEM konvencije, kako bi otpočeli sa ranom primjenom revidiranih pravila porijekla. Jedna od tačaka bila je i Odluka o međusobnom priznavanju AEO statusa.</w:t>
      </w:r>
    </w:p>
    <w:p w:rsidR="00DD31D5" w:rsidRPr="00E04B44" w:rsidRDefault="00DD31D5" w:rsidP="00E04B44">
      <w:pPr>
        <w:spacing w:before="0" w:after="0" w:line="240" w:lineRule="auto"/>
        <w:ind w:firstLine="708"/>
        <w:rPr>
          <w:rFonts w:eastAsia="Calibri" w:cs="Times New Roman"/>
          <w:szCs w:val="24"/>
          <w:shd w:val="clear" w:color="auto" w:fill="FFFFFF"/>
          <w:lang w:val="en-US"/>
        </w:rPr>
      </w:pPr>
      <w:r w:rsidRPr="00E04B44">
        <w:rPr>
          <w:rFonts w:eastAsia="Calibri" w:cs="Times New Roman"/>
          <w:szCs w:val="24"/>
          <w:shd w:val="clear" w:color="auto" w:fill="FFFFFF"/>
          <w:lang w:val="en-US"/>
        </w:rPr>
        <w:t>Izrađena je Procedura za štampanje markica sa pratećim obrascima.</w:t>
      </w:r>
    </w:p>
    <w:p w:rsidR="00DD31D5" w:rsidRPr="00E04B44" w:rsidRDefault="00DD31D5" w:rsidP="00E04B44">
      <w:pPr>
        <w:spacing w:before="0" w:after="200" w:line="240" w:lineRule="auto"/>
        <w:ind w:firstLine="708"/>
        <w:contextualSpacing/>
        <w:rPr>
          <w:rFonts w:eastAsia="Calibri" w:cs="Times New Roman"/>
          <w:szCs w:val="24"/>
          <w:lang w:val="sl-SI"/>
        </w:rPr>
      </w:pPr>
      <w:r w:rsidRPr="00E04B44">
        <w:rPr>
          <w:rFonts w:eastAsia="Calibri" w:cs="Times New Roman"/>
          <w:szCs w:val="24"/>
          <w:lang w:val="sl-SI"/>
        </w:rPr>
        <w:t xml:space="preserve">Izdato je11 obavezujućih informacija o svrstavanju robe u carinsku tarifu i 19 mišljenja o svrstavanju proizvoda. </w:t>
      </w:r>
      <w:r w:rsidRPr="00E04B44">
        <w:rPr>
          <w:rFonts w:eastAsia="Times New Roman" w:cs="Times New Roman"/>
          <w:color w:val="000000"/>
          <w:szCs w:val="24"/>
          <w:lang w:val="sl-SI"/>
        </w:rPr>
        <w:t xml:space="preserve">Pripremljen je predlog Uredbe o Carinskoj tarifi za 2021. </w:t>
      </w:r>
      <w:r w:rsidRPr="00E04B44">
        <w:rPr>
          <w:rFonts w:eastAsia="Calibri" w:cs="Times New Roman"/>
          <w:szCs w:val="24"/>
          <w:lang w:val="sl-SI"/>
        </w:rPr>
        <w:t>Sačinjena je i dostavljena svim carinarnicama » Instrukcija o načinu uzimanja uzoraka tečnih naftnih proizvoda uz pomoć uzorkivača «Deeping bottle Ex« , količini i načinu pakovanja uzoraka«( dopuna Instrukcije o načinu uzimanja uzoraka i dokumentacije o robi.</w:t>
      </w:r>
    </w:p>
    <w:p w:rsidR="00E04B44" w:rsidRDefault="00E04B44" w:rsidP="00E04B44">
      <w:pPr>
        <w:keepNext/>
        <w:keepLines/>
        <w:tabs>
          <w:tab w:val="left" w:pos="4962"/>
        </w:tabs>
        <w:spacing w:after="0" w:line="269" w:lineRule="auto"/>
        <w:jc w:val="left"/>
        <w:outlineLvl w:val="2"/>
        <w:rPr>
          <w:rFonts w:ascii="Times New Roman" w:eastAsia="Calibri" w:hAnsi="Times New Roman" w:cs="Times New Roman"/>
          <w:color w:val="943634"/>
          <w:sz w:val="22"/>
          <w:szCs w:val="24"/>
          <w:lang w:val="sl-SI"/>
        </w:rPr>
      </w:pPr>
      <w:bookmarkStart w:id="35" w:name="_Toc32574460"/>
      <w:bookmarkStart w:id="36" w:name="_Toc32574478"/>
      <w:bookmarkStart w:id="37" w:name="_Toc32574553"/>
      <w:bookmarkStart w:id="38" w:name="_Toc32584042"/>
      <w:bookmarkStart w:id="39" w:name="_Toc32835780"/>
      <w:bookmarkStart w:id="40" w:name="_Toc32835847"/>
      <w:bookmarkStart w:id="41" w:name="_Toc62197137"/>
      <w:bookmarkStart w:id="42" w:name="_Toc62552708"/>
      <w:bookmarkStart w:id="43" w:name="_Toc62813707"/>
    </w:p>
    <w:p w:rsidR="00DD31D5" w:rsidRPr="00E04B44" w:rsidRDefault="00E04B44" w:rsidP="00E04B44">
      <w:pPr>
        <w:keepNext/>
        <w:keepLines/>
        <w:tabs>
          <w:tab w:val="left" w:pos="4962"/>
        </w:tabs>
        <w:spacing w:before="0" w:after="0" w:line="240" w:lineRule="auto"/>
        <w:jc w:val="left"/>
        <w:outlineLvl w:val="2"/>
        <w:rPr>
          <w:rFonts w:eastAsia="Times New Roman" w:cs="Times New Roman"/>
          <w:b/>
          <w:bCs/>
          <w:noProof/>
          <w:color w:val="000000"/>
          <w:szCs w:val="24"/>
        </w:rPr>
      </w:pPr>
      <w:r>
        <w:rPr>
          <w:rFonts w:ascii="Times New Roman" w:eastAsia="Times New Roman" w:hAnsi="Times New Roman" w:cs="Times New Roman"/>
          <w:b/>
          <w:bCs/>
          <w:noProof/>
          <w:color w:val="000000"/>
          <w:sz w:val="22"/>
          <w:szCs w:val="24"/>
        </w:rPr>
        <w:t xml:space="preserve">          </w:t>
      </w:r>
      <w:r w:rsidR="00DD31D5" w:rsidRPr="00E04B44">
        <w:rPr>
          <w:rFonts w:eastAsia="Times New Roman" w:cs="Times New Roman"/>
          <w:b/>
          <w:bCs/>
          <w:noProof/>
          <w:color w:val="000000"/>
          <w:szCs w:val="24"/>
        </w:rPr>
        <w:t>Razvoj informacionih sistema i modernizacija</w:t>
      </w:r>
      <w:bookmarkEnd w:id="35"/>
      <w:bookmarkEnd w:id="36"/>
      <w:bookmarkEnd w:id="37"/>
      <w:bookmarkEnd w:id="38"/>
      <w:bookmarkEnd w:id="39"/>
      <w:bookmarkEnd w:id="40"/>
      <w:bookmarkEnd w:id="41"/>
      <w:bookmarkEnd w:id="42"/>
      <w:bookmarkEnd w:id="43"/>
    </w:p>
    <w:p w:rsidR="00DD31D5" w:rsidRPr="00E04B44" w:rsidRDefault="00DD31D5" w:rsidP="00E04B44">
      <w:pPr>
        <w:spacing w:before="0" w:after="0" w:line="240" w:lineRule="auto"/>
        <w:ind w:right="4" w:firstLine="567"/>
        <w:contextualSpacing/>
        <w:rPr>
          <w:rFonts w:eastAsia="Calibri" w:cs="Times New Roman"/>
          <w:szCs w:val="24"/>
          <w:lang w:val="sl-SI"/>
        </w:rPr>
      </w:pPr>
      <w:r w:rsidRPr="00E04B44">
        <w:rPr>
          <w:rFonts w:eastAsia="Calibri" w:cs="Times New Roman"/>
          <w:szCs w:val="24"/>
          <w:lang w:val="sl-SI"/>
        </w:rPr>
        <w:t>Pristupanje Evropskoj uniji zahtijeva da određeni broj carinskih postupaka bude potpuno kompjuterizovan,  kao i da IT sistemi koje Uprava carina koristi budu međusobno povezani sa sistemima Evropske unije, pogotovo sa Novim kompjuterizovanim tranzitnim sistemom (NCTS), Sistemom za upravljanje integrisanom tarifom (ITMS), Sistemom kontrole izvoza (ECS) i Sistemom kontrole uvoza (ICS) i mnogim drugim sistemima. Uprava carina kontinuirano sprovodi aktivnosti na povećanju efikasnosti i kvaliteta u pružanju usluga putem elektronskih servisa prema privredi, čime doprinosi stvaranju povoljnijeg poslovnog okruženja i boljem funkcionisanju sistema.</w:t>
      </w:r>
    </w:p>
    <w:p w:rsidR="00DD31D5" w:rsidRPr="00E04B44" w:rsidRDefault="00DD31D5" w:rsidP="00E04B44">
      <w:pPr>
        <w:spacing w:before="0" w:after="0" w:line="240" w:lineRule="auto"/>
        <w:ind w:firstLine="567"/>
        <w:rPr>
          <w:rFonts w:eastAsia="Calibri" w:cs="Times New Roman"/>
          <w:szCs w:val="24"/>
          <w:lang w:val="en-US"/>
        </w:rPr>
      </w:pPr>
      <w:r w:rsidRPr="00E04B44">
        <w:rPr>
          <w:rFonts w:eastAsia="Calibri" w:cs="Times New Roman"/>
          <w:szCs w:val="24"/>
          <w:lang w:val="en-US"/>
        </w:rPr>
        <w:t xml:space="preserve">Projekat ''Podrška Upravi carina''otpočeo je sa realizacijom u novembru 2018. godine. Aktivnosti iz projekta su nastavljene sa realizacijom i u toku 2020.godine, se u skladu sa planovima Ugovora za podršku i Ugovora za implementaciju NCTS-a. EK je objavila ažurirane tehničke specifikacije DDNTA tokom 2020.godine, na osnovu kojih je ugovarač izmijenio tehničke specifikacije za NCTS i GMS i aplikaciju za GMS. Održane su online obuke za privredu i bankarski sektor o Konvenciji o zajedničkom tranzitnom postupku, benefitima koje donosi sprovođenje zajedničkog tranzitnog postupka i novinama koje ih očekuju. Tokom godine se radilo i na nacionalnim instrukcijama (tranzit, garancije) sa ekspertima koji su angažovani kroz projekat. </w:t>
      </w:r>
    </w:p>
    <w:p w:rsidR="00DD31D5" w:rsidRPr="00E04B44" w:rsidRDefault="00DD31D5" w:rsidP="00E04B44">
      <w:pPr>
        <w:spacing w:before="0" w:after="0" w:line="240" w:lineRule="auto"/>
        <w:ind w:firstLine="567"/>
        <w:rPr>
          <w:rFonts w:eastAsia="Calibri" w:cs="Times New Roman"/>
          <w:szCs w:val="24"/>
          <w:lang w:val="en-US"/>
        </w:rPr>
      </w:pPr>
      <w:r w:rsidRPr="00E04B44">
        <w:rPr>
          <w:rFonts w:eastAsia="Calibri" w:cs="Times New Roman"/>
          <w:szCs w:val="24"/>
          <w:lang w:val="en-US"/>
        </w:rPr>
        <w:t>Krajem 2020.</w:t>
      </w:r>
      <w:r w:rsidR="00E04B44" w:rsidRPr="00E04B44">
        <w:rPr>
          <w:rFonts w:eastAsia="Calibri" w:cs="Times New Roman"/>
          <w:szCs w:val="24"/>
          <w:lang w:val="en-US"/>
        </w:rPr>
        <w:t xml:space="preserve"> </w:t>
      </w:r>
      <w:r w:rsidRPr="00E04B44">
        <w:rPr>
          <w:rFonts w:eastAsia="Calibri" w:cs="Times New Roman"/>
          <w:szCs w:val="24"/>
          <w:lang w:val="en-US"/>
        </w:rPr>
        <w:t>godine održana su dva sastanka-Tehnička e-misija DG TAXUD-a, na temu NCTS-P5 &amp; Geografsko proširenje, na kojima je dat presjek stanja o završenim i planiranim aktivnostima, a eksperti su dali svoje viđenje za ažuriranje našeg NPP i naveli izazove koji nas učekuju, usled pandemije COVID virusa, u okviru testiranja i treninga. Treći i četvrti sastanak Upravnog odbora projekta su</w:t>
      </w:r>
      <w:r w:rsidR="00E04B44" w:rsidRPr="00E04B44">
        <w:rPr>
          <w:rFonts w:eastAsia="Calibri" w:cs="Times New Roman"/>
          <w:szCs w:val="24"/>
          <w:lang w:val="en-US"/>
        </w:rPr>
        <w:t xml:space="preserve"> održani u februaru i julu i na</w:t>
      </w:r>
      <w:r w:rsidRPr="00E04B44">
        <w:rPr>
          <w:rFonts w:eastAsia="Calibri" w:cs="Times New Roman"/>
          <w:szCs w:val="24"/>
          <w:lang w:val="en-US"/>
        </w:rPr>
        <w:t xml:space="preserve"> njima su usvojeni drugi i treći Privremeni izvjestaj, koji sadrže aktivnosti i zadatke koje je izvršio konzorcijum u periodu izvještavanja od 01.07.2019. do 31.01.2020. godine i od 01.02.2020 do 30.06.2020, kao i plan za naredne periode. Takođe, razmotren je uticaj pandemije COVID 19 na planirane aktivnosti, kao i mjere koje mogu smanjiti uticaj</w:t>
      </w:r>
      <w:r w:rsidRPr="00E04B44">
        <w:rPr>
          <w:rFonts w:eastAsia="Calibri" w:cs="Times New Roman"/>
          <w:color w:val="92D050"/>
          <w:szCs w:val="24"/>
          <w:lang w:val="en-US"/>
        </w:rPr>
        <w:t>.</w:t>
      </w:r>
      <w:r w:rsidRPr="00E04B44">
        <w:rPr>
          <w:rFonts w:eastAsia="Calibri" w:cs="Times New Roman"/>
          <w:szCs w:val="24"/>
          <w:lang w:val="en-US"/>
        </w:rPr>
        <w:t xml:space="preserve"> </w:t>
      </w:r>
    </w:p>
    <w:p w:rsidR="00DD31D5" w:rsidRPr="00E04B44" w:rsidRDefault="00DD31D5" w:rsidP="00E04B44">
      <w:pPr>
        <w:spacing w:before="0" w:after="0" w:line="240" w:lineRule="auto"/>
        <w:ind w:firstLine="567"/>
        <w:rPr>
          <w:rFonts w:eastAsia="Calibri" w:cs="Times New Roman"/>
          <w:szCs w:val="24"/>
          <w:lang w:val="en-US"/>
        </w:rPr>
      </w:pPr>
      <w:r w:rsidRPr="00E04B44">
        <w:rPr>
          <w:rFonts w:eastAsia="Calibri" w:cs="Times New Roman"/>
          <w:szCs w:val="24"/>
          <w:lang w:val="en-US"/>
        </w:rPr>
        <w:lastRenderedPageBreak/>
        <w:t>Realizovane su aktivnosti na razvoju novog IT sistema za akcize i implementaciji sistema kontr</w:t>
      </w:r>
      <w:r w:rsidR="00E04B44" w:rsidRPr="00E04B44">
        <w:rPr>
          <w:rFonts w:eastAsia="Calibri" w:cs="Times New Roman"/>
          <w:szCs w:val="24"/>
          <w:lang w:val="en-US"/>
        </w:rPr>
        <w:t>ole kretanja akciznih proizvoda</w:t>
      </w:r>
      <w:r w:rsidRPr="00E04B44">
        <w:rPr>
          <w:rFonts w:eastAsia="Calibri" w:cs="Times New Roman"/>
          <w:szCs w:val="24"/>
          <w:lang w:val="en-US"/>
        </w:rPr>
        <w:t xml:space="preserve"> i to Projekat »</w:t>
      </w:r>
      <w:r w:rsidR="00E04B44" w:rsidRPr="00E04B44">
        <w:rPr>
          <w:rFonts w:eastAsia="Calibri" w:cs="Times New Roman"/>
          <w:szCs w:val="24"/>
          <w:lang w:val="en-US"/>
        </w:rPr>
        <w:t xml:space="preserve">Podrška Upravi carina u oblasti </w:t>
      </w:r>
      <w:r w:rsidRPr="00E04B44">
        <w:rPr>
          <w:rFonts w:eastAsia="Calibri" w:cs="Times New Roman"/>
          <w:szCs w:val="24"/>
          <w:lang w:val="en-US"/>
        </w:rPr>
        <w:t>akciza“, i »</w:t>
      </w:r>
      <w:r w:rsidRPr="00E04B44">
        <w:rPr>
          <w:rFonts w:eastAsia="Calibri" w:cs="Times New Roman"/>
          <w:color w:val="000000"/>
          <w:szCs w:val="24"/>
          <w:lang w:val="en-US"/>
        </w:rPr>
        <w:t>Projekat uvođenja sistema za elektronsko upravljanje akciznim markicama«.</w:t>
      </w:r>
    </w:p>
    <w:p w:rsidR="00DD31D5" w:rsidRPr="00E04B44" w:rsidRDefault="00DD31D5" w:rsidP="00E04B44">
      <w:pPr>
        <w:spacing w:before="0" w:after="0" w:line="240" w:lineRule="auto"/>
        <w:ind w:firstLine="567"/>
        <w:rPr>
          <w:rFonts w:eastAsia="Calibri" w:cs="Times New Roman"/>
          <w:b/>
          <w:color w:val="00B0F0"/>
          <w:szCs w:val="24"/>
          <w:lang w:val="en-US"/>
        </w:rPr>
      </w:pPr>
      <w:r w:rsidRPr="00E04B44">
        <w:rPr>
          <w:rFonts w:eastAsia="Calibri" w:cs="Times New Roman"/>
          <w:szCs w:val="24"/>
          <w:lang w:val="en-US"/>
        </w:rPr>
        <w:t xml:space="preserve">U okviru projekta, uspješno se realizuje povezivanje sa Zajedničkom komunikacionom mrežom zemalja članica (CCN/CSI) kojom upravlja Generalni direktorat za poreze i carinsku uniju (DG TAXUD), koja će služiti za testiranje ovog i svih ostalih IT sistema koji se implementiraju </w:t>
      </w:r>
      <w:r w:rsidR="00E04B44" w:rsidRPr="00E04B44">
        <w:rPr>
          <w:rFonts w:eastAsia="Calibri" w:cs="Times New Roman"/>
          <w:szCs w:val="24"/>
          <w:lang w:val="en-US"/>
        </w:rPr>
        <w:t xml:space="preserve">u Carinski informacioni sistem </w:t>
      </w:r>
      <w:r w:rsidRPr="00E04B44">
        <w:rPr>
          <w:rFonts w:eastAsia="Calibri" w:cs="Times New Roman"/>
          <w:szCs w:val="24"/>
          <w:lang w:val="en-US"/>
        </w:rPr>
        <w:t>kroz Poglavlje 29 Carinska unija i koja će nakon ulaska Crne Gore u EU služiti kao sigur</w:t>
      </w:r>
      <w:r w:rsidR="00E04B44" w:rsidRPr="00E04B44">
        <w:rPr>
          <w:rFonts w:eastAsia="Calibri" w:cs="Times New Roman"/>
          <w:szCs w:val="24"/>
          <w:lang w:val="en-US"/>
        </w:rPr>
        <w:t>nosni link za razmjenu podataka</w:t>
      </w:r>
      <w:r w:rsidRPr="00E04B44">
        <w:rPr>
          <w:rFonts w:eastAsia="Calibri" w:cs="Times New Roman"/>
          <w:szCs w:val="24"/>
          <w:lang w:val="en-US"/>
        </w:rPr>
        <w:t xml:space="preserve"> u oblasti carina i poreza. Realizacijom ovog Projekta, ispuniće se uslovi za pristupanje Crne Gore Konvenciji o zajedničkom tranzitnom postupku i Konvenciji o olakšicama u trgovini robom, a što je jedan od uslova za pridruživanje Evropskoj uniji.</w:t>
      </w:r>
      <w:r w:rsidR="00E04B44" w:rsidRPr="00E04B44">
        <w:rPr>
          <w:rFonts w:eastAsia="Calibri" w:cs="Times New Roman"/>
          <w:szCs w:val="24"/>
          <w:lang w:val="en-US"/>
        </w:rPr>
        <w:t xml:space="preserve"> </w:t>
      </w:r>
      <w:r w:rsidRPr="00E04B44">
        <w:rPr>
          <w:rFonts w:eastAsia="Calibri" w:cs="Times New Roman"/>
          <w:szCs w:val="24"/>
          <w:lang w:val="en-US"/>
        </w:rPr>
        <w:t>Očekuje se završetak Projekta u 2021.godini kada će se realizovati najveći broj aktivnosti.</w:t>
      </w:r>
      <w:r w:rsidRPr="00E04B44">
        <w:rPr>
          <w:rFonts w:eastAsia="Calibri" w:cs="Times New Roman"/>
          <w:b/>
          <w:szCs w:val="24"/>
          <w:lang w:val="en-US"/>
        </w:rPr>
        <w:t xml:space="preserve">  </w:t>
      </w:r>
    </w:p>
    <w:p w:rsidR="00DD31D5" w:rsidRPr="00E04B44" w:rsidRDefault="00DD31D5" w:rsidP="00E04B44">
      <w:pPr>
        <w:spacing w:before="0" w:after="0" w:line="240" w:lineRule="auto"/>
        <w:ind w:firstLine="567"/>
        <w:rPr>
          <w:rFonts w:eastAsia="Calibri" w:cs="Times New Roman"/>
          <w:szCs w:val="24"/>
          <w:lang w:val="en-US"/>
        </w:rPr>
      </w:pPr>
      <w:r w:rsidRPr="00E04B44">
        <w:rPr>
          <w:rFonts w:eastAsia="Calibri" w:cs="Times New Roman"/>
          <w:szCs w:val="24"/>
          <w:lang w:val="en-US"/>
        </w:rPr>
        <w:t>U okviru projekta »Podrška Upravi carina u oblasti akciza“, održani su drugi, treći i četvrti redovni sastanci Upravnog odbora Projekta. Na sastancima je prezentovan Prvi i Drugi izvještaj o napretku, u kojem je Ugovarač predstavio aktivnosti i zadatke koje je izvršio od početka Projekta. Istovremeno su detaljno predstavljeni moduli u testnoj verziji Nacionalne aplikacije za akcize, kao i dalji plan rada na razvoju Projekta. Takođe, razmatran je i uticaj pandemije na realizaciju ugovora i predlog mjera za ublažavanje istih, kako bi osigurali dalju uspješnu realizaciju Projekta.</w:t>
      </w:r>
    </w:p>
    <w:p w:rsidR="00DD31D5" w:rsidRPr="00E04B44" w:rsidRDefault="00DD31D5" w:rsidP="00E04B44">
      <w:pPr>
        <w:spacing w:before="0" w:after="0" w:line="240" w:lineRule="auto"/>
        <w:ind w:firstLine="567"/>
        <w:rPr>
          <w:rFonts w:eastAsia="Calibri" w:cs="Times New Roman"/>
          <w:szCs w:val="24"/>
          <w:lang w:val="en-US"/>
        </w:rPr>
      </w:pPr>
      <w:r w:rsidRPr="00E04B44">
        <w:rPr>
          <w:rFonts w:eastAsia="Calibri" w:cs="Times New Roman"/>
          <w:szCs w:val="24"/>
          <w:lang w:val="en-US"/>
        </w:rPr>
        <w:t>Pokrenut je postupak osavremenjavanja načina obilježavanja duvanskih proizvoda i alkoholnih pića akciznim markicama razvojem sistema za elektronsko upravljanje akciznim markicama, koji će omogućiti elektronsko odobravanje, narudžbu i izdavanje akciznih markica, kao i elektronsko vođenje evidencije o izdatim, iskorišćenim i neiskorišćenim akciznim markicama. Uvođenjem navedenog sistema unaprijediće se efikasnost carinske službe u suzbijanju nezakonite trgovine duvanskim proizvodima.</w:t>
      </w:r>
    </w:p>
    <w:p w:rsidR="00DD31D5" w:rsidRPr="00E04B44" w:rsidRDefault="00DD31D5" w:rsidP="00E04B44">
      <w:pPr>
        <w:spacing w:before="0" w:after="0" w:line="240" w:lineRule="auto"/>
        <w:ind w:firstLine="567"/>
        <w:rPr>
          <w:rFonts w:eastAsia="Calibri" w:cs="Times New Roman"/>
          <w:szCs w:val="24"/>
          <w:lang w:val="en-US"/>
        </w:rPr>
      </w:pPr>
      <w:r w:rsidRPr="00E04B44">
        <w:rPr>
          <w:rFonts w:eastAsia="Calibri" w:cs="Times New Roman"/>
          <w:szCs w:val="24"/>
          <w:lang w:val="en-US"/>
        </w:rPr>
        <w:t>U okviru NCTS projekta nastavljene su intenzivne aktivnosti na izgradnji novog i savremenog Sistema za upravljanje rizikom. U saradnji sa ekspertima izrađeni su sledeći dokumenti: Koncept zajedničkih kriterijuma rizika i standarda u skladu s</w:t>
      </w:r>
      <w:r w:rsidR="00E04B44" w:rsidRPr="00E04B44">
        <w:rPr>
          <w:rFonts w:eastAsia="Calibri" w:cs="Times New Roman"/>
          <w:szCs w:val="24"/>
          <w:lang w:val="en-US"/>
        </w:rPr>
        <w:t xml:space="preserve">a carinskim zakonom Crne Gore; </w:t>
      </w:r>
      <w:r w:rsidRPr="00E04B44">
        <w:rPr>
          <w:rFonts w:eastAsia="Calibri" w:cs="Times New Roman"/>
          <w:szCs w:val="24"/>
          <w:lang w:val="en-US"/>
        </w:rPr>
        <w:t>Koncept prioritetnih oblasti kontrole; Okvir za upravljanje rizikom u Upravi carina; Strategija za upravljanje rizikom Uprave carina; Funkcionalna specifikacija za RMS sistem Uprave carina; Dizajn procesa u Sistemu upravljanja rizikom kao dio poslovne arhitekture i procesa u Upravi carina.</w:t>
      </w:r>
    </w:p>
    <w:p w:rsidR="00DD31D5" w:rsidRPr="00E04B44" w:rsidRDefault="00DD31D5" w:rsidP="00E04B44">
      <w:pPr>
        <w:spacing w:before="0" w:after="0" w:line="240" w:lineRule="auto"/>
        <w:ind w:firstLine="708"/>
        <w:rPr>
          <w:rFonts w:eastAsia="Calibri" w:cs="Times New Roman"/>
          <w:szCs w:val="24"/>
          <w:lang w:val="en-US"/>
        </w:rPr>
      </w:pPr>
      <w:r w:rsidRPr="00E04B44">
        <w:rPr>
          <w:rFonts w:eastAsia="Calibri" w:cs="Times New Roman"/>
          <w:szCs w:val="24"/>
          <w:lang w:val="en-US"/>
        </w:rPr>
        <w:t>Projekat Podrška regionalnoj ekonomskoj integraciji / GIZ Open Regional Fund Foreign Trade, koji je započeo u junu 2020. i trajaće do jula 2023. podržaće implementaciju zajedničkog upravljanja rizikom u CEFTA regionu i implementaciju Strategije za upravljanje rizikom u CEFTA zemljama. Tokom 2020 godine održano je više regionalnih online sastanaka i završene sve obaveze Uprave carina u dosadašnjem toku projekta.</w:t>
      </w:r>
    </w:p>
    <w:p w:rsidR="00DD31D5" w:rsidRPr="00E04B44" w:rsidRDefault="00DD31D5" w:rsidP="00E04B44">
      <w:pPr>
        <w:spacing w:before="0" w:after="0" w:line="240" w:lineRule="auto"/>
        <w:ind w:firstLine="708"/>
        <w:rPr>
          <w:rFonts w:eastAsia="Calibri" w:cs="Times New Roman"/>
          <w:szCs w:val="24"/>
          <w:shd w:val="clear" w:color="auto" w:fill="FFFFFF"/>
          <w:lang w:val="en-US"/>
        </w:rPr>
      </w:pPr>
      <w:r w:rsidRPr="00E04B44">
        <w:rPr>
          <w:rFonts w:eastAsia="Calibri" w:cs="Times New Roman"/>
          <w:szCs w:val="24"/>
          <w:shd w:val="clear" w:color="auto" w:fill="FFFFFF"/>
          <w:lang w:val="en-US"/>
        </w:rPr>
        <w:t>Započet je »Projekat podrške digitalizaciji trgovinskih procedura u poštanskom i pomorskom saobraćaju«uz podršku BMZ-GIZ, koji će doprinijeti modernizaciji procedura, efikasnosti analize rizika I ubrzanju procesuiranja pošiljki u pomorskom I poštanskom saobraćaju.</w:t>
      </w:r>
    </w:p>
    <w:p w:rsidR="00DD31D5" w:rsidRPr="00E04B44" w:rsidRDefault="00DD31D5" w:rsidP="00E04B44">
      <w:pPr>
        <w:spacing w:before="0" w:after="0" w:line="240" w:lineRule="auto"/>
        <w:ind w:firstLine="708"/>
        <w:rPr>
          <w:rFonts w:eastAsia="Calibri" w:cs="Times New Roman"/>
          <w:szCs w:val="24"/>
          <w:lang w:val="en-US"/>
        </w:rPr>
      </w:pPr>
      <w:r w:rsidRPr="00E04B44">
        <w:rPr>
          <w:rFonts w:eastAsia="Calibri" w:cs="Times New Roman"/>
          <w:szCs w:val="24"/>
          <w:shd w:val="clear" w:color="auto" w:fill="FFFFFF"/>
          <w:lang w:val="en-US"/>
        </w:rPr>
        <w:t xml:space="preserve">Realizovan je i Projekat </w:t>
      </w:r>
      <w:r w:rsidRPr="00E04B44">
        <w:rPr>
          <w:rFonts w:eastAsia="Calibri" w:cs="Times New Roman"/>
          <w:bCs/>
          <w:szCs w:val="24"/>
          <w:lang w:val="en-US"/>
        </w:rPr>
        <w:t>"</w:t>
      </w:r>
      <w:r w:rsidRPr="00E04B44">
        <w:rPr>
          <w:rFonts w:eastAsia="Calibri" w:cs="Times New Roman"/>
          <w:szCs w:val="24"/>
          <w:shd w:val="clear" w:color="auto" w:fill="FFFFFF"/>
          <w:lang w:val="en-US"/>
        </w:rPr>
        <w:t>Izrada administrativnih kapaciteta Uprave carina za punu implementaciju informacionog sistema za upravljanje inspekcijskim nadzorom</w:t>
      </w:r>
      <w:r w:rsidRPr="00E04B44">
        <w:rPr>
          <w:rFonts w:eastAsia="Calibri" w:cs="Times New Roman"/>
          <w:bCs/>
          <w:szCs w:val="24"/>
          <w:lang w:val="en-US"/>
        </w:rPr>
        <w:t>".</w:t>
      </w:r>
    </w:p>
    <w:p w:rsidR="00DD31D5" w:rsidRPr="00E04B44" w:rsidRDefault="00DD31D5" w:rsidP="00E04B44">
      <w:pPr>
        <w:spacing w:before="0" w:after="0" w:line="240" w:lineRule="auto"/>
        <w:ind w:firstLine="708"/>
        <w:rPr>
          <w:rFonts w:eastAsia="Calibri" w:cs="Times New Roman"/>
          <w:szCs w:val="24"/>
          <w:lang w:val="en-US"/>
        </w:rPr>
      </w:pPr>
      <w:r w:rsidRPr="00E04B44">
        <w:rPr>
          <w:rFonts w:eastAsia="Calibri" w:cs="Times New Roman"/>
          <w:szCs w:val="24"/>
          <w:shd w:val="clear" w:color="auto" w:fill="FFFFFF"/>
          <w:lang w:val="en-US"/>
        </w:rPr>
        <w:t xml:space="preserve">U septembru 2020.završen je projekat </w:t>
      </w:r>
      <w:r w:rsidRPr="00E04B44">
        <w:rPr>
          <w:rFonts w:eastAsia="Calibri" w:cs="Times New Roman"/>
          <w:bCs/>
          <w:szCs w:val="24"/>
          <w:lang w:val="en-US"/>
        </w:rPr>
        <w:t>"</w:t>
      </w:r>
      <w:r w:rsidRPr="00E04B44">
        <w:rPr>
          <w:rFonts w:eastAsia="Calibri" w:cs="Times New Roman"/>
          <w:szCs w:val="24"/>
          <w:shd w:val="clear" w:color="auto" w:fill="FFFFFF"/>
          <w:lang w:val="en-US"/>
        </w:rPr>
        <w:t>Izrada administrativnih kapaciteta Uprave carina za punu implementaciju informacionog sistema za upravljanje inspekcijskim nadzorom</w:t>
      </w:r>
      <w:r w:rsidRPr="00E04B44">
        <w:rPr>
          <w:rFonts w:eastAsia="Calibri" w:cs="Times New Roman"/>
          <w:bCs/>
          <w:szCs w:val="24"/>
          <w:lang w:val="en-US"/>
        </w:rPr>
        <w:t>",</w:t>
      </w:r>
      <w:r w:rsidRPr="00E04B44">
        <w:rPr>
          <w:rFonts w:eastAsia="Calibri" w:cs="Times New Roman"/>
          <w:szCs w:val="24"/>
          <w:shd w:val="clear" w:color="auto" w:fill="FFFFFF"/>
          <w:lang w:val="en-US"/>
        </w:rPr>
        <w:t xml:space="preserve"> kojim se omogućavaju funkcionalnosti za analitički rad i izvještavanje za potrebe upravljanja inspekcijskim nadzorom, evi</w:t>
      </w:r>
      <w:r w:rsidR="00E04B44" w:rsidRPr="00E04B44">
        <w:rPr>
          <w:rFonts w:eastAsia="Calibri" w:cs="Times New Roman"/>
          <w:szCs w:val="24"/>
          <w:shd w:val="clear" w:color="auto" w:fill="FFFFFF"/>
          <w:lang w:val="en-US"/>
        </w:rPr>
        <w:t xml:space="preserve">dencija vođenja predmeta kao i </w:t>
      </w:r>
      <w:r w:rsidRPr="00E04B44">
        <w:rPr>
          <w:rFonts w:eastAsia="Calibri" w:cs="Times New Roman"/>
          <w:szCs w:val="24"/>
          <w:shd w:val="clear" w:color="auto" w:fill="FFFFFF"/>
          <w:lang w:val="en-US"/>
        </w:rPr>
        <w:t>izrada objektivnog i nepristrasnog godišnjeg plana naknadnih kontrola.</w:t>
      </w:r>
      <w:r w:rsidRPr="00E04B44">
        <w:rPr>
          <w:rFonts w:eastAsia="Calibri" w:cs="Times New Roman"/>
          <w:szCs w:val="24"/>
          <w:lang w:val="en-US"/>
        </w:rPr>
        <w:t xml:space="preserve"> Implementacijom navedenih projekata, Uprava carina integriše svoje sisteme sa EU i međunarodnim carinskim i bezbjednosnim sistemima što je jedan od kompleksnijih zahtjeva koje </w:t>
      </w:r>
      <w:r w:rsidR="00E04B44" w:rsidRPr="00E04B44">
        <w:rPr>
          <w:rFonts w:eastAsia="Calibri" w:cs="Times New Roman"/>
          <w:szCs w:val="24"/>
          <w:lang w:val="en-US"/>
        </w:rPr>
        <w:t>Crna Gora mora ispuniti na putu</w:t>
      </w:r>
      <w:r w:rsidRPr="00E04B44">
        <w:rPr>
          <w:rFonts w:eastAsia="Calibri" w:cs="Times New Roman"/>
          <w:szCs w:val="24"/>
          <w:lang w:val="en-US"/>
        </w:rPr>
        <w:t xml:space="preserve"> ka Evropskoj uniji. Istovremeno, unaprijediće se efikasnost carinske službe u suzbijanju nezakonite trgovine svim robama, a posebno duvanskim proizvodima i alkoholnim pićima.</w:t>
      </w:r>
    </w:p>
    <w:p w:rsidR="00DD31D5" w:rsidRPr="00E04B44" w:rsidRDefault="00DD31D5" w:rsidP="00E04B44">
      <w:pPr>
        <w:spacing w:before="0" w:after="0" w:line="240" w:lineRule="auto"/>
        <w:ind w:firstLine="708"/>
        <w:rPr>
          <w:rFonts w:eastAsia="Calibri" w:cs="Times New Roman"/>
          <w:szCs w:val="24"/>
          <w:lang w:val="sl-SI"/>
        </w:rPr>
      </w:pPr>
      <w:r w:rsidRPr="00E04B44">
        <w:rPr>
          <w:rFonts w:eastAsia="Calibri" w:cs="Times New Roman"/>
          <w:szCs w:val="24"/>
          <w:lang w:val="sl-SI"/>
        </w:rPr>
        <w:lastRenderedPageBreak/>
        <w:t>Uveden je novi moderan informativni servis »Info portal« u cilju većeg stepena informisanosti fizičkih lica. Servis je prilagođen svim uređajima i omogućava fizičkim licima da se, na lak i brz način, informišu o carinskim procedurama. Na Info portalu je dostupan carinski kalkulator putem kojeg fizička lica mogu brzo i jednostavno izračunati iznos carinskih dažbina za robu koju su poručili putem interneta. U dijelu informacija za putnike su postavljene najbitnije informacije u pogledu unosa i iznosa gotovog novca, unosa ljekova, iznošenja kulturnih dobara i umjetnina, unosa hrane, bilja i biljnih proizvoda, životinja i kućnih ljubimaca, oružja i municije, kao i informacije o zabrani prometa CITES vrstama bez dozvole. Takođe, dostupne su i informacije o robi koja može biti predmet oslobođenja od plaćanja carine i PDV-a, kao i uslovima za ostvarivanje ovih oslobođenja. Posjetioci ovog portala takođe imaju mogućnost uvida u odgovore na najčešće postavljena pitanja (FAQs) koje pripremaju organizacione jedinice Uprave carina.</w:t>
      </w:r>
    </w:p>
    <w:p w:rsidR="00DD31D5" w:rsidRPr="00E04B44" w:rsidRDefault="00DD31D5" w:rsidP="00E04B44">
      <w:pPr>
        <w:spacing w:before="0" w:after="0" w:line="240" w:lineRule="auto"/>
        <w:ind w:firstLine="708"/>
        <w:rPr>
          <w:rFonts w:eastAsia="Calibri" w:cs="Times New Roman"/>
          <w:strike/>
          <w:szCs w:val="24"/>
          <w:lang w:val="sl-SI"/>
        </w:rPr>
      </w:pPr>
      <w:r w:rsidRPr="00E04B44">
        <w:rPr>
          <w:rFonts w:eastAsia="Calibri" w:cs="Times New Roman"/>
          <w:szCs w:val="24"/>
          <w:lang w:val="sl-SI"/>
        </w:rPr>
        <w:t xml:space="preserve">Uprava carina je uspješno okončala projekat u cilju modernizacije Carinske laboratorije. Kao jedna od korisnica sektorske budžetske podrške EU (IPA SBS IBM 2015), u okviru Projekta »Podrška Strategiji integrisanog upravljanja granicom», realizovala je nabavku opreme za Carinsku laboratoriju za analizu mineralnih ulja i naftnih derivata. Ovim je postignut značajan iskorak u dostizanju evropskih standarda u carinskoj oblasti u okviru Pregovaračkog poglavlja 29 “Carinska unija”. Pored najsavremenije opreme za analizu mineralnih ulja i naftnih derivata koja je instalirana u Carinskoj laboratoriji, Uprava carina posjeduje i nove „mobilne analizatore za goriva“ kojim će se na terenu vršiti brze analize nafte i naftnih derivata. Izrađena je </w:t>
      </w:r>
      <w:r w:rsidRPr="00E04B44">
        <w:rPr>
          <w:rFonts w:eastAsia="Calibri" w:cs="Times New Roman"/>
          <w:szCs w:val="24"/>
        </w:rPr>
        <w:t>Instrukcija o načinu uzimanja uzoraka „tečnih naftnih proizvoda“ uz pomoć uzorkivača „Dippinig bottle Ex“, količini i načinu pakovanja uzoraka.</w:t>
      </w:r>
      <w:r w:rsidRPr="00E04B44">
        <w:rPr>
          <w:rFonts w:eastAsia="Calibri" w:cs="Arial"/>
          <w:szCs w:val="24"/>
        </w:rPr>
        <w:t xml:space="preserve"> </w:t>
      </w:r>
      <w:r w:rsidRPr="00E04B44">
        <w:rPr>
          <w:rFonts w:eastAsia="Calibri" w:cs="Times New Roman"/>
          <w:szCs w:val="24"/>
          <w:lang w:val="sl-SI"/>
        </w:rPr>
        <w:t>Carinska laboratorija za analizu nafte i naftnih derivata zvanično je otpočela sa radom 18.septembra 2020.godine.</w:t>
      </w:r>
    </w:p>
    <w:p w:rsidR="00B249D8" w:rsidRPr="00E04B44" w:rsidRDefault="00DD31D5" w:rsidP="00A51FBC">
      <w:pPr>
        <w:spacing w:before="0" w:after="0" w:line="240" w:lineRule="auto"/>
        <w:ind w:firstLine="708"/>
        <w:rPr>
          <w:rFonts w:eastAsia="Calibri" w:cs="Times New Roman"/>
          <w:szCs w:val="24"/>
          <w:lang w:val="sl-SI"/>
        </w:rPr>
      </w:pPr>
      <w:r w:rsidRPr="00E04B44">
        <w:rPr>
          <w:rFonts w:eastAsia="Calibri" w:cs="Times New Roman"/>
          <w:szCs w:val="24"/>
          <w:lang w:val="sl-SI"/>
        </w:rPr>
        <w:t>Projekat prethodne obrade podataka za ekspresne pošiljke, realizovan je u saradnji sa operaterom brze pošte - DHL-om, a uz finansijsku podršku Saveznog Ministarstva za ekonomsku saradnju i razvoj Njemačke i njihove kancelarije u Crnoj Gori - GIZ-om. Crnogorski model privatno-javnog partnerstva na ovom Projektu predstavlja primjer najbolje prakse, ne samo za države regiona nego i šire. Projektom je postavljen cilj da većina pošiljki koje se isporučuju brzom poštom, od strane carine budu obrađene i prije nego se dopreme na carinsko područje Crne Gore i da u krajnjem budu brzo isporučene naručiocu, što je, u današnjim uslovima modernog poslovanja od suštinske važnosti. Prije implementacije Projekta procedure su bile bazirane na papirnoj osnovi i započinjale su tek nakon dospijeća robe, a analiza rizika je bila moguća jedino na podacima iz carinske deklaracije, što je uzrokovalo nepotrebne troškove i zadržavanja robe na granici. Ovakve procedure nisu mogle zadovoljiti potrebu za brzom isporukom robe, stoga je to bio glavni motivirajući faktor za Upravu carina da ubrza procedure i time poveća procenat carinjenja pošiljki sa 25 % na 65% u okviru jednog sata. Glavni izazov je bio kako na najbolji način uvažiti zahtjeve carinske kontrole sa jedne strane i potrebe privrede sa druge strane. Da bi uspostavili odgovarajući balans u podjeli odgovornosti od suštinskog značaja je bilo učešće privatnog partnera – DHL-a najprije u potrebi izmjena zakonske regulative, a onda dalje u kreiranju procedura i odgovarajućeg IT rješenja. Potrebne procedure su razvijane u skladu sa EU standardima pa su u definisanju crnogorskog modela korištene najbolje prakse Slovenije i Njemačke, usvajajući rješenja primjenjiva za crnogorsko okruženje. Razvojem dodatnih funkcionalnosti carinskog informacionog sistema, prateća dokumenta sa podacima neophodnim za sprovođenje analize rizika, sada se podnose i obrađuju elektronskim putem. Benefit više ovog projekta je što su zemlje regiona, koje su kasnije počele sa projektom, mogle da koriste iskustvo Crne Gore, odnosno pristup koji je isproban i testiran, naravno uz potrebne modifikacije specifične za njihovu državu.</w:t>
      </w:r>
    </w:p>
    <w:p w:rsidR="00B249D8" w:rsidRPr="00B249D8" w:rsidRDefault="00B249D8" w:rsidP="0065427D">
      <w:pPr>
        <w:keepNext/>
        <w:keepLines/>
        <w:spacing w:line="240" w:lineRule="auto"/>
        <w:ind w:left="927"/>
        <w:jc w:val="left"/>
        <w:outlineLvl w:val="0"/>
        <w:rPr>
          <w:rFonts w:eastAsia="Calibri" w:cs="Times New Roman"/>
          <w:b/>
          <w:szCs w:val="24"/>
          <w:lang w:val="sl-SI"/>
        </w:rPr>
      </w:pPr>
      <w:r w:rsidRPr="00B249D8">
        <w:rPr>
          <w:rFonts w:eastAsia="Calibri" w:cs="Times New Roman"/>
          <w:b/>
          <w:szCs w:val="24"/>
          <w:lang w:val="sl-SI"/>
        </w:rPr>
        <w:t>BEZBJEDNOST I ZAŠTITA CARINSKOG PODRUČJA</w:t>
      </w:r>
    </w:p>
    <w:p w:rsidR="00B249D8" w:rsidRPr="00B249D8" w:rsidRDefault="00B249D8" w:rsidP="00B249D8">
      <w:pPr>
        <w:spacing w:before="0" w:after="0" w:line="240" w:lineRule="auto"/>
        <w:ind w:firstLine="708"/>
        <w:rPr>
          <w:rFonts w:eastAsia="Calibri" w:cs="Times New Roman"/>
          <w:szCs w:val="24"/>
          <w:lang w:val="en-US"/>
        </w:rPr>
      </w:pPr>
      <w:r w:rsidRPr="00B249D8">
        <w:rPr>
          <w:rFonts w:eastAsia="Calibri" w:cs="Times New Roman"/>
          <w:szCs w:val="24"/>
          <w:lang w:val="en-US"/>
        </w:rPr>
        <w:t xml:space="preserve">Nastavljajući uspješan trend iz prethodnih godina, Uprava carina je u 2020 godini ostvarila izvanredne rezultate u borbi protiv carinskih prevara, prekograničnog krijumčarenja, sive ekonomije </w:t>
      </w:r>
      <w:r w:rsidRPr="00B249D8">
        <w:rPr>
          <w:rFonts w:eastAsia="Calibri" w:cs="Times New Roman"/>
          <w:szCs w:val="24"/>
          <w:lang w:val="en-US"/>
        </w:rPr>
        <w:lastRenderedPageBreak/>
        <w:t>i drugih neregularnosti.  Navedeni rezultati ostvareni su uz punu saradnju sa nadležnim institucijama na nacionalnom nivou kao i sa međunarodnim organizacijama, institucijama i partnerskim carinskim službama. U godini koja je dominantno obilježena pandemijom Covid-19, a što je uticalo na uslove i ograničenja u radu službe, Uprava carina je uspjela da efikasnom organizacijom i vanrednim naporima svojih službenika u potpunosti odgovori zadacima i doprinese smanjenju negativnih efekata krize na privredu Crne Gore.</w:t>
      </w:r>
    </w:p>
    <w:p w:rsidR="00B249D8" w:rsidRPr="00B249D8" w:rsidRDefault="00B249D8" w:rsidP="00B249D8">
      <w:pPr>
        <w:spacing w:before="0" w:after="0" w:line="240" w:lineRule="auto"/>
        <w:ind w:firstLine="708"/>
        <w:rPr>
          <w:rFonts w:eastAsia="Calibri" w:cs="Times New Roman"/>
          <w:color w:val="9BBB59"/>
          <w:szCs w:val="24"/>
          <w:lang w:val="en-US"/>
        </w:rPr>
      </w:pPr>
      <w:r w:rsidRPr="00B249D8">
        <w:rPr>
          <w:rFonts w:eastAsia="Calibri" w:cs="Times New Roman"/>
          <w:szCs w:val="24"/>
          <w:lang w:val="en-US"/>
        </w:rPr>
        <w:t>Nastavljena je intenzivna saradnja sa partnerskim službama u zemljama EU i međunarodnim organizacijama i institucijama za sprov</w:t>
      </w:r>
      <w:r w:rsidR="003F1D8D">
        <w:rPr>
          <w:rFonts w:eastAsia="Calibri" w:cs="Times New Roman"/>
          <w:szCs w:val="24"/>
          <w:lang w:val="en-US"/>
        </w:rPr>
        <w:t xml:space="preserve">ođenje zakona.  U ovom periodu </w:t>
      </w:r>
      <w:r w:rsidRPr="00B249D8">
        <w:rPr>
          <w:rFonts w:eastAsia="Calibri" w:cs="Times New Roman"/>
          <w:szCs w:val="24"/>
          <w:lang w:val="en-US"/>
        </w:rPr>
        <w:t>primljeno je, obrađeno i odgovoreno na 128 upita međunarodnih organizacija i institucija ( OLAF, Interpol, SELEC, WCO i partnerskih službi) i upućeno 9 zahtjeva za pružanje pomoći partnerskim službama.  Kroz AFIS portal OLAF-u je dostavljeno 277 izvještaja o cigaretama. U međunarodne baze podataka uneseno je 47 informacija.</w:t>
      </w:r>
    </w:p>
    <w:p w:rsidR="00B249D8" w:rsidRPr="00B249D8" w:rsidRDefault="00B249D8" w:rsidP="00B249D8">
      <w:pPr>
        <w:spacing w:before="0" w:after="0" w:line="240" w:lineRule="auto"/>
        <w:ind w:firstLine="708"/>
        <w:rPr>
          <w:rFonts w:eastAsia="Calibri" w:cs="Times New Roman"/>
          <w:color w:val="9BBB59"/>
          <w:szCs w:val="24"/>
          <w:lang w:val="en-US"/>
        </w:rPr>
      </w:pPr>
      <w:r w:rsidRPr="00B249D8">
        <w:rPr>
          <w:rFonts w:eastAsia="Calibri" w:cs="Times New Roman"/>
          <w:szCs w:val="24"/>
          <w:lang w:val="en-US"/>
        </w:rPr>
        <w:t>U skladu sa ovlašćenjima u oblasti carinskih istraga, nastavljena je intenzivna saradnja sa Tužilaštvom, Upravom policije i ostalim organima za sprovođenje zakona. Tokom 2020.godine razmijenijena je 21informacija sa Tužila</w:t>
      </w:r>
      <w:r w:rsidR="003F1D8D">
        <w:rPr>
          <w:rFonts w:eastAsia="Calibri" w:cs="Times New Roman"/>
          <w:szCs w:val="24"/>
          <w:lang w:val="en-US"/>
        </w:rPr>
        <w:t xml:space="preserve">štvom i sudovima, podnijeta su </w:t>
      </w:r>
      <w:r w:rsidRPr="00B249D8">
        <w:rPr>
          <w:rFonts w:eastAsia="Calibri" w:cs="Times New Roman"/>
          <w:szCs w:val="24"/>
          <w:lang w:val="en-US"/>
        </w:rPr>
        <w:t>3 obavještenja nadležnim državnim tužilaštvima o postojanju sumnje da su počinjena krivična djela koje se gone po službenoj dužnosti i jedna informacija Specijalnom državnom tuzilastvu zbog osnovane sumnje da se radi o zloupotrebi u privrednom poslovanju. U istom periodu podnijete su 4 informacije Upravi policije o postojanju sumnje da su počinjena krivična djela koja se gone po službenoj dužnosti i razmijenjena je 61 informacija na nacionalnom nivou, sa Upravom policije i drugim organima za sprovođenje zakona. Službenici Uprave carina su samostalno i u saradnji sa službenicima Uprave policije podnijeli 17 krivičnih prijava nadležnom državnom tužilaštvu.</w:t>
      </w:r>
    </w:p>
    <w:p w:rsidR="00B249D8" w:rsidRPr="00B249D8" w:rsidRDefault="00B249D8" w:rsidP="00B249D8">
      <w:pPr>
        <w:spacing w:before="0" w:after="0" w:line="240" w:lineRule="auto"/>
        <w:ind w:firstLine="708"/>
        <w:rPr>
          <w:rFonts w:eastAsia="Calibri" w:cs="Times New Roman"/>
          <w:szCs w:val="24"/>
          <w:lang w:val="en-US"/>
        </w:rPr>
      </w:pPr>
      <w:r w:rsidRPr="00B249D8">
        <w:rPr>
          <w:rFonts w:eastAsia="Calibri" w:cs="Times New Roman"/>
          <w:szCs w:val="24"/>
          <w:lang w:val="en-US"/>
        </w:rPr>
        <w:t>U carinsko - policijskoj akciji, a u saradnji sa Specijalnim državnim tužilaštvom, spriječeno krijumčarenje cigareta brenda „MAC “ iz Slobodne zone Luka Bar u količini od 1274 MC, čiji ukupan carinski dug iznosi 1.032.949,86€. Takođe, carinski službenici su u dvije odvojene aktivnosti, prilikom kontrole smještajnih kapaciteta korisnika Slobodne Zone Luka Bar zajedno sa službenicima Uprave policije, a prema raspoloživoj carinskoj dokum</w:t>
      </w:r>
      <w:r w:rsidR="003F1D8D">
        <w:rPr>
          <w:rFonts w:eastAsia="Calibri" w:cs="Times New Roman"/>
          <w:szCs w:val="24"/>
          <w:lang w:val="en-US"/>
        </w:rPr>
        <w:t>entaciji, utvrdili da nedostaju</w:t>
      </w:r>
      <w:r w:rsidRPr="00B249D8">
        <w:rPr>
          <w:rFonts w:eastAsia="Calibri" w:cs="Times New Roman"/>
          <w:szCs w:val="24"/>
          <w:lang w:val="en-US"/>
        </w:rPr>
        <w:t xml:space="preserve"> 5017 MC (paketa) cigareta bez akciznih markica koje su uzete ispod carinskog nadzora, čiji ukupan carinski  dug iznosi 4.143.311,27€. U cilju pojačanja mjera</w:t>
      </w:r>
      <w:r w:rsidR="003F1D8D">
        <w:rPr>
          <w:rFonts w:eastAsia="Calibri" w:cs="Times New Roman"/>
          <w:szCs w:val="24"/>
          <w:lang w:val="en-US"/>
        </w:rPr>
        <w:t xml:space="preserve"> carinskog nadzora u </w:t>
      </w:r>
      <w:r w:rsidRPr="00B249D8">
        <w:rPr>
          <w:rFonts w:eastAsia="Calibri" w:cs="Times New Roman"/>
          <w:szCs w:val="24"/>
          <w:lang w:val="en-US"/>
        </w:rPr>
        <w:t>Slobodnoj zoni ”Luka Bar”, operater u Slobodnoj zoni Bar-AD “Luka Bar je izvršio unapređenje Lučkog informacionog sistema (razvoj Lučkog Port Community Systema) i  implementirao novo aplikativno rješenje za vođenje evidencije o kretanju robe koja ulazi i izlazi iz Slobodne zone, unaprijeđen je model praćenja kamionskog saobraćaja, postavljene su rampe i kamere za očitavanje tablica i postavljen video nadzor.</w:t>
      </w:r>
    </w:p>
    <w:p w:rsidR="00B249D8" w:rsidRPr="00B249D8" w:rsidRDefault="00B249D8" w:rsidP="00B249D8">
      <w:pPr>
        <w:spacing w:before="0" w:after="0" w:line="240" w:lineRule="auto"/>
        <w:ind w:firstLine="708"/>
        <w:rPr>
          <w:rFonts w:eastAsia="Calibri" w:cs="Times New Roman"/>
          <w:szCs w:val="24"/>
          <w:lang w:val="sl-SI"/>
        </w:rPr>
      </w:pPr>
      <w:r w:rsidRPr="00B249D8">
        <w:rPr>
          <w:rFonts w:eastAsia="Times New Roman" w:cs="Times New Roman"/>
          <w:noProof/>
          <w:szCs w:val="24"/>
          <w:lang w:val="en-US"/>
        </w:rPr>
        <w:t>Kada je u pitanju  unapređenje carinskog sistema za upravljanje rizikom, u okviru  Projekta «Podrška Upravi carina«,</w:t>
      </w:r>
      <w:r w:rsidR="003F1D8D">
        <w:rPr>
          <w:rFonts w:eastAsia="Calibri" w:cs="Times New Roman"/>
          <w:szCs w:val="24"/>
          <w:lang w:val="en-US"/>
        </w:rPr>
        <w:t xml:space="preserve"> </w:t>
      </w:r>
      <w:r w:rsidRPr="00B249D8">
        <w:rPr>
          <w:rFonts w:eastAsia="Calibri" w:cs="Times New Roman"/>
          <w:szCs w:val="24"/>
          <w:lang w:val="en-US"/>
        </w:rPr>
        <w:t>nastavljene su intenzivne aktivnosti i na izgradnji novog i savremenog Sistema za upravljanje rizikom. U saradnji sa ekspertima izrađeni su sledeći dokumenti: Koncept zajedničkih kriterijuma rizika i standarda u skladu s</w:t>
      </w:r>
      <w:r w:rsidR="003F1D8D">
        <w:rPr>
          <w:rFonts w:eastAsia="Calibri" w:cs="Times New Roman"/>
          <w:szCs w:val="24"/>
          <w:lang w:val="en-US"/>
        </w:rPr>
        <w:t xml:space="preserve">a carinskim zakonom Crne Gore; </w:t>
      </w:r>
      <w:r w:rsidRPr="00B249D8">
        <w:rPr>
          <w:rFonts w:eastAsia="Calibri" w:cs="Times New Roman"/>
          <w:szCs w:val="24"/>
          <w:lang w:val="en-US"/>
        </w:rPr>
        <w:t>Koncept prioritetnih oblasti kontrole; Okvir za upravljanje rizikom u Upravi carina; Strategija za upravljanje rizikom Uprave carina; Funkcionalna specifikacija za RMS sistem Uprave carina; Dizajn procesa u Sistemu upravljanja rizikom kao dio poslovne arhitekture i procesa u Upravi carina. Takođe, don</w:t>
      </w:r>
      <w:r w:rsidRPr="00B249D8">
        <w:rPr>
          <w:rFonts w:eastAsia="Calibri" w:cs="Times New Roman"/>
          <w:szCs w:val="24"/>
          <w:lang w:val="sl-SI"/>
        </w:rPr>
        <w:t xml:space="preserve">ijeto </w:t>
      </w:r>
      <w:r w:rsidRPr="00B249D8">
        <w:rPr>
          <w:rFonts w:eastAsia="Calibri" w:cs="Times New Roman"/>
          <w:szCs w:val="24"/>
          <w:lang w:val="en-US"/>
        </w:rPr>
        <w:t>je i zvanično Uputstvo za popunjavanje Matrice rizika privrednih subjekata</w:t>
      </w:r>
      <w:r w:rsidRPr="00B249D8">
        <w:rPr>
          <w:rFonts w:eastAsia="Calibri" w:cs="Times New Roman"/>
          <w:szCs w:val="24"/>
          <w:lang w:val="sl-SI"/>
        </w:rPr>
        <w:t xml:space="preserve"> u okviru podrške GIZa.</w:t>
      </w:r>
    </w:p>
    <w:p w:rsidR="00B249D8" w:rsidRPr="00B249D8" w:rsidRDefault="00B249D8" w:rsidP="00B249D8">
      <w:pPr>
        <w:spacing w:before="0" w:after="0" w:line="240" w:lineRule="auto"/>
        <w:ind w:firstLine="708"/>
        <w:rPr>
          <w:rFonts w:eastAsia="Times New Roman" w:cs="Times New Roman"/>
          <w:szCs w:val="24"/>
          <w:lang w:val="en-US"/>
        </w:rPr>
      </w:pPr>
      <w:r w:rsidRPr="00B249D8">
        <w:rPr>
          <w:rFonts w:eastAsia="Times New Roman" w:cs="Times New Roman"/>
          <w:szCs w:val="24"/>
          <w:lang w:val="en-US"/>
        </w:rPr>
        <w:t xml:space="preserve">Funkcionalnosti SEED sistema u kontinuitetu su unapređivane, posebno u dijelu omogućavanja zajedničke analize rizika i razmjene informacija na regionalnom CEFTA nivou. </w:t>
      </w:r>
    </w:p>
    <w:p w:rsidR="00B249D8" w:rsidRPr="00B249D8" w:rsidRDefault="00B249D8" w:rsidP="00B249D8">
      <w:pPr>
        <w:spacing w:before="0" w:after="0" w:line="240" w:lineRule="auto"/>
        <w:rPr>
          <w:rFonts w:eastAsia="Calibri" w:cs="Times New Roman"/>
          <w:szCs w:val="24"/>
          <w:lang w:val="en-US"/>
        </w:rPr>
      </w:pPr>
      <w:r w:rsidRPr="00B249D8">
        <w:rPr>
          <w:rFonts w:eastAsia="Calibri" w:cs="Times New Roman"/>
          <w:szCs w:val="24"/>
          <w:lang w:val="en-US"/>
        </w:rPr>
        <w:t>Nastavljena je razmjena informacija i sa najvećim svjetskim proizvođačima cigareta na osnovu potpisanih Memoranduma o razumijevanju, kroz razmjenu podataka o kretanju duvanskih proizvoda, podataka o porijeklu, zaštitnom znaku, žigu i trgovačkoj marki duvanskih proizvoda sa ciljem suzbijanja svih vidova nelegalne trgovine duvana i duvanskih proizvoda.</w:t>
      </w:r>
    </w:p>
    <w:p w:rsidR="00B249D8" w:rsidRPr="00B249D8" w:rsidRDefault="00B249D8" w:rsidP="00B249D8">
      <w:pPr>
        <w:spacing w:before="0" w:after="0" w:line="240" w:lineRule="auto"/>
        <w:ind w:firstLine="708"/>
        <w:rPr>
          <w:rFonts w:eastAsia="Times New Roman" w:cs="Times New Roman"/>
          <w:szCs w:val="24"/>
          <w:lang w:val="en-US"/>
        </w:rPr>
      </w:pPr>
      <w:r w:rsidRPr="00B249D8">
        <w:rPr>
          <w:rFonts w:eastAsia="Times New Roman" w:cs="Times New Roman"/>
          <w:szCs w:val="24"/>
          <w:lang w:val="en-US"/>
        </w:rPr>
        <w:t>U 2020.</w:t>
      </w:r>
      <w:r w:rsidR="003F1D8D">
        <w:rPr>
          <w:rFonts w:eastAsia="Times New Roman" w:cs="Times New Roman"/>
          <w:szCs w:val="24"/>
          <w:lang w:val="en-US"/>
        </w:rPr>
        <w:t xml:space="preserve"> </w:t>
      </w:r>
      <w:r w:rsidRPr="00B249D8">
        <w:rPr>
          <w:rFonts w:eastAsia="Times New Roman" w:cs="Times New Roman"/>
          <w:szCs w:val="24"/>
          <w:lang w:val="en-US"/>
        </w:rPr>
        <w:t xml:space="preserve">godini Uprava carina učestvovala je u 7 Međunarodnih zajedničkih carinskih operacija, u organizaciji SCO, Interpola, Europola i SELEC-a. Navedene operacije odnosile su se na </w:t>
      </w:r>
      <w:r w:rsidRPr="00B249D8">
        <w:rPr>
          <w:rFonts w:eastAsia="Times New Roman" w:cs="Times New Roman"/>
          <w:szCs w:val="24"/>
          <w:lang w:val="en-US"/>
        </w:rPr>
        <w:lastRenderedPageBreak/>
        <w:t xml:space="preserve">na borbu protiv ilegalne trgovine cigeratama i ostalih duvanskih proizvoda; borbu protiv ilegalne trgovine krivotvorenim prehrambenim proizvodima; borbu protiv Internet trgovine krivotvorenim ljekovima i medicinskim sredstvima; borbu protiv e-trgovine krivotvorenim kozmetičkim proizvodima, suplementima i vitaminima; borbu protiv ilegalne trgovine kulturnim dobrima; praćenje i kontrolu prekograničnog kretanja otpada, kao i na otkrivanje pošiljki sa ilegalnim otpadom. </w:t>
      </w:r>
    </w:p>
    <w:p w:rsidR="00B249D8" w:rsidRPr="00B249D8" w:rsidRDefault="00B249D8" w:rsidP="00B249D8">
      <w:pPr>
        <w:spacing w:before="0" w:after="0" w:line="240" w:lineRule="auto"/>
        <w:ind w:firstLine="708"/>
        <w:rPr>
          <w:rFonts w:eastAsia="Times New Roman" w:cs="Times New Roman"/>
          <w:noProof/>
          <w:szCs w:val="24"/>
          <w:lang w:val="en-US"/>
        </w:rPr>
      </w:pPr>
      <w:r w:rsidRPr="00B249D8">
        <w:rPr>
          <w:rFonts w:eastAsia="Times New Roman" w:cs="Times New Roman"/>
          <w:b/>
          <w:noProof/>
          <w:szCs w:val="24"/>
          <w:lang w:val="en-US"/>
        </w:rPr>
        <w:t>Instalirana je nCEN mreža Svjetske carinske organizacije</w:t>
      </w:r>
      <w:r w:rsidRPr="00B249D8">
        <w:rPr>
          <w:rFonts w:eastAsia="Times New Roman" w:cs="Times New Roman"/>
          <w:noProof/>
          <w:szCs w:val="24"/>
          <w:lang w:val="en-US"/>
        </w:rPr>
        <w:t>, koja doprinosi efikasnoj razmjeni informacija između zemalja Zapadnog Balkana, a koje se odnose na sve značajnije zaplijene po pitanju opojnih droga, prekursora, psihotropnih supstanci, cigareta, roba kojom se povrjeđuju prava intelektualne svojine i drugo.</w:t>
      </w:r>
    </w:p>
    <w:p w:rsidR="00B249D8" w:rsidRPr="00B249D8" w:rsidRDefault="00B249D8" w:rsidP="00B249D8">
      <w:pPr>
        <w:spacing w:before="0" w:after="0" w:line="240" w:lineRule="auto"/>
        <w:ind w:firstLine="708"/>
        <w:rPr>
          <w:rFonts w:eastAsia="Calibri" w:cs="Times New Roman"/>
          <w:color w:val="222222"/>
          <w:szCs w:val="24"/>
          <w:shd w:val="clear" w:color="auto" w:fill="FFFFFF"/>
        </w:rPr>
      </w:pPr>
      <w:r w:rsidRPr="00B249D8">
        <w:rPr>
          <w:rFonts w:eastAsia="Calibri" w:cs="Times New Roman"/>
          <w:color w:val="222222"/>
          <w:szCs w:val="24"/>
          <w:shd w:val="clear" w:color="auto" w:fill="FFFFFF"/>
          <w:lang w:val="uz-Cyrl-UZ"/>
        </w:rPr>
        <w:t xml:space="preserve">U organizaciji Svjetske carinske organizacije (SCO), u periodu od 9 do 13. novembra 2020. godine, održana je online radionica o upravljanju rizicima sa posebnim osvrtom na procjenu rizika i selektivnost. </w:t>
      </w:r>
    </w:p>
    <w:p w:rsidR="00B249D8" w:rsidRPr="00B249D8" w:rsidRDefault="00B249D8" w:rsidP="00B249D8">
      <w:pPr>
        <w:spacing w:before="0" w:after="0" w:line="240" w:lineRule="auto"/>
        <w:rPr>
          <w:rFonts w:eastAsia="Times New Roman" w:cs="Times New Roman"/>
          <w:szCs w:val="24"/>
          <w:lang w:val="en-US"/>
        </w:rPr>
      </w:pPr>
      <w:r w:rsidRPr="00B249D8">
        <w:rPr>
          <w:rFonts w:eastAsia="Calibri" w:cs="Times New Roman"/>
          <w:szCs w:val="24"/>
          <w:lang w:val="en-US"/>
        </w:rPr>
        <w:t xml:space="preserve">             Uprava carina participira u radu Komisije za suzbijanje sive ekonomije, u čijem su sastavu predstavnici svih organa nadležnih za sprovođenje mjera za suzbijanje sive ekonomije.</w:t>
      </w:r>
    </w:p>
    <w:p w:rsidR="00B249D8" w:rsidRPr="00B249D8" w:rsidRDefault="00B249D8" w:rsidP="00B249D8">
      <w:pPr>
        <w:spacing w:before="0" w:after="0" w:line="240" w:lineRule="auto"/>
        <w:ind w:firstLine="708"/>
        <w:rPr>
          <w:rFonts w:eastAsia="Calibri" w:cs="Times New Roman"/>
          <w:szCs w:val="24"/>
          <w:lang w:val="en-US"/>
        </w:rPr>
      </w:pPr>
      <w:r w:rsidRPr="00B249D8">
        <w:rPr>
          <w:rFonts w:eastAsia="Calibri" w:cs="Times New Roman"/>
          <w:szCs w:val="24"/>
          <w:lang w:val="en-US"/>
        </w:rPr>
        <w:t>U cilju ubrzanja protoka roba preko graničnih prelaza u uslovima pandemije Covid-19, Uprava carina uspješno je implementirala regionalni projekat CEFTA Zelenih koridora. Sinhronizovanim aktivnostima u okviru Projekta, omogućen je prioritetan tretman na graničnim prelazima za osnovne proizvode - hranu, ljekove i medicinska sredstva. Projekat je iniciran i koordinisan od strane CEFTA Sekretarijata, Stalnog EU sekretarijata transportne zajednice, predstavnika Evropske komisije, zemalja članica CEFTA i drugih partnera. Ove aktivnosti značajno umanjuju negativni uticaj aktuelne krize na privredu regiona, kroz obezbjeđenje stabilnog snabdijevanja. U prvim danima primjene koncepta Zelenih koridora, 20% cjelokupne robe u prekograničnom prometu bilo je prioritetno na prelazima CEFTA zemalja, čime se osigurala ušteda u vremenu i novcu, kao i podrška stanovništvu, institucijama i privredi na tržištu CEFTA.</w:t>
      </w:r>
    </w:p>
    <w:p w:rsidR="00B249D8" w:rsidRPr="00B249D8" w:rsidRDefault="00B249D8" w:rsidP="00B249D8">
      <w:pPr>
        <w:spacing w:before="0" w:after="0" w:line="240" w:lineRule="auto"/>
        <w:ind w:firstLine="708"/>
        <w:rPr>
          <w:rFonts w:eastAsia="Calibri" w:cs="Times New Roman"/>
          <w:szCs w:val="24"/>
          <w:lang w:val="en-US"/>
        </w:rPr>
      </w:pPr>
      <w:r w:rsidRPr="00B249D8">
        <w:rPr>
          <w:rFonts w:eastAsia="Calibri" w:cs="Times New Roman"/>
          <w:szCs w:val="24"/>
          <w:lang w:val="en-US"/>
        </w:rPr>
        <w:t>Uporedo sa navedenim aktivnostima, rađeno je na sistemskom unapređenju i jačanju kapaciteta za efikasno sprovođenje carinskih kontrola, sa posebnim fokusom na akcizne proizvode, te se 2020. godina može smatrati godinom razvojnih informatičkih projekata u ovoj oblasti.</w:t>
      </w:r>
    </w:p>
    <w:p w:rsidR="00B249D8" w:rsidRPr="00B249D8" w:rsidRDefault="00B249D8" w:rsidP="00B249D8">
      <w:pPr>
        <w:spacing w:before="0" w:after="0" w:line="240" w:lineRule="auto"/>
        <w:ind w:firstLine="708"/>
        <w:rPr>
          <w:rFonts w:eastAsia="Calibri" w:cs="Times New Roman"/>
          <w:szCs w:val="24"/>
          <w:lang w:val="en-US"/>
        </w:rPr>
      </w:pPr>
      <w:r w:rsidRPr="00B249D8">
        <w:rPr>
          <w:rFonts w:eastAsia="Calibri" w:cs="Times New Roman"/>
          <w:szCs w:val="24"/>
          <w:lang w:val="en-US"/>
        </w:rPr>
        <w:t xml:space="preserve">Nastavljene su aktivnosti u projektu </w:t>
      </w:r>
      <w:r w:rsidRPr="00B249D8">
        <w:rPr>
          <w:rFonts w:eastAsia="Times New Roman" w:cs="Times New Roman"/>
          <w:szCs w:val="24"/>
          <w:lang w:val="en-US"/>
        </w:rPr>
        <w:t xml:space="preserve">razvijanja sistema za elektronsko upravljanje akciznim markicama. Sistem će omogućiti elektronsko odobravanje, naručivanje i izdavanje markica, kao i elektronsko vođenje evidencije izdatih, korištenih i neiskorištenih akciznih markica za duvanske proizvode i alkoholna pića. Ovaj sistem će takođe omogućiti bezbjednosno štampanje akciznih markica u skladu sa uslovima odgovarajuće uredbe. Uvođenje napredne tehnologije poboljšaće efikasnost carinske službe u borbi protiv ilegalne trgovine duvanskim proizvodima i alkoholnim pićima. Sistem uključuje i mogućnost da građani, posredstvom mobilne aplikacije, provjere validnost skenirane akcizne markice. Ovaj sistem se razvija na nacionalnom nivou uz nadu da će u budućnosti biti dio EU sistema praćenja duvanskih proizvoda. U skladu sa rokovima, prvu isporuku akciznih markica očekuje se početkom iduće godine. </w:t>
      </w:r>
    </w:p>
    <w:p w:rsidR="00B249D8" w:rsidRPr="00B249D8" w:rsidRDefault="00B249D8" w:rsidP="00B249D8">
      <w:pPr>
        <w:spacing w:before="0" w:after="0" w:line="240" w:lineRule="auto"/>
        <w:rPr>
          <w:rFonts w:eastAsia="Calibri" w:cs="Times New Roman"/>
          <w:bCs/>
          <w:szCs w:val="24"/>
          <w:lang w:val="sr-Latn-RS"/>
        </w:rPr>
      </w:pPr>
      <w:r w:rsidRPr="00B249D8">
        <w:rPr>
          <w:rFonts w:eastAsia="Calibri" w:cs="Times New Roman"/>
          <w:szCs w:val="24"/>
          <w:lang w:val="en-US"/>
        </w:rPr>
        <w:t>Izmjenama Zakona o akcizama u 2020.</w:t>
      </w:r>
      <w:r w:rsidR="003F1D8D">
        <w:rPr>
          <w:rFonts w:eastAsia="Calibri" w:cs="Times New Roman"/>
          <w:szCs w:val="24"/>
          <w:lang w:val="en-US"/>
        </w:rPr>
        <w:t xml:space="preserve"> godini</w:t>
      </w:r>
      <w:r w:rsidRPr="00B249D8">
        <w:rPr>
          <w:rFonts w:eastAsia="Calibri" w:cs="Times New Roman"/>
          <w:szCs w:val="24"/>
          <w:lang w:val="en-US"/>
        </w:rPr>
        <w:t xml:space="preserve"> uveden je institut ''Informacioni sistem za elektronsku razmjenu podataka o akcizama'', koji će omogućiti sakupljanje, snimanje, čuvanje, obradu i prenošenje podataka o akcizama u elektronskom obliku. </w:t>
      </w:r>
      <w:r w:rsidRPr="00B249D8">
        <w:rPr>
          <w:rFonts w:eastAsia="Calibri" w:cs="Times New Roman"/>
          <w:szCs w:val="24"/>
        </w:rPr>
        <w:t>U cilju Implementacije IT sistema za akcize na nacionalnom nivou</w:t>
      </w:r>
      <w:r w:rsidRPr="00B249D8">
        <w:rPr>
          <w:rFonts w:eastAsia="Calibri" w:cs="Times New Roman"/>
          <w:b/>
          <w:szCs w:val="24"/>
        </w:rPr>
        <w:t xml:space="preserve">, </w:t>
      </w:r>
      <w:r w:rsidRPr="00B249D8">
        <w:rPr>
          <w:rFonts w:eastAsia="Calibri" w:cs="Times New Roman"/>
          <w:szCs w:val="24"/>
        </w:rPr>
        <w:t>u</w:t>
      </w:r>
      <w:r w:rsidRPr="00B249D8">
        <w:rPr>
          <w:rFonts w:eastAsia="Calibri" w:cs="Times New Roman"/>
          <w:b/>
          <w:szCs w:val="24"/>
        </w:rPr>
        <w:t xml:space="preserve"> </w:t>
      </w:r>
      <w:r w:rsidRPr="00B249D8">
        <w:rPr>
          <w:rFonts w:eastAsia="Calibri" w:cs="Times New Roman"/>
          <w:szCs w:val="24"/>
        </w:rPr>
        <w:t>nastavljene su aktivnosti u skladu sa planiranom dinamikom kroz realizaciju projekta "Podrška Upravi carina u oblasti akciza" iz sredstava EUIF. Implementacija nove nacionalne aplikacija za akcize u Carinskom informacionom sistemu,  će omogućiti elektronsku komunikaciju između Uprav</w:t>
      </w:r>
      <w:r w:rsidR="003F1D8D">
        <w:rPr>
          <w:rFonts w:eastAsia="Calibri" w:cs="Times New Roman"/>
          <w:szCs w:val="24"/>
        </w:rPr>
        <w:t xml:space="preserve">e carina i akciznih obveznika, </w:t>
      </w:r>
      <w:r w:rsidRPr="00B249D8">
        <w:rPr>
          <w:rFonts w:eastAsia="Calibri" w:cs="Times New Roman"/>
          <w:bCs/>
          <w:szCs w:val="24"/>
          <w:lang w:val="sr-Latn-RS"/>
        </w:rPr>
        <w:t>između ostalog kao i elektronsko praćenje kretanja akciznih proizvoda u režimu odloženog plaćanja akcize, upotrebom elektronskog akciznog dokumenta, kao bitne pretpostavke za buduće povezivanje sa EU akciznim sistemom (EMCS).</w:t>
      </w:r>
      <w:r w:rsidRPr="00B249D8">
        <w:rPr>
          <w:rFonts w:eastAsia="Calibri" w:cs="Times New Roman"/>
          <w:szCs w:val="24"/>
        </w:rPr>
        <w:t xml:space="preserve"> Okončanje</w:t>
      </w:r>
      <w:r w:rsidR="003F1D8D">
        <w:rPr>
          <w:rFonts w:eastAsia="Calibri" w:cs="Times New Roman"/>
          <w:szCs w:val="24"/>
        </w:rPr>
        <w:t xml:space="preserve"> projekta se očekuje u februaru</w:t>
      </w:r>
      <w:r w:rsidRPr="00B249D8">
        <w:rPr>
          <w:rFonts w:eastAsia="Calibri" w:cs="Times New Roman"/>
          <w:szCs w:val="24"/>
        </w:rPr>
        <w:t xml:space="preserve"> 2021.</w:t>
      </w:r>
      <w:r w:rsidR="003F1D8D">
        <w:rPr>
          <w:rFonts w:eastAsia="Calibri" w:cs="Times New Roman"/>
          <w:szCs w:val="24"/>
        </w:rPr>
        <w:t xml:space="preserve"> </w:t>
      </w:r>
      <w:r w:rsidRPr="00B249D8">
        <w:rPr>
          <w:rFonts w:eastAsia="Calibri" w:cs="Times New Roman"/>
          <w:szCs w:val="24"/>
        </w:rPr>
        <w:t>godine.</w:t>
      </w:r>
      <w:r w:rsidRPr="00B249D8">
        <w:rPr>
          <w:rFonts w:eastAsia="Calibri" w:cs="Times New Roman"/>
          <w:bCs/>
          <w:szCs w:val="24"/>
          <w:lang w:val="sr-Latn-RS"/>
        </w:rPr>
        <w:t xml:space="preserve"> </w:t>
      </w:r>
    </w:p>
    <w:p w:rsidR="00B249D8" w:rsidRPr="00B249D8" w:rsidRDefault="00B249D8" w:rsidP="00B249D8">
      <w:pPr>
        <w:spacing w:before="0" w:after="0" w:line="240" w:lineRule="auto"/>
        <w:rPr>
          <w:rFonts w:eastAsia="Times New Roman" w:cs="Times New Roman"/>
          <w:szCs w:val="24"/>
          <w:shd w:val="clear" w:color="auto" w:fill="FFFFFF"/>
          <w:lang w:val="en-US"/>
        </w:rPr>
      </w:pPr>
      <w:r w:rsidRPr="00B249D8">
        <w:rPr>
          <w:rFonts w:eastAsia="Times New Roman" w:cs="Times New Roman"/>
          <w:szCs w:val="24"/>
          <w:shd w:val="clear" w:color="auto" w:fill="FFFFFF"/>
          <w:lang w:val="en-US"/>
        </w:rPr>
        <w:lastRenderedPageBreak/>
        <w:t xml:space="preserve">U okviru Projekta «Podrška implementaciji Strategije integrisanog upravljanja granicom« iz IPA SBS IBM 2015, </w:t>
      </w:r>
      <w:r w:rsidRPr="00B249D8">
        <w:rPr>
          <w:rFonts w:eastAsia="Calibri" w:cs="Times New Roman"/>
          <w:szCs w:val="24"/>
          <w:lang w:val="en-US"/>
        </w:rPr>
        <w:t xml:space="preserve">u septembru </w:t>
      </w:r>
      <w:r w:rsidRPr="00B249D8">
        <w:rPr>
          <w:rFonts w:eastAsia="Times New Roman" w:cs="Times New Roman"/>
          <w:szCs w:val="24"/>
          <w:shd w:val="clear" w:color="auto" w:fill="FFFFFF"/>
          <w:lang w:val="en-US"/>
        </w:rPr>
        <w:t xml:space="preserve">2020.godine  završen je projekat »Izrada administrativnih kapaciteta Uprave carina za punu implementaciju informacionog sistema za upravljanje inspekcijskim nadzorom», kojim se omogućavaju funkcionalnosti za analitički rad i izvještavanje za potrebe upravljanja inspekcijskim nadzorom, evidencija vođenja predmeta kao i  izrada objektivnog i nepristrasnog godišnjeg plana naknadnih kontrola. </w:t>
      </w:r>
    </w:p>
    <w:p w:rsidR="00B249D8" w:rsidRPr="00B249D8" w:rsidRDefault="00B249D8" w:rsidP="00B249D8">
      <w:pPr>
        <w:spacing w:before="0" w:after="0" w:line="240" w:lineRule="auto"/>
        <w:ind w:firstLine="708"/>
        <w:rPr>
          <w:rFonts w:eastAsia="Calibri" w:cs="Times New Roman"/>
          <w:szCs w:val="24"/>
          <w:lang w:val="en-US"/>
        </w:rPr>
      </w:pPr>
      <w:r w:rsidRPr="00B249D8">
        <w:rPr>
          <w:rFonts w:eastAsia="Times New Roman" w:cs="Times New Roman"/>
          <w:szCs w:val="24"/>
          <w:shd w:val="clear" w:color="auto" w:fill="FFFFFF"/>
          <w:lang w:val="uz-Cyrl-UZ"/>
        </w:rPr>
        <w:t xml:space="preserve">U okviru Projekta realizovana je </w:t>
      </w:r>
      <w:r w:rsidRPr="00B249D8">
        <w:rPr>
          <w:rFonts w:eastAsia="Times New Roman" w:cs="Times New Roman"/>
          <w:szCs w:val="24"/>
          <w:shd w:val="clear" w:color="auto" w:fill="FFFFFF"/>
          <w:lang w:val="en-US"/>
        </w:rPr>
        <w:t>i</w:t>
      </w:r>
      <w:r w:rsidRPr="00B249D8">
        <w:rPr>
          <w:rFonts w:eastAsia="Times New Roman" w:cs="Times New Roman"/>
          <w:szCs w:val="24"/>
          <w:shd w:val="clear" w:color="auto" w:fill="FFFFFF"/>
          <w:lang w:val="uz-Cyrl-UZ"/>
        </w:rPr>
        <w:t xml:space="preserve"> nabavka opreme za carinsku laboratoriju za ispitivanje nafte i naftnih derivata i ista je instalirana u carinskoj laboratoriji. Realizovane su obuke službenika carinske laboratorije. </w:t>
      </w:r>
      <w:r w:rsidRPr="00B249D8">
        <w:rPr>
          <w:rFonts w:eastAsia="Calibri" w:cs="Times New Roman"/>
          <w:szCs w:val="24"/>
          <w:lang w:val="uz-Cyrl-UZ"/>
        </w:rPr>
        <w:t>Nova savremeno opremljena laboratorija za analizu nafte i naftnih derivata otpočela je sa radom u septembru 2020.godine</w:t>
      </w:r>
      <w:r w:rsidRPr="00B249D8">
        <w:rPr>
          <w:rFonts w:eastAsia="Calibri" w:cs="Times New Roman"/>
          <w:b/>
          <w:szCs w:val="24"/>
          <w:lang w:val="uz-Cyrl-UZ"/>
        </w:rPr>
        <w:t>.</w:t>
      </w:r>
      <w:r w:rsidRPr="00B249D8">
        <w:rPr>
          <w:rFonts w:eastAsia="Calibri" w:cs="Times New Roman"/>
          <w:szCs w:val="24"/>
          <w:lang w:val="uz-Cyrl-UZ"/>
        </w:rPr>
        <w:t xml:space="preserve"> U carinskoj laboratoriji vrše se fizičko-hemijske analize visoko rizične akcizne robe i davanje stručnih mišljenja o svrstavanju ove robe u Carinsku tarifu, u cilju pravilnog obračuna carinskih dažbina, unapređenja borbe protiv sive ekonomije i sprečavanja nezakonitog prometa roba.</w:t>
      </w:r>
      <w:r w:rsidRPr="00B249D8">
        <w:rPr>
          <w:rFonts w:eastAsia="Times New Roman" w:cs="Times New Roman"/>
          <w:szCs w:val="24"/>
          <w:shd w:val="clear" w:color="auto" w:fill="FFFFFF"/>
          <w:lang w:val="en-US"/>
        </w:rPr>
        <w:t xml:space="preserve"> Takođe, realizovana je i nabavka kompjuterske opreme za granične prelaze i okončani radovi za unapređenje rada Sektora za carinsku bezbjednost i kontrolu. Okončane su sve planirane aktivnosti Uprave carina u okviru datog Projekta.</w:t>
      </w:r>
    </w:p>
    <w:p w:rsidR="00B249D8" w:rsidRPr="00B249D8" w:rsidRDefault="00B249D8" w:rsidP="00B249D8">
      <w:pPr>
        <w:spacing w:before="0" w:after="0" w:line="240" w:lineRule="auto"/>
        <w:ind w:firstLine="708"/>
        <w:rPr>
          <w:rFonts w:eastAsia="Calibri" w:cs="Times New Roman"/>
          <w:szCs w:val="24"/>
          <w:shd w:val="clear" w:color="auto" w:fill="FFFFFF"/>
          <w:lang w:val="en-US"/>
        </w:rPr>
      </w:pPr>
      <w:r w:rsidRPr="00B249D8">
        <w:rPr>
          <w:rFonts w:eastAsia="Calibri" w:cs="Times New Roman"/>
          <w:szCs w:val="24"/>
          <w:shd w:val="clear" w:color="auto" w:fill="FFFFFF"/>
          <w:lang w:val="en-US"/>
        </w:rPr>
        <w:t>HMRC je donirala Upravi carina opremu za poboljšanje uslova za rad i brzu komunikaciju i razmjenu informacija na granicnim prelazima u okviru „Zelenih koridora“ i prioritetnih putnih pravaca u CEFTA regionu. Navedena donacija predstavlja nastavak veoma uspješne saradnje izmedju Uprave carina i HMRC. Saradnja se, osim donacija, odnosi i na intenzivnu i obostranu razmjenu informacija o rizicima u međunarodnom prometu roba, na osnovu čega su ostvareni konkretni rezultati u borbi protiv krijumčarenja i carinskih prevara.</w:t>
      </w:r>
    </w:p>
    <w:p w:rsidR="00B249D8" w:rsidRPr="00B249D8" w:rsidRDefault="00B249D8" w:rsidP="00B249D8">
      <w:pPr>
        <w:spacing w:before="0" w:after="0" w:line="240" w:lineRule="auto"/>
        <w:ind w:firstLine="708"/>
        <w:rPr>
          <w:rFonts w:eastAsia="Calibri" w:cs="Times New Roman"/>
          <w:szCs w:val="24"/>
          <w:shd w:val="clear" w:color="auto" w:fill="FFFFFF"/>
          <w:lang w:val="en-US"/>
        </w:rPr>
      </w:pPr>
      <w:r w:rsidRPr="00B249D8">
        <w:rPr>
          <w:rFonts w:eastAsia="Calibri" w:cs="Times New Roman"/>
          <w:szCs w:val="24"/>
          <w:shd w:val="clear" w:color="auto" w:fill="FFFFFF"/>
          <w:lang w:val="en-US"/>
        </w:rPr>
        <w:t>U 2020.</w:t>
      </w:r>
      <w:r w:rsidR="003F1D8D">
        <w:rPr>
          <w:rFonts w:eastAsia="Calibri" w:cs="Times New Roman"/>
          <w:szCs w:val="24"/>
          <w:shd w:val="clear" w:color="auto" w:fill="FFFFFF"/>
          <w:lang w:val="en-US"/>
        </w:rPr>
        <w:t xml:space="preserve"> </w:t>
      </w:r>
      <w:r w:rsidRPr="00B249D8">
        <w:rPr>
          <w:rFonts w:eastAsia="Calibri" w:cs="Times New Roman"/>
          <w:szCs w:val="24"/>
          <w:shd w:val="clear" w:color="auto" w:fill="FFFFFF"/>
          <w:lang w:val="en-US"/>
        </w:rPr>
        <w:t xml:space="preserve">godini službenici Uprave carina izvršili su ukupno 190.717 kontrola. Izdato je 212 prekršajnih naloga i izrečene su novčane kazne u vrijednosti od </w:t>
      </w:r>
      <w:r w:rsidRPr="00B249D8">
        <w:rPr>
          <w:rFonts w:eastAsia="Calibri" w:cs="Times New Roman"/>
          <w:szCs w:val="24"/>
          <w:lang w:val="en-US" w:eastAsia="sl-SI"/>
        </w:rPr>
        <w:t>105.597,40</w:t>
      </w:r>
      <w:r w:rsidRPr="00B249D8">
        <w:rPr>
          <w:rFonts w:eastAsia="Calibri" w:cs="Times New Roman"/>
          <w:szCs w:val="24"/>
          <w:shd w:val="clear" w:color="auto" w:fill="FFFFFF"/>
          <w:lang w:val="en-US"/>
        </w:rPr>
        <w:t>€. Podnijeta su 22 zahtjeva za pokretanje prekršajnog postupka kod nadležnog suda. Oduzeta je krijumčarena roba u ukupnoj vrijednosti od 1.550.389,18€</w:t>
      </w:r>
      <w:r w:rsidRPr="00B249D8">
        <w:rPr>
          <w:rFonts w:eastAsia="Calibri" w:cs="Times New Roman"/>
          <w:b/>
          <w:szCs w:val="24"/>
          <w:shd w:val="clear" w:color="auto" w:fill="FFFFFF"/>
          <w:lang w:val="en-US"/>
        </w:rPr>
        <w:t>.</w:t>
      </w:r>
      <w:r w:rsidRPr="00B249D8">
        <w:rPr>
          <w:rFonts w:eastAsia="Calibri" w:cs="Times New Roman"/>
          <w:szCs w:val="24"/>
          <w:shd w:val="clear" w:color="auto" w:fill="FFFFFF"/>
          <w:lang w:val="en-US"/>
        </w:rPr>
        <w:t xml:space="preserve"> Samostalno i u saradnji sa drugim državnim organima podnijeto je 19 krivičnih prijava nadležnom tužiocu. </w:t>
      </w:r>
      <w:r w:rsidRPr="00B249D8">
        <w:rPr>
          <w:rFonts w:eastAsia="Times New Roman" w:cs="Times New Roman"/>
          <w:szCs w:val="24"/>
          <w:lang w:val="en-US"/>
        </w:rPr>
        <w:t xml:space="preserve">Službenici Uprave carina su samostalno i u saradnji sa drugim državnim organima otkrili krijumčarenje cigareta vrijednosti od 1.035.467,26€, </w:t>
      </w:r>
      <w:r w:rsidRPr="00B249D8">
        <w:rPr>
          <w:rFonts w:eastAsia="Calibri" w:cs="Times New Roman"/>
          <w:szCs w:val="24"/>
          <w:shd w:val="clear" w:color="auto" w:fill="FFFFFF"/>
          <w:lang w:val="en-US"/>
        </w:rPr>
        <w:t xml:space="preserve">rezanog duvana vrijednosti 57.331,50€, alkoholnih pića vrijednosti 15.120,70€ i gaziranog pića u vrijednosti 12.562,70€. </w:t>
      </w:r>
    </w:p>
    <w:p w:rsidR="00B249D8" w:rsidRPr="00B249D8" w:rsidRDefault="003F1D8D" w:rsidP="00B249D8">
      <w:pPr>
        <w:spacing w:before="0" w:after="0" w:line="240" w:lineRule="auto"/>
        <w:rPr>
          <w:rFonts w:eastAsia="Calibri" w:cs="Times New Roman"/>
          <w:szCs w:val="24"/>
          <w:lang w:val="en-US"/>
        </w:rPr>
      </w:pPr>
      <w:r>
        <w:rPr>
          <w:rFonts w:eastAsia="Calibri" w:cs="Times New Roman"/>
          <w:szCs w:val="24"/>
          <w:lang w:val="en-US"/>
        </w:rPr>
        <w:t>Sprovodeći naknadne kontrole utvrđene su </w:t>
      </w:r>
      <w:r w:rsidR="00B249D8" w:rsidRPr="00B249D8">
        <w:rPr>
          <w:rFonts w:eastAsia="Calibri" w:cs="Times New Roman"/>
          <w:szCs w:val="24"/>
          <w:lang w:val="en-US"/>
        </w:rPr>
        <w:t>nepravilnosti i pokrenut postupak naknadne naplate po osnovu nepravilnog iskazivanja troškova autorskih prava i licenci i pogrešnog svrstavanja robe u ukupnom iznosu od 793.711,75€. </w:t>
      </w:r>
    </w:p>
    <w:p w:rsidR="00B249D8" w:rsidRPr="00B249D8" w:rsidRDefault="00B249D8" w:rsidP="00B249D8">
      <w:pPr>
        <w:spacing w:before="0" w:after="0" w:line="240" w:lineRule="auto"/>
        <w:ind w:firstLine="708"/>
        <w:rPr>
          <w:rFonts w:eastAsia="Calibri" w:cs="Times New Roman"/>
          <w:szCs w:val="24"/>
          <w:shd w:val="clear" w:color="auto" w:fill="FFFFFF"/>
          <w:lang w:val="en-US"/>
        </w:rPr>
      </w:pPr>
      <w:r w:rsidRPr="00B249D8">
        <w:rPr>
          <w:rFonts w:eastAsia="Calibri" w:cs="Times New Roman"/>
          <w:szCs w:val="24"/>
          <w:shd w:val="clear" w:color="auto" w:fill="FFFFFF"/>
          <w:lang w:val="en-US"/>
        </w:rPr>
        <w:t>Za navedeni vremenski period službenici Uprave carina su oduzeli 19 pištolja, 1 automatsku pušku i 3.745 komada municije različitih kalibara. Kada je u pitanju krijumčarenje narkotika, u 6 slučaja službenici Uprave carina oduzeli su: 2.033,00 kg skanka, 12,00 kg heroina i 53,00 kg hašiša. </w:t>
      </w:r>
      <w:r w:rsidRPr="00B249D8">
        <w:rPr>
          <w:rFonts w:eastAsia="Times New Roman" w:cs="Times New Roman"/>
          <w:szCs w:val="24"/>
          <w:lang w:val="en-US"/>
        </w:rPr>
        <w:t>Uprava carina je po osnovu sumnje u povredu prava intelektualne svojine prekinula 51 carinski postupak i privremeno zadržala robu u ukupnoj količini od 14.852 komada.</w:t>
      </w:r>
    </w:p>
    <w:p w:rsidR="00B249D8" w:rsidRPr="00B249D8" w:rsidRDefault="00B249D8" w:rsidP="00B249D8">
      <w:pPr>
        <w:spacing w:before="0" w:after="0" w:line="240" w:lineRule="auto"/>
        <w:ind w:firstLine="708"/>
        <w:rPr>
          <w:rFonts w:eastAsia="Calibri" w:cs="Times New Roman"/>
          <w:szCs w:val="24"/>
          <w:shd w:val="clear" w:color="auto" w:fill="FFFFFF"/>
          <w:lang w:val="en-US"/>
        </w:rPr>
      </w:pPr>
      <w:r w:rsidRPr="00B249D8">
        <w:rPr>
          <w:rFonts w:eastAsia="Calibri" w:cs="Times New Roman"/>
          <w:szCs w:val="24"/>
          <w:lang w:val="en-US"/>
        </w:rPr>
        <w:t>Nastavljene su intezivne aktivnosti na kontroli roba za koju se sumnja da povrjeđuje prava intelektualne svojine. Tokom 2020. godine nadležne carinske ispostave su po osnovu sumnje da povrjeđuje prava intelektualne svojine prekinule 54 carinska postupka i privremeno zadržale robu u ukupnoj količini od 15.345 komada (odjeća, dodaci odjeći, obuća, sportska obuća, torbe, satovi, ključevi za auta i dr.</w:t>
      </w:r>
    </w:p>
    <w:p w:rsidR="00B249D8" w:rsidRDefault="00B249D8" w:rsidP="00B249D8">
      <w:pPr>
        <w:spacing w:before="0" w:after="0" w:line="240" w:lineRule="auto"/>
        <w:rPr>
          <w:rFonts w:eastAsia="Calibri" w:cs="Times New Roman"/>
          <w:szCs w:val="24"/>
          <w:lang w:val="en-US"/>
        </w:rPr>
      </w:pPr>
      <w:r w:rsidRPr="00B249D8">
        <w:rPr>
          <w:rFonts w:eastAsia="Calibri" w:cs="Times New Roman"/>
          <w:szCs w:val="24"/>
          <w:lang w:val="en-US"/>
        </w:rPr>
        <w:t>Tokom godine realizovano je sedam zajedničkih akcija Tržišne inspekcije i Uprave carina o pojačanoj kontroli proizvoda sa stanovišta bezbjednosti (frižideri, električni mikseri, namještaj za otvoreni prostor, roleri, profesionalne mesoreznice, štitnici sluha i prozori od PVC, metala i drveta).</w:t>
      </w:r>
    </w:p>
    <w:p w:rsidR="002F73A8" w:rsidRDefault="002F73A8" w:rsidP="00B249D8">
      <w:pPr>
        <w:spacing w:before="0" w:after="0" w:line="240" w:lineRule="auto"/>
        <w:rPr>
          <w:rFonts w:eastAsia="Calibri" w:cs="Times New Roman"/>
          <w:szCs w:val="24"/>
          <w:lang w:val="en-US"/>
        </w:rPr>
      </w:pPr>
    </w:p>
    <w:p w:rsidR="002F73A8" w:rsidRDefault="002F73A8" w:rsidP="00B249D8">
      <w:pPr>
        <w:spacing w:before="0" w:after="0" w:line="240" w:lineRule="auto"/>
        <w:rPr>
          <w:rFonts w:eastAsia="Calibri" w:cs="Times New Roman"/>
          <w:szCs w:val="24"/>
          <w:lang w:val="en-US"/>
        </w:rPr>
      </w:pPr>
    </w:p>
    <w:p w:rsidR="002F73A8" w:rsidRPr="00B249D8" w:rsidRDefault="002F73A8" w:rsidP="00B249D8">
      <w:pPr>
        <w:spacing w:before="0" w:after="0" w:line="240" w:lineRule="auto"/>
        <w:rPr>
          <w:rFonts w:eastAsia="Calibri" w:cs="Times New Roman"/>
          <w:szCs w:val="24"/>
          <w:shd w:val="clear" w:color="auto" w:fill="FFFFFF"/>
          <w:lang w:val="en-US"/>
        </w:rPr>
      </w:pPr>
    </w:p>
    <w:p w:rsidR="00B249D8" w:rsidRPr="00B249D8" w:rsidRDefault="00B249D8" w:rsidP="00B249D8">
      <w:pPr>
        <w:spacing w:before="0" w:after="0" w:line="240" w:lineRule="auto"/>
        <w:ind w:firstLine="708"/>
        <w:rPr>
          <w:rFonts w:eastAsia="Calibri" w:cs="Times New Roman"/>
          <w:color w:val="943634"/>
          <w:szCs w:val="24"/>
          <w:lang w:val="en-US"/>
        </w:rPr>
      </w:pPr>
    </w:p>
    <w:p w:rsidR="00B249D8" w:rsidRPr="00B249D8" w:rsidRDefault="00B249D8" w:rsidP="00B249D8">
      <w:pPr>
        <w:spacing w:before="0" w:after="0" w:line="240" w:lineRule="auto"/>
        <w:rPr>
          <w:rFonts w:ascii="Times New Roman" w:eastAsia="Calibri" w:hAnsi="Times New Roman" w:cs="Times New Roman"/>
          <w:i/>
          <w:sz w:val="22"/>
          <w:lang w:val="en-US" w:eastAsia="sl-SI"/>
        </w:rPr>
      </w:pPr>
      <w:r>
        <w:rPr>
          <w:rFonts w:ascii="Times New Roman" w:eastAsia="Calibri" w:hAnsi="Times New Roman" w:cs="Times New Roman"/>
          <w:i/>
          <w:sz w:val="22"/>
          <w:lang w:val="en-US" w:eastAsia="sl-SI"/>
        </w:rPr>
        <w:lastRenderedPageBreak/>
        <w:t xml:space="preserve">             </w:t>
      </w:r>
      <w:r w:rsidR="0065427D">
        <w:rPr>
          <w:rFonts w:ascii="Times New Roman" w:eastAsia="Calibri" w:hAnsi="Times New Roman" w:cs="Times New Roman"/>
          <w:i/>
          <w:sz w:val="22"/>
          <w:lang w:val="en-US" w:eastAsia="sl-SI"/>
        </w:rPr>
        <w:t xml:space="preserve">              </w:t>
      </w:r>
      <w:r w:rsidRPr="00B249D8">
        <w:rPr>
          <w:rFonts w:ascii="Times New Roman" w:eastAsia="Calibri" w:hAnsi="Times New Roman" w:cs="Times New Roman"/>
          <w:i/>
          <w:sz w:val="22"/>
          <w:lang w:val="en-US" w:eastAsia="sl-SI"/>
        </w:rPr>
        <w:t xml:space="preserve">Tabela 8: Podaci o izdatim prekršajnim nalozima </w:t>
      </w:r>
    </w:p>
    <w:tbl>
      <w:tblPr>
        <w:tblW w:w="0" w:type="auto"/>
        <w:tblInd w:w="108"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4376"/>
        <w:gridCol w:w="1256"/>
        <w:gridCol w:w="1379"/>
        <w:gridCol w:w="1494"/>
      </w:tblGrid>
      <w:tr w:rsidR="00B249D8" w:rsidRPr="00B249D8" w:rsidTr="009F412E">
        <w:tc>
          <w:tcPr>
            <w:tcW w:w="4376" w:type="dxa"/>
            <w:tcBorders>
              <w:top w:val="single" w:sz="8" w:space="0" w:color="FFFFFF"/>
              <w:left w:val="single" w:sz="8" w:space="0" w:color="FFFFFF"/>
              <w:bottom w:val="single" w:sz="24" w:space="0" w:color="FFFFFF"/>
              <w:right w:val="single" w:sz="8" w:space="0" w:color="FFFFFF"/>
            </w:tcBorders>
            <w:shd w:val="clear" w:color="auto" w:fill="4F81BD"/>
          </w:tcPr>
          <w:p w:rsidR="00B249D8" w:rsidRPr="00B249D8" w:rsidRDefault="00B249D8" w:rsidP="00B249D8">
            <w:pPr>
              <w:spacing w:before="0" w:after="0" w:line="240" w:lineRule="auto"/>
              <w:rPr>
                <w:rFonts w:ascii="Times New Roman" w:eastAsia="Calibri" w:hAnsi="Times New Roman" w:cs="Times New Roman"/>
                <w:b/>
                <w:bCs/>
                <w:color w:val="FFFFFF"/>
                <w:sz w:val="20"/>
                <w:lang w:val="en-US" w:eastAsia="sl-SI"/>
              </w:rPr>
            </w:pPr>
          </w:p>
          <w:p w:rsidR="00B249D8" w:rsidRPr="00B249D8" w:rsidRDefault="00B249D8" w:rsidP="00B249D8">
            <w:pPr>
              <w:spacing w:before="0" w:after="0" w:line="240" w:lineRule="auto"/>
              <w:rPr>
                <w:rFonts w:ascii="Times New Roman" w:eastAsia="Calibri" w:hAnsi="Times New Roman" w:cs="Times New Roman"/>
                <w:b/>
                <w:bCs/>
                <w:color w:val="FFFFFF"/>
                <w:sz w:val="20"/>
                <w:lang w:val="en-US" w:eastAsia="sl-SI"/>
              </w:rPr>
            </w:pPr>
          </w:p>
          <w:p w:rsidR="00B249D8" w:rsidRPr="00B249D8" w:rsidRDefault="00B249D8" w:rsidP="00B249D8">
            <w:pPr>
              <w:spacing w:before="0" w:after="0" w:line="240" w:lineRule="auto"/>
              <w:jc w:val="left"/>
              <w:rPr>
                <w:rFonts w:ascii="Times New Roman" w:eastAsia="Calibri" w:hAnsi="Times New Roman" w:cs="Times New Roman"/>
                <w:bCs/>
                <w:color w:val="FFFFFF"/>
                <w:sz w:val="20"/>
                <w:lang w:val="en-US" w:eastAsia="sl-SI"/>
              </w:rPr>
            </w:pPr>
            <w:r w:rsidRPr="00B249D8">
              <w:rPr>
                <w:rFonts w:ascii="Times New Roman" w:eastAsia="Calibri" w:hAnsi="Times New Roman" w:cs="Times New Roman"/>
                <w:bCs/>
                <w:color w:val="FFFFFF"/>
                <w:sz w:val="20"/>
                <w:lang w:val="en-US" w:eastAsia="sl-SI"/>
              </w:rPr>
              <w:t>Nadležne organizacione jedinice</w:t>
            </w:r>
          </w:p>
        </w:tc>
        <w:tc>
          <w:tcPr>
            <w:tcW w:w="1256" w:type="dxa"/>
            <w:tcBorders>
              <w:top w:val="single" w:sz="8" w:space="0" w:color="FFFFFF"/>
              <w:left w:val="single" w:sz="8" w:space="0" w:color="FFFFFF"/>
              <w:bottom w:val="single" w:sz="24" w:space="0" w:color="FFFFFF"/>
              <w:right w:val="single" w:sz="8" w:space="0" w:color="FFFFFF"/>
            </w:tcBorders>
            <w:shd w:val="clear" w:color="auto" w:fill="4F81BD"/>
            <w:vAlign w:val="center"/>
          </w:tcPr>
          <w:p w:rsidR="00B249D8" w:rsidRPr="00B249D8" w:rsidRDefault="00B249D8" w:rsidP="00B249D8">
            <w:pPr>
              <w:spacing w:before="0" w:after="0" w:line="240" w:lineRule="auto"/>
              <w:jc w:val="left"/>
              <w:rPr>
                <w:rFonts w:ascii="Times New Roman" w:eastAsia="Calibri" w:hAnsi="Times New Roman" w:cs="Times New Roman"/>
                <w:bCs/>
                <w:color w:val="FFFFFF"/>
                <w:sz w:val="20"/>
                <w:lang w:val="en-US" w:eastAsia="sl-SI"/>
              </w:rPr>
            </w:pPr>
            <w:r w:rsidRPr="00B249D8">
              <w:rPr>
                <w:rFonts w:ascii="Times New Roman" w:eastAsia="Calibri" w:hAnsi="Times New Roman" w:cs="Times New Roman"/>
                <w:bCs/>
                <w:color w:val="FFFFFF"/>
                <w:sz w:val="20"/>
                <w:lang w:val="en-US" w:eastAsia="sl-SI"/>
              </w:rPr>
              <w:t>Broj izdatih prekršajnih naloga</w:t>
            </w:r>
          </w:p>
        </w:tc>
        <w:tc>
          <w:tcPr>
            <w:tcW w:w="1379" w:type="dxa"/>
            <w:tcBorders>
              <w:top w:val="single" w:sz="8" w:space="0" w:color="FFFFFF"/>
              <w:left w:val="single" w:sz="8" w:space="0" w:color="FFFFFF"/>
              <w:bottom w:val="single" w:sz="24" w:space="0" w:color="FFFFFF"/>
              <w:right w:val="single" w:sz="8" w:space="0" w:color="FFFFFF"/>
            </w:tcBorders>
            <w:shd w:val="clear" w:color="auto" w:fill="4F81BD"/>
            <w:vAlign w:val="center"/>
          </w:tcPr>
          <w:p w:rsidR="00B249D8" w:rsidRPr="00B249D8" w:rsidRDefault="00B249D8" w:rsidP="00B249D8">
            <w:pPr>
              <w:spacing w:before="0" w:after="0" w:line="240" w:lineRule="auto"/>
              <w:jc w:val="left"/>
              <w:rPr>
                <w:rFonts w:ascii="Times New Roman" w:eastAsia="Calibri" w:hAnsi="Times New Roman" w:cs="Times New Roman"/>
                <w:bCs/>
                <w:color w:val="FFFFFF"/>
                <w:sz w:val="20"/>
                <w:lang w:val="en-US" w:eastAsia="sl-SI"/>
              </w:rPr>
            </w:pPr>
            <w:r w:rsidRPr="00B249D8">
              <w:rPr>
                <w:rFonts w:ascii="Times New Roman" w:eastAsia="Calibri" w:hAnsi="Times New Roman" w:cs="Times New Roman"/>
                <w:bCs/>
                <w:color w:val="FFFFFF"/>
                <w:sz w:val="20"/>
                <w:lang w:val="en-US" w:eastAsia="sl-SI"/>
              </w:rPr>
              <w:t>Vrijednost izrečenih novčanih kazni  (€)</w:t>
            </w:r>
          </w:p>
        </w:tc>
        <w:tc>
          <w:tcPr>
            <w:tcW w:w="1494" w:type="dxa"/>
            <w:tcBorders>
              <w:top w:val="single" w:sz="8" w:space="0" w:color="FFFFFF"/>
              <w:left w:val="single" w:sz="8" w:space="0" w:color="FFFFFF"/>
              <w:bottom w:val="single" w:sz="24" w:space="0" w:color="FFFFFF"/>
              <w:right w:val="single" w:sz="8" w:space="0" w:color="FFFFFF"/>
            </w:tcBorders>
            <w:shd w:val="clear" w:color="auto" w:fill="4F81BD"/>
            <w:vAlign w:val="center"/>
          </w:tcPr>
          <w:p w:rsidR="00B249D8" w:rsidRPr="00B249D8" w:rsidRDefault="00B249D8" w:rsidP="00B249D8">
            <w:pPr>
              <w:spacing w:before="0" w:after="0" w:line="240" w:lineRule="auto"/>
              <w:jc w:val="left"/>
              <w:rPr>
                <w:rFonts w:ascii="Times New Roman" w:eastAsia="Calibri" w:hAnsi="Times New Roman" w:cs="Times New Roman"/>
                <w:bCs/>
                <w:color w:val="FFFFFF"/>
                <w:sz w:val="20"/>
                <w:lang w:val="en-US" w:eastAsia="sl-SI"/>
              </w:rPr>
            </w:pPr>
            <w:r w:rsidRPr="00B249D8">
              <w:rPr>
                <w:rFonts w:ascii="Times New Roman" w:eastAsia="Calibri" w:hAnsi="Times New Roman" w:cs="Times New Roman"/>
                <w:bCs/>
                <w:color w:val="FFFFFF"/>
                <w:sz w:val="20"/>
                <w:lang w:val="en-US" w:eastAsia="sl-SI"/>
              </w:rPr>
              <w:t>Broj zahtjeva za pokretanje prekršajnog postupka kod nadležnog suda</w:t>
            </w:r>
          </w:p>
        </w:tc>
      </w:tr>
      <w:tr w:rsidR="00B249D8" w:rsidRPr="00B249D8" w:rsidTr="009F412E">
        <w:tc>
          <w:tcPr>
            <w:tcW w:w="4376" w:type="dxa"/>
            <w:tcBorders>
              <w:top w:val="single" w:sz="8" w:space="0" w:color="FFFFFF"/>
              <w:left w:val="single" w:sz="8" w:space="0" w:color="FFFFFF"/>
              <w:right w:val="single" w:sz="24" w:space="0" w:color="FFFFFF"/>
            </w:tcBorders>
            <w:shd w:val="clear" w:color="auto" w:fill="4F81BD"/>
          </w:tcPr>
          <w:p w:rsidR="00B249D8" w:rsidRPr="00B249D8" w:rsidRDefault="00B249D8" w:rsidP="00B249D8">
            <w:pPr>
              <w:spacing w:before="0" w:after="0" w:line="240" w:lineRule="auto"/>
              <w:rPr>
                <w:rFonts w:ascii="Times New Roman" w:eastAsia="Calibri" w:hAnsi="Times New Roman" w:cs="Times New Roman"/>
                <w:bCs/>
                <w:color w:val="FFFFFF"/>
                <w:sz w:val="20"/>
                <w:lang w:val="en-US" w:eastAsia="sl-SI"/>
              </w:rPr>
            </w:pPr>
            <w:r w:rsidRPr="00B249D8">
              <w:rPr>
                <w:rFonts w:ascii="Times New Roman" w:eastAsia="Calibri" w:hAnsi="Times New Roman" w:cs="Times New Roman"/>
                <w:bCs/>
                <w:color w:val="FFFFFF"/>
                <w:sz w:val="20"/>
                <w:lang w:val="en-US" w:eastAsia="sl-SI"/>
              </w:rPr>
              <w:t>Sektor za carinsku bezbjednost i kontrolu</w:t>
            </w:r>
          </w:p>
        </w:tc>
        <w:tc>
          <w:tcPr>
            <w:tcW w:w="1256" w:type="dxa"/>
            <w:tcBorders>
              <w:top w:val="single" w:sz="8" w:space="0" w:color="FFFFFF"/>
              <w:left w:val="single" w:sz="8" w:space="0" w:color="FFFFFF"/>
              <w:bottom w:val="single" w:sz="8" w:space="0" w:color="FFFFFF"/>
              <w:right w:val="single" w:sz="8" w:space="0" w:color="FFFFFF"/>
            </w:tcBorders>
            <w:shd w:val="clear" w:color="auto" w:fill="A7BFDE"/>
          </w:tcPr>
          <w:p w:rsidR="00B249D8" w:rsidRPr="00B249D8" w:rsidRDefault="00B249D8" w:rsidP="00B249D8">
            <w:pPr>
              <w:spacing w:before="0" w:after="0" w:line="240" w:lineRule="auto"/>
              <w:jc w:val="center"/>
              <w:rPr>
                <w:rFonts w:ascii="Times New Roman" w:eastAsia="Calibri" w:hAnsi="Times New Roman" w:cs="Times New Roman"/>
                <w:sz w:val="20"/>
                <w:lang w:val="en-US" w:eastAsia="sl-SI"/>
              </w:rPr>
            </w:pPr>
            <w:r w:rsidRPr="00B249D8">
              <w:rPr>
                <w:rFonts w:ascii="Times New Roman" w:eastAsia="Calibri" w:hAnsi="Times New Roman" w:cs="Times New Roman"/>
                <w:sz w:val="20"/>
                <w:lang w:val="en-US" w:eastAsia="sl-SI"/>
              </w:rPr>
              <w:t>57</w:t>
            </w:r>
          </w:p>
        </w:tc>
        <w:tc>
          <w:tcPr>
            <w:tcW w:w="1379" w:type="dxa"/>
            <w:tcBorders>
              <w:top w:val="single" w:sz="8" w:space="0" w:color="FFFFFF"/>
              <w:left w:val="single" w:sz="8" w:space="0" w:color="FFFFFF"/>
              <w:bottom w:val="single" w:sz="8" w:space="0" w:color="FFFFFF"/>
              <w:right w:val="single" w:sz="8" w:space="0" w:color="FFFFFF"/>
            </w:tcBorders>
            <w:shd w:val="clear" w:color="auto" w:fill="A7BFDE"/>
          </w:tcPr>
          <w:p w:rsidR="00B249D8" w:rsidRPr="00B249D8" w:rsidRDefault="00B249D8" w:rsidP="00B249D8">
            <w:pPr>
              <w:spacing w:before="0" w:after="0" w:line="240" w:lineRule="auto"/>
              <w:jc w:val="center"/>
              <w:rPr>
                <w:rFonts w:ascii="Times New Roman" w:eastAsia="Calibri" w:hAnsi="Times New Roman" w:cs="Times New Roman"/>
                <w:sz w:val="20"/>
                <w:lang w:val="en-US" w:eastAsia="sl-SI"/>
              </w:rPr>
            </w:pPr>
            <w:r w:rsidRPr="00B249D8">
              <w:rPr>
                <w:rFonts w:ascii="Times New Roman" w:eastAsia="Calibri" w:hAnsi="Times New Roman" w:cs="Times New Roman"/>
                <w:sz w:val="20"/>
                <w:lang w:val="en-US" w:eastAsia="sl-SI"/>
              </w:rPr>
              <w:t>42.600,00</w:t>
            </w:r>
          </w:p>
        </w:tc>
        <w:tc>
          <w:tcPr>
            <w:tcW w:w="1494" w:type="dxa"/>
            <w:tcBorders>
              <w:top w:val="single" w:sz="8" w:space="0" w:color="FFFFFF"/>
              <w:left w:val="single" w:sz="8" w:space="0" w:color="FFFFFF"/>
              <w:bottom w:val="single" w:sz="8" w:space="0" w:color="FFFFFF"/>
              <w:right w:val="single" w:sz="8" w:space="0" w:color="FFFFFF"/>
            </w:tcBorders>
            <w:shd w:val="clear" w:color="auto" w:fill="A7BFDE"/>
          </w:tcPr>
          <w:p w:rsidR="00B249D8" w:rsidRPr="00B249D8" w:rsidRDefault="00B249D8" w:rsidP="00B249D8">
            <w:pPr>
              <w:spacing w:before="0" w:after="0" w:line="240" w:lineRule="auto"/>
              <w:jc w:val="center"/>
              <w:rPr>
                <w:rFonts w:ascii="Times New Roman" w:eastAsia="Calibri" w:hAnsi="Times New Roman" w:cs="Times New Roman"/>
                <w:sz w:val="20"/>
                <w:lang w:val="en-US" w:eastAsia="sl-SI"/>
              </w:rPr>
            </w:pPr>
            <w:r w:rsidRPr="00B249D8">
              <w:rPr>
                <w:rFonts w:ascii="Times New Roman" w:eastAsia="Calibri" w:hAnsi="Times New Roman" w:cs="Times New Roman"/>
                <w:sz w:val="20"/>
                <w:lang w:val="en-US" w:eastAsia="sl-SI"/>
              </w:rPr>
              <w:t>-</w:t>
            </w:r>
          </w:p>
        </w:tc>
      </w:tr>
      <w:tr w:rsidR="00B249D8" w:rsidRPr="00B249D8" w:rsidTr="009F412E">
        <w:tc>
          <w:tcPr>
            <w:tcW w:w="4376" w:type="dxa"/>
            <w:tcBorders>
              <w:left w:val="single" w:sz="8" w:space="0" w:color="FFFFFF"/>
              <w:right w:val="single" w:sz="24" w:space="0" w:color="FFFFFF"/>
            </w:tcBorders>
            <w:shd w:val="clear" w:color="auto" w:fill="4F81BD"/>
          </w:tcPr>
          <w:p w:rsidR="00B249D8" w:rsidRPr="00B249D8" w:rsidRDefault="00B249D8" w:rsidP="00B249D8">
            <w:pPr>
              <w:spacing w:before="0" w:after="0" w:line="240" w:lineRule="auto"/>
              <w:rPr>
                <w:rFonts w:ascii="Times New Roman" w:eastAsia="Calibri" w:hAnsi="Times New Roman" w:cs="Times New Roman"/>
                <w:bCs/>
                <w:color w:val="FFFFFF"/>
                <w:sz w:val="20"/>
                <w:lang w:val="en-US" w:eastAsia="sl-SI"/>
              </w:rPr>
            </w:pPr>
            <w:r w:rsidRPr="00B249D8">
              <w:rPr>
                <w:rFonts w:ascii="Times New Roman" w:eastAsia="Calibri" w:hAnsi="Times New Roman" w:cs="Times New Roman"/>
                <w:bCs/>
                <w:color w:val="FFFFFF"/>
                <w:sz w:val="20"/>
                <w:lang w:val="en-US" w:eastAsia="sl-SI"/>
              </w:rPr>
              <w:t>PJ Carinarnica Podgorica</w:t>
            </w:r>
          </w:p>
        </w:tc>
        <w:tc>
          <w:tcPr>
            <w:tcW w:w="1256" w:type="dxa"/>
            <w:shd w:val="clear" w:color="auto" w:fill="D3DFEE"/>
          </w:tcPr>
          <w:p w:rsidR="00B249D8" w:rsidRPr="00B249D8" w:rsidRDefault="00B249D8" w:rsidP="00B249D8">
            <w:pPr>
              <w:spacing w:before="0" w:after="0" w:line="240" w:lineRule="auto"/>
              <w:jc w:val="center"/>
              <w:rPr>
                <w:rFonts w:ascii="Times New Roman" w:eastAsia="Calibri" w:hAnsi="Times New Roman" w:cs="Times New Roman"/>
                <w:sz w:val="20"/>
                <w:lang w:val="en-US" w:eastAsia="sl-SI"/>
              </w:rPr>
            </w:pPr>
            <w:r w:rsidRPr="00B249D8">
              <w:rPr>
                <w:rFonts w:ascii="Times New Roman" w:eastAsia="Calibri" w:hAnsi="Times New Roman" w:cs="Times New Roman"/>
                <w:sz w:val="20"/>
                <w:lang w:val="en-US" w:eastAsia="sl-SI"/>
              </w:rPr>
              <w:t>52</w:t>
            </w:r>
          </w:p>
        </w:tc>
        <w:tc>
          <w:tcPr>
            <w:tcW w:w="1379" w:type="dxa"/>
            <w:shd w:val="clear" w:color="auto" w:fill="D3DFEE"/>
          </w:tcPr>
          <w:p w:rsidR="00B249D8" w:rsidRPr="00B249D8" w:rsidRDefault="00B249D8" w:rsidP="00B249D8">
            <w:pPr>
              <w:spacing w:before="0" w:after="0" w:line="240" w:lineRule="auto"/>
              <w:jc w:val="center"/>
              <w:rPr>
                <w:rFonts w:ascii="Times New Roman" w:eastAsia="Calibri" w:hAnsi="Times New Roman" w:cs="Times New Roman"/>
                <w:sz w:val="20"/>
                <w:lang w:val="en-US" w:eastAsia="sl-SI"/>
              </w:rPr>
            </w:pPr>
            <w:r w:rsidRPr="00B249D8">
              <w:rPr>
                <w:rFonts w:ascii="Times New Roman" w:eastAsia="Calibri" w:hAnsi="Times New Roman" w:cs="Times New Roman"/>
                <w:sz w:val="20"/>
                <w:lang w:val="en-US" w:eastAsia="sl-SI"/>
              </w:rPr>
              <w:t>12.757,40</w:t>
            </w:r>
          </w:p>
        </w:tc>
        <w:tc>
          <w:tcPr>
            <w:tcW w:w="1494" w:type="dxa"/>
            <w:shd w:val="clear" w:color="auto" w:fill="D3DFEE"/>
          </w:tcPr>
          <w:p w:rsidR="00B249D8" w:rsidRPr="00B249D8" w:rsidRDefault="00B249D8" w:rsidP="00B249D8">
            <w:pPr>
              <w:spacing w:before="0" w:after="0" w:line="240" w:lineRule="auto"/>
              <w:jc w:val="center"/>
              <w:rPr>
                <w:rFonts w:ascii="Times New Roman" w:eastAsia="Calibri" w:hAnsi="Times New Roman" w:cs="Times New Roman"/>
                <w:sz w:val="20"/>
                <w:lang w:val="en-US" w:eastAsia="sl-SI"/>
              </w:rPr>
            </w:pPr>
            <w:r w:rsidRPr="00B249D8">
              <w:rPr>
                <w:rFonts w:ascii="Times New Roman" w:eastAsia="Calibri" w:hAnsi="Times New Roman" w:cs="Times New Roman"/>
                <w:sz w:val="20"/>
                <w:lang w:val="en-US" w:eastAsia="sl-SI"/>
              </w:rPr>
              <w:t>2</w:t>
            </w:r>
          </w:p>
        </w:tc>
      </w:tr>
      <w:tr w:rsidR="00B249D8" w:rsidRPr="00B249D8" w:rsidTr="009F412E">
        <w:tc>
          <w:tcPr>
            <w:tcW w:w="4376" w:type="dxa"/>
            <w:tcBorders>
              <w:top w:val="single" w:sz="8" w:space="0" w:color="FFFFFF"/>
              <w:left w:val="single" w:sz="8" w:space="0" w:color="FFFFFF"/>
              <w:right w:val="single" w:sz="24" w:space="0" w:color="FFFFFF"/>
            </w:tcBorders>
            <w:shd w:val="clear" w:color="auto" w:fill="4F81BD"/>
          </w:tcPr>
          <w:p w:rsidR="00B249D8" w:rsidRPr="00B249D8" w:rsidRDefault="00B249D8" w:rsidP="00B249D8">
            <w:pPr>
              <w:spacing w:before="0" w:after="0" w:line="240" w:lineRule="auto"/>
              <w:rPr>
                <w:rFonts w:ascii="Times New Roman" w:eastAsia="Calibri" w:hAnsi="Times New Roman" w:cs="Times New Roman"/>
                <w:bCs/>
                <w:color w:val="FFFFFF"/>
                <w:sz w:val="20"/>
                <w:lang w:val="en-US" w:eastAsia="sl-SI"/>
              </w:rPr>
            </w:pPr>
            <w:r w:rsidRPr="00B249D8">
              <w:rPr>
                <w:rFonts w:ascii="Times New Roman" w:eastAsia="Calibri" w:hAnsi="Times New Roman" w:cs="Times New Roman"/>
                <w:bCs/>
                <w:color w:val="FFFFFF"/>
                <w:sz w:val="20"/>
                <w:lang w:val="en-US" w:eastAsia="sl-SI"/>
              </w:rPr>
              <w:t>PJ Carinarnica Bar</w:t>
            </w:r>
          </w:p>
        </w:tc>
        <w:tc>
          <w:tcPr>
            <w:tcW w:w="1256" w:type="dxa"/>
            <w:tcBorders>
              <w:top w:val="single" w:sz="8" w:space="0" w:color="FFFFFF"/>
              <w:left w:val="single" w:sz="8" w:space="0" w:color="FFFFFF"/>
              <w:bottom w:val="single" w:sz="8" w:space="0" w:color="FFFFFF"/>
              <w:right w:val="single" w:sz="8" w:space="0" w:color="FFFFFF"/>
            </w:tcBorders>
            <w:shd w:val="clear" w:color="auto" w:fill="A7BFDE"/>
          </w:tcPr>
          <w:p w:rsidR="00B249D8" w:rsidRPr="00B249D8" w:rsidRDefault="00B249D8" w:rsidP="00B249D8">
            <w:pPr>
              <w:spacing w:before="0" w:after="0" w:line="240" w:lineRule="auto"/>
              <w:jc w:val="center"/>
              <w:rPr>
                <w:rFonts w:ascii="Times New Roman" w:eastAsia="Calibri" w:hAnsi="Times New Roman" w:cs="Times New Roman"/>
                <w:sz w:val="20"/>
                <w:lang w:val="en-US" w:eastAsia="sl-SI"/>
              </w:rPr>
            </w:pPr>
            <w:r w:rsidRPr="00B249D8">
              <w:rPr>
                <w:rFonts w:ascii="Times New Roman" w:eastAsia="Calibri" w:hAnsi="Times New Roman" w:cs="Times New Roman"/>
                <w:sz w:val="20"/>
                <w:lang w:val="en-US" w:eastAsia="sl-SI"/>
              </w:rPr>
              <w:t>5</w:t>
            </w:r>
          </w:p>
        </w:tc>
        <w:tc>
          <w:tcPr>
            <w:tcW w:w="1379" w:type="dxa"/>
            <w:tcBorders>
              <w:top w:val="single" w:sz="8" w:space="0" w:color="FFFFFF"/>
              <w:left w:val="single" w:sz="8" w:space="0" w:color="FFFFFF"/>
              <w:bottom w:val="single" w:sz="8" w:space="0" w:color="FFFFFF"/>
              <w:right w:val="single" w:sz="8" w:space="0" w:color="FFFFFF"/>
            </w:tcBorders>
            <w:shd w:val="clear" w:color="auto" w:fill="A7BFDE"/>
          </w:tcPr>
          <w:p w:rsidR="00B249D8" w:rsidRPr="00B249D8" w:rsidRDefault="00B249D8" w:rsidP="00B249D8">
            <w:pPr>
              <w:spacing w:before="0" w:after="0" w:line="240" w:lineRule="auto"/>
              <w:jc w:val="center"/>
              <w:rPr>
                <w:rFonts w:ascii="Times New Roman" w:eastAsia="Calibri" w:hAnsi="Times New Roman" w:cs="Times New Roman"/>
                <w:sz w:val="20"/>
                <w:lang w:val="en-US" w:eastAsia="sl-SI"/>
              </w:rPr>
            </w:pPr>
            <w:r w:rsidRPr="00B249D8">
              <w:rPr>
                <w:rFonts w:ascii="Times New Roman" w:eastAsia="Calibri" w:hAnsi="Times New Roman" w:cs="Times New Roman"/>
                <w:sz w:val="20"/>
                <w:lang w:val="en-US" w:eastAsia="sl-SI"/>
              </w:rPr>
              <w:t>1.072,00</w:t>
            </w:r>
          </w:p>
        </w:tc>
        <w:tc>
          <w:tcPr>
            <w:tcW w:w="1494" w:type="dxa"/>
            <w:tcBorders>
              <w:top w:val="single" w:sz="8" w:space="0" w:color="FFFFFF"/>
              <w:left w:val="single" w:sz="8" w:space="0" w:color="FFFFFF"/>
              <w:bottom w:val="single" w:sz="8" w:space="0" w:color="FFFFFF"/>
              <w:right w:val="single" w:sz="8" w:space="0" w:color="FFFFFF"/>
            </w:tcBorders>
            <w:shd w:val="clear" w:color="auto" w:fill="A7BFDE"/>
          </w:tcPr>
          <w:p w:rsidR="00B249D8" w:rsidRPr="00B249D8" w:rsidRDefault="00B249D8" w:rsidP="00B249D8">
            <w:pPr>
              <w:spacing w:before="0" w:after="0" w:line="240" w:lineRule="auto"/>
              <w:jc w:val="center"/>
              <w:rPr>
                <w:rFonts w:ascii="Times New Roman" w:eastAsia="Calibri" w:hAnsi="Times New Roman" w:cs="Times New Roman"/>
                <w:sz w:val="20"/>
                <w:lang w:val="en-US" w:eastAsia="sl-SI"/>
              </w:rPr>
            </w:pPr>
            <w:r w:rsidRPr="00B249D8">
              <w:rPr>
                <w:rFonts w:ascii="Times New Roman" w:eastAsia="Calibri" w:hAnsi="Times New Roman" w:cs="Times New Roman"/>
                <w:sz w:val="20"/>
                <w:lang w:val="en-US" w:eastAsia="sl-SI"/>
              </w:rPr>
              <w:t>16</w:t>
            </w:r>
          </w:p>
        </w:tc>
      </w:tr>
      <w:tr w:rsidR="00B249D8" w:rsidRPr="00B249D8" w:rsidTr="009F412E">
        <w:tc>
          <w:tcPr>
            <w:tcW w:w="4376" w:type="dxa"/>
            <w:tcBorders>
              <w:left w:val="single" w:sz="8" w:space="0" w:color="FFFFFF"/>
              <w:right w:val="single" w:sz="24" w:space="0" w:color="FFFFFF"/>
            </w:tcBorders>
            <w:shd w:val="clear" w:color="auto" w:fill="4F81BD"/>
          </w:tcPr>
          <w:p w:rsidR="00B249D8" w:rsidRPr="00B249D8" w:rsidRDefault="00B249D8" w:rsidP="00B249D8">
            <w:pPr>
              <w:spacing w:before="0" w:after="0" w:line="240" w:lineRule="auto"/>
              <w:rPr>
                <w:rFonts w:ascii="Times New Roman" w:eastAsia="Calibri" w:hAnsi="Times New Roman" w:cs="Times New Roman"/>
                <w:bCs/>
                <w:color w:val="FFFFFF"/>
                <w:sz w:val="20"/>
                <w:lang w:val="en-US" w:eastAsia="sl-SI"/>
              </w:rPr>
            </w:pPr>
            <w:r w:rsidRPr="00B249D8">
              <w:rPr>
                <w:rFonts w:ascii="Times New Roman" w:eastAsia="Calibri" w:hAnsi="Times New Roman" w:cs="Times New Roman"/>
                <w:bCs/>
                <w:color w:val="FFFFFF"/>
                <w:sz w:val="20"/>
                <w:lang w:val="en-US" w:eastAsia="sl-SI"/>
              </w:rPr>
              <w:t>PJ Carinarnica Kotor</w:t>
            </w:r>
          </w:p>
        </w:tc>
        <w:tc>
          <w:tcPr>
            <w:tcW w:w="1256" w:type="dxa"/>
            <w:shd w:val="clear" w:color="auto" w:fill="D3DFEE"/>
          </w:tcPr>
          <w:p w:rsidR="00B249D8" w:rsidRPr="00B249D8" w:rsidRDefault="00B249D8" w:rsidP="00B249D8">
            <w:pPr>
              <w:spacing w:before="0" w:after="0" w:line="240" w:lineRule="auto"/>
              <w:jc w:val="center"/>
              <w:rPr>
                <w:rFonts w:ascii="Times New Roman" w:eastAsia="Calibri" w:hAnsi="Times New Roman" w:cs="Times New Roman"/>
                <w:sz w:val="20"/>
                <w:lang w:val="en-US" w:eastAsia="sl-SI"/>
              </w:rPr>
            </w:pPr>
            <w:r w:rsidRPr="00B249D8">
              <w:rPr>
                <w:rFonts w:ascii="Times New Roman" w:eastAsia="Calibri" w:hAnsi="Times New Roman" w:cs="Times New Roman"/>
                <w:sz w:val="20"/>
                <w:lang w:val="en-US" w:eastAsia="sl-SI"/>
              </w:rPr>
              <w:t>20</w:t>
            </w:r>
          </w:p>
        </w:tc>
        <w:tc>
          <w:tcPr>
            <w:tcW w:w="1379" w:type="dxa"/>
            <w:shd w:val="clear" w:color="auto" w:fill="D3DFEE"/>
          </w:tcPr>
          <w:p w:rsidR="00B249D8" w:rsidRPr="00B249D8" w:rsidRDefault="00B249D8" w:rsidP="00B249D8">
            <w:pPr>
              <w:spacing w:before="0" w:after="0" w:line="240" w:lineRule="auto"/>
              <w:jc w:val="center"/>
              <w:rPr>
                <w:rFonts w:ascii="Times New Roman" w:eastAsia="Calibri" w:hAnsi="Times New Roman" w:cs="Times New Roman"/>
                <w:sz w:val="20"/>
                <w:lang w:val="en-US" w:eastAsia="sl-SI"/>
              </w:rPr>
            </w:pPr>
            <w:r w:rsidRPr="00B249D8">
              <w:rPr>
                <w:rFonts w:ascii="Times New Roman" w:eastAsia="Calibri" w:hAnsi="Times New Roman" w:cs="Times New Roman"/>
                <w:sz w:val="20"/>
                <w:lang w:val="en-US" w:eastAsia="sl-SI"/>
              </w:rPr>
              <w:t>5.275,00</w:t>
            </w:r>
          </w:p>
        </w:tc>
        <w:tc>
          <w:tcPr>
            <w:tcW w:w="1494" w:type="dxa"/>
            <w:shd w:val="clear" w:color="auto" w:fill="D3DFEE"/>
          </w:tcPr>
          <w:p w:rsidR="00B249D8" w:rsidRPr="00B249D8" w:rsidRDefault="00B249D8" w:rsidP="00B249D8">
            <w:pPr>
              <w:spacing w:before="0" w:after="0" w:line="240" w:lineRule="auto"/>
              <w:jc w:val="center"/>
              <w:rPr>
                <w:rFonts w:ascii="Times New Roman" w:eastAsia="Calibri" w:hAnsi="Times New Roman" w:cs="Times New Roman"/>
                <w:sz w:val="20"/>
                <w:lang w:val="en-US" w:eastAsia="sl-SI"/>
              </w:rPr>
            </w:pPr>
            <w:r w:rsidRPr="00B249D8">
              <w:rPr>
                <w:rFonts w:ascii="Times New Roman" w:eastAsia="Calibri" w:hAnsi="Times New Roman" w:cs="Times New Roman"/>
                <w:sz w:val="20"/>
                <w:lang w:val="en-US" w:eastAsia="sl-SI"/>
              </w:rPr>
              <w:t>-</w:t>
            </w:r>
          </w:p>
        </w:tc>
      </w:tr>
      <w:tr w:rsidR="00B249D8" w:rsidRPr="00B249D8" w:rsidTr="009F412E">
        <w:tc>
          <w:tcPr>
            <w:tcW w:w="4376" w:type="dxa"/>
            <w:tcBorders>
              <w:top w:val="single" w:sz="8" w:space="0" w:color="FFFFFF"/>
              <w:left w:val="single" w:sz="8" w:space="0" w:color="FFFFFF"/>
              <w:right w:val="single" w:sz="24" w:space="0" w:color="FFFFFF"/>
            </w:tcBorders>
            <w:shd w:val="clear" w:color="auto" w:fill="4F81BD"/>
          </w:tcPr>
          <w:p w:rsidR="00B249D8" w:rsidRPr="00B249D8" w:rsidRDefault="00B249D8" w:rsidP="00B249D8">
            <w:pPr>
              <w:spacing w:before="0" w:after="0" w:line="240" w:lineRule="auto"/>
              <w:rPr>
                <w:rFonts w:ascii="Times New Roman" w:eastAsia="Calibri" w:hAnsi="Times New Roman" w:cs="Times New Roman"/>
                <w:bCs/>
                <w:color w:val="FFFFFF"/>
                <w:sz w:val="20"/>
                <w:lang w:val="en-US" w:eastAsia="sl-SI"/>
              </w:rPr>
            </w:pPr>
            <w:r w:rsidRPr="00B249D8">
              <w:rPr>
                <w:rFonts w:ascii="Times New Roman" w:eastAsia="Calibri" w:hAnsi="Times New Roman" w:cs="Times New Roman"/>
                <w:bCs/>
                <w:color w:val="FFFFFF"/>
                <w:sz w:val="20"/>
                <w:lang w:val="en-US" w:eastAsia="sl-SI"/>
              </w:rPr>
              <w:t>PJ Carinarnica Bijelo Polje</w:t>
            </w:r>
          </w:p>
        </w:tc>
        <w:tc>
          <w:tcPr>
            <w:tcW w:w="1256" w:type="dxa"/>
            <w:tcBorders>
              <w:top w:val="single" w:sz="8" w:space="0" w:color="FFFFFF"/>
              <w:left w:val="single" w:sz="8" w:space="0" w:color="FFFFFF"/>
              <w:bottom w:val="single" w:sz="8" w:space="0" w:color="FFFFFF"/>
              <w:right w:val="single" w:sz="8" w:space="0" w:color="FFFFFF"/>
            </w:tcBorders>
            <w:shd w:val="clear" w:color="auto" w:fill="A7BFDE"/>
          </w:tcPr>
          <w:p w:rsidR="00B249D8" w:rsidRPr="00B249D8" w:rsidRDefault="00B249D8" w:rsidP="00B249D8">
            <w:pPr>
              <w:spacing w:before="0" w:after="0" w:line="240" w:lineRule="auto"/>
              <w:jc w:val="center"/>
              <w:rPr>
                <w:rFonts w:ascii="Times New Roman" w:eastAsia="Calibri" w:hAnsi="Times New Roman" w:cs="Times New Roman"/>
                <w:sz w:val="20"/>
                <w:lang w:val="en-US" w:eastAsia="sl-SI"/>
              </w:rPr>
            </w:pPr>
            <w:r w:rsidRPr="00B249D8">
              <w:rPr>
                <w:rFonts w:ascii="Times New Roman" w:eastAsia="Calibri" w:hAnsi="Times New Roman" w:cs="Times New Roman"/>
                <w:sz w:val="20"/>
                <w:lang w:val="en-US" w:eastAsia="sl-SI"/>
              </w:rPr>
              <w:t>78</w:t>
            </w:r>
          </w:p>
        </w:tc>
        <w:tc>
          <w:tcPr>
            <w:tcW w:w="1379" w:type="dxa"/>
            <w:tcBorders>
              <w:top w:val="single" w:sz="8" w:space="0" w:color="FFFFFF"/>
              <w:left w:val="single" w:sz="8" w:space="0" w:color="FFFFFF"/>
              <w:bottom w:val="single" w:sz="8" w:space="0" w:color="FFFFFF"/>
              <w:right w:val="single" w:sz="8" w:space="0" w:color="FFFFFF"/>
            </w:tcBorders>
            <w:shd w:val="clear" w:color="auto" w:fill="A7BFDE"/>
          </w:tcPr>
          <w:p w:rsidR="00B249D8" w:rsidRPr="00B249D8" w:rsidRDefault="00B249D8" w:rsidP="00B249D8">
            <w:pPr>
              <w:spacing w:before="0" w:after="0" w:line="240" w:lineRule="auto"/>
              <w:jc w:val="center"/>
              <w:rPr>
                <w:rFonts w:ascii="Times New Roman" w:eastAsia="Calibri" w:hAnsi="Times New Roman" w:cs="Times New Roman"/>
                <w:sz w:val="20"/>
                <w:lang w:val="en-US" w:eastAsia="sl-SI"/>
              </w:rPr>
            </w:pPr>
            <w:r w:rsidRPr="00B249D8">
              <w:rPr>
                <w:rFonts w:ascii="Times New Roman" w:eastAsia="Calibri" w:hAnsi="Times New Roman" w:cs="Times New Roman"/>
                <w:sz w:val="20"/>
                <w:lang w:val="en-US" w:eastAsia="sl-SI"/>
              </w:rPr>
              <w:t>43.893,00</w:t>
            </w:r>
          </w:p>
        </w:tc>
        <w:tc>
          <w:tcPr>
            <w:tcW w:w="1494" w:type="dxa"/>
            <w:tcBorders>
              <w:top w:val="single" w:sz="8" w:space="0" w:color="FFFFFF"/>
              <w:left w:val="single" w:sz="8" w:space="0" w:color="FFFFFF"/>
              <w:bottom w:val="single" w:sz="8" w:space="0" w:color="FFFFFF"/>
              <w:right w:val="single" w:sz="8" w:space="0" w:color="FFFFFF"/>
            </w:tcBorders>
            <w:shd w:val="clear" w:color="auto" w:fill="A7BFDE"/>
          </w:tcPr>
          <w:p w:rsidR="00B249D8" w:rsidRPr="00B249D8" w:rsidRDefault="00B249D8" w:rsidP="00B249D8">
            <w:pPr>
              <w:spacing w:before="0" w:after="0" w:line="240" w:lineRule="auto"/>
              <w:jc w:val="center"/>
              <w:rPr>
                <w:rFonts w:ascii="Times New Roman" w:eastAsia="Calibri" w:hAnsi="Times New Roman" w:cs="Times New Roman"/>
                <w:sz w:val="20"/>
                <w:lang w:val="en-US" w:eastAsia="sl-SI"/>
              </w:rPr>
            </w:pPr>
            <w:r w:rsidRPr="00B249D8">
              <w:rPr>
                <w:rFonts w:ascii="Times New Roman" w:eastAsia="Calibri" w:hAnsi="Times New Roman" w:cs="Times New Roman"/>
                <w:sz w:val="20"/>
                <w:lang w:val="en-US" w:eastAsia="sl-SI"/>
              </w:rPr>
              <w:t>4</w:t>
            </w:r>
          </w:p>
        </w:tc>
      </w:tr>
      <w:tr w:rsidR="00B249D8" w:rsidRPr="00B249D8" w:rsidTr="009F412E">
        <w:tc>
          <w:tcPr>
            <w:tcW w:w="4376" w:type="dxa"/>
            <w:tcBorders>
              <w:left w:val="single" w:sz="8" w:space="0" w:color="FFFFFF"/>
              <w:right w:val="single" w:sz="24" w:space="0" w:color="FFFFFF"/>
            </w:tcBorders>
            <w:shd w:val="clear" w:color="auto" w:fill="4F81BD"/>
          </w:tcPr>
          <w:p w:rsidR="00B249D8" w:rsidRPr="00B249D8" w:rsidRDefault="00B249D8" w:rsidP="00B249D8">
            <w:pPr>
              <w:spacing w:before="0" w:after="0" w:line="240" w:lineRule="auto"/>
              <w:rPr>
                <w:rFonts w:ascii="Times New Roman" w:eastAsia="Calibri" w:hAnsi="Times New Roman" w:cs="Times New Roman"/>
                <w:bCs/>
                <w:color w:val="FFFFFF"/>
                <w:sz w:val="20"/>
                <w:lang w:val="en-US" w:eastAsia="sl-SI"/>
              </w:rPr>
            </w:pPr>
            <w:r w:rsidRPr="00B249D8">
              <w:rPr>
                <w:rFonts w:ascii="Times New Roman" w:eastAsia="Calibri" w:hAnsi="Times New Roman" w:cs="Times New Roman"/>
                <w:bCs/>
                <w:color w:val="FFFFFF"/>
                <w:sz w:val="20"/>
                <w:lang w:val="en-US" w:eastAsia="sl-SI"/>
              </w:rPr>
              <w:t xml:space="preserve">Ukupno: </w:t>
            </w:r>
          </w:p>
        </w:tc>
        <w:tc>
          <w:tcPr>
            <w:tcW w:w="1256" w:type="dxa"/>
            <w:shd w:val="clear" w:color="auto" w:fill="D3DFEE"/>
          </w:tcPr>
          <w:p w:rsidR="00B249D8" w:rsidRPr="00B249D8" w:rsidRDefault="00B249D8" w:rsidP="00B249D8">
            <w:pPr>
              <w:spacing w:before="0" w:after="0" w:line="240" w:lineRule="auto"/>
              <w:jc w:val="center"/>
              <w:rPr>
                <w:rFonts w:ascii="Times New Roman" w:eastAsia="Calibri" w:hAnsi="Times New Roman" w:cs="Times New Roman"/>
                <w:sz w:val="20"/>
                <w:lang w:val="en-US" w:eastAsia="sl-SI"/>
              </w:rPr>
            </w:pPr>
            <w:r w:rsidRPr="00B249D8">
              <w:rPr>
                <w:rFonts w:ascii="Times New Roman" w:eastAsia="Calibri" w:hAnsi="Times New Roman" w:cs="Times New Roman"/>
                <w:sz w:val="20"/>
                <w:lang w:val="en-US" w:eastAsia="sl-SI"/>
              </w:rPr>
              <w:t>212</w:t>
            </w:r>
          </w:p>
        </w:tc>
        <w:tc>
          <w:tcPr>
            <w:tcW w:w="1379" w:type="dxa"/>
            <w:shd w:val="clear" w:color="auto" w:fill="D3DFEE"/>
          </w:tcPr>
          <w:p w:rsidR="00B249D8" w:rsidRPr="00B249D8" w:rsidRDefault="00B249D8" w:rsidP="00B249D8">
            <w:pPr>
              <w:spacing w:before="0" w:after="0" w:line="240" w:lineRule="auto"/>
              <w:jc w:val="center"/>
              <w:rPr>
                <w:rFonts w:ascii="Times New Roman" w:eastAsia="Calibri" w:hAnsi="Times New Roman" w:cs="Times New Roman"/>
                <w:color w:val="548DD4"/>
                <w:sz w:val="20"/>
                <w:lang w:val="en-US" w:eastAsia="sl-SI"/>
              </w:rPr>
            </w:pPr>
            <w:r w:rsidRPr="00B249D8">
              <w:rPr>
                <w:rFonts w:ascii="Times New Roman" w:eastAsia="Calibri" w:hAnsi="Times New Roman" w:cs="Times New Roman"/>
                <w:sz w:val="20"/>
                <w:lang w:val="en-US" w:eastAsia="sl-SI"/>
              </w:rPr>
              <w:t>105.597,40,</w:t>
            </w:r>
          </w:p>
        </w:tc>
        <w:tc>
          <w:tcPr>
            <w:tcW w:w="1494" w:type="dxa"/>
            <w:shd w:val="clear" w:color="auto" w:fill="D3DFEE"/>
          </w:tcPr>
          <w:p w:rsidR="00B249D8" w:rsidRPr="00B249D8" w:rsidRDefault="00B249D8" w:rsidP="00B249D8">
            <w:pPr>
              <w:spacing w:before="0" w:after="0" w:line="240" w:lineRule="auto"/>
              <w:jc w:val="center"/>
              <w:rPr>
                <w:rFonts w:ascii="Times New Roman" w:eastAsia="Calibri" w:hAnsi="Times New Roman" w:cs="Times New Roman"/>
                <w:sz w:val="20"/>
                <w:lang w:val="en-US" w:eastAsia="sl-SI"/>
              </w:rPr>
            </w:pPr>
            <w:r w:rsidRPr="00B249D8">
              <w:rPr>
                <w:rFonts w:ascii="Times New Roman" w:eastAsia="Calibri" w:hAnsi="Times New Roman" w:cs="Times New Roman"/>
                <w:sz w:val="20"/>
                <w:lang w:val="en-US" w:eastAsia="sl-SI"/>
              </w:rPr>
              <w:t>22</w:t>
            </w:r>
          </w:p>
        </w:tc>
      </w:tr>
    </w:tbl>
    <w:p w:rsidR="00B249D8" w:rsidRPr="00B249D8" w:rsidRDefault="00B249D8" w:rsidP="00B249D8">
      <w:pPr>
        <w:spacing w:before="0" w:after="0" w:line="240" w:lineRule="auto"/>
        <w:ind w:firstLine="708"/>
        <w:rPr>
          <w:rFonts w:ascii="Times New Roman" w:eastAsia="Calibri" w:hAnsi="Times New Roman" w:cs="Times New Roman"/>
          <w:color w:val="943634"/>
          <w:sz w:val="22"/>
          <w:lang w:val="en-US" w:eastAsia="sl-SI"/>
        </w:rPr>
      </w:pPr>
    </w:p>
    <w:p w:rsidR="00B249D8" w:rsidRPr="00B249D8" w:rsidRDefault="00B249D8" w:rsidP="00B249D8">
      <w:pPr>
        <w:spacing w:before="0" w:after="0" w:line="240" w:lineRule="auto"/>
        <w:ind w:firstLine="567"/>
        <w:rPr>
          <w:rFonts w:eastAsia="Calibri" w:cs="Times New Roman"/>
          <w:szCs w:val="24"/>
          <w:lang w:val="sl-SI" w:eastAsia="sl-SI"/>
        </w:rPr>
      </w:pPr>
      <w:r w:rsidRPr="00B249D8">
        <w:rPr>
          <w:rFonts w:eastAsia="Calibri" w:cs="Times New Roman"/>
          <w:szCs w:val="24"/>
          <w:lang w:val="sl-SI" w:eastAsia="sl-SI"/>
        </w:rPr>
        <w:t>U cilju dostizanja najviših standarda, Uprava carina će nastaviti da razvija svoje kapacitete u oblasti bezbjednosti uz kontinuiranu tehničku podršku Evropske unije, kako bi, uz efikasne kontrole i zaštitu društva istovremeno obezbijedila dalje pojednostavljenje carinskih procedura i ubrzanje legalne trgovine.</w:t>
      </w:r>
    </w:p>
    <w:p w:rsidR="00B00BF5" w:rsidRPr="00B00BF5" w:rsidRDefault="00B00BF5" w:rsidP="00B00BF5">
      <w:pPr>
        <w:keepNext/>
        <w:keepLines/>
        <w:spacing w:after="0" w:line="240" w:lineRule="auto"/>
        <w:ind w:left="927"/>
        <w:jc w:val="left"/>
        <w:outlineLvl w:val="0"/>
        <w:rPr>
          <w:rFonts w:eastAsia="Calibri" w:cs="Times New Roman"/>
          <w:b/>
          <w:szCs w:val="24"/>
          <w:lang w:val="sl-SI"/>
        </w:rPr>
      </w:pPr>
      <w:r w:rsidRPr="00B00BF5">
        <w:rPr>
          <w:rFonts w:eastAsia="Calibri" w:cs="Times New Roman"/>
          <w:b/>
          <w:szCs w:val="24"/>
          <w:lang w:val="sl-SI"/>
        </w:rPr>
        <w:t>LJUDSKI RESURSI</w:t>
      </w:r>
    </w:p>
    <w:p w:rsidR="00B00BF5" w:rsidRPr="00745D02" w:rsidRDefault="00B00BF5" w:rsidP="00745D02">
      <w:pPr>
        <w:spacing w:before="0" w:after="0" w:line="240" w:lineRule="auto"/>
        <w:ind w:firstLine="708"/>
        <w:rPr>
          <w:rFonts w:eastAsia="Calibri" w:cs="Times New Roman"/>
          <w:szCs w:val="24"/>
          <w:lang w:val="en-US"/>
        </w:rPr>
      </w:pPr>
      <w:r w:rsidRPr="00B00BF5">
        <w:rPr>
          <w:rFonts w:eastAsia="Calibri" w:cs="Times New Roman"/>
          <w:szCs w:val="24"/>
          <w:lang w:val="en-US"/>
        </w:rPr>
        <w:t>Ključnu ulogu u ostvarenju organizacionih ciljeva i kvaliteta njihove realizacije čine ljudski resursi i njihove sveukupne sposobnosti. Velika pažnja posvećuje se razvoju i unapređenju ljudskih resursa kroz obezbjeđivanje kvalitetnih, dobro obuč</w:t>
      </w:r>
      <w:r w:rsidR="00745D02">
        <w:rPr>
          <w:rFonts w:eastAsia="Calibri" w:cs="Times New Roman"/>
          <w:szCs w:val="24"/>
          <w:lang w:val="en-US"/>
        </w:rPr>
        <w:t xml:space="preserve">enih i motivisanih službenika. </w:t>
      </w:r>
    </w:p>
    <w:p w:rsidR="00B00BF5" w:rsidRPr="00B00BF5" w:rsidRDefault="00B00BF5" w:rsidP="00B00BF5">
      <w:pPr>
        <w:keepNext/>
        <w:keepLines/>
        <w:tabs>
          <w:tab w:val="left" w:pos="4962"/>
        </w:tabs>
        <w:spacing w:after="0" w:line="240" w:lineRule="auto"/>
        <w:ind w:hanging="11"/>
        <w:jc w:val="left"/>
        <w:outlineLvl w:val="2"/>
        <w:rPr>
          <w:rFonts w:eastAsia="Times New Roman" w:cs="Times New Roman"/>
          <w:b/>
          <w:bCs/>
          <w:noProof/>
          <w:color w:val="000000"/>
          <w:szCs w:val="24"/>
        </w:rPr>
      </w:pPr>
      <w:bookmarkStart w:id="44" w:name="_Toc62197140"/>
      <w:bookmarkStart w:id="45" w:name="_Toc62552711"/>
      <w:bookmarkStart w:id="46" w:name="_Toc62813710"/>
      <w:r>
        <w:rPr>
          <w:rFonts w:eastAsia="Times New Roman" w:cs="Times New Roman"/>
          <w:b/>
          <w:bCs/>
          <w:noProof/>
          <w:color w:val="000000"/>
          <w:szCs w:val="24"/>
        </w:rPr>
        <w:t xml:space="preserve">             </w:t>
      </w:r>
      <w:r w:rsidRPr="00B00BF5">
        <w:rPr>
          <w:rFonts w:eastAsia="Times New Roman" w:cs="Times New Roman"/>
          <w:b/>
          <w:bCs/>
          <w:noProof/>
          <w:color w:val="000000"/>
          <w:szCs w:val="24"/>
        </w:rPr>
        <w:t>Organizacija i sistematizacija Uprave carina</w:t>
      </w:r>
      <w:bookmarkEnd w:id="44"/>
      <w:bookmarkEnd w:id="45"/>
      <w:bookmarkEnd w:id="46"/>
    </w:p>
    <w:p w:rsidR="00B00BF5" w:rsidRPr="00B00BF5" w:rsidRDefault="00B00BF5" w:rsidP="00B00BF5">
      <w:pPr>
        <w:spacing w:before="0" w:after="0" w:line="240" w:lineRule="auto"/>
        <w:ind w:firstLine="708"/>
        <w:rPr>
          <w:rFonts w:eastAsia="Calibri" w:cs="Times New Roman"/>
          <w:szCs w:val="24"/>
          <w:lang w:val="en-US"/>
        </w:rPr>
      </w:pPr>
      <w:r w:rsidRPr="00B00BF5">
        <w:rPr>
          <w:rFonts w:eastAsia="Calibri" w:cs="Times New Roman"/>
          <w:szCs w:val="24"/>
          <w:lang w:val="en-US"/>
        </w:rPr>
        <w:t>Uprava carina je organizovana u okviru tri nivoa u odnosu na djelokrug i složenost poslova, koje čine centralni (1 Uprava), regionalni (4 PJ Carinarnice) i lokalni (34 Carinske ispostave). Ovim modelom organizacije ostvareno je funkcionalno, horizontalno i vertikalno povezivanje organizacionih jedinica, kako bi se optimalno i ekonomično ispunjavali zadaci.</w:t>
      </w:r>
    </w:p>
    <w:p w:rsidR="00B00BF5" w:rsidRPr="00B00BF5" w:rsidRDefault="00B00BF5" w:rsidP="00B00BF5">
      <w:pPr>
        <w:keepNext/>
        <w:keepLines/>
        <w:tabs>
          <w:tab w:val="left" w:pos="4962"/>
        </w:tabs>
        <w:spacing w:after="0" w:line="240" w:lineRule="auto"/>
        <w:jc w:val="left"/>
        <w:outlineLvl w:val="2"/>
        <w:rPr>
          <w:rFonts w:eastAsia="Times New Roman" w:cs="Times New Roman"/>
          <w:b/>
          <w:bCs/>
          <w:noProof/>
          <w:color w:val="000000"/>
          <w:szCs w:val="24"/>
        </w:rPr>
      </w:pPr>
      <w:r>
        <w:rPr>
          <w:rFonts w:eastAsia="Calibri" w:cs="Arial"/>
          <w:b/>
          <w:szCs w:val="24"/>
          <w:lang w:val="it-IT"/>
        </w:rPr>
        <w:t xml:space="preserve">             </w:t>
      </w:r>
      <w:r w:rsidRPr="00B00BF5">
        <w:rPr>
          <w:rFonts w:eastAsia="Times New Roman" w:cs="Times New Roman"/>
          <w:b/>
          <w:bCs/>
          <w:noProof/>
          <w:color w:val="000000"/>
          <w:szCs w:val="24"/>
        </w:rPr>
        <w:t>Zaposleni</w:t>
      </w:r>
    </w:p>
    <w:p w:rsidR="00B00BF5" w:rsidRPr="00B00BF5" w:rsidRDefault="00B00BF5" w:rsidP="00B00BF5">
      <w:pPr>
        <w:spacing w:before="0" w:after="0" w:line="240" w:lineRule="auto"/>
        <w:ind w:firstLine="708"/>
        <w:rPr>
          <w:rFonts w:eastAsia="Times New Roman" w:cs="Times New Roman"/>
          <w:szCs w:val="24"/>
          <w:lang w:val="en-US"/>
        </w:rPr>
      </w:pPr>
      <w:r w:rsidRPr="00B00BF5">
        <w:rPr>
          <w:rFonts w:eastAsia="Times New Roman" w:cs="Times New Roman"/>
          <w:szCs w:val="24"/>
          <w:lang w:val="en-US"/>
        </w:rPr>
        <w:t xml:space="preserve">U radnom odnosu u Upravi carina je 518 zaposlenih. </w:t>
      </w:r>
      <w:r w:rsidRPr="00B00BF5">
        <w:rPr>
          <w:rFonts w:eastAsia="Calibri" w:cs="Times New Roman"/>
          <w:szCs w:val="24"/>
          <w:lang w:val="sl-SI"/>
        </w:rPr>
        <w:t>Usvojen je Kadrovski plan za 2020.godinu, u cilju upravljanja kadrovima, odnosno planiranja broja zaposlenih, promjena u kadrovskoj strukturi i drugih strateških pitanja upravljanja kadrovima u skladu sa budžetskim i strateškim planiranjem rada Vlade.</w:t>
      </w:r>
    </w:p>
    <w:p w:rsidR="00B00BF5" w:rsidRPr="00B00BF5" w:rsidRDefault="00B00BF5" w:rsidP="00B00BF5">
      <w:pPr>
        <w:spacing w:before="0" w:after="0" w:line="240" w:lineRule="auto"/>
        <w:ind w:firstLine="708"/>
        <w:rPr>
          <w:rFonts w:eastAsia="Calibri" w:cs="Times New Roman"/>
          <w:i/>
          <w:color w:val="4F81BD"/>
          <w:szCs w:val="24"/>
          <w:lang w:val="sl-SI"/>
        </w:rPr>
      </w:pPr>
      <w:r w:rsidRPr="00B00BF5">
        <w:rPr>
          <w:rFonts w:eastAsia="Calibri" w:cs="Times New Roman"/>
          <w:b/>
          <w:szCs w:val="24"/>
          <w:lang w:val="sl-SI"/>
        </w:rPr>
        <w:t>Periodična promjena mjesta rada po programu i privremeni raspored</w:t>
      </w:r>
    </w:p>
    <w:p w:rsidR="00B00BF5" w:rsidRPr="00B00BF5" w:rsidRDefault="00B00BF5" w:rsidP="00B00BF5">
      <w:pPr>
        <w:spacing w:before="0" w:after="0" w:line="240" w:lineRule="auto"/>
        <w:jc w:val="left"/>
        <w:rPr>
          <w:rFonts w:eastAsia="Calibri" w:cs="Times New Roman"/>
          <w:szCs w:val="24"/>
          <w:lang w:val="en-US"/>
        </w:rPr>
      </w:pPr>
      <w:r w:rsidRPr="00B00BF5">
        <w:rPr>
          <w:rFonts w:eastAsia="Calibri" w:cs="Times New Roman"/>
          <w:szCs w:val="24"/>
          <w:lang w:val="en-US"/>
        </w:rPr>
        <w:t xml:space="preserve">Periodična promjena mjesta rada:   </w:t>
      </w:r>
    </w:p>
    <w:p w:rsidR="00B00BF5" w:rsidRPr="00B00BF5" w:rsidRDefault="00B00BF5" w:rsidP="00146EBE">
      <w:pPr>
        <w:numPr>
          <w:ilvl w:val="0"/>
          <w:numId w:val="54"/>
        </w:numPr>
        <w:spacing w:before="0" w:after="0" w:line="240" w:lineRule="auto"/>
        <w:jc w:val="left"/>
        <w:rPr>
          <w:rFonts w:eastAsia="Calibri" w:cs="Times New Roman"/>
          <w:szCs w:val="24"/>
          <w:lang w:val="en-US"/>
        </w:rPr>
      </w:pPr>
      <w:r w:rsidRPr="00B00BF5">
        <w:rPr>
          <w:rFonts w:eastAsia="Calibri" w:cs="Times New Roman"/>
          <w:szCs w:val="24"/>
          <w:lang w:val="en-US"/>
        </w:rPr>
        <w:t xml:space="preserve">u okviru PJ Carinarnice Podgorica–za 218 službenika; </w:t>
      </w:r>
    </w:p>
    <w:p w:rsidR="00B00BF5" w:rsidRPr="00B00BF5" w:rsidRDefault="00B00BF5" w:rsidP="00146EBE">
      <w:pPr>
        <w:numPr>
          <w:ilvl w:val="0"/>
          <w:numId w:val="54"/>
        </w:numPr>
        <w:spacing w:before="0" w:after="0" w:line="240" w:lineRule="auto"/>
        <w:jc w:val="left"/>
        <w:rPr>
          <w:rFonts w:eastAsia="Calibri" w:cs="Times New Roman"/>
          <w:szCs w:val="24"/>
          <w:lang w:val="en-US"/>
        </w:rPr>
      </w:pPr>
      <w:r w:rsidRPr="00B00BF5">
        <w:rPr>
          <w:rFonts w:eastAsia="Calibri" w:cs="Times New Roman"/>
          <w:szCs w:val="24"/>
          <w:lang w:val="en-US"/>
        </w:rPr>
        <w:t xml:space="preserve">u okviru PJ Carinarnice Bar–za 31 službenika;                              </w:t>
      </w:r>
    </w:p>
    <w:p w:rsidR="00B00BF5" w:rsidRPr="00B00BF5" w:rsidRDefault="00B00BF5" w:rsidP="00146EBE">
      <w:pPr>
        <w:numPr>
          <w:ilvl w:val="0"/>
          <w:numId w:val="54"/>
        </w:numPr>
        <w:spacing w:before="0" w:after="0" w:line="240" w:lineRule="auto"/>
        <w:jc w:val="left"/>
        <w:rPr>
          <w:rFonts w:eastAsia="Calibri" w:cs="Times New Roman"/>
          <w:szCs w:val="24"/>
          <w:lang w:val="en-US"/>
        </w:rPr>
      </w:pPr>
      <w:r w:rsidRPr="00B00BF5">
        <w:rPr>
          <w:rFonts w:eastAsia="Calibri" w:cs="Times New Roman"/>
          <w:szCs w:val="24"/>
          <w:lang w:val="en-US"/>
        </w:rPr>
        <w:t>u o</w:t>
      </w:r>
      <w:r>
        <w:rPr>
          <w:rFonts w:eastAsia="Calibri" w:cs="Times New Roman"/>
          <w:szCs w:val="24"/>
          <w:lang w:val="en-US"/>
        </w:rPr>
        <w:t xml:space="preserve">kviru PJ Carinarnice Kotor–  za 103 </w:t>
      </w:r>
      <w:r w:rsidRPr="00B00BF5">
        <w:rPr>
          <w:rFonts w:eastAsia="Calibri" w:cs="Times New Roman"/>
          <w:szCs w:val="24"/>
          <w:lang w:val="en-US"/>
        </w:rPr>
        <w:t xml:space="preserve">službenika;    </w:t>
      </w:r>
    </w:p>
    <w:p w:rsidR="00B00BF5" w:rsidRPr="00B00BF5" w:rsidRDefault="00B00BF5" w:rsidP="00146EBE">
      <w:pPr>
        <w:numPr>
          <w:ilvl w:val="0"/>
          <w:numId w:val="54"/>
        </w:numPr>
        <w:spacing w:before="0" w:after="0" w:line="240" w:lineRule="auto"/>
        <w:jc w:val="left"/>
        <w:rPr>
          <w:rFonts w:eastAsia="Calibri" w:cs="Times New Roman"/>
          <w:szCs w:val="24"/>
          <w:lang w:val="en-US"/>
        </w:rPr>
      </w:pPr>
      <w:r w:rsidRPr="00B00BF5">
        <w:rPr>
          <w:rFonts w:eastAsia="Calibri" w:cs="Times New Roman"/>
          <w:szCs w:val="24"/>
          <w:lang w:val="en-US"/>
        </w:rPr>
        <w:t>u okviru PJ Carinarnice Bijelo Polje -  za 99 službenika.</w:t>
      </w:r>
    </w:p>
    <w:p w:rsidR="00B00BF5" w:rsidRPr="00B00BF5" w:rsidRDefault="00B00BF5" w:rsidP="00B00BF5">
      <w:pPr>
        <w:spacing w:before="0" w:after="0" w:line="240" w:lineRule="auto"/>
        <w:jc w:val="left"/>
        <w:rPr>
          <w:rFonts w:eastAsia="Calibri" w:cs="Times New Roman"/>
          <w:i/>
          <w:szCs w:val="24"/>
          <w:lang w:val="en-US"/>
        </w:rPr>
      </w:pPr>
      <w:r w:rsidRPr="00B00BF5">
        <w:rPr>
          <w:rFonts w:eastAsia="Calibri" w:cs="Times New Roman"/>
          <w:szCs w:val="24"/>
          <w:lang w:val="en-US"/>
        </w:rPr>
        <w:t>Privremeni raspored</w:t>
      </w:r>
      <w:r w:rsidRPr="00B00BF5">
        <w:rPr>
          <w:rFonts w:eastAsia="Calibri" w:cs="Times New Roman"/>
          <w:i/>
          <w:szCs w:val="24"/>
          <w:lang w:val="en-US"/>
        </w:rPr>
        <w:t xml:space="preserve">:   </w:t>
      </w:r>
    </w:p>
    <w:p w:rsidR="00B00BF5" w:rsidRPr="00B00BF5" w:rsidRDefault="00B00BF5" w:rsidP="00146EBE">
      <w:pPr>
        <w:numPr>
          <w:ilvl w:val="0"/>
          <w:numId w:val="55"/>
        </w:numPr>
        <w:spacing w:before="0" w:after="0" w:line="240" w:lineRule="auto"/>
        <w:jc w:val="left"/>
        <w:rPr>
          <w:rFonts w:eastAsia="Calibri" w:cs="Times New Roman"/>
          <w:szCs w:val="24"/>
          <w:lang w:val="en-US"/>
        </w:rPr>
      </w:pPr>
      <w:r w:rsidRPr="00B00BF5">
        <w:rPr>
          <w:rFonts w:eastAsia="Calibri" w:cs="Times New Roman"/>
          <w:szCs w:val="24"/>
          <w:lang w:val="en-US"/>
        </w:rPr>
        <w:t>u okviru PJ Carinarnice Podgorica–za 11 službenika;</w:t>
      </w:r>
    </w:p>
    <w:p w:rsidR="00B00BF5" w:rsidRPr="00B00BF5" w:rsidRDefault="00B00BF5" w:rsidP="00146EBE">
      <w:pPr>
        <w:numPr>
          <w:ilvl w:val="0"/>
          <w:numId w:val="55"/>
        </w:numPr>
        <w:spacing w:before="0" w:after="0" w:line="240" w:lineRule="auto"/>
        <w:jc w:val="left"/>
        <w:rPr>
          <w:rFonts w:eastAsia="Calibri" w:cs="Times New Roman"/>
          <w:szCs w:val="24"/>
          <w:lang w:val="en-US"/>
        </w:rPr>
      </w:pPr>
      <w:r w:rsidRPr="00B00BF5">
        <w:rPr>
          <w:rFonts w:eastAsia="Calibri" w:cs="Times New Roman"/>
          <w:szCs w:val="24"/>
          <w:lang w:val="en-US"/>
        </w:rPr>
        <w:t>u okviru PJ Carinarnice Bar–za 6 službenika</w:t>
      </w:r>
    </w:p>
    <w:p w:rsidR="00B00BF5" w:rsidRPr="00B00BF5" w:rsidRDefault="00B00BF5" w:rsidP="00146EBE">
      <w:pPr>
        <w:numPr>
          <w:ilvl w:val="0"/>
          <w:numId w:val="55"/>
        </w:numPr>
        <w:spacing w:before="0" w:after="0" w:line="240" w:lineRule="auto"/>
        <w:jc w:val="left"/>
        <w:rPr>
          <w:rFonts w:eastAsia="Calibri" w:cs="Times New Roman"/>
          <w:szCs w:val="24"/>
          <w:lang w:val="en-US"/>
        </w:rPr>
      </w:pPr>
      <w:r w:rsidRPr="00B00BF5">
        <w:rPr>
          <w:rFonts w:eastAsia="Calibri" w:cs="Times New Roman"/>
          <w:szCs w:val="24"/>
          <w:lang w:val="en-US"/>
        </w:rPr>
        <w:t>u okviru PJ Carinarnice Bijelo Polje–za 3 službenika.</w:t>
      </w:r>
    </w:p>
    <w:p w:rsidR="00B00BF5" w:rsidRPr="00B00BF5" w:rsidRDefault="00B00BF5" w:rsidP="00B00BF5">
      <w:pPr>
        <w:spacing w:before="0" w:after="0" w:line="240" w:lineRule="auto"/>
        <w:jc w:val="left"/>
        <w:rPr>
          <w:rFonts w:eastAsia="Calibri" w:cs="Times New Roman"/>
          <w:i/>
          <w:szCs w:val="24"/>
          <w:lang w:val="en-GB"/>
        </w:rPr>
      </w:pPr>
      <w:r w:rsidRPr="00B00BF5">
        <w:rPr>
          <w:rFonts w:eastAsia="Calibri" w:cs="Times New Roman"/>
          <w:szCs w:val="24"/>
          <w:lang w:val="en-US"/>
        </w:rPr>
        <w:t>Koordinacija poslova</w:t>
      </w:r>
      <w:r w:rsidRPr="00B00BF5">
        <w:rPr>
          <w:rFonts w:eastAsia="Calibri" w:cs="Times New Roman"/>
          <w:i/>
          <w:szCs w:val="24"/>
          <w:lang w:val="en-GB"/>
        </w:rPr>
        <w:t>:</w:t>
      </w:r>
    </w:p>
    <w:p w:rsidR="00B00BF5" w:rsidRPr="00B00BF5" w:rsidRDefault="00B00BF5" w:rsidP="00146EBE">
      <w:pPr>
        <w:numPr>
          <w:ilvl w:val="0"/>
          <w:numId w:val="56"/>
        </w:numPr>
        <w:spacing w:before="0" w:after="0" w:line="240" w:lineRule="auto"/>
        <w:jc w:val="left"/>
        <w:rPr>
          <w:rFonts w:eastAsia="Calibri" w:cs="Times New Roman"/>
          <w:szCs w:val="24"/>
          <w:lang w:val="en-US"/>
        </w:rPr>
      </w:pPr>
      <w:r w:rsidRPr="00B00BF5">
        <w:rPr>
          <w:rFonts w:eastAsia="Calibri" w:cs="Times New Roman"/>
          <w:szCs w:val="24"/>
          <w:lang w:val="en-US"/>
        </w:rPr>
        <w:t>u okviru PJ Carinarnice Podgorica–za 6 službenika;</w:t>
      </w:r>
    </w:p>
    <w:p w:rsidR="00B00BF5" w:rsidRPr="00B00BF5" w:rsidRDefault="00B00BF5" w:rsidP="00146EBE">
      <w:pPr>
        <w:numPr>
          <w:ilvl w:val="0"/>
          <w:numId w:val="56"/>
        </w:numPr>
        <w:spacing w:before="0" w:after="0" w:line="240" w:lineRule="auto"/>
        <w:jc w:val="left"/>
        <w:rPr>
          <w:rFonts w:eastAsia="Calibri" w:cs="Times New Roman"/>
          <w:szCs w:val="24"/>
          <w:lang w:val="en-US"/>
        </w:rPr>
      </w:pPr>
      <w:r w:rsidRPr="00B00BF5">
        <w:rPr>
          <w:rFonts w:eastAsia="Calibri" w:cs="Times New Roman"/>
          <w:szCs w:val="24"/>
          <w:lang w:val="en-US"/>
        </w:rPr>
        <w:t>u okviru PJ Carinarnice Bijelo Polje–za 3 službenika;</w:t>
      </w:r>
    </w:p>
    <w:p w:rsidR="00B00BF5" w:rsidRPr="00B00BF5" w:rsidRDefault="00B00BF5" w:rsidP="00B00BF5">
      <w:pPr>
        <w:spacing w:before="0" w:after="0" w:line="240" w:lineRule="auto"/>
        <w:jc w:val="left"/>
        <w:rPr>
          <w:rFonts w:eastAsia="Calibri" w:cs="Times New Roman"/>
          <w:i/>
          <w:szCs w:val="24"/>
          <w:lang w:val="en-US"/>
        </w:rPr>
      </w:pPr>
      <w:r w:rsidRPr="00B00BF5">
        <w:rPr>
          <w:rFonts w:eastAsia="Calibri" w:cs="Times New Roman"/>
          <w:i/>
          <w:szCs w:val="24"/>
          <w:lang w:val="en-US"/>
        </w:rPr>
        <w:t>Popunjavanje radnih mjesta</w:t>
      </w:r>
    </w:p>
    <w:p w:rsidR="00B00BF5" w:rsidRPr="00B00BF5" w:rsidRDefault="00B00BF5" w:rsidP="00B00BF5">
      <w:pPr>
        <w:spacing w:before="0" w:after="0" w:line="240" w:lineRule="auto"/>
        <w:rPr>
          <w:rFonts w:eastAsia="Calibri" w:cs="Times New Roman"/>
          <w:szCs w:val="24"/>
          <w:lang w:val="sl-SI"/>
        </w:rPr>
      </w:pPr>
      <w:r w:rsidRPr="00B00BF5">
        <w:rPr>
          <w:rFonts w:eastAsia="Calibri" w:cs="Times New Roman"/>
          <w:szCs w:val="24"/>
          <w:lang w:val="sl-SI"/>
        </w:rPr>
        <w:t>U izvještajnom periodu  primljeni su:</w:t>
      </w:r>
    </w:p>
    <w:p w:rsidR="00B00BF5" w:rsidRPr="00B00BF5" w:rsidRDefault="00B00BF5" w:rsidP="00146EBE">
      <w:pPr>
        <w:numPr>
          <w:ilvl w:val="0"/>
          <w:numId w:val="57"/>
        </w:numPr>
        <w:spacing w:before="0" w:after="0" w:line="240" w:lineRule="auto"/>
        <w:rPr>
          <w:rFonts w:eastAsia="Calibri" w:cs="Times New Roman"/>
          <w:szCs w:val="24"/>
          <w:lang w:val="sl-SI"/>
        </w:rPr>
      </w:pPr>
      <w:r w:rsidRPr="00B00BF5">
        <w:rPr>
          <w:rFonts w:eastAsia="Calibri" w:cs="Times New Roman"/>
          <w:szCs w:val="24"/>
          <w:lang w:val="sl-SI"/>
        </w:rPr>
        <w:t xml:space="preserve">1 službenik u Odsjeku za analizu rizika i obavještajni rad,   1 službenica u Službi za finansijsko računovodstvene poslove i javne nabavke, </w:t>
      </w:r>
    </w:p>
    <w:p w:rsidR="00B00BF5" w:rsidRPr="00B00BF5" w:rsidRDefault="00B00BF5" w:rsidP="00146EBE">
      <w:pPr>
        <w:numPr>
          <w:ilvl w:val="0"/>
          <w:numId w:val="57"/>
        </w:numPr>
        <w:spacing w:before="0" w:after="0" w:line="240" w:lineRule="auto"/>
        <w:rPr>
          <w:rFonts w:eastAsia="Calibri" w:cs="Times New Roman"/>
          <w:szCs w:val="24"/>
          <w:lang w:val="sl-SI"/>
        </w:rPr>
      </w:pPr>
      <w:r w:rsidRPr="00B00BF5">
        <w:rPr>
          <w:rFonts w:eastAsia="Calibri" w:cs="Times New Roman"/>
          <w:szCs w:val="24"/>
          <w:lang w:val="sl-SI"/>
        </w:rPr>
        <w:t xml:space="preserve">1 službenica u CI Sukobin, PJ Ca Bar, </w:t>
      </w:r>
    </w:p>
    <w:p w:rsidR="00B00BF5" w:rsidRPr="00B00BF5" w:rsidRDefault="00B00BF5" w:rsidP="00146EBE">
      <w:pPr>
        <w:numPr>
          <w:ilvl w:val="0"/>
          <w:numId w:val="57"/>
        </w:numPr>
        <w:spacing w:before="0" w:after="0" w:line="240" w:lineRule="auto"/>
        <w:rPr>
          <w:rFonts w:eastAsia="Calibri" w:cs="Times New Roman"/>
          <w:szCs w:val="24"/>
          <w:lang w:val="sl-SI"/>
        </w:rPr>
      </w:pPr>
      <w:r w:rsidRPr="00B00BF5">
        <w:rPr>
          <w:rFonts w:eastAsia="Calibri" w:cs="Times New Roman"/>
          <w:szCs w:val="24"/>
          <w:lang w:val="sl-SI"/>
        </w:rPr>
        <w:t xml:space="preserve">1 službenica u Odsjeku za planiranje i upravljanje ljudskim resursima, </w:t>
      </w:r>
    </w:p>
    <w:p w:rsidR="00B00BF5" w:rsidRPr="00B00BF5" w:rsidRDefault="00B00BF5" w:rsidP="00146EBE">
      <w:pPr>
        <w:numPr>
          <w:ilvl w:val="0"/>
          <w:numId w:val="57"/>
        </w:numPr>
        <w:spacing w:before="0" w:after="0" w:line="240" w:lineRule="auto"/>
        <w:rPr>
          <w:rFonts w:eastAsia="Calibri" w:cs="Times New Roman"/>
          <w:szCs w:val="24"/>
          <w:lang w:val="sl-SI"/>
        </w:rPr>
      </w:pPr>
      <w:r w:rsidRPr="00B00BF5">
        <w:rPr>
          <w:rFonts w:eastAsia="Calibri" w:cs="Times New Roman"/>
          <w:szCs w:val="24"/>
          <w:lang w:val="sl-SI"/>
        </w:rPr>
        <w:lastRenderedPageBreak/>
        <w:t>1 službenik u CF Grnčar, PJ Ca Bijelo Polje</w:t>
      </w:r>
    </w:p>
    <w:p w:rsidR="00B00BF5" w:rsidRPr="00B00BF5" w:rsidRDefault="00B00BF5" w:rsidP="00146EBE">
      <w:pPr>
        <w:numPr>
          <w:ilvl w:val="0"/>
          <w:numId w:val="57"/>
        </w:numPr>
        <w:spacing w:before="0" w:after="0" w:line="240" w:lineRule="auto"/>
        <w:rPr>
          <w:rFonts w:eastAsia="Calibri" w:cs="Times New Roman"/>
          <w:szCs w:val="24"/>
          <w:lang w:val="sl-SI"/>
        </w:rPr>
      </w:pPr>
      <w:r w:rsidRPr="00B00BF5">
        <w:rPr>
          <w:rFonts w:eastAsia="Calibri" w:cs="Times New Roman"/>
          <w:szCs w:val="24"/>
          <w:lang w:val="sl-SI"/>
        </w:rPr>
        <w:t xml:space="preserve">1 službenik u CF Bijela, CI Zelenika, PJ Ca Kotor, </w:t>
      </w:r>
    </w:p>
    <w:p w:rsidR="00B00BF5" w:rsidRPr="00B00BF5" w:rsidRDefault="00B00BF5" w:rsidP="00146EBE">
      <w:pPr>
        <w:numPr>
          <w:ilvl w:val="0"/>
          <w:numId w:val="57"/>
        </w:numPr>
        <w:spacing w:before="0" w:after="0" w:line="240" w:lineRule="auto"/>
        <w:rPr>
          <w:rFonts w:eastAsia="Calibri" w:cs="Times New Roman"/>
          <w:szCs w:val="24"/>
          <w:lang w:val="en-US"/>
        </w:rPr>
      </w:pPr>
      <w:r w:rsidRPr="00B00BF5">
        <w:rPr>
          <w:rFonts w:eastAsia="Calibri" w:cs="Times New Roman"/>
          <w:szCs w:val="24"/>
          <w:lang w:val="en-US"/>
        </w:rPr>
        <w:t>1 službenik u Službi za opšte poslove</w:t>
      </w:r>
    </w:p>
    <w:p w:rsidR="00B00BF5" w:rsidRPr="00B00BF5" w:rsidRDefault="00B00BF5" w:rsidP="00146EBE">
      <w:pPr>
        <w:numPr>
          <w:ilvl w:val="0"/>
          <w:numId w:val="57"/>
        </w:numPr>
        <w:spacing w:before="0" w:after="0" w:line="240" w:lineRule="auto"/>
        <w:rPr>
          <w:rFonts w:eastAsia="Calibri" w:cs="Times New Roman"/>
          <w:szCs w:val="24"/>
          <w:lang w:val="en-US"/>
        </w:rPr>
      </w:pPr>
      <w:r w:rsidRPr="00B00BF5">
        <w:rPr>
          <w:rFonts w:eastAsia="Calibri" w:cs="Times New Roman"/>
          <w:szCs w:val="24"/>
          <w:lang w:val="en-US"/>
        </w:rPr>
        <w:t>1 službenik u Odjeljenju za naplatu prihoda</w:t>
      </w:r>
    </w:p>
    <w:p w:rsidR="00B00BF5" w:rsidRPr="00B00BF5" w:rsidRDefault="00B00BF5" w:rsidP="00146EBE">
      <w:pPr>
        <w:numPr>
          <w:ilvl w:val="0"/>
          <w:numId w:val="57"/>
        </w:numPr>
        <w:spacing w:before="0" w:after="0" w:line="240" w:lineRule="auto"/>
        <w:rPr>
          <w:rFonts w:eastAsia="Calibri" w:cs="Times New Roman"/>
          <w:szCs w:val="24"/>
          <w:lang w:val="sl-SI"/>
        </w:rPr>
      </w:pPr>
      <w:r w:rsidRPr="00B00BF5">
        <w:rPr>
          <w:rFonts w:eastAsia="Calibri" w:cs="Times New Roman"/>
          <w:szCs w:val="24"/>
          <w:lang w:val="sl-SI"/>
        </w:rPr>
        <w:t xml:space="preserve">2 pripravnika sa srednjom stručnom spremom, na određeno vrijeme u trajanju od 12 mjeseci i </w:t>
      </w:r>
    </w:p>
    <w:p w:rsidR="00B00BF5" w:rsidRPr="00B00BF5" w:rsidRDefault="00B00BF5" w:rsidP="00146EBE">
      <w:pPr>
        <w:numPr>
          <w:ilvl w:val="0"/>
          <w:numId w:val="57"/>
        </w:numPr>
        <w:spacing w:before="0" w:after="0" w:line="240" w:lineRule="auto"/>
        <w:rPr>
          <w:rFonts w:eastAsia="Calibri" w:cs="Times New Roman"/>
          <w:szCs w:val="24"/>
          <w:lang w:val="sl-SI"/>
        </w:rPr>
      </w:pPr>
      <w:r w:rsidRPr="00B00BF5">
        <w:rPr>
          <w:rFonts w:eastAsia="Calibri" w:cs="Times New Roman"/>
          <w:szCs w:val="24"/>
          <w:lang w:val="sl-SI"/>
        </w:rPr>
        <w:t>6 pripravnika sa visokom stručnom spremom, na određeno vrijeme u trajanju od 12 mjeseci.</w:t>
      </w:r>
    </w:p>
    <w:p w:rsidR="00B00BF5" w:rsidRPr="00B00BF5" w:rsidRDefault="00B00BF5" w:rsidP="00B00BF5">
      <w:pPr>
        <w:spacing w:before="0" w:after="0" w:line="240" w:lineRule="auto"/>
        <w:ind w:firstLine="360"/>
        <w:rPr>
          <w:rFonts w:eastAsia="Calibri" w:cs="Times New Roman"/>
          <w:szCs w:val="24"/>
          <w:lang w:val="sl-SI"/>
        </w:rPr>
      </w:pPr>
      <w:r w:rsidRPr="00B00BF5">
        <w:rPr>
          <w:rFonts w:eastAsia="Calibri" w:cs="Times New Roman"/>
          <w:szCs w:val="24"/>
          <w:lang w:val="sl-SI"/>
        </w:rPr>
        <w:t>Angažovano je 26 izvršilaca posla, po osnovu ugovora o djelu i zaključen je 1 ugovor o volonterskom radu. Takođe, preko programa »Stop sivoj ekonomiji« u ovom organu  angažovano je 14 učesnika, sa visokim obrazovanjem, na period od 7 mjeseci.</w:t>
      </w:r>
    </w:p>
    <w:p w:rsidR="00B00BF5" w:rsidRPr="00B00BF5" w:rsidRDefault="00B00BF5" w:rsidP="00B00BF5">
      <w:pPr>
        <w:spacing w:before="0" w:after="0" w:line="240" w:lineRule="auto"/>
        <w:rPr>
          <w:rFonts w:eastAsia="Calibri" w:cs="Times New Roman"/>
          <w:i/>
          <w:szCs w:val="24"/>
          <w:lang w:val="en-US"/>
        </w:rPr>
      </w:pPr>
      <w:r w:rsidRPr="00B00BF5">
        <w:rPr>
          <w:rFonts w:eastAsia="Calibri" w:cs="Times New Roman"/>
          <w:i/>
          <w:szCs w:val="24"/>
          <w:lang w:val="en-US"/>
        </w:rPr>
        <w:t>Prestanak radnog odnosa</w:t>
      </w:r>
    </w:p>
    <w:p w:rsidR="00B00BF5" w:rsidRPr="00B00BF5" w:rsidRDefault="00B00BF5" w:rsidP="00B00BF5">
      <w:pPr>
        <w:spacing w:before="0" w:after="0" w:line="240" w:lineRule="auto"/>
        <w:rPr>
          <w:rFonts w:eastAsia="Calibri" w:cs="Times New Roman"/>
          <w:szCs w:val="24"/>
          <w:lang w:val="en-US"/>
        </w:rPr>
      </w:pPr>
      <w:r w:rsidRPr="00B00BF5">
        <w:rPr>
          <w:rFonts w:eastAsia="Calibri" w:cs="Times New Roman"/>
          <w:szCs w:val="24"/>
          <w:lang w:val="en-US"/>
        </w:rPr>
        <w:t>Prestao je radni odnos za 10 službenika i to:</w:t>
      </w:r>
    </w:p>
    <w:p w:rsidR="00B00BF5" w:rsidRPr="00B00BF5" w:rsidRDefault="00B00BF5" w:rsidP="00146EBE">
      <w:pPr>
        <w:numPr>
          <w:ilvl w:val="0"/>
          <w:numId w:val="58"/>
        </w:numPr>
        <w:spacing w:before="0" w:after="0" w:line="240" w:lineRule="auto"/>
        <w:jc w:val="left"/>
        <w:rPr>
          <w:rFonts w:eastAsia="Calibri" w:cs="Times New Roman"/>
          <w:szCs w:val="24"/>
          <w:lang w:val="en-US"/>
        </w:rPr>
      </w:pPr>
      <w:r w:rsidRPr="00B00BF5">
        <w:rPr>
          <w:rFonts w:eastAsia="Calibri" w:cs="Times New Roman"/>
          <w:szCs w:val="24"/>
          <w:lang w:val="en-US"/>
        </w:rPr>
        <w:t>za 2 službenika po sili zakona- zbog navršenih 67 godina života i najmanje 15 god.staža osiguranja</w:t>
      </w:r>
    </w:p>
    <w:p w:rsidR="00B00BF5" w:rsidRPr="00B00BF5" w:rsidRDefault="00745D02" w:rsidP="00146EBE">
      <w:pPr>
        <w:numPr>
          <w:ilvl w:val="0"/>
          <w:numId w:val="58"/>
        </w:numPr>
        <w:spacing w:before="0" w:after="0" w:line="240" w:lineRule="auto"/>
        <w:jc w:val="left"/>
        <w:rPr>
          <w:rFonts w:eastAsia="Calibri" w:cs="Times New Roman"/>
          <w:szCs w:val="24"/>
          <w:lang w:val="en-US"/>
        </w:rPr>
      </w:pPr>
      <w:r>
        <w:rPr>
          <w:rFonts w:eastAsia="Calibri" w:cs="Times New Roman"/>
          <w:szCs w:val="24"/>
          <w:lang w:val="en-US"/>
        </w:rPr>
        <w:t>za 2 službenika</w:t>
      </w:r>
      <w:r w:rsidR="00B00BF5" w:rsidRPr="00B00BF5">
        <w:rPr>
          <w:rFonts w:eastAsia="Calibri" w:cs="Times New Roman"/>
          <w:szCs w:val="24"/>
          <w:lang w:val="en-US"/>
        </w:rPr>
        <w:t xml:space="preserve"> po sili zakona- usljed smrti</w:t>
      </w:r>
    </w:p>
    <w:p w:rsidR="00B00BF5" w:rsidRPr="00B00BF5" w:rsidRDefault="00B00BF5" w:rsidP="00146EBE">
      <w:pPr>
        <w:numPr>
          <w:ilvl w:val="0"/>
          <w:numId w:val="58"/>
        </w:numPr>
        <w:spacing w:before="0" w:after="0" w:line="240" w:lineRule="auto"/>
        <w:jc w:val="left"/>
        <w:rPr>
          <w:rFonts w:eastAsia="Calibri" w:cs="Times New Roman"/>
          <w:szCs w:val="24"/>
          <w:lang w:val="en-US"/>
        </w:rPr>
      </w:pPr>
      <w:r w:rsidRPr="00B00BF5">
        <w:rPr>
          <w:rFonts w:eastAsia="Calibri" w:cs="Times New Roman"/>
          <w:szCs w:val="24"/>
          <w:lang w:val="en-US"/>
        </w:rPr>
        <w:t>za 2 službenika po osnovu sporazuma o prestanku radnog odnosa</w:t>
      </w:r>
    </w:p>
    <w:p w:rsidR="00B00BF5" w:rsidRPr="00B00BF5" w:rsidRDefault="00B00BF5" w:rsidP="00146EBE">
      <w:pPr>
        <w:numPr>
          <w:ilvl w:val="0"/>
          <w:numId w:val="58"/>
        </w:numPr>
        <w:spacing w:before="0" w:after="0" w:line="240" w:lineRule="auto"/>
        <w:jc w:val="left"/>
        <w:rPr>
          <w:rFonts w:eastAsia="Calibri" w:cs="Times New Roman"/>
          <w:szCs w:val="24"/>
          <w:lang w:val="en-US"/>
        </w:rPr>
      </w:pPr>
      <w:r w:rsidRPr="00B00BF5">
        <w:rPr>
          <w:rFonts w:eastAsia="Calibri" w:cs="Times New Roman"/>
          <w:szCs w:val="24"/>
          <w:lang w:val="en-US"/>
        </w:rPr>
        <w:t>za 3 službenice po osnovu sporazuma o prestanku radnog odnosa, uz isplatu otpremnine</w:t>
      </w:r>
    </w:p>
    <w:p w:rsidR="00B00BF5" w:rsidRPr="00B00BF5" w:rsidRDefault="00B00BF5" w:rsidP="00146EBE">
      <w:pPr>
        <w:numPr>
          <w:ilvl w:val="0"/>
          <w:numId w:val="58"/>
        </w:numPr>
        <w:spacing w:before="0" w:after="0" w:line="240" w:lineRule="auto"/>
        <w:jc w:val="left"/>
        <w:rPr>
          <w:rFonts w:eastAsia="Calibri" w:cs="Times New Roman"/>
          <w:szCs w:val="24"/>
          <w:lang w:val="en-US"/>
        </w:rPr>
      </w:pPr>
      <w:r w:rsidRPr="00B00BF5">
        <w:rPr>
          <w:rFonts w:eastAsia="Calibri" w:cs="Times New Roman"/>
          <w:szCs w:val="24"/>
          <w:lang w:val="en-US"/>
        </w:rPr>
        <w:t>prestanak mandata pomoćnici direktora Sektora za carinsko-pravne poslove, na lični zahtjev.</w:t>
      </w:r>
    </w:p>
    <w:p w:rsidR="00B00BF5" w:rsidRPr="00B00BF5" w:rsidRDefault="00B00BF5" w:rsidP="00B00BF5">
      <w:pPr>
        <w:spacing w:before="0" w:after="0" w:line="240" w:lineRule="auto"/>
        <w:jc w:val="left"/>
        <w:rPr>
          <w:rFonts w:eastAsia="Calibri" w:cs="Times New Roman"/>
          <w:i/>
          <w:szCs w:val="24"/>
          <w:lang w:val="en-US"/>
        </w:rPr>
      </w:pPr>
      <w:r w:rsidRPr="00B00BF5">
        <w:rPr>
          <w:rFonts w:eastAsia="Calibri" w:cs="Times New Roman"/>
          <w:i/>
          <w:szCs w:val="24"/>
          <w:lang w:val="en-US"/>
        </w:rPr>
        <w:t>Oglašavanje radnih mjesta</w:t>
      </w:r>
    </w:p>
    <w:p w:rsidR="00B00BF5" w:rsidRPr="00B00BF5" w:rsidRDefault="00B00BF5" w:rsidP="00B00BF5">
      <w:pPr>
        <w:spacing w:before="0" w:after="0" w:line="240" w:lineRule="auto"/>
        <w:jc w:val="left"/>
        <w:rPr>
          <w:rFonts w:eastAsia="Calibri" w:cs="Times New Roman"/>
          <w:szCs w:val="24"/>
          <w:lang w:val="en-US"/>
        </w:rPr>
      </w:pPr>
      <w:r w:rsidRPr="00B00BF5">
        <w:rPr>
          <w:rFonts w:eastAsia="Calibri" w:cs="Times New Roman"/>
          <w:szCs w:val="24"/>
          <w:lang w:val="en-US"/>
        </w:rPr>
        <w:t>Pokrenut je postupak za prijem:</w:t>
      </w:r>
    </w:p>
    <w:p w:rsidR="00B00BF5" w:rsidRPr="00B00BF5" w:rsidRDefault="00B00BF5" w:rsidP="00146EBE">
      <w:pPr>
        <w:numPr>
          <w:ilvl w:val="0"/>
          <w:numId w:val="59"/>
        </w:numPr>
        <w:spacing w:before="0" w:after="0" w:line="240" w:lineRule="auto"/>
        <w:jc w:val="left"/>
        <w:rPr>
          <w:rFonts w:eastAsia="Calibri" w:cs="Times New Roman"/>
          <w:szCs w:val="24"/>
          <w:lang w:val="en-US"/>
        </w:rPr>
      </w:pPr>
      <w:r w:rsidRPr="00B00BF5">
        <w:rPr>
          <w:rFonts w:eastAsia="Calibri" w:cs="Times New Roman"/>
          <w:szCs w:val="24"/>
          <w:lang w:val="en-US"/>
        </w:rPr>
        <w:t xml:space="preserve">7 službenika na neodređeno vrijeme, putem internog oglasa, </w:t>
      </w:r>
    </w:p>
    <w:p w:rsidR="00B00BF5" w:rsidRPr="00B00BF5" w:rsidRDefault="00B00BF5" w:rsidP="00146EBE">
      <w:pPr>
        <w:numPr>
          <w:ilvl w:val="0"/>
          <w:numId w:val="59"/>
        </w:numPr>
        <w:spacing w:before="0" w:after="0" w:line="240" w:lineRule="auto"/>
        <w:jc w:val="left"/>
        <w:rPr>
          <w:rFonts w:eastAsia="Calibri" w:cs="Times New Roman"/>
          <w:szCs w:val="24"/>
          <w:lang w:val="en-US"/>
        </w:rPr>
      </w:pPr>
      <w:r w:rsidRPr="00B00BF5">
        <w:rPr>
          <w:rFonts w:eastAsia="Calibri" w:cs="Times New Roman"/>
          <w:szCs w:val="24"/>
          <w:lang w:val="en-US"/>
        </w:rPr>
        <w:t xml:space="preserve">8 službenika na neodređeno vrijeme, putem javnog oglasa, </w:t>
      </w:r>
    </w:p>
    <w:p w:rsidR="00B00BF5" w:rsidRPr="00B00BF5" w:rsidRDefault="00B00BF5" w:rsidP="00146EBE">
      <w:pPr>
        <w:numPr>
          <w:ilvl w:val="0"/>
          <w:numId w:val="59"/>
        </w:numPr>
        <w:spacing w:before="0" w:after="0" w:line="240" w:lineRule="auto"/>
        <w:jc w:val="left"/>
        <w:rPr>
          <w:rFonts w:eastAsia="Calibri" w:cs="Times New Roman"/>
          <w:szCs w:val="24"/>
          <w:lang w:val="en-US"/>
        </w:rPr>
      </w:pPr>
      <w:r w:rsidRPr="00B00BF5">
        <w:rPr>
          <w:rFonts w:eastAsia="Calibri" w:cs="Times New Roman"/>
          <w:szCs w:val="24"/>
          <w:lang w:val="en-US"/>
        </w:rPr>
        <w:t>6 pripravnika sa visokom stručnom spremom, na određeno vrijeme u trajanju od 12 mjeseci;</w:t>
      </w:r>
    </w:p>
    <w:p w:rsidR="00B00BF5" w:rsidRPr="00B00BF5" w:rsidRDefault="00B00BF5" w:rsidP="00146EBE">
      <w:pPr>
        <w:numPr>
          <w:ilvl w:val="0"/>
          <w:numId w:val="59"/>
        </w:numPr>
        <w:spacing w:before="0" w:after="0" w:line="240" w:lineRule="auto"/>
        <w:jc w:val="left"/>
        <w:rPr>
          <w:rFonts w:eastAsia="Calibri" w:cs="Times New Roman"/>
          <w:szCs w:val="24"/>
          <w:lang w:val="en-US"/>
        </w:rPr>
      </w:pPr>
      <w:r w:rsidRPr="00B00BF5">
        <w:rPr>
          <w:rFonts w:eastAsia="Calibri" w:cs="Times New Roman"/>
          <w:szCs w:val="24"/>
          <w:lang w:val="en-US"/>
        </w:rPr>
        <w:t>2 pripravnika sa srednjom stručnom spremom, na određeno vrijeme u trajanju od 12 mjeseci.</w:t>
      </w:r>
    </w:p>
    <w:p w:rsidR="00B00BF5" w:rsidRPr="00B00BF5" w:rsidRDefault="00B00BF5" w:rsidP="00B00BF5">
      <w:pPr>
        <w:spacing w:before="0" w:after="0" w:line="240" w:lineRule="auto"/>
        <w:jc w:val="left"/>
        <w:rPr>
          <w:rFonts w:eastAsia="Calibri" w:cs="Times New Roman"/>
          <w:i/>
          <w:szCs w:val="24"/>
          <w:lang w:val="en-US"/>
        </w:rPr>
      </w:pPr>
      <w:r w:rsidRPr="00B00BF5">
        <w:rPr>
          <w:rFonts w:eastAsia="Calibri" w:cs="Times New Roman"/>
          <w:i/>
          <w:szCs w:val="24"/>
          <w:lang w:val="en-US"/>
        </w:rPr>
        <w:t>Broj dodijeljenih odluka o zaradama, naknadama i priznanja za zaposlene</w:t>
      </w:r>
    </w:p>
    <w:p w:rsidR="00B00BF5" w:rsidRPr="00B00BF5" w:rsidRDefault="00B00BF5" w:rsidP="00B00BF5">
      <w:pPr>
        <w:spacing w:before="0" w:after="0" w:line="240" w:lineRule="auto"/>
        <w:ind w:firstLine="708"/>
        <w:rPr>
          <w:rFonts w:eastAsia="Calibri" w:cs="Times New Roman"/>
          <w:szCs w:val="24"/>
          <w:lang w:val="sl-SI"/>
        </w:rPr>
      </w:pPr>
      <w:r w:rsidRPr="00B00BF5">
        <w:rPr>
          <w:rFonts w:eastAsia="Calibri" w:cs="Times New Roman"/>
          <w:szCs w:val="24"/>
          <w:lang w:val="en-US"/>
        </w:rPr>
        <w:t>Donijeta su rješenja o isplati naknade za putne troškove za 25 službenika i rješenja o isplati naknade za odvojeni život za 24 službenika.</w:t>
      </w:r>
      <w:r w:rsidR="00745D02">
        <w:rPr>
          <w:rFonts w:eastAsia="Calibri" w:cs="Times New Roman"/>
          <w:szCs w:val="24"/>
          <w:lang w:val="en-US"/>
        </w:rPr>
        <w:t xml:space="preserve"> </w:t>
      </w:r>
      <w:r w:rsidRPr="00B00BF5">
        <w:rPr>
          <w:rFonts w:eastAsia="Calibri" w:cs="Times New Roman"/>
          <w:szCs w:val="24"/>
          <w:lang w:val="en-US"/>
        </w:rPr>
        <w:t>Za 4 službenika donijeta su rješenja o isplati novč</w:t>
      </w:r>
      <w:r w:rsidR="00745D02">
        <w:rPr>
          <w:rFonts w:eastAsia="Calibri" w:cs="Times New Roman"/>
          <w:szCs w:val="24"/>
          <w:lang w:val="en-US"/>
        </w:rPr>
        <w:t xml:space="preserve">ane pomoći za potrebe njihovog </w:t>
      </w:r>
      <w:r w:rsidRPr="00B00BF5">
        <w:rPr>
          <w:rFonts w:eastAsia="Calibri" w:cs="Times New Roman"/>
          <w:szCs w:val="24"/>
          <w:lang w:val="en-US"/>
        </w:rPr>
        <w:t xml:space="preserve">liječenja usled duže i teže bolesti ili članova njihove uže porodice. </w:t>
      </w:r>
      <w:r w:rsidRPr="00B00BF5">
        <w:rPr>
          <w:rFonts w:eastAsia="Calibri" w:cs="Times New Roman"/>
          <w:szCs w:val="24"/>
          <w:lang w:val="sl-SI"/>
        </w:rPr>
        <w:t>Za 11 službenika donijeta su rješenja o novčanoj nagradi, povodom obilježavanja Dana carinske službe. Unaprijeđeno je 6 službenika trajnim rasporedom i 1 službenik, rješenjem o privremenom rasporedu.</w:t>
      </w:r>
    </w:p>
    <w:p w:rsidR="00B00BF5" w:rsidRPr="00B00BF5" w:rsidRDefault="00B00BF5" w:rsidP="00B00BF5">
      <w:pPr>
        <w:spacing w:before="0" w:after="0" w:line="240" w:lineRule="auto"/>
        <w:ind w:firstLine="708"/>
        <w:rPr>
          <w:rFonts w:eastAsia="Calibri" w:cs="Times New Roman"/>
          <w:szCs w:val="24"/>
          <w:lang w:val="sl-SI"/>
        </w:rPr>
      </w:pPr>
      <w:r w:rsidRPr="00B00BF5">
        <w:rPr>
          <w:rFonts w:eastAsia="Calibri" w:cs="Times New Roman"/>
          <w:szCs w:val="24"/>
          <w:lang w:val="sl-SI"/>
        </w:rPr>
        <w:t>Pokrenut je postupak radi utvrđivanja disciplinske odgovornosti za 4 službenika PJ Ca Bijelo Polje. Za 3 službenika Carinarnice Bijelo Polje prekinut je  disciplinski postupak do okončanja krivičnog postupka.</w:t>
      </w:r>
    </w:p>
    <w:p w:rsidR="00B00BF5" w:rsidRPr="00B00BF5" w:rsidRDefault="00B00BF5" w:rsidP="00B00BF5">
      <w:pPr>
        <w:keepNext/>
        <w:keepLines/>
        <w:tabs>
          <w:tab w:val="left" w:pos="4962"/>
        </w:tabs>
        <w:spacing w:after="0" w:line="240" w:lineRule="auto"/>
        <w:ind w:hanging="11"/>
        <w:jc w:val="left"/>
        <w:outlineLvl w:val="2"/>
        <w:rPr>
          <w:rFonts w:eastAsia="Times New Roman" w:cs="Times New Roman"/>
          <w:b/>
          <w:bCs/>
          <w:noProof/>
          <w:color w:val="000000"/>
          <w:szCs w:val="24"/>
        </w:rPr>
      </w:pPr>
      <w:bookmarkStart w:id="47" w:name="_Toc32584030"/>
      <w:bookmarkStart w:id="48" w:name="_Toc32835774"/>
      <w:bookmarkStart w:id="49" w:name="_Toc32835841"/>
      <w:bookmarkStart w:id="50" w:name="_Toc62197142"/>
      <w:bookmarkStart w:id="51" w:name="_Toc62552713"/>
      <w:bookmarkStart w:id="52" w:name="_Toc62813712"/>
      <w:r>
        <w:rPr>
          <w:rFonts w:eastAsia="Times New Roman" w:cs="Times New Roman"/>
          <w:b/>
          <w:bCs/>
          <w:noProof/>
          <w:color w:val="000000"/>
          <w:szCs w:val="24"/>
        </w:rPr>
        <w:t xml:space="preserve">             </w:t>
      </w:r>
      <w:r w:rsidRPr="00B00BF5">
        <w:rPr>
          <w:rFonts w:eastAsia="Times New Roman" w:cs="Times New Roman"/>
          <w:b/>
          <w:bCs/>
          <w:noProof/>
          <w:color w:val="000000"/>
          <w:szCs w:val="24"/>
        </w:rPr>
        <w:t>Edukacija carinskih službenik</w:t>
      </w:r>
      <w:bookmarkEnd w:id="47"/>
      <w:bookmarkEnd w:id="48"/>
      <w:bookmarkEnd w:id="49"/>
      <w:bookmarkEnd w:id="50"/>
      <w:bookmarkEnd w:id="51"/>
      <w:r w:rsidRPr="00B00BF5">
        <w:rPr>
          <w:rFonts w:eastAsia="Times New Roman" w:cs="Times New Roman"/>
          <w:b/>
          <w:bCs/>
          <w:noProof/>
          <w:color w:val="000000"/>
          <w:szCs w:val="24"/>
        </w:rPr>
        <w:t>a</w:t>
      </w:r>
      <w:bookmarkEnd w:id="52"/>
    </w:p>
    <w:p w:rsidR="00B00BF5" w:rsidRPr="00B00BF5" w:rsidRDefault="00B00BF5" w:rsidP="00B00BF5">
      <w:pPr>
        <w:spacing w:before="0" w:after="0" w:line="240" w:lineRule="auto"/>
        <w:ind w:firstLine="708"/>
        <w:rPr>
          <w:rFonts w:eastAsia="Times New Roman" w:cs="Times New Roman"/>
          <w:color w:val="548DD4"/>
          <w:szCs w:val="24"/>
        </w:rPr>
      </w:pPr>
      <w:r w:rsidRPr="00B00BF5">
        <w:rPr>
          <w:rFonts w:eastAsia="Times New Roman" w:cs="Times New Roman"/>
          <w:szCs w:val="24"/>
        </w:rPr>
        <w:t>U cilju unaprjeđenja rada carinskih službenika, u organizaciji Uprave carina – Centra za obuku carinskih službenika i drugih relevatnih institucija u Crnoj Gori, kao i u međunarodnoj organizaciji, realizovano je 34 seminara, obuka i stručnih sastanaka u Crnoj Gori i inostranstvu, na teme: tranzit, operacija Lynx za Zapadni Balkan, preferencijalna pravila porijekla robe, borba protiv nelegalnih finansijskih tokova na prostoru Zapadnog Balkana, IT tehnologija i infrastruktura, hemijsko naoružanje, program Hercule III, Zakon o upravnom postupku, harmonizacija podataka, borbe protiv krivotvorenih farmaceutskih proizvoda u okviru Programa kontrole kontejnera, integritet, uzorkovanje, nezakonita trgovina kulturnim dobrima, EMPACT projekat, Konvencija o harmonizovanom sistemu i dr. Rad Centra za obuku carinskih službenika prilagođen je novonastaloj situaciji sa virusom Covid 19, koja je uzrokovala izmjene godišnjeg i kvartalnih  planova obuka. Od navedenih radionica i obuka 10 je održano online.</w:t>
      </w:r>
    </w:p>
    <w:p w:rsidR="00B00BF5" w:rsidRPr="00B00BF5" w:rsidRDefault="00B00BF5" w:rsidP="00B00BF5">
      <w:pPr>
        <w:spacing w:before="0" w:after="0" w:line="240" w:lineRule="auto"/>
        <w:ind w:firstLine="708"/>
        <w:rPr>
          <w:rFonts w:eastAsia="Calibri" w:cs="Times New Roman"/>
          <w:szCs w:val="24"/>
          <w:lang w:val="sl-SI"/>
        </w:rPr>
      </w:pPr>
      <w:r w:rsidRPr="00B00BF5">
        <w:rPr>
          <w:rFonts w:eastAsia="Calibri" w:cs="Times New Roman"/>
          <w:szCs w:val="24"/>
          <w:lang w:val="sl-SI"/>
        </w:rPr>
        <w:lastRenderedPageBreak/>
        <w:t>U toku je izrada prvog nacrta Projektnog zadatka (ToR-a) za Ugovor o uslugama za obuke carinskih službenika u iznosu od 100.000€, koji će se realizovati u okviru odobrenih sredstava za Upravu carina kroz IPA 2018. Pomenuti projekat ima veliki značaj za dalju modenizaciju i unaprijeđenje sistema obuka Uprava carina Crne Gore na nacionalnom i međunarodnom nivou, kako bi kroz razmjenu iskustava i upoznavanja sa najboljom praksom, kroz obuke, stručno usavršavanje i različite vidove ekspertske pomoći dostigli određene standarde u toj oblasti.</w:t>
      </w:r>
    </w:p>
    <w:p w:rsidR="00B00BF5" w:rsidRPr="00B00BF5" w:rsidRDefault="00B00BF5" w:rsidP="00B00BF5">
      <w:pPr>
        <w:spacing w:before="0" w:after="0" w:line="240" w:lineRule="auto"/>
        <w:ind w:firstLine="708"/>
        <w:rPr>
          <w:rFonts w:eastAsia="Calibri" w:cs="Times New Roman"/>
          <w:szCs w:val="24"/>
          <w:lang w:val="sl-SI"/>
        </w:rPr>
      </w:pPr>
      <w:r w:rsidRPr="00B00BF5">
        <w:rPr>
          <w:rFonts w:eastAsia="Calibri" w:cs="Times New Roman"/>
          <w:szCs w:val="24"/>
          <w:lang w:val="sl-SI"/>
        </w:rPr>
        <w:t>Obuke koje se planiraju realizovati su: oblast borbe protiv korupcije i jačanje etike i integriteta na graničnim prelazima, oblast suzbijanja krijumčarenja - pregled putnika i putničkog prtljaga, pregled vozila u drumskom saobraćaju (automobila i autobusa), pregled vazduhoplova, pregled plovila (brodova i jahti), suzbijanje krijumčarenja opojnih droga, korišćenja specijalne opreme za pregled – korišćenje skener i rendgen uređaja i čitanje slike, korišćenje opreme za pregled vozila u drumskom saobraćaju, obuke iz oblasti  carinskih procedura u pomorskom saobraćaju – snadbijevanje, skladištenje i privremeni uvoz u pomorskom saobraćaju, oblast primjene ovlašćenja carinskih službenika, primjena Zakona o prekršajnom postupku – pisanje optužnih akata i izvršenje u prekršajnom postupku za službenike graničnih ispostava.</w:t>
      </w:r>
    </w:p>
    <w:p w:rsidR="00B00BF5" w:rsidRPr="00B00BF5" w:rsidRDefault="00B00BF5" w:rsidP="00B00BF5">
      <w:pPr>
        <w:spacing w:before="0" w:after="0" w:line="240" w:lineRule="auto"/>
        <w:ind w:firstLine="708"/>
        <w:rPr>
          <w:rFonts w:eastAsia="Calibri" w:cs="Times New Roman"/>
          <w:szCs w:val="24"/>
          <w:lang w:val="sl-SI"/>
        </w:rPr>
      </w:pPr>
      <w:r w:rsidRPr="00B00BF5">
        <w:rPr>
          <w:rFonts w:eastAsia="Calibri" w:cs="Times New Roman"/>
          <w:szCs w:val="24"/>
          <w:lang w:val="sl-SI"/>
        </w:rPr>
        <w:t>Međutim, zbog novonastale situacije, u dogovoru sa Ministarstvom finansija (CFCU) odloženo je započeto ispitivanje tržišta i odlučeno je da se ovo pitanje pokrene nakon ukidanja privremenih mjera u vezi sa pandemijom COVID-19.</w:t>
      </w:r>
      <w:r w:rsidRPr="00B00BF5">
        <w:rPr>
          <w:rFonts w:eastAsia="Calibri" w:cs="Times New Roman"/>
          <w:szCs w:val="24"/>
          <w:lang w:val="sl-SI"/>
        </w:rPr>
        <w:tab/>
      </w:r>
    </w:p>
    <w:p w:rsidR="00B00BF5" w:rsidRPr="00B00BF5" w:rsidRDefault="00B00BF5" w:rsidP="00B00BF5">
      <w:pPr>
        <w:spacing w:before="0" w:after="0" w:line="240" w:lineRule="auto"/>
        <w:rPr>
          <w:rFonts w:eastAsia="Calibri" w:cs="Times New Roman"/>
          <w:b/>
          <w:szCs w:val="24"/>
          <w:lang w:val="sl-SI"/>
        </w:rPr>
      </w:pPr>
      <w:r w:rsidRPr="00B00BF5">
        <w:rPr>
          <w:rFonts w:eastAsia="Calibri" w:cs="Times New Roman"/>
          <w:b/>
          <w:szCs w:val="24"/>
          <w:lang w:val="sl-SI"/>
        </w:rPr>
        <w:t>-Multifunkcionalni – otvoreni prostor (open space) -</w:t>
      </w:r>
    </w:p>
    <w:p w:rsidR="00B00BF5" w:rsidRPr="00B00BF5" w:rsidRDefault="00B00BF5" w:rsidP="00B00BF5">
      <w:pPr>
        <w:spacing w:before="0" w:after="0" w:line="240" w:lineRule="auto"/>
        <w:ind w:firstLine="708"/>
        <w:rPr>
          <w:rFonts w:eastAsia="Calibri" w:cs="Times New Roman"/>
          <w:szCs w:val="24"/>
          <w:lang w:val="sl-SI"/>
        </w:rPr>
      </w:pPr>
      <w:r w:rsidRPr="00B00BF5">
        <w:rPr>
          <w:rFonts w:eastAsia="Calibri" w:cs="Times New Roman"/>
          <w:szCs w:val="24"/>
          <w:lang w:val="sl-SI"/>
        </w:rPr>
        <w:t xml:space="preserve">Na planu modernizacije Centra za obuku carinskih službenika, formiran je savremeni, multifunkcionalni prostor otvorenog tipa (open space), čime je uspostavljena nova funkcionalnost Centra. Prostor je dostupan svim carinskim službenicima u cilju unaprjeđenja sistema obuka i stručnog usavršavanja. Upotrebom ovog prostora za briefing, brainstorm, razna savjetovanja, seminare, sastanke, referate koji zahtijevaju individualni rad, učenje u okviru carinskog ispita i slično, podstaknuće se kreativnost i inovativnost carinskih službenika. </w:t>
      </w:r>
    </w:p>
    <w:p w:rsidR="00B00BF5" w:rsidRPr="00B00BF5" w:rsidRDefault="00B00BF5" w:rsidP="00B00BF5">
      <w:pPr>
        <w:spacing w:before="0" w:after="0" w:line="240" w:lineRule="auto"/>
        <w:ind w:firstLine="708"/>
        <w:rPr>
          <w:rFonts w:eastAsia="Calibri" w:cs="Times New Roman"/>
          <w:szCs w:val="24"/>
          <w:lang w:val="sl-SI"/>
        </w:rPr>
      </w:pPr>
      <w:r w:rsidRPr="00B00BF5">
        <w:rPr>
          <w:rFonts w:eastAsia="Calibri" w:cs="Times New Roman"/>
          <w:szCs w:val="24"/>
          <w:lang w:val="sl-SI"/>
        </w:rPr>
        <w:t>U okviru Centra za obuku carinskih službenika je u upotrebi i 15 novih računara, čime je ostvarena tehnička opremljenost i puna funkcionalnost rada na carinskim aplikacijama.</w:t>
      </w:r>
    </w:p>
    <w:p w:rsidR="00B00BF5" w:rsidRPr="00B00BF5" w:rsidRDefault="00B00BF5" w:rsidP="00B00BF5">
      <w:pPr>
        <w:spacing w:before="0" w:after="0" w:line="240" w:lineRule="auto"/>
        <w:ind w:firstLine="708"/>
        <w:rPr>
          <w:rFonts w:eastAsia="Calibri" w:cs="Times New Roman"/>
          <w:szCs w:val="24"/>
          <w:lang w:val="sl-SI"/>
        </w:rPr>
      </w:pPr>
      <w:r w:rsidRPr="00B00BF5">
        <w:rPr>
          <w:rFonts w:eastAsia="Calibri" w:cs="Times New Roman"/>
          <w:szCs w:val="24"/>
          <w:lang w:val="sl-SI"/>
        </w:rPr>
        <w:t>U toku je formiranje Stručne biblioteke Uprave carina. Biblioteka će omogućiti svim carinskim službenicima korišćenje stručnog materijala u štampanom i elektronskom obliku (knjige, priručnici, uputstva, vodiči, ključna stručna dokumenta, primjeri dobre prakse i sl.) sortiranog prema temama, a vezanog za rad carinske službe.</w:t>
      </w:r>
    </w:p>
    <w:p w:rsidR="00B00BF5" w:rsidRPr="00B00BF5" w:rsidRDefault="00B00BF5" w:rsidP="00B00BF5">
      <w:pPr>
        <w:spacing w:before="0" w:after="0" w:line="240" w:lineRule="auto"/>
        <w:ind w:firstLine="708"/>
        <w:rPr>
          <w:rFonts w:eastAsia="Times New Roman" w:cs="Times New Roman"/>
          <w:szCs w:val="24"/>
          <w:lang w:val="sl-SI" w:eastAsia="sl-SI"/>
        </w:rPr>
      </w:pPr>
      <w:r w:rsidRPr="00B00BF5">
        <w:rPr>
          <w:rFonts w:eastAsia="Times New Roman" w:cs="Times New Roman"/>
          <w:szCs w:val="24"/>
          <w:lang w:val="sl-SI" w:eastAsia="sl-SI"/>
        </w:rPr>
        <w:t>U periodu od 25. do 28. februara 2020.godine realizovana je studijska posjeta službenika Sektora za planiranje i upravljanje ljudskim resursima Centru za obuku carinskoj službi Finske u Helsinkiju, koja je odobrena kroz CUSTOMS Program 2020.  Posjeta je organizovana u cilju upoznavanja sistema obuka i aktivnosti koje Uprava carina Finske sprovodi u oblasti obuke i stručnog usavršavanja carinskih službenika u Centru za obuku u Helsinkiju, kao i sa načinom rada Centra, kako bi se razmjenom iskustva stečeno znanje prilagodilo i primjenilo u modernizaciji i poboljšanju uslova rada Centra za obuku naše carinske službe.</w:t>
      </w:r>
    </w:p>
    <w:p w:rsidR="00B00BF5" w:rsidRPr="00B00BF5" w:rsidRDefault="00B00BF5" w:rsidP="00B00BF5">
      <w:pPr>
        <w:spacing w:before="0" w:after="0" w:line="240" w:lineRule="auto"/>
        <w:ind w:firstLine="708"/>
        <w:rPr>
          <w:rFonts w:eastAsia="Times New Roman" w:cs="Times New Roman"/>
          <w:bCs/>
          <w:szCs w:val="24"/>
          <w:lang w:val="sl-SI" w:eastAsia="sl-SI"/>
        </w:rPr>
      </w:pPr>
      <w:r w:rsidRPr="00B00BF5">
        <w:rPr>
          <w:rFonts w:eastAsia="Times New Roman" w:cs="Times New Roman"/>
          <w:szCs w:val="24"/>
          <w:lang w:val="sl-SI" w:eastAsia="sl-SI"/>
        </w:rPr>
        <w:t>Preporuke vezano za dalje aktivnosti Uprave carina Crne Gore</w:t>
      </w:r>
      <w:r w:rsidRPr="00B00BF5">
        <w:rPr>
          <w:rFonts w:eastAsia="Times New Roman" w:cs="Times New Roman"/>
          <w:bCs/>
          <w:szCs w:val="24"/>
          <w:lang w:val="sl-SI" w:eastAsia="sl-SI"/>
        </w:rPr>
        <w:t xml:space="preserve"> u oblasti obuka i stručnog usavršavanja su: </w:t>
      </w:r>
      <w:r w:rsidRPr="00B00BF5">
        <w:rPr>
          <w:rFonts w:eastAsia="Times New Roman" w:cs="Times New Roman"/>
          <w:b/>
          <w:bCs/>
          <w:szCs w:val="24"/>
          <w:lang w:val="sl-SI" w:eastAsia="sl-SI"/>
        </w:rPr>
        <w:t>modernizacija metoda učenja</w:t>
      </w:r>
      <w:r w:rsidRPr="00B00BF5">
        <w:rPr>
          <w:rFonts w:eastAsia="Times New Roman" w:cs="Times New Roman"/>
          <w:bCs/>
          <w:szCs w:val="24"/>
          <w:lang w:val="sl-SI" w:eastAsia="sl-SI"/>
        </w:rPr>
        <w:t xml:space="preserve">, koja bi podrazumijevala uvođenje modernih metoda učenja poput e- learninga, video konferencija i kombinovanje sa učenjem kroz rad (Job learning); primjena komunikacijskih tehnika za efikasno učenje i dvosmjernu razmjenu »do i od profesora«, </w:t>
      </w:r>
      <w:r w:rsidRPr="00B00BF5">
        <w:rPr>
          <w:rFonts w:eastAsia="Times New Roman" w:cs="Times New Roman"/>
          <w:b/>
          <w:bCs/>
          <w:szCs w:val="24"/>
          <w:lang w:val="sl-SI" w:eastAsia="sl-SI"/>
        </w:rPr>
        <w:t xml:space="preserve">video učenje – </w:t>
      </w:r>
      <w:r w:rsidRPr="00B00BF5">
        <w:rPr>
          <w:rFonts w:eastAsia="Times New Roman" w:cs="Times New Roman"/>
          <w:bCs/>
          <w:szCs w:val="24"/>
          <w:lang w:val="sl-SI" w:eastAsia="sl-SI"/>
        </w:rPr>
        <w:t xml:space="preserve">uvesti metod učenja u kojem bi obuka bila u formi video zapis (predavač bi pripremio materijal a u Centru za obuku bi  se snimale video obuke); </w:t>
      </w:r>
      <w:r w:rsidRPr="00B00BF5">
        <w:rPr>
          <w:rFonts w:eastAsia="Times New Roman" w:cs="Times New Roman"/>
          <w:b/>
          <w:bCs/>
          <w:szCs w:val="24"/>
          <w:lang w:val="sl-SI" w:eastAsia="sl-SI"/>
        </w:rPr>
        <w:t>modernizacija tehničke opreme za učenje,</w:t>
      </w:r>
      <w:r w:rsidRPr="00B00BF5">
        <w:rPr>
          <w:rFonts w:eastAsia="Times New Roman" w:cs="Times New Roman"/>
          <w:bCs/>
          <w:szCs w:val="24"/>
          <w:lang w:val="sl-SI" w:eastAsia="sl-SI"/>
        </w:rPr>
        <w:t xml:space="preserve"> kako bi se modernizovali metodi učenja i olakšalo samo učenje potrebno je modernizovati tehnička sredstva kao na primjer tehničko opremanje Centra i po jedne prostorije u PJ Carinarnicama koje bi omogućilo uspostavljanje veze preko video linka, nadogradnja CIS-a sa platformom za e-learning; nabavka tehničke opreme za snimanje video učenja; </w:t>
      </w:r>
      <w:r w:rsidRPr="00B00BF5">
        <w:rPr>
          <w:rFonts w:eastAsia="Times New Roman" w:cs="Times New Roman"/>
          <w:b/>
          <w:bCs/>
          <w:szCs w:val="24"/>
          <w:lang w:val="sl-SI" w:eastAsia="sl-SI"/>
        </w:rPr>
        <w:t>nastaviti dalju implementaciju EU Okvira carinskih kompetencija,</w:t>
      </w:r>
      <w:r w:rsidRPr="00B00BF5">
        <w:rPr>
          <w:rFonts w:eastAsia="Times New Roman" w:cs="Times New Roman"/>
          <w:bCs/>
          <w:szCs w:val="24"/>
          <w:lang w:val="sl-SI" w:eastAsia="sl-SI"/>
        </w:rPr>
        <w:t xml:space="preserve"> koji bi unaprijedio procjenu potrebe za </w:t>
      </w:r>
      <w:r w:rsidRPr="00B00BF5">
        <w:rPr>
          <w:rFonts w:eastAsia="Times New Roman" w:cs="Times New Roman"/>
          <w:bCs/>
          <w:szCs w:val="24"/>
          <w:lang w:val="sl-SI" w:eastAsia="sl-SI"/>
        </w:rPr>
        <w:lastRenderedPageBreak/>
        <w:t xml:space="preserve">obukama na individualnom nivou i samo planiranje obuka; Finski model je tzv prilagođeni model jer nisu u potpunosti prihvatili sve preporuke CFW, već samo dio koji odgovara njihovom carinskom sistemu i opštem kadrovskom; </w:t>
      </w:r>
      <w:r w:rsidRPr="00B00BF5">
        <w:rPr>
          <w:rFonts w:eastAsia="Times New Roman" w:cs="Times New Roman"/>
          <w:b/>
          <w:bCs/>
          <w:szCs w:val="24"/>
          <w:lang w:val="sl-SI" w:eastAsia="sl-SI"/>
        </w:rPr>
        <w:t xml:space="preserve">poseban program obuke za novozaposlene, </w:t>
      </w:r>
      <w:r w:rsidRPr="00B00BF5">
        <w:rPr>
          <w:rFonts w:eastAsia="Times New Roman" w:cs="Times New Roman"/>
          <w:bCs/>
          <w:szCs w:val="24"/>
          <w:lang w:val="sl-SI" w:eastAsia="sl-SI"/>
        </w:rPr>
        <w:t xml:space="preserve">koji bi prolazili svi novozaposleni i koji bi se realizovao kroz saradnju predavača i mentora; </w:t>
      </w:r>
      <w:r w:rsidRPr="00B00BF5">
        <w:rPr>
          <w:rFonts w:eastAsia="Times New Roman" w:cs="Times New Roman"/>
          <w:b/>
          <w:bCs/>
          <w:szCs w:val="24"/>
          <w:lang w:val="sl-SI" w:eastAsia="sl-SI"/>
        </w:rPr>
        <w:t xml:space="preserve">uvesti nadoknade za službenike koji se angažuju i kao predavači u Centru, </w:t>
      </w:r>
      <w:r w:rsidRPr="00B00BF5">
        <w:rPr>
          <w:rFonts w:eastAsia="Times New Roman" w:cs="Times New Roman"/>
          <w:bCs/>
          <w:szCs w:val="24"/>
          <w:lang w:val="sl-SI" w:eastAsia="sl-SI"/>
        </w:rPr>
        <w:t>kako bi se dodatno motivisali za unaprijeđenje svojih predavačkih i stručnih znanja – napr. moguće je uvesti varijabilni dio zarade za službenike koji se angažuju kao predavači ili donijeti posebnu odluku o naknadama za predavače (Odluka o naknadama za članove ispitne komisije za polaganje carinskog ispita već postoji).</w:t>
      </w:r>
    </w:p>
    <w:p w:rsidR="00B00BF5" w:rsidRPr="00B00BF5" w:rsidRDefault="00B00BF5" w:rsidP="00B00BF5">
      <w:pPr>
        <w:spacing w:before="0" w:after="0" w:line="240" w:lineRule="auto"/>
        <w:ind w:right="4" w:firstLine="720"/>
        <w:rPr>
          <w:rFonts w:ascii="Times New Roman" w:eastAsia="Times New Roman" w:hAnsi="Times New Roman" w:cs="Times New Roman"/>
          <w:color w:val="943634"/>
          <w:sz w:val="22"/>
          <w:szCs w:val="24"/>
          <w:lang w:val="sl-SI" w:eastAsia="sl-SI"/>
        </w:rPr>
      </w:pPr>
    </w:p>
    <w:p w:rsidR="00B00BF5" w:rsidRPr="00B00BF5" w:rsidRDefault="00B00BF5" w:rsidP="00B00BF5">
      <w:pPr>
        <w:spacing w:before="0" w:after="0" w:line="240" w:lineRule="auto"/>
        <w:ind w:right="4"/>
        <w:rPr>
          <w:rFonts w:ascii="Times New Roman" w:eastAsia="Times New Roman" w:hAnsi="Times New Roman" w:cs="Times New Roman"/>
          <w:i/>
          <w:sz w:val="22"/>
          <w:szCs w:val="24"/>
          <w:lang w:val="sl-SI" w:eastAsia="sl-SI"/>
        </w:rPr>
      </w:pPr>
      <w:r w:rsidRPr="00B00BF5">
        <w:rPr>
          <w:rFonts w:ascii="Times New Roman" w:eastAsia="Times New Roman" w:hAnsi="Times New Roman" w:cs="Times New Roman"/>
          <w:i/>
          <w:sz w:val="22"/>
          <w:szCs w:val="24"/>
          <w:lang w:val="sl-SI" w:eastAsia="sl-SI"/>
        </w:rPr>
        <w:t>Tabela 10: Prikaz broja obuka i polaznika za planirane i dodatne stručne i specijalističke seminare, sastanke, radionice i carinske obuke</w:t>
      </w:r>
    </w:p>
    <w:tbl>
      <w:tblPr>
        <w:tblW w:w="8505" w:type="dxa"/>
        <w:tblInd w:w="108"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5704"/>
        <w:gridCol w:w="1242"/>
        <w:gridCol w:w="1559"/>
      </w:tblGrid>
      <w:tr w:rsidR="00B00BF5" w:rsidRPr="00B00BF5" w:rsidTr="009F412E">
        <w:trPr>
          <w:trHeight w:val="90"/>
        </w:trPr>
        <w:tc>
          <w:tcPr>
            <w:tcW w:w="5704" w:type="dxa"/>
            <w:tcBorders>
              <w:top w:val="single" w:sz="8" w:space="0" w:color="FFFFFF"/>
              <w:left w:val="single" w:sz="8" w:space="0" w:color="FFFFFF"/>
              <w:bottom w:val="single" w:sz="24" w:space="0" w:color="FFFFFF"/>
              <w:right w:val="single" w:sz="8" w:space="0" w:color="FFFFFF"/>
            </w:tcBorders>
            <w:shd w:val="clear" w:color="auto" w:fill="4F81BD"/>
            <w:noWrap/>
            <w:hideMark/>
          </w:tcPr>
          <w:p w:rsidR="00B00BF5" w:rsidRPr="00B00BF5" w:rsidRDefault="00B00BF5" w:rsidP="00B00BF5">
            <w:pPr>
              <w:suppressAutoHyphens/>
              <w:autoSpaceDN w:val="0"/>
              <w:spacing w:before="0" w:after="0" w:line="276" w:lineRule="auto"/>
              <w:jc w:val="left"/>
              <w:textAlignment w:val="baseline"/>
              <w:rPr>
                <w:rFonts w:ascii="Times New Roman" w:eastAsia="Calibri" w:hAnsi="Times New Roman" w:cs="Times New Roman"/>
                <w:bCs/>
                <w:color w:val="FFFFFF"/>
                <w:sz w:val="20"/>
                <w:lang w:val="hr-HR"/>
              </w:rPr>
            </w:pPr>
          </w:p>
        </w:tc>
        <w:tc>
          <w:tcPr>
            <w:tcW w:w="1242" w:type="dxa"/>
            <w:tcBorders>
              <w:top w:val="single" w:sz="8" w:space="0" w:color="FFFFFF"/>
              <w:left w:val="single" w:sz="8" w:space="0" w:color="FFFFFF"/>
              <w:bottom w:val="single" w:sz="24" w:space="0" w:color="FFFFFF"/>
              <w:right w:val="single" w:sz="8" w:space="0" w:color="FFFFFF"/>
            </w:tcBorders>
            <w:shd w:val="clear" w:color="auto" w:fill="4F81BD"/>
            <w:noWrap/>
            <w:hideMark/>
          </w:tcPr>
          <w:p w:rsidR="00B00BF5" w:rsidRPr="00B00BF5" w:rsidRDefault="00B00BF5" w:rsidP="00B00BF5">
            <w:pPr>
              <w:suppressAutoHyphens/>
              <w:autoSpaceDN w:val="0"/>
              <w:spacing w:before="0" w:after="0" w:line="276" w:lineRule="auto"/>
              <w:jc w:val="center"/>
              <w:textAlignment w:val="baseline"/>
              <w:rPr>
                <w:rFonts w:ascii="Times New Roman" w:eastAsia="Calibri" w:hAnsi="Times New Roman" w:cs="Times New Roman"/>
                <w:b/>
                <w:bCs/>
                <w:color w:val="FFFFFF"/>
                <w:sz w:val="20"/>
                <w:lang w:val="hr-HR"/>
              </w:rPr>
            </w:pPr>
            <w:r w:rsidRPr="00B00BF5">
              <w:rPr>
                <w:rFonts w:ascii="Times New Roman" w:eastAsia="Calibri" w:hAnsi="Times New Roman" w:cs="Times New Roman"/>
                <w:b/>
                <w:bCs/>
                <w:color w:val="FFFFFF"/>
                <w:sz w:val="20"/>
                <w:lang w:val="hr-HR"/>
              </w:rPr>
              <w:t xml:space="preserve">Broj </w:t>
            </w:r>
          </w:p>
        </w:tc>
        <w:tc>
          <w:tcPr>
            <w:tcW w:w="1559" w:type="dxa"/>
            <w:tcBorders>
              <w:top w:val="single" w:sz="8" w:space="0" w:color="FFFFFF"/>
              <w:left w:val="single" w:sz="8" w:space="0" w:color="FFFFFF"/>
              <w:bottom w:val="single" w:sz="24" w:space="0" w:color="FFFFFF"/>
              <w:right w:val="single" w:sz="8" w:space="0" w:color="FFFFFF"/>
            </w:tcBorders>
            <w:shd w:val="clear" w:color="auto" w:fill="4F81BD"/>
            <w:noWrap/>
            <w:hideMark/>
          </w:tcPr>
          <w:p w:rsidR="00B00BF5" w:rsidRPr="00B00BF5" w:rsidRDefault="00B00BF5" w:rsidP="00B00BF5">
            <w:pPr>
              <w:suppressAutoHyphens/>
              <w:autoSpaceDN w:val="0"/>
              <w:spacing w:before="0" w:after="0" w:line="276" w:lineRule="auto"/>
              <w:jc w:val="center"/>
              <w:textAlignment w:val="baseline"/>
              <w:rPr>
                <w:rFonts w:ascii="Times New Roman" w:eastAsia="Calibri" w:hAnsi="Times New Roman" w:cs="Times New Roman"/>
                <w:b/>
                <w:bCs/>
                <w:color w:val="FFFFFF"/>
                <w:sz w:val="20"/>
                <w:lang w:val="hr-HR"/>
              </w:rPr>
            </w:pPr>
            <w:r w:rsidRPr="00B00BF5">
              <w:rPr>
                <w:rFonts w:ascii="Times New Roman" w:eastAsia="Calibri" w:hAnsi="Times New Roman" w:cs="Times New Roman"/>
                <w:b/>
                <w:bCs/>
                <w:color w:val="FFFFFF"/>
                <w:sz w:val="20"/>
                <w:lang w:val="hr-HR"/>
              </w:rPr>
              <w:t>Broj polaznika</w:t>
            </w:r>
          </w:p>
        </w:tc>
      </w:tr>
      <w:tr w:rsidR="00B00BF5" w:rsidRPr="00B00BF5" w:rsidTr="009F412E">
        <w:trPr>
          <w:trHeight w:val="405"/>
        </w:trPr>
        <w:tc>
          <w:tcPr>
            <w:tcW w:w="5704" w:type="dxa"/>
            <w:tcBorders>
              <w:top w:val="single" w:sz="8" w:space="0" w:color="FFFFFF"/>
              <w:left w:val="single" w:sz="8" w:space="0" w:color="FFFFFF"/>
              <w:right w:val="single" w:sz="24" w:space="0" w:color="FFFFFF"/>
            </w:tcBorders>
            <w:shd w:val="clear" w:color="auto" w:fill="4F81BD"/>
            <w:noWrap/>
            <w:hideMark/>
          </w:tcPr>
          <w:p w:rsidR="00B00BF5" w:rsidRPr="00B00BF5" w:rsidRDefault="00B00BF5" w:rsidP="00B00BF5">
            <w:pPr>
              <w:suppressAutoHyphens/>
              <w:autoSpaceDN w:val="0"/>
              <w:spacing w:before="0" w:after="0" w:line="276" w:lineRule="auto"/>
              <w:jc w:val="left"/>
              <w:textAlignment w:val="baseline"/>
              <w:rPr>
                <w:rFonts w:ascii="Times New Roman" w:eastAsia="Calibri" w:hAnsi="Times New Roman" w:cs="Times New Roman"/>
                <w:bCs/>
                <w:color w:val="FFFFFF"/>
                <w:sz w:val="20"/>
                <w:szCs w:val="20"/>
                <w:lang w:val="hr-HR"/>
              </w:rPr>
            </w:pPr>
            <w:r w:rsidRPr="00B00BF5">
              <w:rPr>
                <w:rFonts w:ascii="Times New Roman" w:eastAsia="Calibri" w:hAnsi="Times New Roman" w:cs="Times New Roman"/>
                <w:bCs/>
                <w:color w:val="FFFFFF"/>
                <w:sz w:val="20"/>
                <w:szCs w:val="20"/>
                <w:lang w:val="hr-HR"/>
              </w:rPr>
              <w:t>Planirani stručni  i specijalistički seminari, sastanci, radionice i carinske obuke</w:t>
            </w:r>
          </w:p>
        </w:tc>
        <w:tc>
          <w:tcPr>
            <w:tcW w:w="1242" w:type="dxa"/>
            <w:tcBorders>
              <w:top w:val="single" w:sz="8" w:space="0" w:color="FFFFFF"/>
              <w:left w:val="single" w:sz="8" w:space="0" w:color="FFFFFF"/>
              <w:bottom w:val="single" w:sz="8" w:space="0" w:color="FFFFFF"/>
              <w:right w:val="single" w:sz="8" w:space="0" w:color="FFFFFF"/>
            </w:tcBorders>
            <w:shd w:val="clear" w:color="auto" w:fill="A7BFDE"/>
            <w:noWrap/>
            <w:vAlign w:val="center"/>
          </w:tcPr>
          <w:p w:rsidR="00B00BF5" w:rsidRPr="00B00BF5" w:rsidRDefault="00B00BF5" w:rsidP="00B00BF5">
            <w:pPr>
              <w:spacing w:before="0" w:after="0" w:line="240" w:lineRule="auto"/>
              <w:jc w:val="center"/>
              <w:rPr>
                <w:rFonts w:ascii="Times New Roman" w:eastAsia="Calibri" w:hAnsi="Times New Roman" w:cs="Times New Roman"/>
                <w:sz w:val="20"/>
                <w:lang w:val="en-US"/>
              </w:rPr>
            </w:pPr>
            <w:r w:rsidRPr="00B00BF5">
              <w:rPr>
                <w:rFonts w:ascii="Times New Roman" w:eastAsia="Calibri" w:hAnsi="Times New Roman" w:cs="Times New Roman"/>
                <w:sz w:val="20"/>
                <w:lang w:val="en-US"/>
              </w:rPr>
              <w:t>64</w:t>
            </w:r>
          </w:p>
        </w:tc>
        <w:tc>
          <w:tcPr>
            <w:tcW w:w="1559" w:type="dxa"/>
            <w:tcBorders>
              <w:top w:val="single" w:sz="8" w:space="0" w:color="FFFFFF"/>
              <w:left w:val="single" w:sz="8" w:space="0" w:color="FFFFFF"/>
              <w:bottom w:val="single" w:sz="8" w:space="0" w:color="FFFFFF"/>
              <w:right w:val="single" w:sz="8" w:space="0" w:color="FFFFFF"/>
            </w:tcBorders>
            <w:shd w:val="clear" w:color="auto" w:fill="A7BFDE"/>
            <w:noWrap/>
            <w:vAlign w:val="center"/>
          </w:tcPr>
          <w:p w:rsidR="00B00BF5" w:rsidRPr="00B00BF5" w:rsidRDefault="00B00BF5" w:rsidP="00B00BF5">
            <w:pPr>
              <w:spacing w:before="0" w:after="0" w:line="240" w:lineRule="auto"/>
              <w:jc w:val="center"/>
              <w:rPr>
                <w:rFonts w:ascii="Times New Roman" w:eastAsia="Calibri" w:hAnsi="Times New Roman" w:cs="Times New Roman"/>
                <w:sz w:val="20"/>
                <w:lang w:val="en-US"/>
              </w:rPr>
            </w:pPr>
            <w:r w:rsidRPr="00B00BF5">
              <w:rPr>
                <w:rFonts w:ascii="Times New Roman" w:eastAsia="Calibri" w:hAnsi="Times New Roman" w:cs="Times New Roman"/>
                <w:sz w:val="20"/>
                <w:lang w:val="en-US"/>
              </w:rPr>
              <w:t>101</w:t>
            </w:r>
          </w:p>
        </w:tc>
      </w:tr>
      <w:tr w:rsidR="00B00BF5" w:rsidRPr="00B00BF5" w:rsidTr="009F412E">
        <w:trPr>
          <w:trHeight w:val="405"/>
        </w:trPr>
        <w:tc>
          <w:tcPr>
            <w:tcW w:w="5704" w:type="dxa"/>
            <w:tcBorders>
              <w:top w:val="single" w:sz="8" w:space="0" w:color="FFFFFF"/>
              <w:left w:val="single" w:sz="8" w:space="0" w:color="FFFFFF"/>
              <w:right w:val="single" w:sz="24" w:space="0" w:color="FFFFFF"/>
            </w:tcBorders>
            <w:shd w:val="clear" w:color="auto" w:fill="4F81BD"/>
            <w:noWrap/>
          </w:tcPr>
          <w:p w:rsidR="00B00BF5" w:rsidRPr="00B00BF5" w:rsidRDefault="00B00BF5" w:rsidP="00B00BF5">
            <w:pPr>
              <w:suppressAutoHyphens/>
              <w:autoSpaceDN w:val="0"/>
              <w:spacing w:before="0" w:after="0" w:line="276" w:lineRule="auto"/>
              <w:jc w:val="left"/>
              <w:textAlignment w:val="baseline"/>
              <w:rPr>
                <w:rFonts w:ascii="Times New Roman" w:eastAsia="Calibri" w:hAnsi="Times New Roman" w:cs="Times New Roman"/>
                <w:bCs/>
                <w:color w:val="FFFFFF"/>
                <w:sz w:val="20"/>
                <w:szCs w:val="20"/>
                <w:lang w:val="hr-HR"/>
              </w:rPr>
            </w:pPr>
            <w:r w:rsidRPr="00B00BF5">
              <w:rPr>
                <w:rFonts w:ascii="Times New Roman" w:eastAsia="Calibri" w:hAnsi="Times New Roman" w:cs="Times New Roman"/>
                <w:bCs/>
                <w:color w:val="FFFFFF"/>
                <w:sz w:val="20"/>
                <w:szCs w:val="20"/>
                <w:lang w:val="hr-HR"/>
              </w:rPr>
              <w:t xml:space="preserve">Održani </w:t>
            </w:r>
            <w:r w:rsidRPr="00B00BF5">
              <w:rPr>
                <w:rFonts w:ascii="Times New Roman" w:eastAsia="Times New Roman" w:hAnsi="Times New Roman" w:cs="Times New Roman"/>
                <w:color w:val="FFFFFF"/>
                <w:sz w:val="20"/>
                <w:szCs w:val="20"/>
                <w:lang w:val="sl-SI" w:eastAsia="sl-SI"/>
              </w:rPr>
              <w:t>seminari, sastanci, radionice, carinske obuke</w:t>
            </w:r>
          </w:p>
        </w:tc>
        <w:tc>
          <w:tcPr>
            <w:tcW w:w="1242" w:type="dxa"/>
            <w:tcBorders>
              <w:top w:val="single" w:sz="8" w:space="0" w:color="FFFFFF"/>
              <w:left w:val="single" w:sz="8" w:space="0" w:color="FFFFFF"/>
              <w:bottom w:val="single" w:sz="8" w:space="0" w:color="FFFFFF"/>
              <w:right w:val="single" w:sz="8" w:space="0" w:color="FFFFFF"/>
            </w:tcBorders>
            <w:shd w:val="clear" w:color="auto" w:fill="A7BFDE"/>
            <w:noWrap/>
            <w:vAlign w:val="center"/>
          </w:tcPr>
          <w:p w:rsidR="00B00BF5" w:rsidRPr="00B00BF5" w:rsidRDefault="00B00BF5" w:rsidP="00B00BF5">
            <w:pPr>
              <w:spacing w:before="0" w:after="0" w:line="240" w:lineRule="auto"/>
              <w:jc w:val="center"/>
              <w:rPr>
                <w:rFonts w:ascii="Times New Roman" w:eastAsia="Calibri" w:hAnsi="Times New Roman" w:cs="Times New Roman"/>
                <w:sz w:val="20"/>
                <w:lang w:val="en-US"/>
              </w:rPr>
            </w:pPr>
            <w:r w:rsidRPr="00B00BF5">
              <w:rPr>
                <w:rFonts w:ascii="Times New Roman" w:eastAsia="Calibri" w:hAnsi="Times New Roman" w:cs="Times New Roman"/>
                <w:sz w:val="20"/>
                <w:lang w:val="en-US"/>
              </w:rPr>
              <w:t>31</w:t>
            </w:r>
          </w:p>
        </w:tc>
        <w:tc>
          <w:tcPr>
            <w:tcW w:w="1559" w:type="dxa"/>
            <w:tcBorders>
              <w:top w:val="single" w:sz="8" w:space="0" w:color="FFFFFF"/>
              <w:left w:val="single" w:sz="8" w:space="0" w:color="FFFFFF"/>
              <w:bottom w:val="single" w:sz="8" w:space="0" w:color="FFFFFF"/>
              <w:right w:val="single" w:sz="8" w:space="0" w:color="FFFFFF"/>
            </w:tcBorders>
            <w:shd w:val="clear" w:color="auto" w:fill="A7BFDE"/>
            <w:noWrap/>
            <w:vAlign w:val="center"/>
          </w:tcPr>
          <w:p w:rsidR="00B00BF5" w:rsidRPr="00B00BF5" w:rsidRDefault="00B00BF5" w:rsidP="00B00BF5">
            <w:pPr>
              <w:spacing w:before="0" w:after="0" w:line="240" w:lineRule="auto"/>
              <w:jc w:val="center"/>
              <w:rPr>
                <w:rFonts w:ascii="Times New Roman" w:eastAsia="Calibri" w:hAnsi="Times New Roman" w:cs="Times New Roman"/>
                <w:sz w:val="20"/>
                <w:lang w:val="en-US"/>
              </w:rPr>
            </w:pPr>
            <w:r w:rsidRPr="00B00BF5">
              <w:rPr>
                <w:rFonts w:ascii="Times New Roman" w:eastAsia="Calibri" w:hAnsi="Times New Roman" w:cs="Times New Roman"/>
                <w:sz w:val="20"/>
                <w:lang w:val="en-US"/>
              </w:rPr>
              <w:t>6</w:t>
            </w:r>
          </w:p>
        </w:tc>
      </w:tr>
      <w:tr w:rsidR="00B00BF5" w:rsidRPr="00B00BF5" w:rsidTr="009F412E">
        <w:trPr>
          <w:trHeight w:val="328"/>
        </w:trPr>
        <w:tc>
          <w:tcPr>
            <w:tcW w:w="5704" w:type="dxa"/>
            <w:tcBorders>
              <w:left w:val="single" w:sz="8" w:space="0" w:color="FFFFFF"/>
              <w:right w:val="single" w:sz="24" w:space="0" w:color="FFFFFF"/>
            </w:tcBorders>
            <w:shd w:val="clear" w:color="auto" w:fill="4F81BD"/>
            <w:noWrap/>
            <w:hideMark/>
          </w:tcPr>
          <w:p w:rsidR="00B00BF5" w:rsidRPr="00B00BF5" w:rsidRDefault="00B00BF5" w:rsidP="00B00BF5">
            <w:pPr>
              <w:suppressAutoHyphens/>
              <w:autoSpaceDN w:val="0"/>
              <w:spacing w:before="0" w:after="0" w:line="276" w:lineRule="auto"/>
              <w:jc w:val="left"/>
              <w:textAlignment w:val="baseline"/>
              <w:rPr>
                <w:rFonts w:ascii="Times New Roman" w:eastAsia="Calibri" w:hAnsi="Times New Roman" w:cs="Times New Roman"/>
                <w:bCs/>
                <w:color w:val="FFFFFF"/>
                <w:sz w:val="20"/>
                <w:szCs w:val="20"/>
                <w:lang w:val="hr-HR"/>
              </w:rPr>
            </w:pPr>
            <w:r w:rsidRPr="00B00BF5">
              <w:rPr>
                <w:rFonts w:ascii="Times New Roman" w:eastAsia="Calibri" w:hAnsi="Times New Roman" w:cs="Times New Roman"/>
                <w:bCs/>
                <w:color w:val="FFFFFF"/>
                <w:sz w:val="20"/>
                <w:szCs w:val="20"/>
                <w:lang w:val="hr-HR"/>
              </w:rPr>
              <w:t xml:space="preserve">Održani online </w:t>
            </w:r>
            <w:r w:rsidRPr="00B00BF5">
              <w:rPr>
                <w:rFonts w:ascii="Times New Roman" w:eastAsia="Times New Roman" w:hAnsi="Times New Roman" w:cs="Times New Roman"/>
                <w:color w:val="FFFFFF"/>
                <w:sz w:val="20"/>
                <w:szCs w:val="20"/>
                <w:lang w:val="sl-SI" w:eastAsia="sl-SI"/>
              </w:rPr>
              <w:t xml:space="preserve">seminari, sastanci, radionice, carinske obuke..   </w:t>
            </w:r>
            <w:r w:rsidRPr="00B00BF5">
              <w:rPr>
                <w:rFonts w:ascii="Times New Roman" w:eastAsia="Calibri" w:hAnsi="Times New Roman" w:cs="Times New Roman"/>
                <w:bCs/>
                <w:color w:val="FFFFFF"/>
                <w:sz w:val="20"/>
                <w:szCs w:val="20"/>
                <w:lang w:val="hr-HR"/>
              </w:rPr>
              <w:t xml:space="preserve"> ( zbog Covid 19-a) </w:t>
            </w:r>
          </w:p>
        </w:tc>
        <w:tc>
          <w:tcPr>
            <w:tcW w:w="1242" w:type="dxa"/>
            <w:shd w:val="clear" w:color="auto" w:fill="D3DFEE"/>
            <w:noWrap/>
            <w:vAlign w:val="center"/>
          </w:tcPr>
          <w:p w:rsidR="00B00BF5" w:rsidRPr="00B00BF5" w:rsidRDefault="00B00BF5" w:rsidP="00B00BF5">
            <w:pPr>
              <w:spacing w:before="0" w:after="0" w:line="240" w:lineRule="auto"/>
              <w:jc w:val="center"/>
              <w:rPr>
                <w:rFonts w:ascii="Times New Roman" w:eastAsia="Calibri" w:hAnsi="Times New Roman" w:cs="Times New Roman"/>
                <w:sz w:val="20"/>
                <w:lang w:val="en-US"/>
              </w:rPr>
            </w:pPr>
            <w:r w:rsidRPr="00B00BF5">
              <w:rPr>
                <w:rFonts w:ascii="Times New Roman" w:eastAsia="Calibri" w:hAnsi="Times New Roman" w:cs="Times New Roman"/>
                <w:sz w:val="20"/>
                <w:lang w:val="en-US"/>
              </w:rPr>
              <w:t>29</w:t>
            </w:r>
          </w:p>
        </w:tc>
        <w:tc>
          <w:tcPr>
            <w:tcW w:w="1559" w:type="dxa"/>
            <w:shd w:val="clear" w:color="auto" w:fill="D3DFEE"/>
            <w:noWrap/>
            <w:vAlign w:val="center"/>
          </w:tcPr>
          <w:p w:rsidR="00B00BF5" w:rsidRPr="00B00BF5" w:rsidRDefault="00B00BF5" w:rsidP="00B00BF5">
            <w:pPr>
              <w:spacing w:before="0" w:after="0" w:line="240" w:lineRule="auto"/>
              <w:jc w:val="center"/>
              <w:rPr>
                <w:rFonts w:ascii="Times New Roman" w:eastAsia="Calibri" w:hAnsi="Times New Roman" w:cs="Times New Roman"/>
                <w:sz w:val="20"/>
                <w:lang w:val="en-US"/>
              </w:rPr>
            </w:pPr>
            <w:r w:rsidRPr="00B00BF5">
              <w:rPr>
                <w:rFonts w:ascii="Times New Roman" w:eastAsia="Calibri" w:hAnsi="Times New Roman" w:cs="Times New Roman"/>
                <w:sz w:val="20"/>
                <w:lang w:val="en-US"/>
              </w:rPr>
              <w:t>95</w:t>
            </w:r>
          </w:p>
        </w:tc>
      </w:tr>
      <w:tr w:rsidR="00B00BF5" w:rsidRPr="00B00BF5" w:rsidTr="009F412E">
        <w:trPr>
          <w:trHeight w:val="328"/>
        </w:trPr>
        <w:tc>
          <w:tcPr>
            <w:tcW w:w="5704" w:type="dxa"/>
            <w:tcBorders>
              <w:left w:val="single" w:sz="8" w:space="0" w:color="FFFFFF"/>
              <w:right w:val="single" w:sz="24" w:space="0" w:color="FFFFFF"/>
            </w:tcBorders>
            <w:shd w:val="clear" w:color="auto" w:fill="4F81BD"/>
            <w:noWrap/>
          </w:tcPr>
          <w:p w:rsidR="00B00BF5" w:rsidRPr="00B00BF5" w:rsidRDefault="00B00BF5" w:rsidP="00B00BF5">
            <w:pPr>
              <w:suppressAutoHyphens/>
              <w:autoSpaceDN w:val="0"/>
              <w:spacing w:before="0" w:after="0" w:line="276" w:lineRule="auto"/>
              <w:jc w:val="left"/>
              <w:textAlignment w:val="baseline"/>
              <w:rPr>
                <w:rFonts w:ascii="Times New Roman" w:eastAsia="Calibri" w:hAnsi="Times New Roman" w:cs="Times New Roman"/>
                <w:bCs/>
                <w:color w:val="FFFFFF"/>
                <w:sz w:val="20"/>
                <w:szCs w:val="20"/>
                <w:lang w:val="hr-HR"/>
              </w:rPr>
            </w:pPr>
            <w:r w:rsidRPr="00B00BF5">
              <w:rPr>
                <w:rFonts w:ascii="Times New Roman" w:eastAsia="Calibri" w:hAnsi="Times New Roman" w:cs="Times New Roman"/>
                <w:bCs/>
                <w:color w:val="FFFFFF"/>
                <w:sz w:val="20"/>
                <w:szCs w:val="20"/>
                <w:lang w:val="hr-HR"/>
              </w:rPr>
              <w:t>Odložene obuke (zbog Covid 19-a)</w:t>
            </w:r>
          </w:p>
        </w:tc>
        <w:tc>
          <w:tcPr>
            <w:tcW w:w="1242" w:type="dxa"/>
            <w:shd w:val="clear" w:color="auto" w:fill="D3DFEE"/>
            <w:noWrap/>
            <w:vAlign w:val="center"/>
          </w:tcPr>
          <w:p w:rsidR="00B00BF5" w:rsidRPr="00B00BF5" w:rsidRDefault="00B00BF5" w:rsidP="00B00BF5">
            <w:pPr>
              <w:spacing w:before="0" w:after="0" w:line="240" w:lineRule="auto"/>
              <w:jc w:val="center"/>
              <w:rPr>
                <w:rFonts w:ascii="Times New Roman" w:eastAsia="Calibri" w:hAnsi="Times New Roman" w:cs="Times New Roman"/>
                <w:sz w:val="20"/>
                <w:lang w:val="en-US"/>
              </w:rPr>
            </w:pPr>
            <w:r w:rsidRPr="00B00BF5">
              <w:rPr>
                <w:rFonts w:ascii="Times New Roman" w:eastAsia="Calibri" w:hAnsi="Times New Roman" w:cs="Times New Roman"/>
                <w:sz w:val="20"/>
                <w:lang w:val="en-US"/>
              </w:rPr>
              <w:t>4</w:t>
            </w:r>
          </w:p>
        </w:tc>
        <w:tc>
          <w:tcPr>
            <w:tcW w:w="1559" w:type="dxa"/>
            <w:shd w:val="clear" w:color="auto" w:fill="D3DFEE"/>
            <w:noWrap/>
            <w:vAlign w:val="center"/>
          </w:tcPr>
          <w:p w:rsidR="00B00BF5" w:rsidRPr="00B00BF5" w:rsidRDefault="00B00BF5" w:rsidP="00B00BF5">
            <w:pPr>
              <w:spacing w:before="0" w:after="0" w:line="240" w:lineRule="auto"/>
              <w:jc w:val="center"/>
              <w:rPr>
                <w:rFonts w:ascii="Times New Roman" w:eastAsia="Calibri" w:hAnsi="Times New Roman" w:cs="Times New Roman"/>
                <w:sz w:val="20"/>
                <w:lang w:val="en-US"/>
              </w:rPr>
            </w:pPr>
            <w:r w:rsidRPr="00B00BF5">
              <w:rPr>
                <w:rFonts w:ascii="Times New Roman" w:eastAsia="Calibri" w:hAnsi="Times New Roman" w:cs="Times New Roman"/>
                <w:sz w:val="20"/>
                <w:lang w:val="en-US"/>
              </w:rPr>
              <w:t>-</w:t>
            </w:r>
          </w:p>
        </w:tc>
      </w:tr>
      <w:tr w:rsidR="00B00BF5" w:rsidRPr="00B00BF5" w:rsidTr="009F412E">
        <w:trPr>
          <w:trHeight w:val="122"/>
        </w:trPr>
        <w:tc>
          <w:tcPr>
            <w:tcW w:w="5704" w:type="dxa"/>
            <w:tcBorders>
              <w:top w:val="single" w:sz="8" w:space="0" w:color="FFFFFF"/>
              <w:left w:val="single" w:sz="8" w:space="0" w:color="FFFFFF"/>
              <w:bottom w:val="single" w:sz="8" w:space="0" w:color="FFFFFF"/>
              <w:right w:val="single" w:sz="24" w:space="0" w:color="FFFFFF"/>
            </w:tcBorders>
            <w:shd w:val="clear" w:color="auto" w:fill="4F81BD"/>
            <w:hideMark/>
          </w:tcPr>
          <w:p w:rsidR="00B00BF5" w:rsidRPr="00B00BF5" w:rsidRDefault="00B00BF5" w:rsidP="00B00BF5">
            <w:pPr>
              <w:suppressAutoHyphens/>
              <w:autoSpaceDN w:val="0"/>
              <w:spacing w:before="0" w:after="0" w:line="276" w:lineRule="auto"/>
              <w:jc w:val="left"/>
              <w:textAlignment w:val="baseline"/>
              <w:rPr>
                <w:rFonts w:ascii="Times New Roman" w:eastAsia="Calibri" w:hAnsi="Times New Roman" w:cs="Times New Roman"/>
                <w:bCs/>
                <w:color w:val="FFFFFF"/>
                <w:sz w:val="20"/>
                <w:szCs w:val="20"/>
                <w:lang w:val="hr-HR"/>
              </w:rPr>
            </w:pPr>
            <w:r w:rsidRPr="00B00BF5">
              <w:rPr>
                <w:rFonts w:ascii="Times New Roman" w:eastAsia="Calibri" w:hAnsi="Times New Roman" w:cs="Times New Roman"/>
                <w:bCs/>
                <w:color w:val="FFFFFF"/>
                <w:sz w:val="20"/>
                <w:szCs w:val="20"/>
                <w:lang w:val="hr-HR"/>
              </w:rPr>
              <w:t>Ukupno:</w:t>
            </w:r>
          </w:p>
        </w:tc>
        <w:tc>
          <w:tcPr>
            <w:tcW w:w="1242" w:type="dxa"/>
            <w:tcBorders>
              <w:top w:val="single" w:sz="8" w:space="0" w:color="FFFFFF"/>
              <w:left w:val="single" w:sz="8" w:space="0" w:color="FFFFFF"/>
              <w:bottom w:val="single" w:sz="8" w:space="0" w:color="FFFFFF"/>
              <w:right w:val="single" w:sz="8" w:space="0" w:color="FFFFFF"/>
            </w:tcBorders>
            <w:shd w:val="clear" w:color="auto" w:fill="A7BFDE"/>
            <w:noWrap/>
            <w:vAlign w:val="center"/>
          </w:tcPr>
          <w:p w:rsidR="00B00BF5" w:rsidRPr="00B00BF5" w:rsidRDefault="00B00BF5" w:rsidP="00B00BF5">
            <w:pPr>
              <w:spacing w:before="0" w:after="0" w:line="240" w:lineRule="auto"/>
              <w:jc w:val="center"/>
              <w:rPr>
                <w:rFonts w:ascii="Times New Roman" w:eastAsia="Calibri" w:hAnsi="Times New Roman" w:cs="Times New Roman"/>
                <w:b/>
                <w:color w:val="943634"/>
                <w:sz w:val="20"/>
                <w:lang w:val="en-US"/>
              </w:rPr>
            </w:pPr>
            <w:r w:rsidRPr="00B00BF5">
              <w:rPr>
                <w:rFonts w:ascii="Times New Roman" w:eastAsia="Calibri" w:hAnsi="Times New Roman" w:cs="Times New Roman"/>
                <w:b/>
                <w:sz w:val="20"/>
                <w:lang w:val="en-US"/>
              </w:rPr>
              <w:t>60</w:t>
            </w:r>
          </w:p>
        </w:tc>
        <w:tc>
          <w:tcPr>
            <w:tcW w:w="1559" w:type="dxa"/>
            <w:tcBorders>
              <w:top w:val="single" w:sz="8" w:space="0" w:color="FFFFFF"/>
              <w:left w:val="single" w:sz="8" w:space="0" w:color="FFFFFF"/>
              <w:bottom w:val="single" w:sz="8" w:space="0" w:color="FFFFFF"/>
              <w:right w:val="single" w:sz="8" w:space="0" w:color="FFFFFF"/>
            </w:tcBorders>
            <w:shd w:val="clear" w:color="auto" w:fill="A7BFDE"/>
            <w:noWrap/>
            <w:vAlign w:val="center"/>
          </w:tcPr>
          <w:p w:rsidR="00B00BF5" w:rsidRPr="00B00BF5" w:rsidRDefault="00B00BF5" w:rsidP="00B00BF5">
            <w:pPr>
              <w:spacing w:before="0" w:after="0" w:line="240" w:lineRule="auto"/>
              <w:jc w:val="center"/>
              <w:rPr>
                <w:rFonts w:ascii="Times New Roman" w:eastAsia="Calibri" w:hAnsi="Times New Roman" w:cs="Times New Roman"/>
                <w:b/>
                <w:sz w:val="20"/>
                <w:lang w:val="en-US"/>
              </w:rPr>
            </w:pPr>
            <w:r w:rsidRPr="00B00BF5">
              <w:rPr>
                <w:rFonts w:ascii="Times New Roman" w:eastAsia="Calibri" w:hAnsi="Times New Roman" w:cs="Times New Roman"/>
                <w:b/>
                <w:sz w:val="20"/>
                <w:lang w:val="en-US"/>
              </w:rPr>
              <w:t>196</w:t>
            </w:r>
          </w:p>
        </w:tc>
      </w:tr>
    </w:tbl>
    <w:p w:rsidR="00B00BF5" w:rsidRPr="00B00BF5" w:rsidRDefault="00B00BF5" w:rsidP="00B00BF5">
      <w:pPr>
        <w:spacing w:before="0" w:after="0" w:line="240" w:lineRule="auto"/>
        <w:rPr>
          <w:rFonts w:ascii="Times New Roman" w:eastAsia="Calibri" w:hAnsi="Times New Roman" w:cs="Times New Roman"/>
          <w:color w:val="943634"/>
          <w:sz w:val="22"/>
        </w:rPr>
      </w:pPr>
    </w:p>
    <w:p w:rsidR="00B00BF5" w:rsidRPr="00B00BF5" w:rsidRDefault="00B00BF5" w:rsidP="00B00BF5">
      <w:pPr>
        <w:keepNext/>
        <w:keepLines/>
        <w:tabs>
          <w:tab w:val="left" w:pos="4962"/>
        </w:tabs>
        <w:spacing w:before="0" w:after="0" w:line="240" w:lineRule="auto"/>
        <w:ind w:hanging="11"/>
        <w:jc w:val="left"/>
        <w:outlineLvl w:val="2"/>
        <w:rPr>
          <w:rFonts w:eastAsia="Times New Roman" w:cs="Times New Roman"/>
          <w:b/>
          <w:bCs/>
          <w:noProof/>
          <w:color w:val="000000"/>
          <w:szCs w:val="24"/>
        </w:rPr>
      </w:pPr>
      <w:bookmarkStart w:id="53" w:name="_Toc32584031"/>
      <w:bookmarkStart w:id="54" w:name="_Toc32835775"/>
      <w:bookmarkStart w:id="55" w:name="_Toc32835842"/>
      <w:bookmarkStart w:id="56" w:name="_Toc62197143"/>
      <w:bookmarkStart w:id="57" w:name="_Toc62552714"/>
      <w:bookmarkStart w:id="58" w:name="_Toc62813713"/>
      <w:r>
        <w:rPr>
          <w:rFonts w:ascii="Times New Roman" w:eastAsia="Times New Roman" w:hAnsi="Times New Roman" w:cs="Times New Roman"/>
          <w:b/>
          <w:bCs/>
          <w:noProof/>
          <w:color w:val="000000"/>
          <w:sz w:val="22"/>
          <w:szCs w:val="24"/>
        </w:rPr>
        <w:t xml:space="preserve">             </w:t>
      </w:r>
      <w:r w:rsidRPr="00B00BF5">
        <w:rPr>
          <w:rFonts w:eastAsia="Times New Roman" w:cs="Times New Roman"/>
          <w:b/>
          <w:bCs/>
          <w:noProof/>
          <w:color w:val="000000"/>
          <w:szCs w:val="24"/>
        </w:rPr>
        <w:t>Jačanje integriteta i kredibiliteta</w:t>
      </w:r>
      <w:bookmarkEnd w:id="53"/>
      <w:bookmarkEnd w:id="54"/>
      <w:bookmarkEnd w:id="55"/>
      <w:bookmarkEnd w:id="56"/>
      <w:bookmarkEnd w:id="57"/>
      <w:bookmarkEnd w:id="58"/>
    </w:p>
    <w:p w:rsidR="00B00BF5" w:rsidRPr="00B00BF5" w:rsidRDefault="00B00BF5" w:rsidP="00B00BF5">
      <w:pPr>
        <w:spacing w:before="0" w:after="0" w:line="240" w:lineRule="auto"/>
        <w:ind w:firstLine="708"/>
        <w:rPr>
          <w:rFonts w:eastAsia="Times New Roman" w:cs="Times New Roman"/>
          <w:szCs w:val="24"/>
          <w:lang w:val="en-US"/>
        </w:rPr>
      </w:pPr>
      <w:r w:rsidRPr="00B00BF5">
        <w:rPr>
          <w:rFonts w:eastAsia="Times New Roman" w:cs="Times New Roman"/>
          <w:szCs w:val="24"/>
          <w:lang w:val="en-US"/>
        </w:rPr>
        <w:t xml:space="preserve">Agenciji za sprječavanje korupcije, u januaru i julu 2020.godine dostavljen je </w:t>
      </w:r>
      <w:r w:rsidRPr="00B00BF5">
        <w:rPr>
          <w:rFonts w:eastAsia="Times New Roman" w:cs="Times New Roman"/>
          <w:b/>
          <w:szCs w:val="24"/>
          <w:lang w:val="en-US"/>
        </w:rPr>
        <w:t>Izvještaj o kršenju Etičkog kodeksa carinskih službenika u toku 2019.i 2020.godine</w:t>
      </w:r>
      <w:r w:rsidRPr="00B00BF5">
        <w:rPr>
          <w:rFonts w:eastAsia="Times New Roman" w:cs="Times New Roman"/>
          <w:szCs w:val="24"/>
          <w:lang w:val="sl-SI"/>
        </w:rPr>
        <w:t>.</w:t>
      </w:r>
      <w:r w:rsidRPr="00B00BF5">
        <w:rPr>
          <w:rFonts w:eastAsia="Times New Roman" w:cs="Times New Roman"/>
          <w:szCs w:val="24"/>
          <w:lang w:val="en-US"/>
        </w:rPr>
        <w:t xml:space="preserve"> Navedeni izvještaji se dostavljaju Agenciji u skladu sa Akcionom planom za poglavlje 23- Pravosuđe i temeljna prava, u cilju praćenja bilansa kršenja Etičkih kodeksa za pripadnike zakonodavne i izvršne vlasti.</w:t>
      </w:r>
    </w:p>
    <w:p w:rsidR="00B00BF5" w:rsidRPr="00B00BF5" w:rsidRDefault="00B00BF5" w:rsidP="00B00BF5">
      <w:pPr>
        <w:spacing w:before="0" w:after="0" w:line="240" w:lineRule="auto"/>
        <w:ind w:firstLine="708"/>
        <w:rPr>
          <w:rFonts w:eastAsia="Times New Roman" w:cs="Times New Roman"/>
          <w:szCs w:val="24"/>
          <w:lang w:val="en-US"/>
        </w:rPr>
      </w:pPr>
      <w:r w:rsidRPr="00B00BF5">
        <w:rPr>
          <w:rFonts w:eastAsia="Times New Roman" w:cs="Times New Roman"/>
          <w:bCs/>
          <w:iCs/>
          <w:szCs w:val="24"/>
          <w:lang w:val="en-US"/>
        </w:rPr>
        <w:t>Shodno Zakonu o sprječavanju korupcije, organi vlasti su u obavezi da do 15.</w:t>
      </w:r>
      <w:r w:rsidR="009C72E1">
        <w:rPr>
          <w:rFonts w:eastAsia="Times New Roman" w:cs="Times New Roman"/>
          <w:bCs/>
          <w:iCs/>
          <w:szCs w:val="24"/>
          <w:lang w:val="en-US"/>
        </w:rPr>
        <w:t xml:space="preserve"> </w:t>
      </w:r>
      <w:r w:rsidRPr="00B00BF5">
        <w:rPr>
          <w:rFonts w:eastAsia="Times New Roman" w:cs="Times New Roman"/>
          <w:bCs/>
          <w:iCs/>
          <w:szCs w:val="24"/>
          <w:lang w:val="en-US"/>
        </w:rPr>
        <w:t>aprila izrade Izvještaj o sprovođenju Plana integriteta za prethodnu godinu i isti dostave Agenciji za sprječavanje korupcije.</w:t>
      </w:r>
      <w:r w:rsidR="009C72E1">
        <w:rPr>
          <w:rFonts w:eastAsia="Times New Roman" w:cs="Times New Roman"/>
          <w:bCs/>
          <w:iCs/>
          <w:szCs w:val="24"/>
          <w:lang w:val="en-US"/>
        </w:rPr>
        <w:t xml:space="preserve"> </w:t>
      </w:r>
      <w:r w:rsidRPr="00B00BF5">
        <w:rPr>
          <w:rFonts w:eastAsia="Times New Roman" w:cs="Times New Roman"/>
          <w:bCs/>
          <w:iCs/>
          <w:szCs w:val="24"/>
          <w:lang w:val="en-US"/>
        </w:rPr>
        <w:t>Na osnovu dostavljenih izvještaja organizacionih jedinica, prilagođavajući iste formi, sadržaju i potrebi detaljnog prikaza realizacije mjera, izradjen je Izvještaj o sprovođenju Plana integriteta za 2020.</w:t>
      </w:r>
      <w:r w:rsidR="009C72E1">
        <w:rPr>
          <w:rFonts w:eastAsia="Times New Roman" w:cs="Times New Roman"/>
          <w:bCs/>
          <w:iCs/>
          <w:szCs w:val="24"/>
          <w:lang w:val="en-US"/>
        </w:rPr>
        <w:t xml:space="preserve"> </w:t>
      </w:r>
      <w:r w:rsidRPr="00B00BF5">
        <w:rPr>
          <w:rFonts w:eastAsia="Times New Roman" w:cs="Times New Roman"/>
          <w:bCs/>
          <w:iCs/>
          <w:szCs w:val="24"/>
          <w:lang w:val="en-US"/>
        </w:rPr>
        <w:t>godinu i</w:t>
      </w:r>
      <w:r w:rsidRPr="00B00BF5">
        <w:rPr>
          <w:rFonts w:eastAsia="Times New Roman" w:cs="Times New Roman"/>
          <w:szCs w:val="24"/>
          <w:lang w:val="en-US"/>
        </w:rPr>
        <w:t xml:space="preserve"> dostavljen Agenciji za sprječavanje korupcije. Takođe, </w:t>
      </w:r>
      <w:r w:rsidRPr="00B00BF5">
        <w:rPr>
          <w:rFonts w:eastAsia="Times New Roman" w:cs="Times New Roman"/>
          <w:b/>
          <w:szCs w:val="24"/>
          <w:lang w:val="en-US"/>
        </w:rPr>
        <w:t>Godišnji izvještaj o sprovođenju Plana integriteta</w:t>
      </w:r>
      <w:r w:rsidRPr="00B00BF5">
        <w:rPr>
          <w:rFonts w:eastAsia="Times New Roman" w:cs="Times New Roman"/>
          <w:szCs w:val="24"/>
          <w:lang w:val="en-US"/>
        </w:rPr>
        <w:t xml:space="preserve"> je postavljen na Intranet Oglasnoj stranici Uprave carina. Od ukupno 148 definisanih mjera, realizovano je 90%, odnosno realizovane su 133 mjere, djelimično realizovano 8%, odnosno 12 mjera, dok 2%, odnosno 3 mjere nijesu realizovane.</w:t>
      </w:r>
    </w:p>
    <w:p w:rsidR="00B00BF5" w:rsidRPr="00B00BF5" w:rsidRDefault="00B00BF5" w:rsidP="00B00BF5">
      <w:pPr>
        <w:spacing w:before="0" w:after="0" w:line="240" w:lineRule="auto"/>
        <w:ind w:firstLine="708"/>
        <w:rPr>
          <w:rFonts w:eastAsia="Calibri" w:cs="Times New Roman"/>
          <w:iCs/>
          <w:szCs w:val="24"/>
          <w:lang w:val="en-US"/>
        </w:rPr>
      </w:pPr>
      <w:r w:rsidRPr="00B00BF5">
        <w:rPr>
          <w:rFonts w:eastAsia="Times New Roman" w:cs="Times New Roman"/>
          <w:szCs w:val="24"/>
          <w:lang w:val="en-US"/>
        </w:rPr>
        <w:t>U skladu sa Zakonom o sprječavanju korupcije definisano je da “organ vlasti svake druge godine procjenjuje efikasnost i efektivnost Plana integriteta u skladu sa Pravilima za izradu i sprovođenje plana integriteta”. S tim u vezi, Agencija za sprječavanje korupcije je dostavila Upravi carina Upitnik za procjenu efikasnosti i efektivnosti plana integriteta</w:t>
      </w:r>
      <w:r w:rsidRPr="00B00BF5">
        <w:rPr>
          <w:rFonts w:eastAsia="Times New Roman" w:cs="Times New Roman"/>
          <w:b/>
          <w:szCs w:val="24"/>
          <w:lang w:val="en-US"/>
        </w:rPr>
        <w:t>,</w:t>
      </w:r>
      <w:r w:rsidRPr="00B00BF5">
        <w:rPr>
          <w:rFonts w:eastAsia="Times New Roman" w:cs="Times New Roman"/>
          <w:szCs w:val="24"/>
          <w:lang w:val="en-US"/>
        </w:rPr>
        <w:t xml:space="preserve"> koji služi organima vlasti za reviziju postojećeg, odnosno izradu novog plana integriteta. </w:t>
      </w:r>
      <w:r w:rsidRPr="00B00BF5">
        <w:rPr>
          <w:rFonts w:eastAsia="Calibri" w:cs="Times New Roman"/>
          <w:iCs/>
          <w:szCs w:val="24"/>
          <w:lang w:val="en-US"/>
        </w:rPr>
        <w:t xml:space="preserve">Odgovori na Upitnik </w:t>
      </w:r>
      <w:r w:rsidRPr="00B00BF5">
        <w:rPr>
          <w:rFonts w:eastAsia="Times New Roman" w:cs="Times New Roman"/>
          <w:szCs w:val="24"/>
          <w:lang w:val="en-US"/>
        </w:rPr>
        <w:t xml:space="preserve">su dostavljeni </w:t>
      </w:r>
      <w:r w:rsidRPr="00B00BF5">
        <w:rPr>
          <w:rFonts w:eastAsia="Calibri" w:cs="Times New Roman"/>
          <w:iCs/>
          <w:szCs w:val="24"/>
          <w:lang w:val="en-US"/>
        </w:rPr>
        <w:t>Agenciji.</w:t>
      </w:r>
    </w:p>
    <w:p w:rsidR="00B00BF5" w:rsidRPr="00B00BF5" w:rsidRDefault="00B00BF5" w:rsidP="00B00BF5">
      <w:pPr>
        <w:spacing w:before="0" w:after="0" w:line="240" w:lineRule="auto"/>
        <w:ind w:firstLine="708"/>
        <w:rPr>
          <w:rFonts w:eastAsia="Times New Roman" w:cs="Times New Roman"/>
          <w:color w:val="004080"/>
          <w:szCs w:val="24"/>
          <w:lang w:val="sl-SI" w:eastAsia="sl-SI"/>
        </w:rPr>
      </w:pPr>
      <w:r w:rsidRPr="00B00BF5">
        <w:rPr>
          <w:rFonts w:eastAsia="Times New Roman" w:cs="Times New Roman"/>
          <w:iCs/>
          <w:color w:val="000000"/>
          <w:szCs w:val="24"/>
          <w:lang w:val="en-US" w:eastAsia="sl-SI"/>
        </w:rPr>
        <w:t>Polazeći od promjena u organizacionoj strukturi, opisa poslova i radnih zadataka sistematizovanih organizacionih jedinica i radnih mjesta, kao i preporuka Agencije za sprječavanje korupcije za unaprjeđenje planova integriteta, izvršena je analiza svih radnih mjesta, stepena prijetnji i nastanka korupcije. Kroz osnovne rizike i postojeće mjere kontrola definisane su rezidualne rizike i oko 100 adekvatnih mjera za smanjenje rizika od neprihvatljivog ponašanja, u skladu sa vjerovatnoćom nastanka, uticaja i posljedicama korupcije i drugih oblika nezakonitog ili neetičkog postupanja.</w:t>
      </w:r>
    </w:p>
    <w:p w:rsidR="00B00BF5" w:rsidRPr="00B00BF5" w:rsidRDefault="00B00BF5" w:rsidP="00B00BF5">
      <w:pPr>
        <w:spacing w:before="0" w:after="0" w:line="240" w:lineRule="auto"/>
        <w:ind w:firstLine="708"/>
        <w:rPr>
          <w:rFonts w:eastAsia="Times New Roman" w:cs="Times New Roman"/>
          <w:color w:val="004080"/>
          <w:szCs w:val="24"/>
          <w:lang w:val="sl-SI" w:eastAsia="sl-SI"/>
        </w:rPr>
      </w:pPr>
      <w:r w:rsidRPr="00B00BF5">
        <w:rPr>
          <w:rFonts w:eastAsia="Times New Roman" w:cs="Times New Roman"/>
          <w:b/>
          <w:bCs/>
          <w:iCs/>
          <w:color w:val="000000"/>
          <w:szCs w:val="24"/>
          <w:lang w:val="en-US" w:eastAsia="sl-SI"/>
        </w:rPr>
        <w:t>Plan integriteta za 2020-2021.</w:t>
      </w:r>
      <w:r w:rsidR="009C72E1">
        <w:rPr>
          <w:rFonts w:eastAsia="Times New Roman" w:cs="Times New Roman"/>
          <w:b/>
          <w:bCs/>
          <w:iCs/>
          <w:color w:val="000000"/>
          <w:szCs w:val="24"/>
          <w:lang w:val="en-US" w:eastAsia="sl-SI"/>
        </w:rPr>
        <w:t xml:space="preserve">  </w:t>
      </w:r>
      <w:r w:rsidRPr="00B00BF5">
        <w:rPr>
          <w:rFonts w:eastAsia="Times New Roman" w:cs="Times New Roman"/>
          <w:b/>
          <w:bCs/>
          <w:iCs/>
          <w:color w:val="000000"/>
          <w:szCs w:val="24"/>
          <w:lang w:val="en-US" w:eastAsia="sl-SI"/>
        </w:rPr>
        <w:t>godinu</w:t>
      </w:r>
      <w:r w:rsidRPr="00B00BF5">
        <w:rPr>
          <w:rFonts w:eastAsia="Times New Roman" w:cs="Times New Roman"/>
          <w:bCs/>
          <w:iCs/>
          <w:color w:val="000000"/>
          <w:szCs w:val="24"/>
          <w:lang w:val="en-US" w:eastAsia="sl-SI"/>
        </w:rPr>
        <w:t>, čiji je sastavni dio Mapa rizika radnih mjesta i organizacionih jedinica Uprave carina, 20. Jula. Plan je objavljen na web sajtu i Intranet oglasnoj stranici Uprave carina.</w:t>
      </w:r>
    </w:p>
    <w:p w:rsidR="00B00BF5" w:rsidRPr="00B00BF5" w:rsidRDefault="00B00BF5" w:rsidP="00B00BF5">
      <w:pPr>
        <w:spacing w:before="0" w:after="0" w:line="240" w:lineRule="auto"/>
        <w:ind w:firstLine="720"/>
        <w:rPr>
          <w:rFonts w:eastAsia="Times New Roman" w:cs="Times New Roman"/>
          <w:szCs w:val="24"/>
          <w:lang w:val="en-US" w:eastAsia="sl-SI"/>
        </w:rPr>
      </w:pPr>
      <w:r w:rsidRPr="00B00BF5">
        <w:rPr>
          <w:rFonts w:eastAsia="Times New Roman" w:cs="Times New Roman"/>
          <w:iCs/>
          <w:szCs w:val="24"/>
          <w:lang w:val="en-US"/>
        </w:rPr>
        <w:lastRenderedPageBreak/>
        <w:t xml:space="preserve">U skladu sa Zakonom o sprječavanju korupcije i Zakonom o carinskoj službi ovlašćeni carinski službenici su u obavezi da dostavljaju izvještaje o prihodima i imovini Agenciji za sprječavanje korupcije. Imajući u vidu navedeno, </w:t>
      </w:r>
      <w:r w:rsidRPr="00B00BF5">
        <w:rPr>
          <w:rFonts w:eastAsia="Times New Roman" w:cs="Times New Roman"/>
          <w:szCs w:val="24"/>
          <w:lang w:val="en-US" w:eastAsia="sl-SI"/>
        </w:rPr>
        <w:t>Odjeljenje za unutrašnju kontrolu je uputilo dopis svim organizacionim jedinicama, kako bi ukupno 430 carinskih službenika koji imaju navedenu obavezu podnijeli Izvještaje o prihodima i imovini Agenciji za sprječavanje korupcije (upravnici PJ Carinarnica, šefovi carinskih ispostava, pomoćnici šefa ispostave, carinski inspektori, carinici-viši saradnici i carinici saradnici).</w:t>
      </w:r>
    </w:p>
    <w:p w:rsidR="00B00BF5" w:rsidRPr="00B00BF5" w:rsidRDefault="00B00BF5" w:rsidP="00B00BF5">
      <w:pPr>
        <w:spacing w:before="0" w:after="0" w:line="240" w:lineRule="auto"/>
        <w:ind w:firstLine="720"/>
        <w:rPr>
          <w:rFonts w:eastAsia="Times New Roman" w:cs="Times New Roman"/>
          <w:szCs w:val="24"/>
          <w:lang w:val="en-US" w:eastAsia="en-GB"/>
        </w:rPr>
      </w:pPr>
      <w:r w:rsidRPr="00B00BF5">
        <w:rPr>
          <w:rFonts w:eastAsia="Times New Roman" w:cs="Times New Roman"/>
          <w:szCs w:val="24"/>
          <w:lang w:val="en-US" w:eastAsia="en-GB"/>
        </w:rPr>
        <w:t xml:space="preserve">Takođe, u martu 2020.godine je usvojen </w:t>
      </w:r>
      <w:r w:rsidRPr="00B00BF5">
        <w:rPr>
          <w:rFonts w:eastAsia="Times New Roman" w:cs="Times New Roman"/>
          <w:b/>
          <w:szCs w:val="24"/>
          <w:lang w:val="en-US" w:eastAsia="en-GB"/>
        </w:rPr>
        <w:t>Zajednički plan mjera za prevenciju i represiju korupcije na graničnim prelazima za 2020.godinu</w:t>
      </w:r>
      <w:r w:rsidRPr="00B00BF5">
        <w:rPr>
          <w:rFonts w:eastAsia="Times New Roman" w:cs="Times New Roman"/>
          <w:szCs w:val="24"/>
          <w:lang w:val="en-US" w:eastAsia="en-GB"/>
        </w:rPr>
        <w:t>, kojim je definisano 13 mjera u nadležnosti Uprave carina.  U skladu sa planiranom dinamikom, u decembru 2020.godine sačininjen je i dostavljen Izvještaj za 2020.godinu o realizaciji Zajedničkog plana mjera, uz napomenu da su sve mjere iz nadležnosti carinske službe uspješno realizovane u toku 2020.godine. U skladu sa svojim nadležnostima, Upravi policije – Sektoru za granične provjere dostavljen je Prijedlog Zajedničkog plana mjera za 2021.godinu, koji je usvojen u decembru 2020.godine.</w:t>
      </w:r>
    </w:p>
    <w:p w:rsidR="00B00BF5" w:rsidRPr="00B00BF5" w:rsidRDefault="00B00BF5" w:rsidP="00B00BF5">
      <w:pPr>
        <w:autoSpaceDE w:val="0"/>
        <w:autoSpaceDN w:val="0"/>
        <w:adjustRightInd w:val="0"/>
        <w:spacing w:before="0" w:after="0" w:line="240" w:lineRule="auto"/>
        <w:ind w:firstLine="720"/>
        <w:rPr>
          <w:rFonts w:eastAsia="Times New Roman" w:cs="Times New Roman"/>
          <w:bCs/>
          <w:iCs/>
          <w:szCs w:val="24"/>
          <w:lang w:val="hr-HR"/>
        </w:rPr>
      </w:pPr>
      <w:r w:rsidRPr="00B00BF5">
        <w:rPr>
          <w:rFonts w:eastAsia="Times New Roman" w:cs="Times New Roman"/>
          <w:bCs/>
          <w:iCs/>
          <w:szCs w:val="24"/>
          <w:lang w:val="hr-HR"/>
        </w:rPr>
        <w:t xml:space="preserve">U periodu od 01.01. do 31.12.2020. godine Odjeljenju za unutrašnju kontrolu je upućeno 7 prijava građana na rad i postupanje carinskih službenika, i to: putem e-maila 2 prijave, putem pošte 2 prijave, putem on-line obrasca za prijavu korupcije 1 prijava i od strane drugih državnih organa 2 prijave. </w:t>
      </w:r>
    </w:p>
    <w:p w:rsidR="00EC793E" w:rsidRPr="00E46C80" w:rsidRDefault="00B00BF5" w:rsidP="00E46C80">
      <w:pPr>
        <w:spacing w:before="0" w:after="0" w:line="240" w:lineRule="auto"/>
        <w:ind w:firstLine="708"/>
        <w:rPr>
          <w:rFonts w:eastAsia="Times New Roman" w:cs="Times New Roman"/>
          <w:szCs w:val="24"/>
          <w:lang w:val="sl-SI"/>
        </w:rPr>
      </w:pPr>
      <w:r w:rsidRPr="00B00BF5">
        <w:rPr>
          <w:rFonts w:eastAsia="Times New Roman" w:cs="Times New Roman"/>
          <w:szCs w:val="24"/>
          <w:lang w:val="sl-SI"/>
        </w:rPr>
        <w:t>Sprovedeno je 16 kontrola, po osnovu kojih su date preporuke u cilju efikasnijeg obavljanja radnih zadataka i naloženo je rukovodiocima organizacionih jedinica da preduzmu odgovarajuće mjere i radnje iz svoje nadležnosti u cilju unapređenja rada.</w:t>
      </w:r>
    </w:p>
    <w:p w:rsidR="00E46C80" w:rsidRPr="00E46C80" w:rsidRDefault="00E46C80" w:rsidP="00E46C80">
      <w:pPr>
        <w:keepNext/>
        <w:keepLines/>
        <w:spacing w:after="0"/>
        <w:ind w:left="927"/>
        <w:jc w:val="left"/>
        <w:outlineLvl w:val="0"/>
        <w:rPr>
          <w:rFonts w:eastAsia="Calibri" w:cs="Times New Roman"/>
          <w:b/>
          <w:szCs w:val="24"/>
          <w:lang w:val="sl-SI" w:eastAsia="sl-SI"/>
        </w:rPr>
      </w:pPr>
      <w:r w:rsidRPr="00E46C80">
        <w:rPr>
          <w:rFonts w:eastAsia="Calibri" w:cs="Times New Roman"/>
          <w:b/>
          <w:szCs w:val="24"/>
          <w:lang w:val="sl-SI" w:eastAsia="sl-SI"/>
        </w:rPr>
        <w:t>MEĐUNARODNA SARADNJA</w:t>
      </w:r>
      <w:bookmarkStart w:id="59" w:name="_Toc32584045"/>
      <w:bookmarkStart w:id="60" w:name="_Toc32835783"/>
      <w:bookmarkStart w:id="61" w:name="_Toc32835850"/>
      <w:bookmarkStart w:id="62" w:name="_Toc32584043"/>
      <w:bookmarkStart w:id="63" w:name="_Toc32835781"/>
      <w:bookmarkStart w:id="64" w:name="_Toc32835848"/>
    </w:p>
    <w:p w:rsidR="00E46C80" w:rsidRPr="00E46C80" w:rsidRDefault="00E46C80" w:rsidP="00E46C80">
      <w:pPr>
        <w:spacing w:before="0" w:after="0" w:line="240" w:lineRule="auto"/>
        <w:ind w:firstLine="708"/>
        <w:rPr>
          <w:rFonts w:eastAsia="Times New Roman" w:cs="Times New Roman"/>
          <w:szCs w:val="24"/>
          <w:lang w:val="sl-SI"/>
        </w:rPr>
      </w:pPr>
      <w:r w:rsidRPr="00E46C80">
        <w:rPr>
          <w:rFonts w:eastAsia="Calibri" w:cs="Times New Roman"/>
          <w:szCs w:val="24"/>
          <w:shd w:val="clear" w:color="auto" w:fill="FFFFFF"/>
          <w:lang w:val="en-US"/>
        </w:rPr>
        <w:t xml:space="preserve">Nastavljene su aktivnosti na unaprjeđenju saradnje sa nadležnim službama Evropske unije, međunarodnim institucijama i organizacijama, kao i usvajanju međunarodnih standarda i najbolje evropske prakse. </w:t>
      </w:r>
      <w:r w:rsidRPr="00E46C80">
        <w:rPr>
          <w:rFonts w:eastAsia="Calibri" w:cs="Times New Roman"/>
          <w:szCs w:val="24"/>
          <w:lang w:val="sr-Latn-ME"/>
        </w:rPr>
        <w:t>U toku 2020. godine dostavljeni su Kancelariji za evropske integracije, Ministarstvu finansija i Ministarstvu ekonomije prilozi  o sprovedenim aktivnostima Uprave carina, u cilju redovnog izvještavanja Evropske komisije u procesu integracija. Takođe, realizovane su aktivnosti na  ispunjavanju zaključaka sa sastanaka Pododbora za trgovinu, industriju, carine, poreze i saradnju sa drugim zemljama kandidatima i  Odbora za stabilizaciju i pridruživanje, a koji predstavljaju glavne smjernice na izvršenju zadataka sa evropske agende.</w:t>
      </w:r>
      <w:r w:rsidRPr="00E46C80">
        <w:rPr>
          <w:rFonts w:eastAsia="Times New Roman" w:cs="Times New Roman"/>
          <w:szCs w:val="24"/>
          <w:lang w:val="sl-SI"/>
        </w:rPr>
        <w:t xml:space="preserve"> </w:t>
      </w:r>
    </w:p>
    <w:p w:rsidR="00E46C80" w:rsidRPr="00E46C80" w:rsidRDefault="00E46C80" w:rsidP="00E46C80">
      <w:pPr>
        <w:spacing w:before="0" w:after="0" w:line="240" w:lineRule="auto"/>
        <w:ind w:firstLine="708"/>
        <w:rPr>
          <w:rFonts w:eastAsia="Times New Roman" w:cs="Times New Roman"/>
          <w:szCs w:val="24"/>
        </w:rPr>
      </w:pPr>
      <w:r w:rsidRPr="00E46C80">
        <w:rPr>
          <w:rFonts w:eastAsia="Times New Roman" w:cs="Times New Roman"/>
          <w:szCs w:val="24"/>
          <w:lang w:val="sl-SI"/>
        </w:rPr>
        <w:t xml:space="preserve">Pripremljena je  dokumentacija za buduće projekte Uprave carina iz sredstava predpristupne podrške IPA i EUIF, u cilju ispunjavanja mjerila  iz Poglavlja 29 Carinska unija. </w:t>
      </w:r>
      <w:r w:rsidRPr="00E46C80">
        <w:rPr>
          <w:rFonts w:eastAsia="Times New Roman" w:cs="Times New Roman"/>
          <w:szCs w:val="24"/>
        </w:rPr>
        <w:t xml:space="preserve">Nastavljena je realizacija  programa CUSTOMS 2020 i tehničke podrške EU -TAIEX. </w:t>
      </w:r>
    </w:p>
    <w:p w:rsidR="00E46C80" w:rsidRPr="00E46C80" w:rsidRDefault="00E46C80" w:rsidP="00E46C80">
      <w:pPr>
        <w:spacing w:before="0" w:after="0" w:line="240" w:lineRule="auto"/>
        <w:ind w:firstLine="708"/>
        <w:rPr>
          <w:rFonts w:eastAsia="Calibri" w:cs="Times New Roman"/>
          <w:szCs w:val="24"/>
          <w:lang w:val="sl-SI"/>
        </w:rPr>
      </w:pPr>
      <w:r w:rsidRPr="00E46C80">
        <w:rPr>
          <w:rFonts w:eastAsia="Calibri" w:cs="Times New Roman"/>
          <w:szCs w:val="24"/>
          <w:lang w:val="sl-SI"/>
        </w:rPr>
        <w:t xml:space="preserve"> Uprava carina je  nastavila sa aktivnostima na finalizaciji projektnih zadataka i tehničkih specifikacija za aktivnosti čija je realizacija odobrena iz sredstava IPA 2018 u iznosu od 1.900.000€. Aktivnosti se odnose na: nabavku specijalizovanog kontejnera DATA CENTRE, radove na adaptaciji/rekonstrukciji Upravne zgrade, Područne jedinice Carinarnica  Bar, CI Putnički terminal Bar i CI Zelenika, usluge za unapređenje informacionih sistema, nabavku opreme za vršenje kontrolne funkcije Uprave carina, nabavku serverske i storage opreme i usluge  za obuku carinskih službenika. </w:t>
      </w:r>
      <w:r w:rsidRPr="00E46C80">
        <w:rPr>
          <w:rFonts w:eastAsia="Calibri" w:cs="Times New Roman"/>
          <w:szCs w:val="24"/>
          <w:lang w:val="sr-Latn-ME"/>
        </w:rPr>
        <w:t>Krajem decembra 2020.godine započeta je i realizacija Projekta</w:t>
      </w:r>
      <w:r w:rsidRPr="00E46C80">
        <w:rPr>
          <w:rFonts w:eastAsia="Calibri" w:cs="Times New Roman"/>
          <w:szCs w:val="24"/>
          <w:lang w:val="sl-SI"/>
        </w:rPr>
        <w:t xml:space="preserve"> “ Izrada glavnog projekta /tehničke dokumentacije za adaptaciju/rekonstrukciju objekata koje koristi Uprava carina“ iz sredstava EUIF. Realizacijom ovog Ugovora će biti pripremljena tenderska dokumentacija po PRAG pravilima za raspisivanje tendera za radove adaptacije/rekonstrukcije Upravne zgrade, Područne jedinice Carinarnica  Bar, CI Putnički terminal Bar i CI Zelenika. </w:t>
      </w:r>
    </w:p>
    <w:p w:rsidR="00E46C80" w:rsidRPr="00E46C80" w:rsidRDefault="00E46C80" w:rsidP="00E46C80">
      <w:pPr>
        <w:spacing w:before="0" w:after="0" w:line="240" w:lineRule="auto"/>
        <w:ind w:firstLine="708"/>
        <w:rPr>
          <w:rFonts w:eastAsia="Calibri" w:cs="Times New Roman"/>
          <w:szCs w:val="24"/>
          <w:lang w:val="en-US"/>
        </w:rPr>
      </w:pPr>
      <w:r w:rsidRPr="00E46C80">
        <w:rPr>
          <w:rFonts w:eastAsia="Calibri" w:cs="Times New Roman"/>
          <w:szCs w:val="24"/>
          <w:lang w:val="en-US"/>
        </w:rPr>
        <w:t>Pripremljeni su i upućeni predlozi za dva projekta za realizaciju iz sredstava EUIF 2017. Od stran</w:t>
      </w:r>
      <w:r w:rsidR="00745D02">
        <w:rPr>
          <w:rFonts w:eastAsia="Calibri" w:cs="Times New Roman"/>
          <w:szCs w:val="24"/>
          <w:lang w:val="en-US"/>
        </w:rPr>
        <w:t xml:space="preserve">e Evropske Komisije odobreni su predlozi </w:t>
      </w:r>
      <w:r w:rsidRPr="00E46C80">
        <w:rPr>
          <w:rFonts w:eastAsia="Calibri" w:cs="Times New Roman"/>
          <w:szCs w:val="24"/>
          <w:lang w:val="en-US"/>
        </w:rPr>
        <w:t xml:space="preserve">projekata “Implementacija carinskih odluka na nacionalnom nivou”, i “Podrška Upravi carina za pripremu za nadogradnju TARICG do TARIC EU poslednje verzije i odnosnih ITMS podsistema”. U toku je priprema projektnih zadataka za oba </w:t>
      </w:r>
      <w:r w:rsidRPr="00E46C80">
        <w:rPr>
          <w:rFonts w:eastAsia="Calibri" w:cs="Times New Roman"/>
          <w:szCs w:val="24"/>
          <w:lang w:val="en-US"/>
        </w:rPr>
        <w:lastRenderedPageBreak/>
        <w:t>projekta. Takođe, dostavljen je nadlež</w:t>
      </w:r>
      <w:r w:rsidR="00745D02">
        <w:rPr>
          <w:rFonts w:eastAsia="Calibri" w:cs="Times New Roman"/>
          <w:szCs w:val="24"/>
          <w:lang w:val="en-US"/>
        </w:rPr>
        <w:t>nim organima i predlog projekta</w:t>
      </w:r>
      <w:r w:rsidRPr="00E46C80">
        <w:rPr>
          <w:rFonts w:eastAsia="Calibri" w:cs="Times New Roman"/>
          <w:szCs w:val="24"/>
          <w:lang w:val="en-US"/>
        </w:rPr>
        <w:t xml:space="preserve"> koji obuhvata aktivnosti planirane da se realizuju iz sredstava IPA III u okviru programiranja za IPA 2021 i IPA 2022. </w:t>
      </w:r>
    </w:p>
    <w:p w:rsidR="00E46C80" w:rsidRPr="00E46C80" w:rsidRDefault="00E46C80" w:rsidP="00E46C80">
      <w:pPr>
        <w:spacing w:before="0" w:after="0" w:line="240" w:lineRule="auto"/>
        <w:ind w:firstLine="708"/>
        <w:rPr>
          <w:rFonts w:eastAsia="Calibri" w:cs="Times New Roman"/>
          <w:szCs w:val="24"/>
          <w:lang w:val="en-US"/>
        </w:rPr>
      </w:pPr>
      <w:r w:rsidRPr="00E46C80">
        <w:rPr>
          <w:rFonts w:eastAsia="Calibri" w:cs="Times New Roman"/>
          <w:szCs w:val="24"/>
          <w:lang w:val="en-US"/>
        </w:rPr>
        <w:t>Planirane aktivnosti su usmjerene na dalju modernizaciju službe, posebno kada je u pitanju razvoj IT sistema Uprave carina za podršku pojednostavljenima i olakšanju carinskih procedura, a ujedno na uspostavljanje sistema koji bi bili interkonektivni i interoperabilni sa sistemima EU. Međutim, predlog je od strane EK ocijenjen kao relevantan ali rano predložen.</w:t>
      </w:r>
    </w:p>
    <w:p w:rsidR="00E46C80" w:rsidRPr="00E46C80" w:rsidRDefault="00E46C80" w:rsidP="00E46C80">
      <w:pPr>
        <w:spacing w:before="0" w:after="0" w:line="240" w:lineRule="auto"/>
        <w:ind w:firstLine="708"/>
        <w:rPr>
          <w:rFonts w:eastAsia="Calibri" w:cs="Times New Roman"/>
          <w:szCs w:val="24"/>
          <w:lang w:val="en-US"/>
        </w:rPr>
      </w:pPr>
      <w:r w:rsidRPr="00E46C80">
        <w:rPr>
          <w:rFonts w:eastAsia="Calibri" w:cs="Times New Roman"/>
          <w:szCs w:val="24"/>
          <w:lang w:val="en-US"/>
        </w:rPr>
        <w:t>Uprava carina kao pridruženi partner od kraja jula 2020.godine učestvuje u implementaciji trilateralnog međunarodnog projekta pod nazivom “ISAAC-Innovative systems to enhance Antifraud Customs Controls” (Inovativni sistemi za unapređenje carinskih kontrola u borbi protiv prev</w:t>
      </w:r>
      <w:r w:rsidR="00745D02">
        <w:rPr>
          <w:rFonts w:eastAsia="Calibri" w:cs="Times New Roman"/>
          <w:szCs w:val="24"/>
          <w:lang w:val="en-US"/>
        </w:rPr>
        <w:t xml:space="preserve">ara), koji je finansiran od EU </w:t>
      </w:r>
      <w:r w:rsidRPr="00E46C80">
        <w:rPr>
          <w:rFonts w:eastAsia="Calibri" w:cs="Times New Roman"/>
          <w:szCs w:val="24"/>
          <w:lang w:val="en-US"/>
        </w:rPr>
        <w:t>kroz program INTERREG IPA CBS Italija, Albanija</w:t>
      </w:r>
      <w:r w:rsidR="00745D02">
        <w:rPr>
          <w:rFonts w:eastAsia="Calibri" w:cs="Times New Roman"/>
          <w:szCs w:val="24"/>
          <w:lang w:val="en-US"/>
        </w:rPr>
        <w:t xml:space="preserve"> i Crna Gora. Tokom 18 mjeseci </w:t>
      </w:r>
      <w:r w:rsidRPr="00E46C80">
        <w:rPr>
          <w:rFonts w:eastAsia="Calibri" w:cs="Times New Roman"/>
          <w:szCs w:val="24"/>
          <w:lang w:val="en-US"/>
        </w:rPr>
        <w:t>implementacije projekta, Uprava carina će sarađivati sa carinskim službama Italije i Albanije, Univerzitetom Crne Gore, Pomorskim fakultetom u Kotoru, Univerzitetom u Salentu, Privrednom komorom Molise i Institutom za transport Albanije. Projekat ima za cilj jačanje partnerske mreže, ustanovljavanje IT platforme za carinske kontrole, koja će biti interoperabilna sa već postojećim sistemima koje koriste</w:t>
      </w:r>
      <w:r w:rsidR="00745D02">
        <w:rPr>
          <w:rFonts w:eastAsia="Calibri" w:cs="Times New Roman"/>
          <w:szCs w:val="24"/>
          <w:lang w:val="en-US"/>
        </w:rPr>
        <w:t xml:space="preserve"> carinske službe i realizaciju </w:t>
      </w:r>
      <w:r w:rsidRPr="00E46C80">
        <w:rPr>
          <w:rFonts w:eastAsia="Calibri" w:cs="Times New Roman"/>
          <w:szCs w:val="24"/>
          <w:lang w:val="en-US"/>
        </w:rPr>
        <w:t>obuka za korišćenje nove IT platforme.</w:t>
      </w:r>
    </w:p>
    <w:p w:rsidR="00E46C80" w:rsidRPr="00E46C80" w:rsidRDefault="00E46C80" w:rsidP="00E46C80">
      <w:pPr>
        <w:spacing w:before="0" w:after="0" w:line="240" w:lineRule="auto"/>
        <w:ind w:firstLine="708"/>
        <w:rPr>
          <w:rFonts w:eastAsia="Calibri" w:cs="Times New Roman"/>
          <w:szCs w:val="24"/>
          <w:lang w:val="en-US"/>
        </w:rPr>
      </w:pPr>
      <w:r w:rsidRPr="00E46C80">
        <w:rPr>
          <w:rFonts w:eastAsia="Calibri" w:cs="Times New Roman"/>
          <w:szCs w:val="24"/>
          <w:lang w:val="en-US"/>
        </w:rPr>
        <w:t xml:space="preserve">Sprovedene su aktivnosti u vezi sa praćenjem rada Svjetske carinske organizacije, učešćem na sastancima i u operacijama koje ista sprovodi, kao i usvajanjem preporuka. U okviru međunarodne bilateralne saradnje koordinirane su aktivnosti u cilju dostavljanja zahtjeva i odgovora za administrativnu pomoć po pitanjima provjere vrijednosti, porijekla, ATA karneta i drugih upita, sa carinskim službama: Italije, Rusije, Francuske, Belgije, Ukrajine, Njemačke, Holandije, Danske, Austrije, Švajcarska, Kosova, Češke, Turske i Poljske, Hrvatske, Srbije, Bosne i Hercegovine, Albanije, Kosova. </w:t>
      </w:r>
    </w:p>
    <w:p w:rsidR="00E46C80" w:rsidRPr="00E46C80" w:rsidRDefault="00E46C80" w:rsidP="00E46C80">
      <w:pPr>
        <w:spacing w:before="0" w:after="0" w:line="240" w:lineRule="auto"/>
        <w:ind w:firstLine="708"/>
        <w:rPr>
          <w:rFonts w:eastAsia="Calibri" w:cs="Times New Roman"/>
          <w:szCs w:val="24"/>
          <w:lang w:val="en-US"/>
        </w:rPr>
      </w:pPr>
      <w:r w:rsidRPr="00E46C80">
        <w:rPr>
          <w:rFonts w:eastAsia="Calibri" w:cs="Times New Roman"/>
          <w:szCs w:val="24"/>
          <w:lang w:val="en-US"/>
        </w:rPr>
        <w:t xml:space="preserve">Takođe, realizovane su aktivnosti iz Akcionog plana UNODC-a za Program kontrole kontejnera. Upućen </w:t>
      </w:r>
      <w:r w:rsidR="00745D02">
        <w:rPr>
          <w:rFonts w:eastAsia="Calibri" w:cs="Times New Roman"/>
          <w:szCs w:val="24"/>
          <w:lang w:val="en-US"/>
        </w:rPr>
        <w:t xml:space="preserve">je predlog za podršku u okviru </w:t>
      </w:r>
      <w:r w:rsidRPr="00E46C80">
        <w:rPr>
          <w:rFonts w:eastAsia="Calibri" w:cs="Times New Roman"/>
          <w:szCs w:val="24"/>
          <w:lang w:val="en-US"/>
        </w:rPr>
        <w:t>projekta „Jačanje kapaciteta za ubrzanje procesa pregovaranja sa EU“, koji finansira Ministarstvo vanjskih poslova Norveške, a sprovodi Program Ujedinjenih nacija za razvoj u Crnoj Gori u saradnji sa Kancelarijom za evropske integracije.</w:t>
      </w:r>
    </w:p>
    <w:p w:rsidR="00E46C80" w:rsidRDefault="00E46C80" w:rsidP="00E46C80">
      <w:pPr>
        <w:spacing w:before="0" w:after="0" w:line="240" w:lineRule="auto"/>
        <w:rPr>
          <w:rFonts w:eastAsia="Calibri" w:cs="Times New Roman"/>
          <w:szCs w:val="24"/>
          <w:lang w:val="en-US"/>
        </w:rPr>
      </w:pPr>
      <w:r w:rsidRPr="00E46C80">
        <w:rPr>
          <w:rFonts w:eastAsia="Calibri" w:cs="Times New Roman"/>
          <w:szCs w:val="24"/>
          <w:lang w:val="en-US"/>
        </w:rPr>
        <w:t xml:space="preserve"> </w:t>
      </w:r>
      <w:r w:rsidRPr="00E46C80">
        <w:rPr>
          <w:rFonts w:eastAsia="Calibri" w:cs="Times New Roman"/>
          <w:szCs w:val="24"/>
          <w:lang w:val="en-US"/>
        </w:rPr>
        <w:tab/>
        <w:t>Ministarstvu održivog razvoja i turizma je potvrđena spremnost da Uprava carina učestvuje u Projektu ’’Jačanje sinergije između Bazelske, Roterdamske, Stokholmske i Minamata konvencije’’.</w:t>
      </w:r>
      <w:bookmarkStart w:id="65" w:name="_Toc62197144"/>
      <w:bookmarkStart w:id="66" w:name="_Toc62552715"/>
      <w:bookmarkStart w:id="67" w:name="_Toc62813714"/>
    </w:p>
    <w:p w:rsidR="00E46C80" w:rsidRPr="00E46C80" w:rsidRDefault="00E46C80" w:rsidP="00E46C80">
      <w:pPr>
        <w:spacing w:after="0" w:line="240" w:lineRule="auto"/>
        <w:rPr>
          <w:rFonts w:eastAsia="Calibri" w:cs="Times New Roman"/>
          <w:szCs w:val="24"/>
          <w:lang w:val="en-US"/>
        </w:rPr>
      </w:pPr>
      <w:r>
        <w:rPr>
          <w:rFonts w:eastAsia="Calibri" w:cs="Times New Roman"/>
          <w:szCs w:val="24"/>
          <w:lang w:val="en-US"/>
        </w:rPr>
        <w:t xml:space="preserve">          </w:t>
      </w:r>
      <w:r w:rsidRPr="00E46C80">
        <w:rPr>
          <w:rFonts w:eastAsia="Calibri" w:cs="Times New Roman"/>
          <w:b/>
          <w:szCs w:val="24"/>
          <w:lang w:val="sl-SI"/>
        </w:rPr>
        <w:t>ZASTUPLJENOST U JAVNOSTI</w:t>
      </w:r>
      <w:bookmarkEnd w:id="59"/>
      <w:bookmarkEnd w:id="60"/>
      <w:bookmarkEnd w:id="61"/>
      <w:bookmarkEnd w:id="65"/>
      <w:bookmarkEnd w:id="66"/>
      <w:bookmarkEnd w:id="67"/>
    </w:p>
    <w:p w:rsidR="00E46C80" w:rsidRPr="00E46C80" w:rsidRDefault="00E46C80" w:rsidP="00745D02">
      <w:pPr>
        <w:spacing w:before="0" w:after="0" w:line="240" w:lineRule="auto"/>
        <w:ind w:firstLine="567"/>
        <w:rPr>
          <w:rFonts w:eastAsia="Calibri" w:cs="Times New Roman"/>
          <w:szCs w:val="24"/>
          <w:lang w:val="en-US"/>
        </w:rPr>
      </w:pPr>
      <w:r w:rsidRPr="00E46C80">
        <w:rPr>
          <w:rFonts w:eastAsia="Calibri" w:cs="Times New Roman"/>
          <w:szCs w:val="24"/>
          <w:lang w:val="en-US"/>
        </w:rPr>
        <w:t xml:space="preserve">O radu Uprave carina javnost je informisana redovnim davanjem saopštenja o svim aktivnostima institucije ali i kroz nastupe u medijima i posredstvom sajta Uprave </w:t>
      </w:r>
      <w:hyperlink r:id="rId18" w:history="1">
        <w:r w:rsidRPr="00E46C80">
          <w:rPr>
            <w:rFonts w:eastAsia="Calibri" w:cs="Times New Roman"/>
            <w:color w:val="0000FF"/>
            <w:szCs w:val="24"/>
            <w:u w:val="single"/>
            <w:lang w:val="en-US"/>
          </w:rPr>
          <w:t>www.upravacarina.gov.me</w:t>
        </w:r>
      </w:hyperlink>
      <w:r w:rsidRPr="00E46C80">
        <w:rPr>
          <w:rFonts w:eastAsia="Calibri" w:cs="Times New Roman"/>
          <w:szCs w:val="24"/>
          <w:lang w:val="en-US"/>
        </w:rPr>
        <w:t>. U 2020.</w:t>
      </w:r>
      <w:r>
        <w:rPr>
          <w:rFonts w:eastAsia="Calibri" w:cs="Times New Roman"/>
          <w:szCs w:val="24"/>
          <w:lang w:val="en-US"/>
        </w:rPr>
        <w:t xml:space="preserve"> </w:t>
      </w:r>
      <w:r w:rsidRPr="00E46C80">
        <w:rPr>
          <w:rFonts w:eastAsia="Calibri" w:cs="Times New Roman"/>
          <w:szCs w:val="24"/>
          <w:lang w:val="en-US"/>
        </w:rPr>
        <w:t>godini objavljeno je 115 saopštenja na sajtu Uprave carina. Odgovoreno je na 296 postavljenih pitanja. Na sva novinarska pitanja blagovremeno su upućivani odgovori.</w:t>
      </w:r>
    </w:p>
    <w:p w:rsidR="00C71FFB" w:rsidRDefault="00E46C80" w:rsidP="00745D02">
      <w:pPr>
        <w:spacing w:before="0" w:after="0" w:line="240" w:lineRule="auto"/>
        <w:ind w:firstLine="567"/>
        <w:rPr>
          <w:rFonts w:eastAsia="Times New Roman" w:cs="Times New Roman"/>
          <w:szCs w:val="24"/>
          <w:lang w:val="en-US"/>
        </w:rPr>
      </w:pPr>
      <w:r w:rsidRPr="00E46C80">
        <w:rPr>
          <w:rFonts w:eastAsia="Times New Roman" w:cs="Times New Roman"/>
          <w:szCs w:val="24"/>
          <w:lang w:val="en-US"/>
        </w:rPr>
        <w:t xml:space="preserve">U analiziranom periodu pristiglo je ukupno 63 zahtjeva za slobodan pristup informacijama, kojima je tražen pristup u ukupno 102 tačke zahtjeva. U izvještajnom periodu donijeta su 62 rješenja kojima je dozvoljen pristup u ukupno 70 tačaka zahtjeva, a odbijen u 31 tački zahtjeva. Takođe, 1 zahtjev kojim je tražen pristup u 1 tački zahtjeva upućen je Zavodu za statistiku na dalju nadležnost i postupanje. Takođe, od strane NVO “MANS” podnijeto je 9 žalbi zbog povrede pravila postupka koje su blagovremeno proslijeđene Agenciji za zaštitu ličnih podataka i slobodan pristup informacijama na dalje odlučivanje. </w:t>
      </w:r>
      <w:bookmarkStart w:id="68" w:name="_Toc32584046"/>
      <w:bookmarkStart w:id="69" w:name="_Toc32835784"/>
      <w:bookmarkStart w:id="70" w:name="_Toc32835851"/>
      <w:bookmarkStart w:id="71" w:name="_Toc62197145"/>
      <w:bookmarkStart w:id="72" w:name="_Toc62552716"/>
      <w:bookmarkStart w:id="73" w:name="_Toc62813715"/>
      <w:bookmarkEnd w:id="62"/>
      <w:bookmarkEnd w:id="63"/>
      <w:bookmarkEnd w:id="64"/>
    </w:p>
    <w:p w:rsidR="00E46C80" w:rsidRPr="00E46C80" w:rsidRDefault="00E46C80" w:rsidP="00C71FFB">
      <w:pPr>
        <w:spacing w:after="0" w:line="240" w:lineRule="auto"/>
        <w:ind w:firstLine="567"/>
        <w:rPr>
          <w:rFonts w:eastAsia="Times New Roman" w:cs="Times New Roman"/>
          <w:szCs w:val="24"/>
          <w:lang w:val="en-US"/>
        </w:rPr>
      </w:pPr>
      <w:r w:rsidRPr="00E46C80">
        <w:rPr>
          <w:rFonts w:eastAsia="Calibri" w:cs="Times New Roman"/>
          <w:b/>
          <w:szCs w:val="24"/>
          <w:lang w:val="sl-SI"/>
        </w:rPr>
        <w:t>FINANSIJSKI IZVJEŠTAJ UPRAVE CARINA KAO POTROŠAČKE JEDINICE</w:t>
      </w:r>
      <w:bookmarkEnd w:id="68"/>
      <w:bookmarkEnd w:id="69"/>
      <w:bookmarkEnd w:id="70"/>
      <w:bookmarkEnd w:id="71"/>
      <w:bookmarkEnd w:id="72"/>
      <w:bookmarkEnd w:id="73"/>
    </w:p>
    <w:p w:rsidR="00E46C80" w:rsidRPr="00E46C80" w:rsidRDefault="00C71FFB" w:rsidP="00E46C80">
      <w:pPr>
        <w:keepNext/>
        <w:keepLines/>
        <w:tabs>
          <w:tab w:val="left" w:pos="4962"/>
        </w:tabs>
        <w:spacing w:after="0" w:line="269" w:lineRule="auto"/>
        <w:ind w:hanging="11"/>
        <w:jc w:val="left"/>
        <w:outlineLvl w:val="2"/>
        <w:rPr>
          <w:rFonts w:eastAsia="Times New Roman" w:cs="Times New Roman"/>
          <w:b/>
          <w:bCs/>
          <w:noProof/>
          <w:color w:val="000000"/>
          <w:szCs w:val="24"/>
        </w:rPr>
      </w:pPr>
      <w:bookmarkStart w:id="74" w:name="_Toc62197146"/>
      <w:bookmarkStart w:id="75" w:name="_Toc62552717"/>
      <w:bookmarkStart w:id="76" w:name="_Toc62813716"/>
      <w:r>
        <w:rPr>
          <w:rFonts w:eastAsia="Times New Roman" w:cs="Times New Roman"/>
          <w:b/>
          <w:bCs/>
          <w:noProof/>
          <w:color w:val="000000"/>
          <w:szCs w:val="24"/>
        </w:rPr>
        <w:t xml:space="preserve">           </w:t>
      </w:r>
      <w:r w:rsidR="00E46C80" w:rsidRPr="00E46C80">
        <w:rPr>
          <w:rFonts w:eastAsia="Times New Roman" w:cs="Times New Roman"/>
          <w:b/>
          <w:bCs/>
          <w:noProof/>
          <w:color w:val="000000"/>
          <w:szCs w:val="24"/>
        </w:rPr>
        <w:t>Finansijski izvještaj</w:t>
      </w:r>
      <w:bookmarkEnd w:id="74"/>
      <w:bookmarkEnd w:id="75"/>
      <w:bookmarkEnd w:id="76"/>
    </w:p>
    <w:p w:rsidR="00E46C80" w:rsidRDefault="00E46C80" w:rsidP="00C71FFB">
      <w:pPr>
        <w:spacing w:before="0" w:after="0" w:line="240" w:lineRule="auto"/>
        <w:ind w:firstLine="708"/>
        <w:rPr>
          <w:rFonts w:eastAsia="Times New Roman" w:cs="Times New Roman"/>
          <w:szCs w:val="24"/>
          <w:lang w:val="hr-HR"/>
        </w:rPr>
      </w:pPr>
      <w:r w:rsidRPr="00E46C80">
        <w:rPr>
          <w:rFonts w:eastAsia="Times New Roman" w:cs="Times New Roman"/>
          <w:szCs w:val="24"/>
          <w:lang w:val="hr-HR"/>
        </w:rPr>
        <w:t>Planom budžeta za 2020. godinu Upravi carina su bila opredijeljena sredstva u iznosu od 8.887.110,42 €. Nakon rebalansa, budžetska sredstva su smanjena na iznos  8.343.110,42 € i  imaju sledeću strukturu po pozicijama i klasifikaciji troškova:</w:t>
      </w:r>
    </w:p>
    <w:p w:rsidR="004F08D7" w:rsidRDefault="004F08D7" w:rsidP="00C71FFB">
      <w:pPr>
        <w:spacing w:before="0" w:after="0" w:line="240" w:lineRule="auto"/>
        <w:ind w:firstLine="708"/>
        <w:rPr>
          <w:rFonts w:eastAsia="Times New Roman" w:cs="Times New Roman"/>
          <w:szCs w:val="24"/>
          <w:lang w:val="hr-HR"/>
        </w:rPr>
      </w:pPr>
    </w:p>
    <w:p w:rsidR="004F08D7" w:rsidRPr="00E46C80" w:rsidRDefault="004F08D7" w:rsidP="00C71FFB">
      <w:pPr>
        <w:spacing w:before="0" w:after="0" w:line="240" w:lineRule="auto"/>
        <w:ind w:firstLine="708"/>
        <w:rPr>
          <w:rFonts w:eastAsia="Times New Roman" w:cs="Times New Roman"/>
          <w:szCs w:val="24"/>
          <w:lang w:val="hr-HR"/>
        </w:rPr>
      </w:pPr>
    </w:p>
    <w:p w:rsidR="00E46C80" w:rsidRPr="00E46C80" w:rsidRDefault="00C71FFB" w:rsidP="00E46C80">
      <w:pPr>
        <w:spacing w:before="0" w:after="0" w:line="240" w:lineRule="auto"/>
        <w:jc w:val="left"/>
        <w:rPr>
          <w:rFonts w:ascii="Times New Roman" w:eastAsia="Times New Roman" w:hAnsi="Times New Roman" w:cs="Times New Roman"/>
          <w:sz w:val="22"/>
          <w:szCs w:val="24"/>
        </w:rPr>
      </w:pPr>
      <w:r>
        <w:rPr>
          <w:rFonts w:ascii="Times New Roman" w:eastAsia="Times New Roman" w:hAnsi="Times New Roman" w:cs="Times New Roman"/>
          <w:sz w:val="22"/>
          <w:szCs w:val="24"/>
        </w:rPr>
        <w:lastRenderedPageBreak/>
        <w:t xml:space="preserve">                            </w:t>
      </w:r>
      <w:r w:rsidR="00E46C80" w:rsidRPr="00E46C80">
        <w:rPr>
          <w:rFonts w:ascii="Times New Roman" w:eastAsia="Times New Roman" w:hAnsi="Times New Roman" w:cs="Times New Roman"/>
          <w:sz w:val="22"/>
          <w:szCs w:val="24"/>
        </w:rPr>
        <w:t>Tabela 11: Budžet 2020</w:t>
      </w:r>
    </w:p>
    <w:tbl>
      <w:tblPr>
        <w:tblStyle w:val="MediumGrid3-Accent1"/>
        <w:tblW w:w="5806" w:type="dxa"/>
        <w:tblLook w:val="04A0" w:firstRow="1" w:lastRow="0" w:firstColumn="1" w:lastColumn="0" w:noHBand="0" w:noVBand="1"/>
      </w:tblPr>
      <w:tblGrid>
        <w:gridCol w:w="750"/>
        <w:gridCol w:w="2320"/>
        <w:gridCol w:w="1460"/>
        <w:gridCol w:w="1308"/>
      </w:tblGrid>
      <w:tr w:rsidR="00E46C80" w:rsidRPr="00E46C80" w:rsidTr="009F412E">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18" w:type="dxa"/>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Konto</w:t>
            </w:r>
          </w:p>
        </w:tc>
        <w:tc>
          <w:tcPr>
            <w:tcW w:w="2320" w:type="dxa"/>
            <w:noWrap/>
            <w:hideMark/>
          </w:tcPr>
          <w:p w:rsidR="00E46C80" w:rsidRPr="00E46C80" w:rsidRDefault="00E46C80" w:rsidP="00E46C80">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Opis</w:t>
            </w:r>
          </w:p>
        </w:tc>
        <w:tc>
          <w:tcPr>
            <w:tcW w:w="1460" w:type="dxa"/>
            <w:noWrap/>
            <w:hideMark/>
          </w:tcPr>
          <w:p w:rsidR="00E46C80" w:rsidRPr="00E46C80" w:rsidRDefault="00E46C80" w:rsidP="00E46C80">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Tekući budžet</w:t>
            </w:r>
          </w:p>
        </w:tc>
        <w:tc>
          <w:tcPr>
            <w:tcW w:w="1308" w:type="dxa"/>
            <w:noWrap/>
            <w:hideMark/>
          </w:tcPr>
          <w:p w:rsidR="00E46C80" w:rsidRPr="00E46C80" w:rsidRDefault="00E46C80" w:rsidP="00E46C80">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Planirano</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4111</w:t>
            </w:r>
          </w:p>
        </w:tc>
        <w:tc>
          <w:tcPr>
            <w:tcW w:w="2320"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Neto zarade</w:t>
            </w:r>
          </w:p>
        </w:tc>
        <w:tc>
          <w:tcPr>
            <w:tcW w:w="1460"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3.401.092,23</w:t>
            </w:r>
          </w:p>
        </w:tc>
        <w:tc>
          <w:tcPr>
            <w:tcW w:w="130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3.489.544,73</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4112</w:t>
            </w:r>
          </w:p>
        </w:tc>
        <w:tc>
          <w:tcPr>
            <w:tcW w:w="2320"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Porez na zarade</w:t>
            </w:r>
          </w:p>
        </w:tc>
        <w:tc>
          <w:tcPr>
            <w:tcW w:w="1460"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456.000,00</w:t>
            </w:r>
          </w:p>
        </w:tc>
        <w:tc>
          <w:tcPr>
            <w:tcW w:w="130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496.000,00</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4113</w:t>
            </w:r>
          </w:p>
        </w:tc>
        <w:tc>
          <w:tcPr>
            <w:tcW w:w="2320"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Doprinosi na teret z</w:t>
            </w:r>
          </w:p>
        </w:tc>
        <w:tc>
          <w:tcPr>
            <w:tcW w:w="1460"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1.253.615,10</w:t>
            </w:r>
          </w:p>
        </w:tc>
        <w:tc>
          <w:tcPr>
            <w:tcW w:w="130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1.264.145,10</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4114</w:t>
            </w:r>
          </w:p>
        </w:tc>
        <w:tc>
          <w:tcPr>
            <w:tcW w:w="2320"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Doprinosi  na teret</w:t>
            </w:r>
          </w:p>
        </w:tc>
        <w:tc>
          <w:tcPr>
            <w:tcW w:w="1460"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586.177,34</w:t>
            </w:r>
          </w:p>
        </w:tc>
        <w:tc>
          <w:tcPr>
            <w:tcW w:w="130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651.177,34</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4115</w:t>
            </w:r>
          </w:p>
        </w:tc>
        <w:tc>
          <w:tcPr>
            <w:tcW w:w="2320"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Opstinski prirez</w:t>
            </w:r>
          </w:p>
        </w:tc>
        <w:tc>
          <w:tcPr>
            <w:tcW w:w="1460"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70.691,14</w:t>
            </w:r>
          </w:p>
        </w:tc>
        <w:tc>
          <w:tcPr>
            <w:tcW w:w="130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70.691,14</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2320"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1460"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5.767.575,81</w:t>
            </w:r>
          </w:p>
        </w:tc>
        <w:tc>
          <w:tcPr>
            <w:tcW w:w="130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5.971.558,31</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4122</w:t>
            </w:r>
          </w:p>
        </w:tc>
        <w:tc>
          <w:tcPr>
            <w:tcW w:w="2320"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Naknada za stanovanj</w:t>
            </w:r>
          </w:p>
        </w:tc>
        <w:tc>
          <w:tcPr>
            <w:tcW w:w="1460"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11.153,00</w:t>
            </w:r>
          </w:p>
        </w:tc>
        <w:tc>
          <w:tcPr>
            <w:tcW w:w="130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17.653,00</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4123</w:t>
            </w:r>
          </w:p>
        </w:tc>
        <w:tc>
          <w:tcPr>
            <w:tcW w:w="2320"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Naknada za prevoz</w:t>
            </w:r>
          </w:p>
        </w:tc>
        <w:tc>
          <w:tcPr>
            <w:tcW w:w="1460"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6.840,00</w:t>
            </w:r>
          </w:p>
        </w:tc>
        <w:tc>
          <w:tcPr>
            <w:tcW w:w="130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7.000,00</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4124</w:t>
            </w:r>
          </w:p>
        </w:tc>
        <w:tc>
          <w:tcPr>
            <w:tcW w:w="2320"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Jubilarne nagrade</w:t>
            </w:r>
          </w:p>
        </w:tc>
        <w:tc>
          <w:tcPr>
            <w:tcW w:w="1460"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2.500,00</w:t>
            </w:r>
          </w:p>
        </w:tc>
        <w:tc>
          <w:tcPr>
            <w:tcW w:w="130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6.000,00</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4125</w:t>
            </w:r>
          </w:p>
        </w:tc>
        <w:tc>
          <w:tcPr>
            <w:tcW w:w="2320"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Otpremnine</w:t>
            </w:r>
          </w:p>
        </w:tc>
        <w:tc>
          <w:tcPr>
            <w:tcW w:w="1460"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2.500,00</w:t>
            </w:r>
          </w:p>
        </w:tc>
        <w:tc>
          <w:tcPr>
            <w:tcW w:w="130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4.500,00</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4127</w:t>
            </w:r>
          </w:p>
        </w:tc>
        <w:tc>
          <w:tcPr>
            <w:tcW w:w="2320"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Ostale naknade</w:t>
            </w:r>
          </w:p>
        </w:tc>
        <w:tc>
          <w:tcPr>
            <w:tcW w:w="1460"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7.950,00</w:t>
            </w:r>
          </w:p>
        </w:tc>
        <w:tc>
          <w:tcPr>
            <w:tcW w:w="130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10.000,00</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2320"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1460"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30.943,00</w:t>
            </w:r>
          </w:p>
        </w:tc>
        <w:tc>
          <w:tcPr>
            <w:tcW w:w="130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45.153,00</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4131</w:t>
            </w:r>
          </w:p>
        </w:tc>
        <w:tc>
          <w:tcPr>
            <w:tcW w:w="2320"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Administrativni mate</w:t>
            </w:r>
          </w:p>
        </w:tc>
        <w:tc>
          <w:tcPr>
            <w:tcW w:w="1460"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88.400,00</w:t>
            </w:r>
          </w:p>
        </w:tc>
        <w:tc>
          <w:tcPr>
            <w:tcW w:w="130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250.000,00</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4133</w:t>
            </w:r>
          </w:p>
        </w:tc>
        <w:tc>
          <w:tcPr>
            <w:tcW w:w="2320"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Materijal za posebne</w:t>
            </w:r>
          </w:p>
        </w:tc>
        <w:tc>
          <w:tcPr>
            <w:tcW w:w="1460"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554.540,00</w:t>
            </w:r>
          </w:p>
        </w:tc>
        <w:tc>
          <w:tcPr>
            <w:tcW w:w="130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596.640,00</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4135</w:t>
            </w:r>
          </w:p>
        </w:tc>
        <w:tc>
          <w:tcPr>
            <w:tcW w:w="2320"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Rashodi za gorivo</w:t>
            </w:r>
          </w:p>
        </w:tc>
        <w:tc>
          <w:tcPr>
            <w:tcW w:w="1460"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10.600,00</w:t>
            </w:r>
          </w:p>
        </w:tc>
        <w:tc>
          <w:tcPr>
            <w:tcW w:w="130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10.600,00</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4139</w:t>
            </w:r>
          </w:p>
        </w:tc>
        <w:tc>
          <w:tcPr>
            <w:tcW w:w="2320"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Ostali rashodi za ma</w:t>
            </w:r>
          </w:p>
        </w:tc>
        <w:tc>
          <w:tcPr>
            <w:tcW w:w="1460"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13.000,00</w:t>
            </w:r>
          </w:p>
        </w:tc>
        <w:tc>
          <w:tcPr>
            <w:tcW w:w="130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30.000,00</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2320"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1460"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666.540,00</w:t>
            </w:r>
          </w:p>
        </w:tc>
        <w:tc>
          <w:tcPr>
            <w:tcW w:w="130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887.240,00</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4141</w:t>
            </w:r>
          </w:p>
        </w:tc>
        <w:tc>
          <w:tcPr>
            <w:tcW w:w="2320"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Sluzbena putovanja</w:t>
            </w:r>
          </w:p>
        </w:tc>
        <w:tc>
          <w:tcPr>
            <w:tcW w:w="1460"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36.318,96</w:t>
            </w:r>
          </w:p>
        </w:tc>
        <w:tc>
          <w:tcPr>
            <w:tcW w:w="130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46.318,96</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4142</w:t>
            </w:r>
          </w:p>
        </w:tc>
        <w:tc>
          <w:tcPr>
            <w:tcW w:w="2320"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Reprezentacija</w:t>
            </w:r>
          </w:p>
        </w:tc>
        <w:tc>
          <w:tcPr>
            <w:tcW w:w="1460"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2.000,00</w:t>
            </w:r>
          </w:p>
        </w:tc>
        <w:tc>
          <w:tcPr>
            <w:tcW w:w="130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2.000,00</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4143</w:t>
            </w:r>
          </w:p>
        </w:tc>
        <w:tc>
          <w:tcPr>
            <w:tcW w:w="2320"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Komunikacione usluge</w:t>
            </w:r>
          </w:p>
        </w:tc>
        <w:tc>
          <w:tcPr>
            <w:tcW w:w="1460"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19.045,28</w:t>
            </w:r>
          </w:p>
        </w:tc>
        <w:tc>
          <w:tcPr>
            <w:tcW w:w="130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24.045,28</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4144</w:t>
            </w:r>
          </w:p>
        </w:tc>
        <w:tc>
          <w:tcPr>
            <w:tcW w:w="2320"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Bankarske usluge i n</w:t>
            </w:r>
          </w:p>
        </w:tc>
        <w:tc>
          <w:tcPr>
            <w:tcW w:w="1460"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5.981,03</w:t>
            </w:r>
          </w:p>
        </w:tc>
        <w:tc>
          <w:tcPr>
            <w:tcW w:w="130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2.481,03</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4146</w:t>
            </w:r>
          </w:p>
        </w:tc>
        <w:tc>
          <w:tcPr>
            <w:tcW w:w="2320"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Advokatske notarske</w:t>
            </w:r>
          </w:p>
        </w:tc>
        <w:tc>
          <w:tcPr>
            <w:tcW w:w="1460"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3.600,00</w:t>
            </w:r>
          </w:p>
        </w:tc>
        <w:tc>
          <w:tcPr>
            <w:tcW w:w="130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9.600,00</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4147</w:t>
            </w:r>
          </w:p>
        </w:tc>
        <w:tc>
          <w:tcPr>
            <w:tcW w:w="2320"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Konsultantske usluge</w:t>
            </w:r>
          </w:p>
        </w:tc>
        <w:tc>
          <w:tcPr>
            <w:tcW w:w="1460"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9.400,00</w:t>
            </w:r>
          </w:p>
        </w:tc>
        <w:tc>
          <w:tcPr>
            <w:tcW w:w="130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9.400,00</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4147</w:t>
            </w:r>
          </w:p>
        </w:tc>
        <w:tc>
          <w:tcPr>
            <w:tcW w:w="2320"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Konsultantske usluge</w:t>
            </w:r>
          </w:p>
        </w:tc>
        <w:tc>
          <w:tcPr>
            <w:tcW w:w="1460"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0,00</w:t>
            </w:r>
          </w:p>
        </w:tc>
        <w:tc>
          <w:tcPr>
            <w:tcW w:w="130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0,00</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4148</w:t>
            </w:r>
          </w:p>
        </w:tc>
        <w:tc>
          <w:tcPr>
            <w:tcW w:w="2320"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Usluge strucnog usav</w:t>
            </w:r>
          </w:p>
        </w:tc>
        <w:tc>
          <w:tcPr>
            <w:tcW w:w="1460"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6.000,00</w:t>
            </w:r>
          </w:p>
        </w:tc>
        <w:tc>
          <w:tcPr>
            <w:tcW w:w="130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20.000,00</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4149</w:t>
            </w:r>
          </w:p>
        </w:tc>
        <w:tc>
          <w:tcPr>
            <w:tcW w:w="2320"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Ostale usluge</w:t>
            </w:r>
          </w:p>
        </w:tc>
        <w:tc>
          <w:tcPr>
            <w:tcW w:w="1460"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54.207,85</w:t>
            </w:r>
          </w:p>
        </w:tc>
        <w:tc>
          <w:tcPr>
            <w:tcW w:w="130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29.263,85</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2320"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1460"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136.553,12</w:t>
            </w:r>
          </w:p>
        </w:tc>
        <w:tc>
          <w:tcPr>
            <w:tcW w:w="130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143.109,12</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4152</w:t>
            </w:r>
          </w:p>
        </w:tc>
        <w:tc>
          <w:tcPr>
            <w:tcW w:w="2320"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Tekuce odrzavanje gr</w:t>
            </w:r>
          </w:p>
        </w:tc>
        <w:tc>
          <w:tcPr>
            <w:tcW w:w="1460"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52.500,00</w:t>
            </w:r>
          </w:p>
        </w:tc>
        <w:tc>
          <w:tcPr>
            <w:tcW w:w="130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50.000,00</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4153</w:t>
            </w:r>
          </w:p>
        </w:tc>
        <w:tc>
          <w:tcPr>
            <w:tcW w:w="2320"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Tekuce odrzavanje op</w:t>
            </w:r>
          </w:p>
        </w:tc>
        <w:tc>
          <w:tcPr>
            <w:tcW w:w="1460"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135.915,99</w:t>
            </w:r>
          </w:p>
        </w:tc>
        <w:tc>
          <w:tcPr>
            <w:tcW w:w="130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135.915,99</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2320"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1460"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188.415,99</w:t>
            </w:r>
          </w:p>
        </w:tc>
        <w:tc>
          <w:tcPr>
            <w:tcW w:w="130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185.915,99</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4161</w:t>
            </w:r>
          </w:p>
        </w:tc>
        <w:tc>
          <w:tcPr>
            <w:tcW w:w="2320"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Kamate rezidentima</w:t>
            </w:r>
          </w:p>
        </w:tc>
        <w:tc>
          <w:tcPr>
            <w:tcW w:w="1460"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1,00</w:t>
            </w:r>
          </w:p>
        </w:tc>
        <w:tc>
          <w:tcPr>
            <w:tcW w:w="130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1,00</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2320"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1460"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1,00</w:t>
            </w:r>
          </w:p>
        </w:tc>
        <w:tc>
          <w:tcPr>
            <w:tcW w:w="130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1,00</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4191</w:t>
            </w:r>
          </w:p>
        </w:tc>
        <w:tc>
          <w:tcPr>
            <w:tcW w:w="2320"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Izdaci po osnovu ugo</w:t>
            </w:r>
          </w:p>
        </w:tc>
        <w:tc>
          <w:tcPr>
            <w:tcW w:w="1460"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168.856,00</w:t>
            </w:r>
          </w:p>
        </w:tc>
        <w:tc>
          <w:tcPr>
            <w:tcW w:w="130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26.856,00</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4192</w:t>
            </w:r>
          </w:p>
        </w:tc>
        <w:tc>
          <w:tcPr>
            <w:tcW w:w="2320"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Izdaci po osnovu sud</w:t>
            </w:r>
          </w:p>
        </w:tc>
        <w:tc>
          <w:tcPr>
            <w:tcW w:w="1460"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8.039,50</w:t>
            </w:r>
          </w:p>
        </w:tc>
        <w:tc>
          <w:tcPr>
            <w:tcW w:w="130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1,00</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4193</w:t>
            </w:r>
          </w:p>
        </w:tc>
        <w:tc>
          <w:tcPr>
            <w:tcW w:w="2320"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Izrada i odrzavanje</w:t>
            </w:r>
          </w:p>
        </w:tc>
        <w:tc>
          <w:tcPr>
            <w:tcW w:w="1460"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800.410,00</w:t>
            </w:r>
          </w:p>
        </w:tc>
        <w:tc>
          <w:tcPr>
            <w:tcW w:w="130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965.500,00</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4194</w:t>
            </w:r>
          </w:p>
        </w:tc>
        <w:tc>
          <w:tcPr>
            <w:tcW w:w="2320"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Osiguranje</w:t>
            </w:r>
          </w:p>
        </w:tc>
        <w:tc>
          <w:tcPr>
            <w:tcW w:w="1460"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500,00</w:t>
            </w:r>
          </w:p>
        </w:tc>
        <w:tc>
          <w:tcPr>
            <w:tcW w:w="130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500,00</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4195</w:t>
            </w:r>
          </w:p>
        </w:tc>
        <w:tc>
          <w:tcPr>
            <w:tcW w:w="2320"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Kontribucije za clan</w:t>
            </w:r>
          </w:p>
        </w:tc>
        <w:tc>
          <w:tcPr>
            <w:tcW w:w="1460"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120.000,00</w:t>
            </w:r>
          </w:p>
        </w:tc>
        <w:tc>
          <w:tcPr>
            <w:tcW w:w="130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120.000,00</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4198</w:t>
            </w:r>
          </w:p>
        </w:tc>
        <w:tc>
          <w:tcPr>
            <w:tcW w:w="2320"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Takse</w:t>
            </w:r>
          </w:p>
        </w:tc>
        <w:tc>
          <w:tcPr>
            <w:tcW w:w="1460"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1.000,00</w:t>
            </w:r>
          </w:p>
        </w:tc>
        <w:tc>
          <w:tcPr>
            <w:tcW w:w="130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1.000,00</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4199</w:t>
            </w:r>
          </w:p>
        </w:tc>
        <w:tc>
          <w:tcPr>
            <w:tcW w:w="2320"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Ostalo</w:t>
            </w:r>
          </w:p>
        </w:tc>
        <w:tc>
          <w:tcPr>
            <w:tcW w:w="1460"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35.000,00</w:t>
            </w:r>
          </w:p>
        </w:tc>
        <w:tc>
          <w:tcPr>
            <w:tcW w:w="130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55.000,00</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2320"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1460"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1.133.805,50</w:t>
            </w:r>
          </w:p>
        </w:tc>
        <w:tc>
          <w:tcPr>
            <w:tcW w:w="130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1.168.857,00</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4318</w:t>
            </w:r>
          </w:p>
        </w:tc>
        <w:tc>
          <w:tcPr>
            <w:tcW w:w="2320"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Ostali transferi poj</w:t>
            </w:r>
          </w:p>
        </w:tc>
        <w:tc>
          <w:tcPr>
            <w:tcW w:w="1460"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51.000,00</w:t>
            </w:r>
          </w:p>
        </w:tc>
        <w:tc>
          <w:tcPr>
            <w:tcW w:w="130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32.000,00</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2320"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1460"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51.000,00</w:t>
            </w:r>
          </w:p>
        </w:tc>
        <w:tc>
          <w:tcPr>
            <w:tcW w:w="130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32.000,00</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4415</w:t>
            </w:r>
          </w:p>
        </w:tc>
        <w:tc>
          <w:tcPr>
            <w:tcW w:w="2320"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Izdaci za opremu</w:t>
            </w:r>
          </w:p>
        </w:tc>
        <w:tc>
          <w:tcPr>
            <w:tcW w:w="1460"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350.775,00</w:t>
            </w:r>
          </w:p>
        </w:tc>
        <w:tc>
          <w:tcPr>
            <w:tcW w:w="130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435.775,00</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4416</w:t>
            </w:r>
          </w:p>
        </w:tc>
        <w:tc>
          <w:tcPr>
            <w:tcW w:w="2320"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Izdaci za investicio</w:t>
            </w:r>
          </w:p>
        </w:tc>
        <w:tc>
          <w:tcPr>
            <w:tcW w:w="1460"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17.500,00</w:t>
            </w:r>
          </w:p>
        </w:tc>
        <w:tc>
          <w:tcPr>
            <w:tcW w:w="130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17.500,00</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2320"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1460"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368.275,00</w:t>
            </w:r>
          </w:p>
        </w:tc>
        <w:tc>
          <w:tcPr>
            <w:tcW w:w="130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453.275,00</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4630</w:t>
            </w:r>
          </w:p>
        </w:tc>
        <w:tc>
          <w:tcPr>
            <w:tcW w:w="2320"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Otplata obaveza iz p</w:t>
            </w:r>
          </w:p>
        </w:tc>
        <w:tc>
          <w:tcPr>
            <w:tcW w:w="1460"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1,00</w:t>
            </w:r>
          </w:p>
        </w:tc>
        <w:tc>
          <w:tcPr>
            <w:tcW w:w="130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1,00</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2320"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1460"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1,00</w:t>
            </w:r>
          </w:p>
        </w:tc>
        <w:tc>
          <w:tcPr>
            <w:tcW w:w="130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1,00</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18"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2320"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1460"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8.343.110,42</w:t>
            </w:r>
          </w:p>
        </w:tc>
        <w:tc>
          <w:tcPr>
            <w:tcW w:w="130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8.887.110,42</w:t>
            </w:r>
          </w:p>
        </w:tc>
      </w:tr>
    </w:tbl>
    <w:p w:rsidR="00E46C80" w:rsidRPr="00E46C80" w:rsidRDefault="00E46C80" w:rsidP="00E46C80">
      <w:pPr>
        <w:spacing w:before="0" w:after="0" w:line="240" w:lineRule="auto"/>
        <w:jc w:val="left"/>
        <w:rPr>
          <w:rFonts w:ascii="Times New Roman" w:eastAsia="Times New Roman" w:hAnsi="Times New Roman" w:cs="Times New Roman"/>
          <w:color w:val="000000"/>
          <w:szCs w:val="24"/>
          <w:lang w:val="en-US"/>
        </w:rPr>
      </w:pPr>
    </w:p>
    <w:p w:rsidR="00E46C80" w:rsidRPr="00E46C80" w:rsidRDefault="00E46C80" w:rsidP="00C71FFB">
      <w:pPr>
        <w:spacing w:before="0" w:after="0" w:line="240" w:lineRule="auto"/>
        <w:ind w:firstLine="708"/>
        <w:rPr>
          <w:rFonts w:eastAsia="Times New Roman" w:cs="Times New Roman"/>
          <w:color w:val="000000"/>
          <w:szCs w:val="24"/>
          <w:lang w:val="en-US"/>
        </w:rPr>
      </w:pPr>
      <w:r w:rsidRPr="00E46C80">
        <w:rPr>
          <w:rFonts w:eastAsia="Times New Roman" w:cs="Times New Roman"/>
          <w:color w:val="000000"/>
          <w:szCs w:val="24"/>
          <w:lang w:val="en-US"/>
        </w:rPr>
        <w:lastRenderedPageBreak/>
        <w:t>Prema izvještaju Integralnog izvršenja budžeta na dan 31.12.2020. godine budžetska sredstva data su u tabeli:</w:t>
      </w:r>
    </w:p>
    <w:p w:rsidR="00E46C80" w:rsidRPr="00E46C80" w:rsidRDefault="00C71FFB" w:rsidP="00E46C80">
      <w:pPr>
        <w:spacing w:before="0" w:after="0" w:line="240" w:lineRule="auto"/>
        <w:jc w:val="left"/>
        <w:rPr>
          <w:rFonts w:ascii="Times New Roman" w:eastAsia="Times New Roman" w:hAnsi="Times New Roman" w:cs="Times New Roman"/>
          <w:sz w:val="22"/>
          <w:szCs w:val="24"/>
        </w:rPr>
      </w:pPr>
      <w:r>
        <w:rPr>
          <w:rFonts w:ascii="Times New Roman" w:eastAsia="Times New Roman" w:hAnsi="Times New Roman" w:cs="Times New Roman"/>
          <w:sz w:val="22"/>
          <w:szCs w:val="24"/>
        </w:rPr>
        <w:t xml:space="preserve">                                             </w:t>
      </w:r>
      <w:r w:rsidR="00E46C80" w:rsidRPr="00E46C80">
        <w:rPr>
          <w:rFonts w:ascii="Times New Roman" w:eastAsia="Times New Roman" w:hAnsi="Times New Roman" w:cs="Times New Roman"/>
          <w:sz w:val="22"/>
          <w:szCs w:val="24"/>
        </w:rPr>
        <w:t>Tabela 12: budžetska sredstvana dan 31.12.2020. godine</w:t>
      </w:r>
    </w:p>
    <w:tbl>
      <w:tblPr>
        <w:tblStyle w:val="MediumGrid3-Accent1"/>
        <w:tblW w:w="9796" w:type="dxa"/>
        <w:tblLook w:val="04A0" w:firstRow="1" w:lastRow="0" w:firstColumn="1" w:lastColumn="0" w:noHBand="0" w:noVBand="1"/>
      </w:tblPr>
      <w:tblGrid>
        <w:gridCol w:w="767"/>
        <w:gridCol w:w="2272"/>
        <w:gridCol w:w="1431"/>
        <w:gridCol w:w="1372"/>
        <w:gridCol w:w="1314"/>
        <w:gridCol w:w="1372"/>
        <w:gridCol w:w="1268"/>
      </w:tblGrid>
      <w:tr w:rsidR="00E46C80" w:rsidRPr="00E46C80" w:rsidTr="009F412E">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67" w:type="dxa"/>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Konto</w:t>
            </w:r>
          </w:p>
        </w:tc>
        <w:tc>
          <w:tcPr>
            <w:tcW w:w="2272" w:type="dxa"/>
            <w:noWrap/>
            <w:hideMark/>
          </w:tcPr>
          <w:p w:rsidR="00E46C80" w:rsidRPr="00E46C80" w:rsidRDefault="00E46C80" w:rsidP="00E46C80">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Opis</w:t>
            </w:r>
          </w:p>
        </w:tc>
        <w:tc>
          <w:tcPr>
            <w:tcW w:w="1431" w:type="dxa"/>
            <w:noWrap/>
            <w:hideMark/>
          </w:tcPr>
          <w:p w:rsidR="00E46C80" w:rsidRPr="00E46C80" w:rsidRDefault="00E46C80" w:rsidP="00E46C80">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Tekući budžet</w:t>
            </w:r>
          </w:p>
        </w:tc>
        <w:tc>
          <w:tcPr>
            <w:tcW w:w="1372" w:type="dxa"/>
            <w:noWrap/>
            <w:hideMark/>
          </w:tcPr>
          <w:p w:rsidR="00E46C80" w:rsidRPr="00E46C80" w:rsidRDefault="00E46C80" w:rsidP="00E46C80">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Planirano</w:t>
            </w:r>
          </w:p>
        </w:tc>
        <w:tc>
          <w:tcPr>
            <w:tcW w:w="1314" w:type="dxa"/>
            <w:noWrap/>
            <w:hideMark/>
          </w:tcPr>
          <w:p w:rsidR="00E46C80" w:rsidRPr="00E46C80" w:rsidRDefault="00E46C80" w:rsidP="00E46C80">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Rezervacije</w:t>
            </w:r>
          </w:p>
        </w:tc>
        <w:tc>
          <w:tcPr>
            <w:tcW w:w="1372" w:type="dxa"/>
            <w:noWrap/>
            <w:hideMark/>
          </w:tcPr>
          <w:p w:rsidR="00E46C80" w:rsidRPr="00E46C80" w:rsidRDefault="00E46C80" w:rsidP="00E46C80">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Plaćeno</w:t>
            </w:r>
          </w:p>
        </w:tc>
        <w:tc>
          <w:tcPr>
            <w:tcW w:w="1268" w:type="dxa"/>
            <w:noWrap/>
            <w:hideMark/>
          </w:tcPr>
          <w:p w:rsidR="00E46C80" w:rsidRPr="00E46C80" w:rsidRDefault="00E46C80" w:rsidP="00E46C80">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Preostalo</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4111</w:t>
            </w:r>
          </w:p>
        </w:tc>
        <w:tc>
          <w:tcPr>
            <w:tcW w:w="2272"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Neto zarade</w:t>
            </w:r>
          </w:p>
        </w:tc>
        <w:tc>
          <w:tcPr>
            <w:tcW w:w="1431"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3.401.092,23</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3.489.544,73</w:t>
            </w:r>
          </w:p>
        </w:tc>
        <w:tc>
          <w:tcPr>
            <w:tcW w:w="1314"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860,07</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3.399.741,22</w:t>
            </w:r>
          </w:p>
        </w:tc>
        <w:tc>
          <w:tcPr>
            <w:tcW w:w="126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0,00</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4112</w:t>
            </w:r>
          </w:p>
        </w:tc>
        <w:tc>
          <w:tcPr>
            <w:tcW w:w="2272"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Porez na zarade</w:t>
            </w:r>
          </w:p>
        </w:tc>
        <w:tc>
          <w:tcPr>
            <w:tcW w:w="1431"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456.000,00</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496.000,00</w:t>
            </w:r>
          </w:p>
        </w:tc>
        <w:tc>
          <w:tcPr>
            <w:tcW w:w="1314"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0,00</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454.371,26</w:t>
            </w:r>
          </w:p>
        </w:tc>
        <w:tc>
          <w:tcPr>
            <w:tcW w:w="126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1.628,74</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4113</w:t>
            </w:r>
          </w:p>
        </w:tc>
        <w:tc>
          <w:tcPr>
            <w:tcW w:w="2272"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Doprinosi na teret z</w:t>
            </w:r>
          </w:p>
        </w:tc>
        <w:tc>
          <w:tcPr>
            <w:tcW w:w="1431"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1.253.615,10</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1.264.145,10</w:t>
            </w:r>
          </w:p>
        </w:tc>
        <w:tc>
          <w:tcPr>
            <w:tcW w:w="1314"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0,00</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1.201.095,12</w:t>
            </w:r>
          </w:p>
        </w:tc>
        <w:tc>
          <w:tcPr>
            <w:tcW w:w="126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52.519,98</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4114</w:t>
            </w:r>
          </w:p>
        </w:tc>
        <w:tc>
          <w:tcPr>
            <w:tcW w:w="2272"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Doprinosi  na teret</w:t>
            </w:r>
          </w:p>
        </w:tc>
        <w:tc>
          <w:tcPr>
            <w:tcW w:w="1431"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586.177,34</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651.177,34</w:t>
            </w:r>
          </w:p>
        </w:tc>
        <w:tc>
          <w:tcPr>
            <w:tcW w:w="1314"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403,00</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479.729,90</w:t>
            </w:r>
          </w:p>
        </w:tc>
        <w:tc>
          <w:tcPr>
            <w:tcW w:w="126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104.484,92</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4115</w:t>
            </w:r>
          </w:p>
        </w:tc>
        <w:tc>
          <w:tcPr>
            <w:tcW w:w="2272"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Opstinski prirez</w:t>
            </w:r>
          </w:p>
        </w:tc>
        <w:tc>
          <w:tcPr>
            <w:tcW w:w="1431"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70.691,14</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70.691,14</w:t>
            </w:r>
          </w:p>
        </w:tc>
        <w:tc>
          <w:tcPr>
            <w:tcW w:w="1314"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2,20</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62.914,80</w:t>
            </w:r>
          </w:p>
        </w:tc>
        <w:tc>
          <w:tcPr>
            <w:tcW w:w="126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7.774,14</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2272"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1431"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5.767.575,81</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5.971.558,31</w:t>
            </w:r>
          </w:p>
        </w:tc>
        <w:tc>
          <w:tcPr>
            <w:tcW w:w="1314"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1.265,27</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5.597.852,30</w:t>
            </w:r>
          </w:p>
        </w:tc>
        <w:tc>
          <w:tcPr>
            <w:tcW w:w="126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166.407,78</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4122</w:t>
            </w:r>
          </w:p>
        </w:tc>
        <w:tc>
          <w:tcPr>
            <w:tcW w:w="2272"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Naknada za stanovanj</w:t>
            </w:r>
          </w:p>
        </w:tc>
        <w:tc>
          <w:tcPr>
            <w:tcW w:w="1431"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11.153,00</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17.653,00</w:t>
            </w:r>
          </w:p>
        </w:tc>
        <w:tc>
          <w:tcPr>
            <w:tcW w:w="1314"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5.251,34</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5.868,52</w:t>
            </w:r>
          </w:p>
        </w:tc>
        <w:tc>
          <w:tcPr>
            <w:tcW w:w="126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33,14</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4123</w:t>
            </w:r>
          </w:p>
        </w:tc>
        <w:tc>
          <w:tcPr>
            <w:tcW w:w="2272"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Naknada za prevoz</w:t>
            </w:r>
          </w:p>
        </w:tc>
        <w:tc>
          <w:tcPr>
            <w:tcW w:w="1431"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6.840,00</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7.000,00</w:t>
            </w:r>
          </w:p>
        </w:tc>
        <w:tc>
          <w:tcPr>
            <w:tcW w:w="1314"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0,49</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5.549,50</w:t>
            </w:r>
          </w:p>
        </w:tc>
        <w:tc>
          <w:tcPr>
            <w:tcW w:w="126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50,01</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4124</w:t>
            </w:r>
          </w:p>
        </w:tc>
        <w:tc>
          <w:tcPr>
            <w:tcW w:w="2272"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Jubilarne nagrade</w:t>
            </w:r>
          </w:p>
        </w:tc>
        <w:tc>
          <w:tcPr>
            <w:tcW w:w="1431"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2.500,00</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6.000,00</w:t>
            </w:r>
          </w:p>
        </w:tc>
        <w:tc>
          <w:tcPr>
            <w:tcW w:w="1314"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737,00</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1.512,00</w:t>
            </w:r>
          </w:p>
        </w:tc>
        <w:tc>
          <w:tcPr>
            <w:tcW w:w="126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250,00</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4125</w:t>
            </w:r>
          </w:p>
        </w:tc>
        <w:tc>
          <w:tcPr>
            <w:tcW w:w="2272"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Otpremnine</w:t>
            </w:r>
          </w:p>
        </w:tc>
        <w:tc>
          <w:tcPr>
            <w:tcW w:w="1431"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2.500,00</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4.500,00</w:t>
            </w:r>
          </w:p>
        </w:tc>
        <w:tc>
          <w:tcPr>
            <w:tcW w:w="1314"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0,00</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1.263,51</w:t>
            </w:r>
          </w:p>
        </w:tc>
        <w:tc>
          <w:tcPr>
            <w:tcW w:w="126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486,00</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4127</w:t>
            </w:r>
          </w:p>
        </w:tc>
        <w:tc>
          <w:tcPr>
            <w:tcW w:w="2272"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Ostale naknade</w:t>
            </w:r>
          </w:p>
        </w:tc>
        <w:tc>
          <w:tcPr>
            <w:tcW w:w="1431"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7.950,00</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10.000,00</w:t>
            </w:r>
          </w:p>
        </w:tc>
        <w:tc>
          <w:tcPr>
            <w:tcW w:w="1314"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1.047,06</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6.874,06</w:t>
            </w:r>
          </w:p>
        </w:tc>
        <w:tc>
          <w:tcPr>
            <w:tcW w:w="126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28,88</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2272"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1431"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30.943,00</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45.153,00</w:t>
            </w:r>
          </w:p>
        </w:tc>
        <w:tc>
          <w:tcPr>
            <w:tcW w:w="1314"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7.035,89</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21.067,59</w:t>
            </w:r>
          </w:p>
        </w:tc>
        <w:tc>
          <w:tcPr>
            <w:tcW w:w="126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848,03</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4131</w:t>
            </w:r>
          </w:p>
        </w:tc>
        <w:tc>
          <w:tcPr>
            <w:tcW w:w="2272"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Administrativni mate</w:t>
            </w:r>
          </w:p>
        </w:tc>
        <w:tc>
          <w:tcPr>
            <w:tcW w:w="1431"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88.400,00</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250.000,00</w:t>
            </w:r>
          </w:p>
        </w:tc>
        <w:tc>
          <w:tcPr>
            <w:tcW w:w="1314"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22.255,02</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48.203,81</w:t>
            </w:r>
          </w:p>
        </w:tc>
        <w:tc>
          <w:tcPr>
            <w:tcW w:w="126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17.941,17</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4133</w:t>
            </w:r>
          </w:p>
        </w:tc>
        <w:tc>
          <w:tcPr>
            <w:tcW w:w="2272"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Materijal za posebne</w:t>
            </w:r>
          </w:p>
        </w:tc>
        <w:tc>
          <w:tcPr>
            <w:tcW w:w="1431"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554.540,00</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596.640,00</w:t>
            </w:r>
          </w:p>
        </w:tc>
        <w:tc>
          <w:tcPr>
            <w:tcW w:w="1314"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144,83</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538.495,17</w:t>
            </w:r>
          </w:p>
        </w:tc>
        <w:tc>
          <w:tcPr>
            <w:tcW w:w="126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0,00</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4135</w:t>
            </w:r>
          </w:p>
        </w:tc>
        <w:tc>
          <w:tcPr>
            <w:tcW w:w="2272"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Rashodi za gorivo</w:t>
            </w:r>
          </w:p>
        </w:tc>
        <w:tc>
          <w:tcPr>
            <w:tcW w:w="1431"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10.600,00</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10.600,00</w:t>
            </w:r>
          </w:p>
        </w:tc>
        <w:tc>
          <w:tcPr>
            <w:tcW w:w="1314"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4.865,72</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3.084,27</w:t>
            </w:r>
          </w:p>
        </w:tc>
        <w:tc>
          <w:tcPr>
            <w:tcW w:w="126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2.650,01</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4139</w:t>
            </w:r>
          </w:p>
        </w:tc>
        <w:tc>
          <w:tcPr>
            <w:tcW w:w="2272"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Ostali rashodi za ma</w:t>
            </w:r>
          </w:p>
        </w:tc>
        <w:tc>
          <w:tcPr>
            <w:tcW w:w="1431"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13.000,00</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30.000,00</w:t>
            </w:r>
          </w:p>
        </w:tc>
        <w:tc>
          <w:tcPr>
            <w:tcW w:w="1314"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2.881,70</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7.118,30</w:t>
            </w:r>
          </w:p>
        </w:tc>
        <w:tc>
          <w:tcPr>
            <w:tcW w:w="126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500,00</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2272"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1431"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666.540,00</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887.240,00</w:t>
            </w:r>
          </w:p>
        </w:tc>
        <w:tc>
          <w:tcPr>
            <w:tcW w:w="1314"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30.147,27</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596.901,55</w:t>
            </w:r>
          </w:p>
        </w:tc>
        <w:tc>
          <w:tcPr>
            <w:tcW w:w="126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21.091,18</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4141</w:t>
            </w:r>
          </w:p>
        </w:tc>
        <w:tc>
          <w:tcPr>
            <w:tcW w:w="2272"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Sluzbena putovanja</w:t>
            </w:r>
          </w:p>
        </w:tc>
        <w:tc>
          <w:tcPr>
            <w:tcW w:w="1431"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36.318,96</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46.318,96</w:t>
            </w:r>
          </w:p>
        </w:tc>
        <w:tc>
          <w:tcPr>
            <w:tcW w:w="1314"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10.981,80</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10.699,22</w:t>
            </w:r>
          </w:p>
        </w:tc>
        <w:tc>
          <w:tcPr>
            <w:tcW w:w="126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12.461,29</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4142</w:t>
            </w:r>
          </w:p>
        </w:tc>
        <w:tc>
          <w:tcPr>
            <w:tcW w:w="2272"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Reprezentacija</w:t>
            </w:r>
          </w:p>
        </w:tc>
        <w:tc>
          <w:tcPr>
            <w:tcW w:w="1431"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2.000,00</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2.000,00</w:t>
            </w:r>
          </w:p>
        </w:tc>
        <w:tc>
          <w:tcPr>
            <w:tcW w:w="1314"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1.001,80</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997,21</w:t>
            </w:r>
          </w:p>
        </w:tc>
        <w:tc>
          <w:tcPr>
            <w:tcW w:w="126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0,99</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4143</w:t>
            </w:r>
          </w:p>
        </w:tc>
        <w:tc>
          <w:tcPr>
            <w:tcW w:w="2272"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Komunikacione usluge</w:t>
            </w:r>
          </w:p>
        </w:tc>
        <w:tc>
          <w:tcPr>
            <w:tcW w:w="1431"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19.045,28</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24.045,28</w:t>
            </w:r>
          </w:p>
        </w:tc>
        <w:tc>
          <w:tcPr>
            <w:tcW w:w="1314"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2.186,98</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11.683,22</w:t>
            </w:r>
          </w:p>
        </w:tc>
        <w:tc>
          <w:tcPr>
            <w:tcW w:w="126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5.175,08</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4144</w:t>
            </w:r>
          </w:p>
        </w:tc>
        <w:tc>
          <w:tcPr>
            <w:tcW w:w="2272"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Bankarske usluge i n</w:t>
            </w:r>
          </w:p>
        </w:tc>
        <w:tc>
          <w:tcPr>
            <w:tcW w:w="1431"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5.981,03</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2.481,03</w:t>
            </w:r>
          </w:p>
        </w:tc>
        <w:tc>
          <w:tcPr>
            <w:tcW w:w="1314"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290,03</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3.687,22</w:t>
            </w:r>
          </w:p>
        </w:tc>
        <w:tc>
          <w:tcPr>
            <w:tcW w:w="126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3,78</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4146</w:t>
            </w:r>
          </w:p>
        </w:tc>
        <w:tc>
          <w:tcPr>
            <w:tcW w:w="2272"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Advokatske notarske</w:t>
            </w:r>
          </w:p>
        </w:tc>
        <w:tc>
          <w:tcPr>
            <w:tcW w:w="1431"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3.600,00</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9.600,00</w:t>
            </w:r>
          </w:p>
        </w:tc>
        <w:tc>
          <w:tcPr>
            <w:tcW w:w="1314"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3.111,76</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488,24</w:t>
            </w:r>
          </w:p>
        </w:tc>
        <w:tc>
          <w:tcPr>
            <w:tcW w:w="126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0,00</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4147</w:t>
            </w:r>
          </w:p>
        </w:tc>
        <w:tc>
          <w:tcPr>
            <w:tcW w:w="2272"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Konsultantske usluge</w:t>
            </w:r>
          </w:p>
        </w:tc>
        <w:tc>
          <w:tcPr>
            <w:tcW w:w="1431"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9.400,00</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9.400,00</w:t>
            </w:r>
          </w:p>
        </w:tc>
        <w:tc>
          <w:tcPr>
            <w:tcW w:w="1314"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5.483,32</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0,00</w:t>
            </w:r>
          </w:p>
        </w:tc>
        <w:tc>
          <w:tcPr>
            <w:tcW w:w="126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2.350,01</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4147</w:t>
            </w:r>
          </w:p>
        </w:tc>
        <w:tc>
          <w:tcPr>
            <w:tcW w:w="2272"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Konsultantske usluge</w:t>
            </w:r>
          </w:p>
        </w:tc>
        <w:tc>
          <w:tcPr>
            <w:tcW w:w="1431"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0,00</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0,00</w:t>
            </w:r>
          </w:p>
        </w:tc>
        <w:tc>
          <w:tcPr>
            <w:tcW w:w="1314"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0,00</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9.966,86</w:t>
            </w:r>
          </w:p>
        </w:tc>
        <w:tc>
          <w:tcPr>
            <w:tcW w:w="126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0,00</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4148</w:t>
            </w:r>
          </w:p>
        </w:tc>
        <w:tc>
          <w:tcPr>
            <w:tcW w:w="2272"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Usluge strucnog usav</w:t>
            </w:r>
          </w:p>
        </w:tc>
        <w:tc>
          <w:tcPr>
            <w:tcW w:w="1431"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6.000,00</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20.000,00</w:t>
            </w:r>
          </w:p>
        </w:tc>
        <w:tc>
          <w:tcPr>
            <w:tcW w:w="1314"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1.183,18</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4.531,13</w:t>
            </w:r>
          </w:p>
        </w:tc>
        <w:tc>
          <w:tcPr>
            <w:tcW w:w="126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285,69</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4149</w:t>
            </w:r>
          </w:p>
        </w:tc>
        <w:tc>
          <w:tcPr>
            <w:tcW w:w="2272"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Ostale usluge</w:t>
            </w:r>
          </w:p>
        </w:tc>
        <w:tc>
          <w:tcPr>
            <w:tcW w:w="1431"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54.207,85</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29.263,85</w:t>
            </w:r>
          </w:p>
        </w:tc>
        <w:tc>
          <w:tcPr>
            <w:tcW w:w="1314"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158,80</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48.117,23</w:t>
            </w:r>
          </w:p>
        </w:tc>
        <w:tc>
          <w:tcPr>
            <w:tcW w:w="126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5.931,82</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2272"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1431"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136.553,12</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143.109,12</w:t>
            </w:r>
          </w:p>
        </w:tc>
        <w:tc>
          <w:tcPr>
            <w:tcW w:w="1314"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24.397,67</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90.170,33</w:t>
            </w:r>
          </w:p>
        </w:tc>
        <w:tc>
          <w:tcPr>
            <w:tcW w:w="126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26.208,66</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4152</w:t>
            </w:r>
          </w:p>
        </w:tc>
        <w:tc>
          <w:tcPr>
            <w:tcW w:w="2272"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Tekuce odrzavanje gr</w:t>
            </w:r>
          </w:p>
        </w:tc>
        <w:tc>
          <w:tcPr>
            <w:tcW w:w="1431"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52.500,00</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50.000,00</w:t>
            </w:r>
          </w:p>
        </w:tc>
        <w:tc>
          <w:tcPr>
            <w:tcW w:w="1314"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730,13</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51.769,87</w:t>
            </w:r>
          </w:p>
        </w:tc>
        <w:tc>
          <w:tcPr>
            <w:tcW w:w="126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0,00</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4153</w:t>
            </w:r>
          </w:p>
        </w:tc>
        <w:tc>
          <w:tcPr>
            <w:tcW w:w="2272"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Tekuce odrzavanje op</w:t>
            </w:r>
          </w:p>
        </w:tc>
        <w:tc>
          <w:tcPr>
            <w:tcW w:w="1431"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135.915,99</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135.915,99</w:t>
            </w:r>
          </w:p>
        </w:tc>
        <w:tc>
          <w:tcPr>
            <w:tcW w:w="1314"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27.603,38</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108.312,61</w:t>
            </w:r>
          </w:p>
        </w:tc>
        <w:tc>
          <w:tcPr>
            <w:tcW w:w="126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0,00</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2272"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1431"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188.415,99</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185.915,99</w:t>
            </w:r>
          </w:p>
        </w:tc>
        <w:tc>
          <w:tcPr>
            <w:tcW w:w="1314"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28.333,51</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160.082,48</w:t>
            </w:r>
          </w:p>
        </w:tc>
        <w:tc>
          <w:tcPr>
            <w:tcW w:w="126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0,00</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4161</w:t>
            </w:r>
          </w:p>
        </w:tc>
        <w:tc>
          <w:tcPr>
            <w:tcW w:w="2272"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Kamate rezidentima</w:t>
            </w:r>
          </w:p>
        </w:tc>
        <w:tc>
          <w:tcPr>
            <w:tcW w:w="1431"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1,00</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1,00</w:t>
            </w:r>
          </w:p>
        </w:tc>
        <w:tc>
          <w:tcPr>
            <w:tcW w:w="1314"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0,00</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0,00</w:t>
            </w:r>
          </w:p>
        </w:tc>
        <w:tc>
          <w:tcPr>
            <w:tcW w:w="126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1,00</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2272"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1431"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1,00</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1,00</w:t>
            </w:r>
          </w:p>
        </w:tc>
        <w:tc>
          <w:tcPr>
            <w:tcW w:w="1314"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0,00</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0,00</w:t>
            </w:r>
          </w:p>
        </w:tc>
        <w:tc>
          <w:tcPr>
            <w:tcW w:w="126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1,00</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4191</w:t>
            </w:r>
          </w:p>
        </w:tc>
        <w:tc>
          <w:tcPr>
            <w:tcW w:w="2272"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Izdaci po osnovu ugo</w:t>
            </w:r>
          </w:p>
        </w:tc>
        <w:tc>
          <w:tcPr>
            <w:tcW w:w="1431"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168.856,00</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26.856,00</w:t>
            </w:r>
          </w:p>
        </w:tc>
        <w:tc>
          <w:tcPr>
            <w:tcW w:w="1314"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16.909,34</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151.946,66</w:t>
            </w:r>
          </w:p>
        </w:tc>
        <w:tc>
          <w:tcPr>
            <w:tcW w:w="126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0,00</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4192</w:t>
            </w:r>
          </w:p>
        </w:tc>
        <w:tc>
          <w:tcPr>
            <w:tcW w:w="2272"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Izdaci po osnovu sud</w:t>
            </w:r>
          </w:p>
        </w:tc>
        <w:tc>
          <w:tcPr>
            <w:tcW w:w="1431"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8.039,50</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1,00</w:t>
            </w:r>
          </w:p>
        </w:tc>
        <w:tc>
          <w:tcPr>
            <w:tcW w:w="1314"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27,00</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8.011,58</w:t>
            </w:r>
          </w:p>
        </w:tc>
        <w:tc>
          <w:tcPr>
            <w:tcW w:w="126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0,92</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4193</w:t>
            </w:r>
          </w:p>
        </w:tc>
        <w:tc>
          <w:tcPr>
            <w:tcW w:w="2272"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Izrada i odrzavanje</w:t>
            </w:r>
          </w:p>
        </w:tc>
        <w:tc>
          <w:tcPr>
            <w:tcW w:w="1431"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800.410,00</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965.500,00</w:t>
            </w:r>
          </w:p>
        </w:tc>
        <w:tc>
          <w:tcPr>
            <w:tcW w:w="1314"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90.479,18</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314.900,51</w:t>
            </w:r>
          </w:p>
        </w:tc>
        <w:tc>
          <w:tcPr>
            <w:tcW w:w="126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231.022,61</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4194</w:t>
            </w:r>
          </w:p>
        </w:tc>
        <w:tc>
          <w:tcPr>
            <w:tcW w:w="2272"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Osiguranje</w:t>
            </w:r>
          </w:p>
        </w:tc>
        <w:tc>
          <w:tcPr>
            <w:tcW w:w="1431"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500,00</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500,00</w:t>
            </w:r>
          </w:p>
        </w:tc>
        <w:tc>
          <w:tcPr>
            <w:tcW w:w="1314"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375,01</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0,00</w:t>
            </w:r>
          </w:p>
        </w:tc>
        <w:tc>
          <w:tcPr>
            <w:tcW w:w="126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124,99</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4195</w:t>
            </w:r>
          </w:p>
        </w:tc>
        <w:tc>
          <w:tcPr>
            <w:tcW w:w="2272"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Kontribucije za clan</w:t>
            </w:r>
          </w:p>
        </w:tc>
        <w:tc>
          <w:tcPr>
            <w:tcW w:w="1431"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120.000,00</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120.000,00</w:t>
            </w:r>
          </w:p>
        </w:tc>
        <w:tc>
          <w:tcPr>
            <w:tcW w:w="1314"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3.023,67</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116.976,33</w:t>
            </w:r>
          </w:p>
        </w:tc>
        <w:tc>
          <w:tcPr>
            <w:tcW w:w="126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0,00</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4198</w:t>
            </w:r>
          </w:p>
        </w:tc>
        <w:tc>
          <w:tcPr>
            <w:tcW w:w="2272"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Takse</w:t>
            </w:r>
          </w:p>
        </w:tc>
        <w:tc>
          <w:tcPr>
            <w:tcW w:w="1431"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1.000,00</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1.000,00</w:t>
            </w:r>
          </w:p>
        </w:tc>
        <w:tc>
          <w:tcPr>
            <w:tcW w:w="1314"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583,32</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0,00</w:t>
            </w:r>
          </w:p>
        </w:tc>
        <w:tc>
          <w:tcPr>
            <w:tcW w:w="126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250,01</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4199</w:t>
            </w:r>
          </w:p>
        </w:tc>
        <w:tc>
          <w:tcPr>
            <w:tcW w:w="2272"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Ostalo</w:t>
            </w:r>
          </w:p>
        </w:tc>
        <w:tc>
          <w:tcPr>
            <w:tcW w:w="1431"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35.000,00</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55.000,00</w:t>
            </w:r>
          </w:p>
        </w:tc>
        <w:tc>
          <w:tcPr>
            <w:tcW w:w="1314"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943,85</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19.061,42</w:t>
            </w:r>
          </w:p>
        </w:tc>
        <w:tc>
          <w:tcPr>
            <w:tcW w:w="126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14.994,73</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2272"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1431"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1.133.805,50</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1.168.857,00</w:t>
            </w:r>
          </w:p>
        </w:tc>
        <w:tc>
          <w:tcPr>
            <w:tcW w:w="1314"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112.341,37</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610.896,50</w:t>
            </w:r>
          </w:p>
        </w:tc>
        <w:tc>
          <w:tcPr>
            <w:tcW w:w="126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246.393,26</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4318</w:t>
            </w:r>
          </w:p>
        </w:tc>
        <w:tc>
          <w:tcPr>
            <w:tcW w:w="2272"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Ostali transferi poj</w:t>
            </w:r>
          </w:p>
        </w:tc>
        <w:tc>
          <w:tcPr>
            <w:tcW w:w="1431"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51.000,00</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32.000,00</w:t>
            </w:r>
          </w:p>
        </w:tc>
        <w:tc>
          <w:tcPr>
            <w:tcW w:w="1314"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1.119,91</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49.880,00</w:t>
            </w:r>
          </w:p>
        </w:tc>
        <w:tc>
          <w:tcPr>
            <w:tcW w:w="126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0,00</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2272"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1431"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51.000,00</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32.000,00</w:t>
            </w:r>
          </w:p>
        </w:tc>
        <w:tc>
          <w:tcPr>
            <w:tcW w:w="1314"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1.119,91</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49.880,00</w:t>
            </w:r>
          </w:p>
        </w:tc>
        <w:tc>
          <w:tcPr>
            <w:tcW w:w="126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0,00</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4415</w:t>
            </w:r>
          </w:p>
        </w:tc>
        <w:tc>
          <w:tcPr>
            <w:tcW w:w="2272"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Izdaci za opremu</w:t>
            </w:r>
          </w:p>
        </w:tc>
        <w:tc>
          <w:tcPr>
            <w:tcW w:w="1431"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350.775,00</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435.775,00</w:t>
            </w:r>
          </w:p>
        </w:tc>
        <w:tc>
          <w:tcPr>
            <w:tcW w:w="1314"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124.140,33</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174.005,49</w:t>
            </w:r>
          </w:p>
        </w:tc>
        <w:tc>
          <w:tcPr>
            <w:tcW w:w="126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52.629,18</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4416</w:t>
            </w:r>
          </w:p>
        </w:tc>
        <w:tc>
          <w:tcPr>
            <w:tcW w:w="2272"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Izdaci za investicio</w:t>
            </w:r>
          </w:p>
        </w:tc>
        <w:tc>
          <w:tcPr>
            <w:tcW w:w="1431"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17.500,00</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17.500,00</w:t>
            </w:r>
          </w:p>
        </w:tc>
        <w:tc>
          <w:tcPr>
            <w:tcW w:w="1314"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180,87</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17.318,42</w:t>
            </w:r>
          </w:p>
        </w:tc>
        <w:tc>
          <w:tcPr>
            <w:tcW w:w="126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0,00</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2272"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1431"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368.275,00</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453.275,00</w:t>
            </w:r>
          </w:p>
        </w:tc>
        <w:tc>
          <w:tcPr>
            <w:tcW w:w="1314"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124.321,20</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191.323,91</w:t>
            </w:r>
          </w:p>
        </w:tc>
        <w:tc>
          <w:tcPr>
            <w:tcW w:w="126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52.629,18</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4630</w:t>
            </w:r>
          </w:p>
        </w:tc>
        <w:tc>
          <w:tcPr>
            <w:tcW w:w="2272"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Otplata obaveza iz p</w:t>
            </w:r>
          </w:p>
        </w:tc>
        <w:tc>
          <w:tcPr>
            <w:tcW w:w="1431"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1,00</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1,00</w:t>
            </w:r>
          </w:p>
        </w:tc>
        <w:tc>
          <w:tcPr>
            <w:tcW w:w="1314"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47.008,05</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7.991,95</w:t>
            </w:r>
          </w:p>
        </w:tc>
        <w:tc>
          <w:tcPr>
            <w:tcW w:w="126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1,00</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2272" w:type="dxa"/>
            <w:noWrap/>
            <w:hideMark/>
          </w:tcPr>
          <w:p w:rsidR="00E46C80" w:rsidRPr="00E46C80" w:rsidRDefault="00E46C80" w:rsidP="00E46C80">
            <w:pPr>
              <w:spacing w:before="0"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1431"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1,00</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1,00</w:t>
            </w:r>
          </w:p>
        </w:tc>
        <w:tc>
          <w:tcPr>
            <w:tcW w:w="1314"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47.008,05</w:t>
            </w:r>
          </w:p>
        </w:tc>
        <w:tc>
          <w:tcPr>
            <w:tcW w:w="1372"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7.991,95</w:t>
            </w:r>
          </w:p>
        </w:tc>
        <w:tc>
          <w:tcPr>
            <w:tcW w:w="1268" w:type="dxa"/>
            <w:noWrap/>
            <w:hideMark/>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1,00</w:t>
            </w:r>
          </w:p>
        </w:tc>
      </w:tr>
      <w:tr w:rsidR="00E46C80" w:rsidRPr="00E46C80" w:rsidTr="009F412E">
        <w:trPr>
          <w:trHeight w:val="255"/>
        </w:trPr>
        <w:tc>
          <w:tcPr>
            <w:cnfStyle w:val="001000000000" w:firstRow="0" w:lastRow="0" w:firstColumn="1" w:lastColumn="0" w:oddVBand="0" w:evenVBand="0" w:oddHBand="0" w:evenHBand="0" w:firstRowFirstColumn="0" w:firstRowLastColumn="0" w:lastRowFirstColumn="0" w:lastRowLastColumn="0"/>
            <w:tcW w:w="767" w:type="dxa"/>
            <w:noWrap/>
            <w:hideMark/>
          </w:tcPr>
          <w:p w:rsidR="00E46C80" w:rsidRPr="00E46C80" w:rsidRDefault="00E46C80" w:rsidP="00E46C80">
            <w:pPr>
              <w:spacing w:before="0" w:after="0" w:line="240" w:lineRule="auto"/>
              <w:jc w:val="left"/>
              <w:rPr>
                <w:rFonts w:ascii="Times New Roman" w:eastAsia="Times New Roman" w:hAnsi="Times New Roman"/>
                <w:sz w:val="20"/>
                <w:lang w:val="en-US"/>
              </w:rPr>
            </w:pPr>
            <w:r w:rsidRPr="00E46C80">
              <w:rPr>
                <w:rFonts w:ascii="Times New Roman" w:eastAsia="Times New Roman" w:hAnsi="Times New Roman"/>
                <w:sz w:val="20"/>
                <w:lang w:val="en-US"/>
              </w:rPr>
              <w:lastRenderedPageBreak/>
              <w:t> </w:t>
            </w:r>
          </w:p>
        </w:tc>
        <w:tc>
          <w:tcPr>
            <w:tcW w:w="2272" w:type="dxa"/>
            <w:noWrap/>
            <w:hideMark/>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val="en-US"/>
              </w:rPr>
            </w:pPr>
            <w:r w:rsidRPr="00E46C80">
              <w:rPr>
                <w:rFonts w:ascii="Times New Roman" w:eastAsia="Times New Roman" w:hAnsi="Times New Roman"/>
                <w:sz w:val="20"/>
                <w:lang w:val="en-US"/>
              </w:rPr>
              <w:t> </w:t>
            </w:r>
          </w:p>
        </w:tc>
        <w:tc>
          <w:tcPr>
            <w:tcW w:w="1431"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8.343.110,42</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8.887.110,42</w:t>
            </w:r>
          </w:p>
        </w:tc>
        <w:tc>
          <w:tcPr>
            <w:tcW w:w="1314"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375.970,14</w:t>
            </w:r>
          </w:p>
        </w:tc>
        <w:tc>
          <w:tcPr>
            <w:tcW w:w="1372"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7.326.166,61</w:t>
            </w:r>
          </w:p>
        </w:tc>
        <w:tc>
          <w:tcPr>
            <w:tcW w:w="1268" w:type="dxa"/>
            <w:noWrap/>
            <w:hideMark/>
          </w:tcPr>
          <w:p w:rsidR="00E46C80" w:rsidRPr="00E46C80" w:rsidRDefault="00E46C80" w:rsidP="00E46C80">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sz w:val="20"/>
                <w:lang w:val="en-US"/>
              </w:rPr>
            </w:pPr>
            <w:r w:rsidRPr="00E46C80">
              <w:rPr>
                <w:rFonts w:ascii="Times New Roman" w:eastAsia="Times New Roman" w:hAnsi="Times New Roman"/>
                <w:b/>
                <w:bCs/>
                <w:sz w:val="20"/>
                <w:lang w:val="en-US"/>
              </w:rPr>
              <w:t>513.580,09</w:t>
            </w:r>
          </w:p>
        </w:tc>
      </w:tr>
    </w:tbl>
    <w:p w:rsidR="00E46C80" w:rsidRPr="00E46C80" w:rsidRDefault="00E46C80" w:rsidP="00E46C80">
      <w:pPr>
        <w:spacing w:before="0" w:after="0" w:line="240" w:lineRule="auto"/>
        <w:ind w:firstLine="708"/>
        <w:rPr>
          <w:rFonts w:ascii="Times New Roman" w:eastAsia="Times New Roman" w:hAnsi="Times New Roman" w:cs="Times New Roman"/>
          <w:szCs w:val="24"/>
          <w:lang w:val="hr-HR"/>
        </w:rPr>
      </w:pPr>
    </w:p>
    <w:p w:rsidR="00E46C80" w:rsidRPr="00E46C80" w:rsidRDefault="00E46C80" w:rsidP="005439CA">
      <w:pPr>
        <w:spacing w:before="0" w:after="0" w:line="240" w:lineRule="auto"/>
        <w:ind w:firstLine="708"/>
        <w:rPr>
          <w:rFonts w:eastAsia="Times New Roman" w:cs="Times New Roman"/>
          <w:szCs w:val="24"/>
          <w:lang w:val="hr-HR"/>
        </w:rPr>
      </w:pPr>
      <w:r w:rsidRPr="00E46C80">
        <w:rPr>
          <w:rFonts w:eastAsia="Times New Roman" w:cs="Times New Roman"/>
          <w:szCs w:val="24"/>
          <w:lang w:val="hr-HR"/>
        </w:rPr>
        <w:t>U periodu januar-decembar  izvršena su plaćanja za nabavku roba i usluga prema izabranim dobavljačima, shodno ugovorenim obavezama. Uprava carina sprovodi ugovorene obaveze po planu mjesečnog varanta raspoloživih sredstava.</w:t>
      </w:r>
    </w:p>
    <w:p w:rsidR="00E46C80" w:rsidRPr="00E46C80" w:rsidRDefault="00E46C80" w:rsidP="005439CA">
      <w:pPr>
        <w:spacing w:before="0" w:after="0" w:line="240" w:lineRule="auto"/>
        <w:ind w:firstLine="708"/>
        <w:rPr>
          <w:rFonts w:eastAsia="Times New Roman" w:cs="Times New Roman"/>
          <w:szCs w:val="24"/>
          <w:lang w:val="hr-HR"/>
        </w:rPr>
      </w:pPr>
      <w:r w:rsidRPr="00E46C80">
        <w:rPr>
          <w:rFonts w:eastAsia="Times New Roman" w:cs="Times New Roman"/>
          <w:szCs w:val="24"/>
          <w:lang w:val="hr-HR"/>
        </w:rPr>
        <w:t>Prema evidenciji KUF obaveze prema dobavljačima na dan 31.12.2020. godine  iznose 19.818,28€.  Neizmirene obaveze za ostala lična primanja iznose 6.278,00€. Interni programi za praćenje poslovnih procesa Službe za finansijsko računovodstvene poslove i javne nabavke za 2020. godinu su doradjeni  i unaprijedjeni. Posebno ističemo unapredjenje  programa Glavne knjige i blagajničkog poslovanja, sa velikim brojem izvještaja po korisniku, mjestu i specifikaciji troška. Glavna knjiga omogućava precizne izvještaje izvršenja budžeta sa analitikom i subanalitikom. Blagajnički mjesečni maksimum za tekuću godinu je na nivou iz predhodne  godine i iznosi 2.500€. Dnevnik redovnih blagajničkih sredstava na dan 31.12.2020.godine iznosi 0,00€ jer su nepotrošena sredstva u iznosu od 611,71 € vraćena na Glavni račun Državnog trezora.</w:t>
      </w:r>
    </w:p>
    <w:p w:rsidR="00E46C80" w:rsidRPr="00E46C80" w:rsidRDefault="00E46C80" w:rsidP="005439CA">
      <w:pPr>
        <w:spacing w:before="0" w:after="0" w:line="240" w:lineRule="auto"/>
        <w:ind w:firstLine="708"/>
        <w:rPr>
          <w:rFonts w:eastAsia="Times New Roman" w:cs="Times New Roman"/>
          <w:szCs w:val="24"/>
          <w:lang w:val="sl-SI"/>
        </w:rPr>
      </w:pPr>
      <w:r w:rsidRPr="00E46C80">
        <w:rPr>
          <w:rFonts w:eastAsia="Times New Roman" w:cs="Times New Roman"/>
          <w:szCs w:val="24"/>
          <w:lang w:val="hr-HR"/>
        </w:rPr>
        <w:t xml:space="preserve">Kao članica CUSTOMS Programa 2020, čiji je opšti cilj </w:t>
      </w:r>
      <w:r w:rsidRPr="00E46C80">
        <w:rPr>
          <w:rFonts w:eastAsia="Times New Roman" w:cs="Times New Roman"/>
          <w:szCs w:val="24"/>
          <w:lang w:val="sl-SI"/>
        </w:rPr>
        <w:t>podrška funkcionisanju i modernizaciji carinske unije u cilju jačanja unutrašnjeg tržišta kroz saradnju zemalja učesnica, njihovih  carinskih službi i njihovih službenika, Uprava carina uspješno realizuje navedeni projekat. Očekujemo poziv za uplatu godišnje članarine za učešće u Programu CUSTOMS 2020 za 2020/2021 godinu, u iznosu od 65.000 € uz napomenu da su planirane aktivnosti obustavljene zbog aktuelne situacije sa Covid-19. Budžetska godina CUSTOMS Projekta, obuhvata period od 01.04.2019 do 31.03.2020. godine, a rok za dostavljanje finansijskog izvještaja je 30. jun 2020 godine, tako da je izvještaj dostavljen u skladu sa pravilima Finansijskog vodiča. Ukupna budžetska potrošnja iz sredstava donacije po Customs Programu za period 01.01.2020-31.12.2020 iznosi 9.966,86 €. Dnevnik blagajne za CUSTOMS Program ima saldo 0,00 € na dan 31.12.2020.godine, jer su blagajnička sredstva vraćena Državnom terozoru, pošto su sve aktivnosti po CUSTOMS Programu otkazane zaključno sa 31.12.2020.godine, zbog COVID-19 pandemije.</w:t>
      </w:r>
    </w:p>
    <w:p w:rsidR="00E46C80" w:rsidRPr="00E46C80" w:rsidRDefault="00E46C80" w:rsidP="005439CA">
      <w:pPr>
        <w:spacing w:before="0" w:after="0" w:line="240" w:lineRule="auto"/>
        <w:rPr>
          <w:rFonts w:eastAsia="Times New Roman" w:cs="Times New Roman"/>
          <w:szCs w:val="24"/>
          <w:lang w:val="sl-SI"/>
        </w:rPr>
      </w:pPr>
      <w:r w:rsidRPr="00E46C80">
        <w:rPr>
          <w:rFonts w:eastAsia="Times New Roman" w:cs="Times New Roman"/>
          <w:szCs w:val="24"/>
          <w:lang w:val="sl-SI"/>
        </w:rPr>
        <w:tab/>
        <w:t xml:space="preserve">Dostavljeni su svi Izvještaji iz nadležnosti budžetskog poslovanja, prema Ministarstvu finansija, Upravi za statistiku, Poreskoj upravi, Upravi za imovinu i dr.  institucijama u zakonom predvidjenim rokovima. </w:t>
      </w:r>
      <w:r w:rsidRPr="00E46C80">
        <w:rPr>
          <w:rFonts w:eastAsia="Times New Roman" w:cs="Times New Roman"/>
          <w:szCs w:val="24"/>
          <w:lang w:val="en-US"/>
        </w:rPr>
        <w:t>Programi za internu evidenciju finansijskog poslovanja su u upotrebi već nekoliko godina i omogućavaju precizan vid unakrsne kontrole kako obaveza prema dobavljačima, gotovinskog blagajničkog poslovanja, tako i evidenciju imovine Uprave carina. Svakodnevno knjiženje u programu Glavne knjige omogućava Izvještaje sa analitičkim pregledom svih budžetskih rashoda po analitičko-sintetičkim pokazateljima.</w:t>
      </w:r>
    </w:p>
    <w:p w:rsidR="00E46C80" w:rsidRPr="00E46C80" w:rsidRDefault="00E46C80" w:rsidP="005439CA">
      <w:pPr>
        <w:spacing w:before="0" w:after="0" w:line="240" w:lineRule="auto"/>
        <w:ind w:firstLine="708"/>
        <w:rPr>
          <w:rFonts w:eastAsia="Times New Roman" w:cs="Times New Roman"/>
          <w:szCs w:val="24"/>
          <w:lang w:val="sl-SI"/>
        </w:rPr>
      </w:pPr>
      <w:r w:rsidRPr="00E46C80">
        <w:rPr>
          <w:rFonts w:eastAsia="Times New Roman" w:cs="Times New Roman"/>
          <w:szCs w:val="24"/>
          <w:lang w:val="sl-SI"/>
        </w:rPr>
        <w:t xml:space="preserve">Zaključkom Vlade Crne Gore broj 07-2130, od 19.marta 2020.godine, tačkom 2 naloženo je svim potrošačkim jedinicama Budžeta Crne Gore da sve aktivnosti koje nijesu mandatornog karaktera odlože za naredni period. Takodje, istom tačkom, navedeno je da sve potrošačke jedinice dostave predlog izmjene plana dinamike potrošnje, po kojem je Uprava carina i postupila i dostavila Plan izmjene dinamike potrošnje budžetskih sredstava. Imajući u vidu tačku 3, navedenog zaključka Vlade Crne Gore,  Uprava carina je obustavila sve planirane postupke javnih nabavki, osim onih koje su planirane, a već bile započete u I kvartalu ove godine. </w:t>
      </w:r>
    </w:p>
    <w:p w:rsidR="00E46C80" w:rsidRPr="00E46C80" w:rsidRDefault="00E46C80" w:rsidP="005439CA">
      <w:pPr>
        <w:spacing w:before="0" w:after="0" w:line="240" w:lineRule="auto"/>
        <w:ind w:firstLine="708"/>
        <w:rPr>
          <w:rFonts w:eastAsia="Times New Roman" w:cs="Times New Roman"/>
          <w:szCs w:val="24"/>
          <w:lang w:val="sl-SI"/>
        </w:rPr>
      </w:pPr>
      <w:r w:rsidRPr="00E46C80">
        <w:rPr>
          <w:rFonts w:eastAsia="Times New Roman" w:cs="Times New Roman"/>
          <w:szCs w:val="24"/>
          <w:lang w:val="sl-SI"/>
        </w:rPr>
        <w:t xml:space="preserve">Zaključkom Vlade Crne Gore broj 07-2314, od 09. aprila 2020.godine Vlada je usvojila informaciju o potrebi pokretanja postupka javnih nabavki u periodu trajanja mjera Vlade usvojenim u cilju umanjenja negativnih efekata od epidemije korona virusa. Tačkom 2 navedenog Zaključka definisano je da, naručioci koji se finansiraju iz budžeta države, u periodu trajanja mjera Vlade u cilju umanjenja negativnih efekata od epidemije korona virusa, u skladu sa Zakonom o javnim nabavkama, mogu pokrenuti postupak javnih nabavki koji je potreba za nesmetano funkcionisanje sistema javne uprave, kao i nabavku u dijelu telekomunikacionih usluga i elektronskih komunikacija, usluga iz oblasti informacione bezbjednosti i održavanja sistemskog i aplikativnog softvera, izvodjenja radova tekućeg održavanja i realizacije kapitalnih projekata i investicija. tačkom 3, istog </w:t>
      </w:r>
      <w:r w:rsidRPr="00E46C80">
        <w:rPr>
          <w:rFonts w:eastAsia="Times New Roman" w:cs="Times New Roman"/>
          <w:szCs w:val="24"/>
          <w:lang w:val="sl-SI"/>
        </w:rPr>
        <w:lastRenderedPageBreak/>
        <w:t>Zaključka definisano je da, prije pokretanja postupka javnih nabavki, naručioci su dužni da obezbijede saglasnost Ministarstva finansija o obezbijedjenim sredstvima.</w:t>
      </w:r>
    </w:p>
    <w:p w:rsidR="00E46C80" w:rsidRPr="00E46C80" w:rsidRDefault="005439CA" w:rsidP="005439CA">
      <w:pPr>
        <w:keepNext/>
        <w:keepLines/>
        <w:tabs>
          <w:tab w:val="left" w:pos="4962"/>
        </w:tabs>
        <w:spacing w:after="0" w:line="240" w:lineRule="auto"/>
        <w:ind w:hanging="11"/>
        <w:jc w:val="left"/>
        <w:outlineLvl w:val="2"/>
        <w:rPr>
          <w:rFonts w:eastAsia="Times New Roman" w:cs="Times New Roman"/>
          <w:b/>
          <w:bCs/>
          <w:noProof/>
          <w:color w:val="000000"/>
          <w:szCs w:val="24"/>
        </w:rPr>
      </w:pPr>
      <w:bookmarkStart w:id="77" w:name="_Toc62197147"/>
      <w:bookmarkStart w:id="78" w:name="_Toc62552718"/>
      <w:bookmarkStart w:id="79" w:name="_Toc62813717"/>
      <w:r>
        <w:rPr>
          <w:rFonts w:eastAsia="Times New Roman" w:cs="Times New Roman"/>
          <w:b/>
          <w:bCs/>
          <w:noProof/>
          <w:color w:val="000000"/>
          <w:szCs w:val="24"/>
        </w:rPr>
        <w:t xml:space="preserve">            </w:t>
      </w:r>
      <w:r w:rsidR="00E46C80" w:rsidRPr="00E46C80">
        <w:rPr>
          <w:rFonts w:eastAsia="Times New Roman" w:cs="Times New Roman"/>
          <w:b/>
          <w:bCs/>
          <w:noProof/>
          <w:color w:val="000000"/>
          <w:szCs w:val="24"/>
        </w:rPr>
        <w:t>Javne nabavke</w:t>
      </w:r>
      <w:bookmarkEnd w:id="77"/>
      <w:bookmarkEnd w:id="78"/>
      <w:bookmarkEnd w:id="79"/>
    </w:p>
    <w:p w:rsidR="00E46C80" w:rsidRPr="00E46C80" w:rsidRDefault="00E46C80" w:rsidP="005439CA">
      <w:pPr>
        <w:spacing w:before="0" w:after="0" w:line="240" w:lineRule="auto"/>
        <w:ind w:right="360" w:firstLine="708"/>
        <w:textAlignment w:val="baseline"/>
        <w:rPr>
          <w:rFonts w:eastAsia="Times New Roman" w:cs="Times New Roman"/>
          <w:szCs w:val="24"/>
          <w:lang w:val="sl-SI"/>
        </w:rPr>
      </w:pPr>
      <w:r w:rsidRPr="00E46C80">
        <w:rPr>
          <w:rFonts w:eastAsia="Times New Roman" w:cs="Times New Roman"/>
          <w:szCs w:val="24"/>
          <w:lang w:val="sl-SI"/>
        </w:rPr>
        <w:t>Plan javnih nabavki za 2020. godinu, objavljen je na portalu direktorata za javne nabavke 31.01.2020. godine, uz dobijenu saglasnost strane Ministarstva finansija. Procijenjena vrijednost Plana br. 914/1  iznosila je 1.089.500,00 €  za  57 postupaka ukupno.</w:t>
      </w:r>
    </w:p>
    <w:p w:rsidR="00E46C80" w:rsidRPr="00E46C80" w:rsidRDefault="00E46C80" w:rsidP="005439CA">
      <w:pPr>
        <w:spacing w:before="0" w:after="0" w:line="240" w:lineRule="auto"/>
        <w:ind w:right="360" w:firstLine="708"/>
        <w:textAlignment w:val="baseline"/>
        <w:rPr>
          <w:rFonts w:eastAsia="Times New Roman" w:cs="Times New Roman"/>
          <w:szCs w:val="24"/>
          <w:lang w:val="sl-SI"/>
        </w:rPr>
      </w:pPr>
      <w:r w:rsidRPr="00E46C80">
        <w:rPr>
          <w:rFonts w:eastAsia="Times New Roman" w:cs="Times New Roman"/>
          <w:szCs w:val="24"/>
          <w:lang w:val="sl-SI"/>
        </w:rPr>
        <w:t>Izmjenom Plana javnih nabavki broj 914/2 od 16.07.2020.godine, uz dobijenu saglasnost strane Ministarstva finansija, Plan iznosi 546.600,00€ bez uračunatog PDV-a, za 42 postupka javne nabavke.</w:t>
      </w:r>
    </w:p>
    <w:p w:rsidR="00E46C80" w:rsidRPr="00E46C80" w:rsidRDefault="00E46C80" w:rsidP="00146EBE">
      <w:pPr>
        <w:numPr>
          <w:ilvl w:val="0"/>
          <w:numId w:val="60"/>
        </w:numPr>
        <w:spacing w:before="0" w:after="0" w:line="240" w:lineRule="auto"/>
        <w:contextualSpacing/>
        <w:jc w:val="left"/>
        <w:rPr>
          <w:rFonts w:eastAsia="Times New Roman" w:cs="Times New Roman"/>
          <w:b/>
          <w:szCs w:val="24"/>
          <w:u w:val="single"/>
          <w:lang w:val="sl-SI"/>
        </w:rPr>
      </w:pPr>
      <w:r w:rsidRPr="00E46C80">
        <w:rPr>
          <w:rFonts w:eastAsia="Times New Roman" w:cs="Times New Roman"/>
          <w:b/>
          <w:szCs w:val="24"/>
          <w:u w:val="single"/>
          <w:lang w:val="sl-SI"/>
        </w:rPr>
        <w:t>Otvoreni postupci:</w:t>
      </w:r>
    </w:p>
    <w:p w:rsidR="00E46C80" w:rsidRPr="00E46C80" w:rsidRDefault="00E46C80" w:rsidP="00146EBE">
      <w:pPr>
        <w:numPr>
          <w:ilvl w:val="0"/>
          <w:numId w:val="61"/>
        </w:numPr>
        <w:spacing w:before="0" w:after="0" w:line="240" w:lineRule="auto"/>
        <w:contextualSpacing/>
        <w:rPr>
          <w:rFonts w:eastAsia="Times New Roman" w:cs="Times New Roman"/>
          <w:szCs w:val="24"/>
          <w:lang w:val="sl-SI"/>
        </w:rPr>
      </w:pPr>
      <w:r w:rsidRPr="00E46C80">
        <w:rPr>
          <w:rFonts w:eastAsia="Times New Roman" w:cs="Times New Roman"/>
          <w:szCs w:val="24"/>
          <w:lang w:val="sl-SI"/>
        </w:rPr>
        <w:t>Produžavanje Supporta za Oracle, donesena je Odluka o izboru najpovoljnije ponude, zaključen je ugovor sa Dobavljačem »Infostrteam« doo Podgorica, procijenjene vrijednosti 83.127,00€ ;</w:t>
      </w:r>
    </w:p>
    <w:p w:rsidR="00E46C80" w:rsidRPr="00E46C80" w:rsidRDefault="00E46C80" w:rsidP="00146EBE">
      <w:pPr>
        <w:numPr>
          <w:ilvl w:val="0"/>
          <w:numId w:val="61"/>
        </w:numPr>
        <w:spacing w:before="0" w:after="0" w:line="240" w:lineRule="auto"/>
        <w:contextualSpacing/>
        <w:rPr>
          <w:rFonts w:eastAsia="Times New Roman" w:cs="Times New Roman"/>
          <w:szCs w:val="24"/>
          <w:lang w:val="sl-SI"/>
        </w:rPr>
      </w:pPr>
      <w:r w:rsidRPr="00E46C80">
        <w:rPr>
          <w:rFonts w:eastAsia="Times New Roman" w:cs="Times New Roman"/>
          <w:szCs w:val="24"/>
          <w:lang w:val="sl-SI"/>
        </w:rPr>
        <w:t>Popravka i održavanje motornih vozila, procijenjene vrijednosti 28.927,50-donešena Odluka o izboru, čeka se da prodje rok za žalbu;</w:t>
      </w:r>
    </w:p>
    <w:p w:rsidR="00E46C80" w:rsidRPr="00E46C80" w:rsidRDefault="00E46C80" w:rsidP="00146EBE">
      <w:pPr>
        <w:numPr>
          <w:ilvl w:val="0"/>
          <w:numId w:val="61"/>
        </w:numPr>
        <w:spacing w:before="0" w:after="0" w:line="240" w:lineRule="auto"/>
        <w:contextualSpacing/>
        <w:rPr>
          <w:rFonts w:eastAsia="Times New Roman" w:cs="Times New Roman"/>
          <w:szCs w:val="24"/>
          <w:lang w:val="sl-SI"/>
        </w:rPr>
      </w:pPr>
      <w:r w:rsidRPr="00E46C80">
        <w:rPr>
          <w:rFonts w:eastAsia="Times New Roman" w:cs="Times New Roman"/>
          <w:szCs w:val="24"/>
          <w:lang w:val="sl-SI"/>
        </w:rPr>
        <w:t>Oprema za granične prelaze, procijenjene vrijednosti 23.968,50-u fazi vrednovanja ponuda;</w:t>
      </w:r>
    </w:p>
    <w:p w:rsidR="00E46C80" w:rsidRPr="00E46C80" w:rsidRDefault="00E46C80" w:rsidP="00146EBE">
      <w:pPr>
        <w:numPr>
          <w:ilvl w:val="0"/>
          <w:numId w:val="61"/>
        </w:numPr>
        <w:shd w:val="clear" w:color="auto" w:fill="FFFFFF"/>
        <w:spacing w:before="0" w:after="0" w:line="240" w:lineRule="auto"/>
        <w:contextualSpacing/>
        <w:rPr>
          <w:rFonts w:eastAsia="Times New Roman" w:cs="Times New Roman"/>
          <w:color w:val="000000"/>
          <w:szCs w:val="24"/>
          <w:lang w:val="sl-SI" w:eastAsia="sl-SI"/>
        </w:rPr>
      </w:pPr>
      <w:r w:rsidRPr="00E46C80">
        <w:rPr>
          <w:rFonts w:eastAsia="Times New Roman" w:cs="Times New Roman"/>
          <w:color w:val="000000"/>
          <w:szCs w:val="24"/>
          <w:shd w:val="clear" w:color="auto" w:fill="FFFFFF"/>
          <w:lang w:val="en-US" w:eastAsia="sl-SI"/>
        </w:rPr>
        <w:t>Otvoreni postupak javne nabavke za koji je tenderska dokumentacija objavljena 14.11.2019.</w:t>
      </w:r>
      <w:r w:rsidR="005439CA">
        <w:rPr>
          <w:rFonts w:eastAsia="Times New Roman" w:cs="Times New Roman"/>
          <w:color w:val="000000"/>
          <w:szCs w:val="24"/>
          <w:shd w:val="clear" w:color="auto" w:fill="FFFFFF"/>
          <w:lang w:val="en-US" w:eastAsia="sl-SI"/>
        </w:rPr>
        <w:t xml:space="preserve"> </w:t>
      </w:r>
      <w:r w:rsidRPr="00E46C80">
        <w:rPr>
          <w:rFonts w:eastAsia="Times New Roman" w:cs="Times New Roman"/>
          <w:color w:val="000000"/>
          <w:szCs w:val="24"/>
          <w:shd w:val="clear" w:color="auto" w:fill="FFFFFF"/>
          <w:lang w:val="en-US" w:eastAsia="sl-SI"/>
        </w:rPr>
        <w:t>godine, </w:t>
      </w:r>
      <w:r w:rsidRPr="00E46C80">
        <w:rPr>
          <w:rFonts w:eastAsia="Times New Roman" w:cs="Times New Roman"/>
          <w:color w:val="000000"/>
          <w:szCs w:val="24"/>
          <w:shd w:val="clear" w:color="auto" w:fill="FFFFFF"/>
          <w:lang w:val="pl-PL" w:eastAsia="sl-SI"/>
        </w:rPr>
        <w:t>za nabavku robe - hardverske opreme, štampanih akciznih markica i licence za zakup softvera za sistem za elektronsko upravljanje akciznim markicama, zaključen je ugovor sa kompanijom LEONHARD KURZ Stiftung &amp; Co.KG” Njemačka, vrijednost ugovorene nabavke sa uračunatim PDV-om iznosi 1.222.680,80€.</w:t>
      </w:r>
    </w:p>
    <w:p w:rsidR="00E46C80" w:rsidRPr="00E46C80" w:rsidRDefault="00E46C80" w:rsidP="00146EBE">
      <w:pPr>
        <w:numPr>
          <w:ilvl w:val="0"/>
          <w:numId w:val="62"/>
        </w:numPr>
        <w:spacing w:before="0" w:after="0" w:line="240" w:lineRule="auto"/>
        <w:contextualSpacing/>
        <w:jc w:val="left"/>
        <w:rPr>
          <w:rFonts w:eastAsia="Times New Roman" w:cs="Times New Roman"/>
          <w:b/>
          <w:szCs w:val="24"/>
          <w:u w:val="single"/>
          <w:lang w:val="sl-SI"/>
        </w:rPr>
      </w:pPr>
      <w:r w:rsidRPr="00E46C80">
        <w:rPr>
          <w:rFonts w:eastAsia="Times New Roman" w:cs="Times New Roman"/>
          <w:b/>
          <w:szCs w:val="24"/>
          <w:u w:val="single"/>
          <w:lang w:val="sl-SI"/>
        </w:rPr>
        <w:t>Hitna nabavka:</w:t>
      </w:r>
    </w:p>
    <w:p w:rsidR="00E46C80" w:rsidRPr="00E46C80" w:rsidRDefault="00E46C80" w:rsidP="00146EBE">
      <w:pPr>
        <w:numPr>
          <w:ilvl w:val="0"/>
          <w:numId w:val="63"/>
        </w:numPr>
        <w:spacing w:before="0" w:after="200" w:line="240" w:lineRule="auto"/>
        <w:contextualSpacing/>
        <w:rPr>
          <w:rFonts w:eastAsia="Calibri" w:cs="Times New Roman"/>
          <w:szCs w:val="24"/>
          <w:lang w:val="sl-SI"/>
        </w:rPr>
      </w:pPr>
      <w:r w:rsidRPr="00E46C80">
        <w:rPr>
          <w:rFonts w:eastAsia="Calibri" w:cs="Times New Roman"/>
          <w:szCs w:val="24"/>
          <w:u w:val="single"/>
          <w:lang w:val="sl-SI"/>
        </w:rPr>
        <w:t>Nabavka carinskih plombi,</w:t>
      </w:r>
      <w:r w:rsidRPr="00E46C80">
        <w:rPr>
          <w:rFonts w:eastAsia="Calibri" w:cs="Times New Roman"/>
          <w:szCs w:val="24"/>
          <w:lang w:val="sl-SI"/>
        </w:rPr>
        <w:t xml:space="preserve"> koja je zbog novonastale situacije izazvane virusom Covid 19, realizovana hitnom nabavkom i za istu je zaključen ugovor sa »NTC« doo Nikšić, procijenje vrijednosti  69.665,75€.</w:t>
      </w:r>
    </w:p>
    <w:p w:rsidR="00E46C80" w:rsidRPr="00E46C80" w:rsidRDefault="00E46C80" w:rsidP="00146EBE">
      <w:pPr>
        <w:numPr>
          <w:ilvl w:val="0"/>
          <w:numId w:val="64"/>
        </w:numPr>
        <w:spacing w:before="0" w:after="0" w:line="240" w:lineRule="auto"/>
        <w:contextualSpacing/>
        <w:jc w:val="left"/>
        <w:rPr>
          <w:rFonts w:eastAsia="Times New Roman" w:cs="Times New Roman"/>
          <w:b/>
          <w:szCs w:val="24"/>
          <w:u w:val="single"/>
          <w:lang w:val="en-US"/>
        </w:rPr>
      </w:pPr>
      <w:r w:rsidRPr="00E46C80">
        <w:rPr>
          <w:rFonts w:eastAsia="Times New Roman" w:cs="Times New Roman"/>
          <w:b/>
          <w:szCs w:val="24"/>
          <w:u w:val="single"/>
          <w:lang w:val="en-US"/>
        </w:rPr>
        <w:t>Pregovarački postupak:</w:t>
      </w:r>
    </w:p>
    <w:p w:rsidR="00E46C80" w:rsidRPr="00E46C80" w:rsidRDefault="00E46C80" w:rsidP="00146EBE">
      <w:pPr>
        <w:numPr>
          <w:ilvl w:val="0"/>
          <w:numId w:val="63"/>
        </w:numPr>
        <w:spacing w:before="0" w:after="0" w:line="240" w:lineRule="auto"/>
        <w:contextualSpacing/>
        <w:rPr>
          <w:rFonts w:eastAsia="Times New Roman" w:cs="Times New Roman"/>
          <w:szCs w:val="24"/>
          <w:lang w:val="sl-SI"/>
        </w:rPr>
      </w:pPr>
      <w:r w:rsidRPr="00E46C80">
        <w:rPr>
          <w:rFonts w:eastAsia="Times New Roman" w:cs="Times New Roman"/>
          <w:szCs w:val="24"/>
          <w:lang w:val="sl-SI"/>
        </w:rPr>
        <w:t xml:space="preserve">Usluga održavanja mobilnih skenera, druga godina Okvirnog sporazuma, zaključen ugovor sa </w:t>
      </w:r>
      <w:r w:rsidRPr="00E46C80">
        <w:rPr>
          <w:rFonts w:eastAsia="Times New Roman" w:cs="Times New Roman"/>
          <w:szCs w:val="24"/>
          <w:lang w:val="it-IT"/>
        </w:rPr>
        <w:t>„</w:t>
      </w:r>
      <w:r w:rsidRPr="00E46C80">
        <w:rPr>
          <w:rFonts w:eastAsia="Times New Roman" w:cs="Times New Roman"/>
          <w:szCs w:val="24"/>
          <w:lang w:val="sl-SI"/>
        </w:rPr>
        <w:t>Nuctech company limited“  Peking, Kina, ugovorena vrijednost 60.000,00€;</w:t>
      </w:r>
    </w:p>
    <w:p w:rsidR="00E46C80" w:rsidRPr="00E46C80" w:rsidRDefault="00745D02" w:rsidP="00146EBE">
      <w:pPr>
        <w:numPr>
          <w:ilvl w:val="0"/>
          <w:numId w:val="65"/>
        </w:numPr>
        <w:spacing w:before="0" w:after="0" w:line="240" w:lineRule="auto"/>
        <w:contextualSpacing/>
        <w:jc w:val="left"/>
        <w:rPr>
          <w:rFonts w:eastAsia="Times New Roman" w:cs="Times New Roman"/>
          <w:b/>
          <w:szCs w:val="24"/>
          <w:u w:val="single"/>
          <w:lang w:val="en-US"/>
        </w:rPr>
      </w:pPr>
      <w:r>
        <w:rPr>
          <w:rFonts w:eastAsia="Times New Roman" w:cs="Times New Roman"/>
          <w:b/>
          <w:szCs w:val="24"/>
          <w:u w:val="single"/>
          <w:lang w:val="en-US"/>
        </w:rPr>
        <w:t>Nabavke malih vrijednosti – Jednostavne nabavke</w:t>
      </w:r>
      <w:r w:rsidR="00E46C80" w:rsidRPr="00E46C80">
        <w:rPr>
          <w:rFonts w:eastAsia="Times New Roman" w:cs="Times New Roman"/>
          <w:b/>
          <w:szCs w:val="24"/>
          <w:u w:val="single"/>
          <w:lang w:val="en-US"/>
        </w:rPr>
        <w:t>:</w:t>
      </w:r>
    </w:p>
    <w:p w:rsidR="00E46C80" w:rsidRPr="00E46C80" w:rsidRDefault="00E46C80" w:rsidP="00146EBE">
      <w:pPr>
        <w:numPr>
          <w:ilvl w:val="0"/>
          <w:numId w:val="66"/>
        </w:numPr>
        <w:spacing w:before="0" w:after="0" w:line="240" w:lineRule="auto"/>
        <w:rPr>
          <w:rFonts w:eastAsia="Calibri" w:cs="Times New Roman"/>
          <w:szCs w:val="24"/>
          <w:lang w:val="en-US"/>
        </w:rPr>
      </w:pPr>
      <w:r w:rsidRPr="00E46C80">
        <w:rPr>
          <w:rFonts w:eastAsia="Calibri" w:cs="Times New Roman"/>
          <w:szCs w:val="24"/>
          <w:u w:val="single"/>
          <w:lang w:val="en-US"/>
        </w:rPr>
        <w:t>Sredstva za higijenu</w:t>
      </w:r>
      <w:r w:rsidRPr="00E46C80">
        <w:rPr>
          <w:rFonts w:eastAsia="Calibri" w:cs="Times New Roman"/>
          <w:szCs w:val="24"/>
          <w:lang w:val="en-US"/>
        </w:rPr>
        <w:t xml:space="preserve"> (nabavka male vrijednosti) zaključen ugovor sa »Tekom-promet« doo, ugovorena vrijednost 8.925,62€;</w:t>
      </w:r>
    </w:p>
    <w:p w:rsidR="00E46C80" w:rsidRPr="00E46C80" w:rsidRDefault="00E46C80" w:rsidP="00146EBE">
      <w:pPr>
        <w:numPr>
          <w:ilvl w:val="0"/>
          <w:numId w:val="66"/>
        </w:numPr>
        <w:spacing w:before="0" w:after="0" w:line="240" w:lineRule="auto"/>
        <w:rPr>
          <w:rFonts w:eastAsia="Calibri" w:cs="Times New Roman"/>
          <w:szCs w:val="24"/>
          <w:lang w:val="en-US"/>
        </w:rPr>
      </w:pPr>
      <w:r w:rsidRPr="00E46C80">
        <w:rPr>
          <w:rFonts w:eastAsia="Calibri" w:cs="Times New Roman"/>
          <w:szCs w:val="24"/>
          <w:u w:val="single"/>
          <w:lang w:val="en-US"/>
        </w:rPr>
        <w:t>Usluge fotokopiranja</w:t>
      </w:r>
      <w:r w:rsidRPr="00E46C80">
        <w:rPr>
          <w:rFonts w:eastAsia="Calibri" w:cs="Times New Roman"/>
          <w:szCs w:val="24"/>
          <w:lang w:val="en-US"/>
        </w:rPr>
        <w:t xml:space="preserve"> (nabavka male vrijednosti) zaključen ugovor sa »Remark« doo, ugovorena vrijednost 1.000,00€;</w:t>
      </w:r>
    </w:p>
    <w:p w:rsidR="00E46C80" w:rsidRPr="00E46C80" w:rsidRDefault="00E46C80" w:rsidP="00146EBE">
      <w:pPr>
        <w:numPr>
          <w:ilvl w:val="0"/>
          <w:numId w:val="66"/>
        </w:numPr>
        <w:spacing w:before="0" w:after="0" w:line="240" w:lineRule="auto"/>
        <w:rPr>
          <w:rFonts w:eastAsia="Calibri" w:cs="Times New Roman"/>
          <w:szCs w:val="24"/>
          <w:lang w:val="en-US"/>
        </w:rPr>
      </w:pPr>
      <w:r w:rsidRPr="00E46C80">
        <w:rPr>
          <w:rFonts w:eastAsia="Calibri" w:cs="Times New Roman"/>
          <w:szCs w:val="24"/>
          <w:u w:val="single"/>
          <w:lang w:val="en-US"/>
        </w:rPr>
        <w:t>Gume za motorna vozila</w:t>
      </w:r>
      <w:r w:rsidRPr="00E46C80">
        <w:rPr>
          <w:rFonts w:eastAsia="Calibri" w:cs="Times New Roman"/>
          <w:szCs w:val="24"/>
          <w:lang w:val="en-US"/>
        </w:rPr>
        <w:t xml:space="preserve"> (nabavka male vrijednosti) zaključen ugovor sa »Vujačić« doo, ugovorena vrijendost 14.800,00€;</w:t>
      </w:r>
    </w:p>
    <w:p w:rsidR="00E46C80" w:rsidRPr="00E46C80" w:rsidRDefault="00E46C80" w:rsidP="00146EBE">
      <w:pPr>
        <w:numPr>
          <w:ilvl w:val="0"/>
          <w:numId w:val="66"/>
        </w:numPr>
        <w:spacing w:before="0" w:after="0" w:line="240" w:lineRule="auto"/>
        <w:rPr>
          <w:rFonts w:eastAsia="Calibri" w:cs="Times New Roman"/>
          <w:szCs w:val="24"/>
          <w:lang w:val="en-US"/>
        </w:rPr>
      </w:pPr>
      <w:r w:rsidRPr="00E46C80">
        <w:rPr>
          <w:rFonts w:eastAsia="Calibri" w:cs="Times New Roman"/>
          <w:szCs w:val="24"/>
          <w:u w:val="single"/>
          <w:lang w:val="en-US"/>
        </w:rPr>
        <w:t>Održavanje klima uređaja</w:t>
      </w:r>
      <w:r w:rsidRPr="00E46C80">
        <w:rPr>
          <w:rFonts w:eastAsia="Calibri" w:cs="Times New Roman"/>
          <w:szCs w:val="24"/>
          <w:lang w:val="en-US"/>
        </w:rPr>
        <w:t xml:space="preserve"> (nabavka male vrijednosti) zaključen ugovor sa »Termo-tim« doo, ugovorena vrijendost 1.778,70€;</w:t>
      </w:r>
    </w:p>
    <w:p w:rsidR="00E46C80" w:rsidRPr="00E46C80" w:rsidRDefault="00745D02" w:rsidP="00146EBE">
      <w:pPr>
        <w:numPr>
          <w:ilvl w:val="0"/>
          <w:numId w:val="66"/>
        </w:numPr>
        <w:spacing w:before="0" w:after="0" w:line="240" w:lineRule="auto"/>
        <w:rPr>
          <w:rFonts w:eastAsia="Calibri" w:cs="Times New Roman"/>
          <w:szCs w:val="24"/>
          <w:lang w:val="en-US"/>
        </w:rPr>
      </w:pPr>
      <w:r>
        <w:rPr>
          <w:rFonts w:eastAsia="Calibri" w:cs="Times New Roman"/>
          <w:szCs w:val="24"/>
          <w:u w:val="single"/>
          <w:lang w:val="en-US"/>
        </w:rPr>
        <w:t xml:space="preserve">Održavanje </w:t>
      </w:r>
      <w:r w:rsidR="00E46C80" w:rsidRPr="00E46C80">
        <w:rPr>
          <w:rFonts w:eastAsia="Calibri" w:cs="Times New Roman"/>
          <w:szCs w:val="24"/>
          <w:u w:val="single"/>
          <w:lang w:val="en-US"/>
        </w:rPr>
        <w:t>fotokopirnih aparata</w:t>
      </w:r>
      <w:r w:rsidR="00E46C80" w:rsidRPr="00E46C80">
        <w:rPr>
          <w:rFonts w:eastAsia="Calibri" w:cs="Times New Roman"/>
          <w:szCs w:val="24"/>
          <w:lang w:val="en-US"/>
        </w:rPr>
        <w:t xml:space="preserve"> (nabavka male vrijednosti) zaključen ugovor sa »Šćepanović« doo, ugovorena vrijednost 1.193,06€;</w:t>
      </w:r>
    </w:p>
    <w:p w:rsidR="00E46C80" w:rsidRPr="00E46C80" w:rsidRDefault="00E46C80" w:rsidP="00146EBE">
      <w:pPr>
        <w:numPr>
          <w:ilvl w:val="0"/>
          <w:numId w:val="66"/>
        </w:numPr>
        <w:spacing w:before="0" w:after="0" w:line="240" w:lineRule="auto"/>
        <w:rPr>
          <w:rFonts w:eastAsia="Calibri" w:cs="Times New Roman"/>
          <w:szCs w:val="24"/>
          <w:lang w:val="en-US"/>
        </w:rPr>
      </w:pPr>
      <w:r w:rsidRPr="00E46C80">
        <w:rPr>
          <w:rFonts w:eastAsia="Calibri" w:cs="Times New Roman"/>
          <w:szCs w:val="24"/>
          <w:u w:val="single"/>
          <w:lang w:val="en-US"/>
        </w:rPr>
        <w:t>Metalne police</w:t>
      </w:r>
      <w:r w:rsidRPr="00E46C80">
        <w:rPr>
          <w:rFonts w:eastAsia="Calibri" w:cs="Times New Roman"/>
          <w:szCs w:val="24"/>
          <w:lang w:val="en-US"/>
        </w:rPr>
        <w:t xml:space="preserve"> (nabavka male vrijednosti) zaključen ugovor sa »Okov« doo, ugovorena vrijednost 4.449,88€;</w:t>
      </w:r>
    </w:p>
    <w:p w:rsidR="00E46C80" w:rsidRPr="00E46C80" w:rsidRDefault="00E46C80" w:rsidP="00146EBE">
      <w:pPr>
        <w:numPr>
          <w:ilvl w:val="0"/>
          <w:numId w:val="66"/>
        </w:numPr>
        <w:spacing w:before="0" w:after="0" w:line="240" w:lineRule="auto"/>
        <w:rPr>
          <w:rFonts w:eastAsia="Calibri" w:cs="Times New Roman"/>
          <w:szCs w:val="24"/>
          <w:lang w:val="en-US"/>
        </w:rPr>
      </w:pPr>
      <w:r w:rsidRPr="00E46C80">
        <w:rPr>
          <w:rFonts w:eastAsia="Calibri" w:cs="Times New Roman"/>
          <w:szCs w:val="24"/>
          <w:u w:val="single"/>
          <w:lang w:val="en-US"/>
        </w:rPr>
        <w:t>Sanacija postojeće krovne kontstrukcije, hidroizolacija krova Upravne zgrade</w:t>
      </w:r>
      <w:r w:rsidRPr="00E46C80">
        <w:rPr>
          <w:rFonts w:eastAsia="Calibri" w:cs="Times New Roman"/>
          <w:szCs w:val="24"/>
          <w:lang w:val="en-US"/>
        </w:rPr>
        <w:t xml:space="preserve"> (nabavka male vrijednosti) zaključen ugovor sa »Ref</w:t>
      </w:r>
      <w:r w:rsidR="005439CA">
        <w:rPr>
          <w:rFonts w:eastAsia="Calibri" w:cs="Times New Roman"/>
          <w:szCs w:val="24"/>
          <w:lang w:val="en-US"/>
        </w:rPr>
        <w:t xml:space="preserve">ena« doo, ugovorena vrijednost </w:t>
      </w:r>
      <w:r w:rsidRPr="00E46C80">
        <w:rPr>
          <w:rFonts w:eastAsia="Calibri" w:cs="Times New Roman"/>
          <w:szCs w:val="24"/>
          <w:lang w:val="en-US"/>
        </w:rPr>
        <w:t>29.491,57€;</w:t>
      </w:r>
    </w:p>
    <w:p w:rsidR="00E46C80" w:rsidRPr="00E46C80" w:rsidRDefault="005439CA" w:rsidP="00146EBE">
      <w:pPr>
        <w:numPr>
          <w:ilvl w:val="0"/>
          <w:numId w:val="66"/>
        </w:numPr>
        <w:spacing w:before="0" w:after="0" w:line="240" w:lineRule="auto"/>
        <w:rPr>
          <w:rFonts w:eastAsia="Calibri" w:cs="Times New Roman"/>
          <w:szCs w:val="24"/>
          <w:lang w:val="en-US"/>
        </w:rPr>
      </w:pPr>
      <w:r>
        <w:rPr>
          <w:rFonts w:eastAsia="Calibri" w:cs="Times New Roman"/>
          <w:szCs w:val="24"/>
          <w:u w:val="single"/>
          <w:lang w:val="en-US"/>
        </w:rPr>
        <w:t xml:space="preserve">Windows </w:t>
      </w:r>
      <w:r w:rsidR="00E46C80" w:rsidRPr="00E46C80">
        <w:rPr>
          <w:rFonts w:eastAsia="Calibri" w:cs="Times New Roman"/>
          <w:szCs w:val="24"/>
          <w:u w:val="single"/>
          <w:lang w:val="en-US"/>
        </w:rPr>
        <w:t>pro licenca</w:t>
      </w:r>
      <w:r w:rsidR="00E46C80" w:rsidRPr="00E46C80">
        <w:rPr>
          <w:rFonts w:eastAsia="Calibri" w:cs="Times New Roman"/>
          <w:szCs w:val="24"/>
          <w:lang w:val="en-US"/>
        </w:rPr>
        <w:t xml:space="preserve"> (nabavka male vrijednosti) zaključen ugovor sa »Čikom« doo Podgorica, ugovorena vrijendost 2.686,20€;</w:t>
      </w:r>
    </w:p>
    <w:p w:rsidR="00E46C80" w:rsidRPr="00E46C80" w:rsidRDefault="00E46C80" w:rsidP="00146EBE">
      <w:pPr>
        <w:numPr>
          <w:ilvl w:val="0"/>
          <w:numId w:val="66"/>
        </w:numPr>
        <w:spacing w:before="0" w:after="0" w:line="240" w:lineRule="auto"/>
        <w:rPr>
          <w:rFonts w:eastAsia="Calibri" w:cs="Times New Roman"/>
          <w:szCs w:val="24"/>
          <w:lang w:val="en-US"/>
        </w:rPr>
      </w:pPr>
      <w:r w:rsidRPr="00E46C80">
        <w:rPr>
          <w:rFonts w:eastAsia="Calibri" w:cs="Times New Roman"/>
          <w:szCs w:val="24"/>
          <w:u w:val="single"/>
          <w:lang w:val="en-US"/>
        </w:rPr>
        <w:t>Usluge održavanja radiografske opreme</w:t>
      </w:r>
      <w:r w:rsidRPr="00E46C80">
        <w:rPr>
          <w:rFonts w:eastAsia="Calibri" w:cs="Times New Roman"/>
          <w:szCs w:val="24"/>
          <w:lang w:val="en-US"/>
        </w:rPr>
        <w:t>, jedinstvena javna nabavka, procijenjene vrijednosti 1.653,00€ bez uračunatog PDV-a, za predmetni postupak zaključen je ugovor sa »Tim CO« doo Beograd;</w:t>
      </w:r>
    </w:p>
    <w:p w:rsidR="00E46C80" w:rsidRPr="00E46C80" w:rsidRDefault="00E46C80" w:rsidP="00146EBE">
      <w:pPr>
        <w:numPr>
          <w:ilvl w:val="0"/>
          <w:numId w:val="66"/>
        </w:numPr>
        <w:spacing w:before="0" w:after="0" w:line="240" w:lineRule="auto"/>
        <w:rPr>
          <w:rFonts w:eastAsia="Calibri" w:cs="Times New Roman"/>
          <w:szCs w:val="24"/>
          <w:lang w:val="en-US"/>
        </w:rPr>
      </w:pPr>
      <w:r w:rsidRPr="00E46C80">
        <w:rPr>
          <w:rFonts w:eastAsia="Calibri" w:cs="Times New Roman"/>
          <w:szCs w:val="24"/>
          <w:u w:val="single"/>
          <w:lang w:val="en-US"/>
        </w:rPr>
        <w:lastRenderedPageBreak/>
        <w:t>Usluge elektronskog kataloga vozila</w:t>
      </w:r>
      <w:r w:rsidRPr="00E46C80">
        <w:rPr>
          <w:rFonts w:eastAsia="Calibri" w:cs="Times New Roman"/>
          <w:szCs w:val="24"/>
          <w:lang w:val="en-US"/>
        </w:rPr>
        <w:t>, jedinstvena javna nabavka, procijenjene vrijednosti 4.132,50€ bez uračunatog PDV-a, za predmetni postupak zaključen je ugovor sa »Nacionalnim biroom osiguravača CG« doo Podgorica;</w:t>
      </w:r>
    </w:p>
    <w:p w:rsidR="00E46C80" w:rsidRPr="00E46C80" w:rsidRDefault="00E46C80" w:rsidP="00146EBE">
      <w:pPr>
        <w:numPr>
          <w:ilvl w:val="0"/>
          <w:numId w:val="66"/>
        </w:numPr>
        <w:spacing w:before="0" w:after="0" w:line="240" w:lineRule="auto"/>
        <w:rPr>
          <w:rFonts w:eastAsia="Calibri" w:cs="Times New Roman"/>
          <w:szCs w:val="24"/>
          <w:lang w:val="en-US"/>
        </w:rPr>
      </w:pPr>
      <w:r w:rsidRPr="00E46C80">
        <w:rPr>
          <w:rFonts w:eastAsia="Calibri" w:cs="Times New Roman"/>
          <w:szCs w:val="24"/>
          <w:u w:val="single"/>
          <w:lang w:val="en-US"/>
        </w:rPr>
        <w:t>Elektro bravarski materijal</w:t>
      </w:r>
      <w:r w:rsidRPr="00E46C80">
        <w:rPr>
          <w:rFonts w:eastAsia="Calibri" w:cs="Times New Roman"/>
          <w:szCs w:val="24"/>
          <w:lang w:val="en-US"/>
        </w:rPr>
        <w:t>, jedinstvena javna nabavka, procijenjene vrijednosti 4.132,50€ bez uračunatog PDV-a, za predmetni postupak zaključen je ugovor sa »Centrometalom«doo Podgorica;</w:t>
      </w:r>
    </w:p>
    <w:p w:rsidR="00E46C80" w:rsidRPr="00E46C80" w:rsidRDefault="00E46C80" w:rsidP="00146EBE">
      <w:pPr>
        <w:numPr>
          <w:ilvl w:val="0"/>
          <w:numId w:val="66"/>
        </w:numPr>
        <w:spacing w:before="0" w:after="0" w:line="240" w:lineRule="auto"/>
        <w:rPr>
          <w:rFonts w:eastAsia="Calibri" w:cs="Times New Roman"/>
          <w:szCs w:val="24"/>
          <w:lang w:val="en-US"/>
        </w:rPr>
      </w:pPr>
      <w:r w:rsidRPr="00E46C80">
        <w:rPr>
          <w:rFonts w:eastAsia="Calibri" w:cs="Times New Roman"/>
          <w:szCs w:val="24"/>
          <w:u w:val="single"/>
          <w:lang w:val="en-US"/>
        </w:rPr>
        <w:t>Uređenja enterijera</w:t>
      </w:r>
      <w:r w:rsidRPr="00E46C80">
        <w:rPr>
          <w:rFonts w:eastAsia="Calibri" w:cs="Times New Roman"/>
          <w:szCs w:val="24"/>
          <w:lang w:val="en-US"/>
        </w:rPr>
        <w:t xml:space="preserve"> (staze za hodnik upravne zgrade), nabavka direktnom fakturom, procijenjene vrijednosti 2.479,50€ bez uračunatog PDV-a, za predmetni postupak zaključen je ugovor sa »Galerijom podova« doo Podgorica;</w:t>
      </w:r>
    </w:p>
    <w:p w:rsidR="00E46C80" w:rsidRPr="00E46C80" w:rsidRDefault="00E46C80" w:rsidP="00146EBE">
      <w:pPr>
        <w:numPr>
          <w:ilvl w:val="0"/>
          <w:numId w:val="66"/>
        </w:numPr>
        <w:spacing w:before="0" w:after="0" w:line="240" w:lineRule="auto"/>
        <w:rPr>
          <w:rFonts w:eastAsia="Calibri" w:cs="Times New Roman"/>
          <w:szCs w:val="24"/>
          <w:lang w:val="en-US"/>
        </w:rPr>
      </w:pPr>
      <w:r w:rsidRPr="00E46C80">
        <w:rPr>
          <w:rFonts w:eastAsia="Calibri" w:cs="Times New Roman"/>
          <w:szCs w:val="24"/>
          <w:u w:val="single"/>
          <w:lang w:val="en-US"/>
        </w:rPr>
        <w:t>Usluga popravke i održavanja kotlova</w:t>
      </w:r>
      <w:r w:rsidRPr="00E46C80">
        <w:rPr>
          <w:rFonts w:eastAsia="Calibri" w:cs="Times New Roman"/>
          <w:szCs w:val="24"/>
          <w:lang w:val="en-US"/>
        </w:rPr>
        <w:t>, jedinstvena javna nabavka, procijenjene vrijednosti 2.900,00€, za predmetni postupak zaključen je ugovor sa »TERMO TIM« doo Podgorica;</w:t>
      </w:r>
    </w:p>
    <w:p w:rsidR="00E46C80" w:rsidRPr="00E46C80" w:rsidRDefault="00E46C80" w:rsidP="00146EBE">
      <w:pPr>
        <w:numPr>
          <w:ilvl w:val="0"/>
          <w:numId w:val="66"/>
        </w:numPr>
        <w:spacing w:before="0" w:after="0" w:line="240" w:lineRule="auto"/>
        <w:rPr>
          <w:rFonts w:eastAsia="Calibri" w:cs="Times New Roman"/>
          <w:szCs w:val="24"/>
          <w:lang w:val="en-US"/>
        </w:rPr>
      </w:pPr>
      <w:r w:rsidRPr="00E46C80">
        <w:rPr>
          <w:rFonts w:eastAsia="Calibri" w:cs="Times New Roman"/>
          <w:szCs w:val="24"/>
          <w:u w:val="single"/>
          <w:lang w:val="en-US"/>
        </w:rPr>
        <w:t>Usluga izrade pečata i žigova</w:t>
      </w:r>
      <w:r w:rsidRPr="00E46C80">
        <w:rPr>
          <w:rFonts w:eastAsia="Calibri" w:cs="Times New Roman"/>
          <w:szCs w:val="24"/>
          <w:lang w:val="en-US"/>
        </w:rPr>
        <w:t>, jedinstvena javna nabavka, procijenjene vrijednosti 1.000,00€, za predmetni postupak zaključen je ugovor sa »FAXIMIL« doo Podgorica;</w:t>
      </w:r>
    </w:p>
    <w:p w:rsidR="00E46C80" w:rsidRPr="00E46C80" w:rsidRDefault="00E46C80" w:rsidP="00146EBE">
      <w:pPr>
        <w:numPr>
          <w:ilvl w:val="0"/>
          <w:numId w:val="66"/>
        </w:numPr>
        <w:spacing w:before="0" w:after="0" w:line="240" w:lineRule="auto"/>
        <w:rPr>
          <w:rFonts w:eastAsia="Calibri" w:cs="Times New Roman"/>
          <w:szCs w:val="24"/>
          <w:lang w:val="en-US"/>
        </w:rPr>
      </w:pPr>
      <w:r w:rsidRPr="00E46C80">
        <w:rPr>
          <w:rFonts w:eastAsia="Calibri" w:cs="Times New Roman"/>
          <w:szCs w:val="24"/>
          <w:u w:val="single"/>
          <w:lang w:val="en-US"/>
        </w:rPr>
        <w:t>Usluga održavanja kolskih vaga</w:t>
      </w:r>
      <w:r w:rsidRPr="00E46C80">
        <w:rPr>
          <w:rFonts w:eastAsia="Calibri" w:cs="Times New Roman"/>
          <w:szCs w:val="24"/>
          <w:lang w:val="en-US"/>
        </w:rPr>
        <w:t>, jedinstvena javna nabavka, procijenjene vrijednosti 12.000,00€, za predmetni postupak zaključen je ugovor sa »VAGAR« doo Podgorica;</w:t>
      </w:r>
    </w:p>
    <w:p w:rsidR="00E46C80" w:rsidRPr="00E46C80" w:rsidRDefault="00E46C80" w:rsidP="00146EBE">
      <w:pPr>
        <w:numPr>
          <w:ilvl w:val="0"/>
          <w:numId w:val="66"/>
        </w:numPr>
        <w:spacing w:before="0" w:after="0" w:line="240" w:lineRule="auto"/>
        <w:rPr>
          <w:rFonts w:eastAsia="Calibri" w:cs="Times New Roman"/>
          <w:szCs w:val="24"/>
          <w:u w:val="single"/>
          <w:lang w:val="en-US"/>
        </w:rPr>
      </w:pPr>
      <w:r w:rsidRPr="00E46C80">
        <w:rPr>
          <w:rFonts w:eastAsia="Calibri" w:cs="Times New Roman"/>
          <w:szCs w:val="24"/>
          <w:u w:val="single"/>
          <w:lang w:val="en-US"/>
        </w:rPr>
        <w:t>Usluga kontrole ličnih dozimetara</w:t>
      </w:r>
      <w:r w:rsidRPr="00E46C80">
        <w:rPr>
          <w:rFonts w:eastAsia="Calibri" w:cs="Times New Roman"/>
          <w:szCs w:val="24"/>
          <w:lang w:val="en-US"/>
        </w:rPr>
        <w:t>, jedinstvena javna nabavka, procijenjene vrijednosti 8.500,00€, za predmetni postupak zaključen je ugovor sa »CETI« doo Podgorica;</w:t>
      </w:r>
    </w:p>
    <w:p w:rsidR="00E46C80" w:rsidRPr="00E46C80" w:rsidRDefault="00E46C80" w:rsidP="00146EBE">
      <w:pPr>
        <w:numPr>
          <w:ilvl w:val="0"/>
          <w:numId w:val="66"/>
        </w:numPr>
        <w:spacing w:before="0" w:after="0" w:line="240" w:lineRule="auto"/>
        <w:rPr>
          <w:rFonts w:eastAsia="Calibri" w:cs="Times New Roman"/>
          <w:szCs w:val="24"/>
          <w:u w:val="single"/>
          <w:lang w:val="en-US"/>
        </w:rPr>
      </w:pPr>
      <w:r w:rsidRPr="00E46C80">
        <w:rPr>
          <w:rFonts w:eastAsia="Calibri" w:cs="Times New Roman"/>
          <w:szCs w:val="24"/>
          <w:u w:val="single"/>
          <w:lang w:val="en-US"/>
        </w:rPr>
        <w:t>Nabavka novih klima uređaja</w:t>
      </w:r>
      <w:r w:rsidRPr="00E46C80">
        <w:rPr>
          <w:rFonts w:eastAsia="Calibri" w:cs="Times New Roman"/>
          <w:szCs w:val="24"/>
          <w:lang w:val="en-US"/>
        </w:rPr>
        <w:t>, jedinstvena javna nabavka, procijenjene vrijednosti 14.900,00€, za predmetni postupak zaključen je ugovor sa »TEHNO LUX« doo Podgorica;</w:t>
      </w:r>
    </w:p>
    <w:p w:rsidR="00E46C80" w:rsidRPr="00E46C80" w:rsidRDefault="00E46C80" w:rsidP="00146EBE">
      <w:pPr>
        <w:numPr>
          <w:ilvl w:val="0"/>
          <w:numId w:val="66"/>
        </w:numPr>
        <w:spacing w:before="0" w:after="0" w:line="240" w:lineRule="auto"/>
        <w:rPr>
          <w:rFonts w:eastAsia="Calibri" w:cs="Times New Roman"/>
          <w:szCs w:val="24"/>
          <w:lang w:val="en-US"/>
        </w:rPr>
      </w:pPr>
      <w:r w:rsidRPr="00E46C80">
        <w:rPr>
          <w:rFonts w:eastAsia="Calibri" w:cs="Times New Roman"/>
          <w:szCs w:val="24"/>
          <w:u w:val="single"/>
          <w:lang w:val="en-US"/>
        </w:rPr>
        <w:t>Nabavka drva za ogrijev za GP Šćepan Polje kao i GP Grnčar</w:t>
      </w:r>
      <w:r w:rsidRPr="00E46C80">
        <w:rPr>
          <w:rFonts w:eastAsia="Calibri" w:cs="Times New Roman"/>
          <w:szCs w:val="24"/>
          <w:lang w:val="en-US"/>
        </w:rPr>
        <w:t>, procijenjene vrijednosti 1.600,00€, realizovana je direktnom fakturom, na osnovu kojih je zaključen ugovor sa »Duga « doo Nikšić za GP Šćepan Polje i ugovor zaključen sa ŠIK »POLIMLJE« Berane, za GP Grnčar;</w:t>
      </w:r>
    </w:p>
    <w:p w:rsidR="00E46C80" w:rsidRPr="00E46C80" w:rsidRDefault="00E46C80" w:rsidP="00146EBE">
      <w:pPr>
        <w:numPr>
          <w:ilvl w:val="0"/>
          <w:numId w:val="66"/>
        </w:numPr>
        <w:spacing w:before="0" w:after="0" w:line="240" w:lineRule="auto"/>
        <w:rPr>
          <w:rFonts w:eastAsia="Calibri" w:cs="Times New Roman"/>
          <w:szCs w:val="24"/>
          <w:lang w:val="en-US"/>
        </w:rPr>
      </w:pPr>
      <w:r w:rsidRPr="00E46C80">
        <w:rPr>
          <w:rFonts w:eastAsia="Calibri" w:cs="Times New Roman"/>
          <w:szCs w:val="24"/>
          <w:u w:val="single"/>
          <w:lang w:val="en-US"/>
        </w:rPr>
        <w:t>Usluga savjetovanja u području odnosa sa javnošću</w:t>
      </w:r>
      <w:r w:rsidRPr="00E46C80">
        <w:rPr>
          <w:rFonts w:eastAsia="Calibri" w:cs="Times New Roman"/>
          <w:szCs w:val="24"/>
          <w:lang w:val="en-US"/>
        </w:rPr>
        <w:t xml:space="preserve">, realizovana je direktnom fakturom, na osnuvu koje je zaključen ugovor sa »NINAMEDIA KLIPING« doo Podgorica, ugovorene vijednosti 2.468,40€; </w:t>
      </w:r>
    </w:p>
    <w:p w:rsidR="00E46C80" w:rsidRPr="00E46C80" w:rsidRDefault="00E46C80" w:rsidP="00146EBE">
      <w:pPr>
        <w:numPr>
          <w:ilvl w:val="0"/>
          <w:numId w:val="66"/>
        </w:numPr>
        <w:spacing w:before="0" w:after="0" w:line="240" w:lineRule="auto"/>
        <w:rPr>
          <w:rFonts w:eastAsia="Calibri" w:cs="Times New Roman"/>
          <w:szCs w:val="24"/>
          <w:lang w:val="en-US"/>
        </w:rPr>
      </w:pPr>
      <w:r w:rsidRPr="00E46C80">
        <w:rPr>
          <w:rFonts w:eastAsia="Calibri" w:cs="Times New Roman"/>
          <w:szCs w:val="24"/>
          <w:u w:val="single"/>
          <w:lang w:val="en-US"/>
        </w:rPr>
        <w:t>Nabavka opreme za carinsku laboratoriju</w:t>
      </w:r>
      <w:r w:rsidRPr="00E46C80">
        <w:rPr>
          <w:rFonts w:eastAsia="Calibri" w:cs="Times New Roman"/>
          <w:szCs w:val="24"/>
          <w:lang w:val="en-US"/>
        </w:rPr>
        <w:t>, jedinstvena javna nabavka, procijenjene vrijednosti 8.500,00€, realizovana je i podijeljena na dvije Partije, za koje su zaključeni ugovori i to, za Partiju I sa »VATROOPREMA« doo Podgorica, ugovorene vrijednosti 3.164,93€, za Partiju II zaključen je ugovor sa »Professional Development Group« doo Podgorica, ugovorene vrijednosti 4.811,35€;</w:t>
      </w:r>
    </w:p>
    <w:p w:rsidR="00E46C80" w:rsidRPr="00E46C80" w:rsidRDefault="00E46C80" w:rsidP="00146EBE">
      <w:pPr>
        <w:numPr>
          <w:ilvl w:val="0"/>
          <w:numId w:val="66"/>
        </w:numPr>
        <w:spacing w:before="0" w:after="0" w:line="240" w:lineRule="auto"/>
        <w:rPr>
          <w:rFonts w:eastAsia="Calibri" w:cs="Times New Roman"/>
          <w:szCs w:val="24"/>
          <w:u w:val="single"/>
          <w:lang w:val="en-US"/>
        </w:rPr>
      </w:pPr>
      <w:r w:rsidRPr="00E46C80">
        <w:rPr>
          <w:rFonts w:eastAsia="Calibri" w:cs="Times New Roman"/>
          <w:szCs w:val="24"/>
          <w:u w:val="single"/>
          <w:lang w:val="en-US"/>
        </w:rPr>
        <w:t xml:space="preserve">Usluge prevođenja, jedinstvena javna nabavka, </w:t>
      </w:r>
      <w:r w:rsidRPr="00E46C80">
        <w:rPr>
          <w:rFonts w:eastAsia="Calibri" w:cs="Times New Roman"/>
          <w:szCs w:val="24"/>
          <w:lang w:val="en-US"/>
        </w:rPr>
        <w:t>za predmetni postupak zaključen je ugovor sa »Double L« doo Podgorica, ugovorene vrijednosti 2.500,00€;</w:t>
      </w:r>
    </w:p>
    <w:p w:rsidR="00E46C80" w:rsidRPr="00E46C80" w:rsidRDefault="00E46C80" w:rsidP="00146EBE">
      <w:pPr>
        <w:numPr>
          <w:ilvl w:val="0"/>
          <w:numId w:val="66"/>
        </w:numPr>
        <w:spacing w:before="0" w:after="0" w:line="240" w:lineRule="auto"/>
        <w:rPr>
          <w:rFonts w:eastAsia="Calibri" w:cs="Times New Roman"/>
          <w:szCs w:val="24"/>
          <w:u w:val="single"/>
          <w:lang w:val="en-US"/>
        </w:rPr>
      </w:pPr>
      <w:r w:rsidRPr="00E46C80">
        <w:rPr>
          <w:rFonts w:eastAsia="Calibri" w:cs="Times New Roman"/>
          <w:szCs w:val="24"/>
          <w:u w:val="single"/>
          <w:lang w:val="en-US"/>
        </w:rPr>
        <w:t>Izvođenje radova za krečenje Upravne zgrade i službenih prostorija</w:t>
      </w:r>
      <w:r w:rsidRPr="00E46C80">
        <w:rPr>
          <w:rFonts w:eastAsia="Calibri" w:cs="Times New Roman"/>
          <w:szCs w:val="24"/>
          <w:lang w:val="en-US"/>
        </w:rPr>
        <w:t>, za predmetni postupak zaključen je ugovor sa »Refena« doo Podgorica, ugovorene vrijednosti 17.486,38€;</w:t>
      </w:r>
    </w:p>
    <w:p w:rsidR="00E46C80" w:rsidRPr="00E46C80" w:rsidRDefault="00E46C80" w:rsidP="00146EBE">
      <w:pPr>
        <w:numPr>
          <w:ilvl w:val="0"/>
          <w:numId w:val="66"/>
        </w:numPr>
        <w:spacing w:before="0" w:after="0" w:line="240" w:lineRule="auto"/>
        <w:rPr>
          <w:rFonts w:eastAsia="Calibri" w:cs="Times New Roman"/>
          <w:szCs w:val="24"/>
          <w:u w:val="single"/>
          <w:lang w:val="en-US"/>
        </w:rPr>
      </w:pPr>
      <w:r w:rsidRPr="00E46C80">
        <w:rPr>
          <w:rFonts w:eastAsia="Calibri" w:cs="Times New Roman"/>
          <w:szCs w:val="24"/>
          <w:u w:val="single"/>
          <w:lang w:val="en-US"/>
        </w:rPr>
        <w:t>Izvođenje radova za zamjenu prozora PVC bravarija</w:t>
      </w:r>
      <w:r w:rsidRPr="00E46C80">
        <w:rPr>
          <w:rFonts w:eastAsia="Calibri" w:cs="Times New Roman"/>
          <w:szCs w:val="24"/>
          <w:lang w:val="en-US"/>
        </w:rPr>
        <w:t>, za predmetni postupak zaključen je ugovor sa »Refena« doo Podgorica, ugovorene vrijednosti 14.991,90€;</w:t>
      </w:r>
    </w:p>
    <w:p w:rsidR="00E46C80" w:rsidRPr="00E46C80" w:rsidRDefault="00E46C80" w:rsidP="00146EBE">
      <w:pPr>
        <w:numPr>
          <w:ilvl w:val="0"/>
          <w:numId w:val="66"/>
        </w:numPr>
        <w:spacing w:before="0" w:after="0" w:line="240" w:lineRule="auto"/>
        <w:rPr>
          <w:rFonts w:eastAsia="Calibri" w:cs="Times New Roman"/>
          <w:szCs w:val="24"/>
          <w:lang w:val="en-US"/>
        </w:rPr>
      </w:pPr>
      <w:r w:rsidRPr="00E46C80">
        <w:rPr>
          <w:rFonts w:eastAsia="Calibri" w:cs="Times New Roman"/>
          <w:szCs w:val="24"/>
          <w:u w:val="single"/>
          <w:lang w:val="en-US"/>
        </w:rPr>
        <w:t>Usluge produženje licence mcAfee</w:t>
      </w:r>
      <w:r w:rsidRPr="00E46C80">
        <w:rPr>
          <w:rFonts w:eastAsia="Calibri" w:cs="Times New Roman"/>
          <w:szCs w:val="24"/>
          <w:lang w:val="en-US"/>
        </w:rPr>
        <w:t>, jedinstvena javna nabavka, procijenjene vrijednosti 3.993,00€ bez uračunatog PDV-a, za predmetni postupak zaključen je ugovor sa »4SEC« doo Podgorica;</w:t>
      </w:r>
    </w:p>
    <w:p w:rsidR="00E46C80" w:rsidRPr="00E46C80" w:rsidRDefault="00E46C80" w:rsidP="00146EBE">
      <w:pPr>
        <w:numPr>
          <w:ilvl w:val="0"/>
          <w:numId w:val="66"/>
        </w:numPr>
        <w:spacing w:before="0" w:after="0" w:line="240" w:lineRule="auto"/>
        <w:rPr>
          <w:rFonts w:eastAsia="Calibri" w:cs="Times New Roman"/>
          <w:szCs w:val="24"/>
          <w:lang w:val="en-US"/>
        </w:rPr>
      </w:pPr>
      <w:r w:rsidRPr="00E46C80">
        <w:rPr>
          <w:rFonts w:eastAsia="Calibri" w:cs="Times New Roman"/>
          <w:szCs w:val="24"/>
          <w:u w:val="single"/>
          <w:lang w:val="en-US"/>
        </w:rPr>
        <w:t>Usluge produženje licence C panel icloud Linux,</w:t>
      </w:r>
      <w:r w:rsidR="00800A34">
        <w:rPr>
          <w:rFonts w:eastAsia="Calibri" w:cs="Times New Roman"/>
          <w:szCs w:val="24"/>
          <w:lang w:val="en-US"/>
        </w:rPr>
        <w:t xml:space="preserve"> </w:t>
      </w:r>
      <w:r w:rsidRPr="00E46C80">
        <w:rPr>
          <w:rFonts w:eastAsia="Calibri" w:cs="Times New Roman"/>
          <w:szCs w:val="24"/>
          <w:lang w:val="en-US"/>
        </w:rPr>
        <w:t>jedinstvena javna nabavka, ugovorene vrijednosti 1.879,13€ bez uračunatog PDV-a, za predmetni postupak zaključen je ugovor sa »Čikom« doo Podgorica;</w:t>
      </w:r>
    </w:p>
    <w:p w:rsidR="00E46C80" w:rsidRPr="00E46C80" w:rsidRDefault="00E46C80" w:rsidP="00146EBE">
      <w:pPr>
        <w:numPr>
          <w:ilvl w:val="0"/>
          <w:numId w:val="66"/>
        </w:numPr>
        <w:spacing w:before="0" w:after="0" w:line="240" w:lineRule="auto"/>
        <w:rPr>
          <w:rFonts w:eastAsia="Calibri" w:cs="Times New Roman"/>
          <w:szCs w:val="24"/>
          <w:lang w:val="en-US"/>
        </w:rPr>
      </w:pPr>
      <w:r w:rsidRPr="00E46C80">
        <w:rPr>
          <w:rFonts w:eastAsia="Calibri" w:cs="Times New Roman"/>
          <w:szCs w:val="24"/>
          <w:u w:val="single"/>
          <w:lang w:val="en-US"/>
        </w:rPr>
        <w:t>Usluge produženje licence Manage engine service desk plus</w:t>
      </w:r>
      <w:r w:rsidRPr="00E46C80">
        <w:rPr>
          <w:rFonts w:eastAsia="Calibri" w:cs="Times New Roman"/>
          <w:szCs w:val="24"/>
          <w:lang w:val="en-US"/>
        </w:rPr>
        <w:t>, jedinstvena javna nabavka, ugovorene vrijednosti 3.642,10€ bez uračunatog PDV-a, za predmetni postupak zaključen je ugovor sa »Čikom« doo Podgorica;</w:t>
      </w:r>
    </w:p>
    <w:p w:rsidR="00E46C80" w:rsidRPr="00E46C80" w:rsidRDefault="00E46C80" w:rsidP="00146EBE">
      <w:pPr>
        <w:numPr>
          <w:ilvl w:val="0"/>
          <w:numId w:val="66"/>
        </w:numPr>
        <w:spacing w:before="0" w:after="0" w:line="240" w:lineRule="auto"/>
        <w:rPr>
          <w:rFonts w:eastAsia="Calibri" w:cs="Times New Roman"/>
          <w:szCs w:val="24"/>
          <w:lang w:val="en-US"/>
        </w:rPr>
      </w:pPr>
      <w:r w:rsidRPr="00E46C80">
        <w:rPr>
          <w:rFonts w:eastAsia="Calibri" w:cs="Times New Roman"/>
          <w:szCs w:val="24"/>
          <w:u w:val="single"/>
          <w:lang w:val="en-US"/>
        </w:rPr>
        <w:t>Usluge produženje licence veritas back up exec</w:t>
      </w:r>
      <w:r w:rsidRPr="00E46C80">
        <w:rPr>
          <w:rFonts w:eastAsia="Calibri" w:cs="Times New Roman"/>
          <w:szCs w:val="24"/>
          <w:lang w:val="en-US"/>
        </w:rPr>
        <w:t>, jedinstvena javna nabavka, ugovorene vrijednosti 2.922,15 bez uračunatog PDV-a, za predmetni postupak zaključen je ugovor sa »Čikom« doo Podgorica;</w:t>
      </w:r>
    </w:p>
    <w:p w:rsidR="00E46C80" w:rsidRPr="00E46C80" w:rsidRDefault="00E46C80" w:rsidP="00146EBE">
      <w:pPr>
        <w:numPr>
          <w:ilvl w:val="0"/>
          <w:numId w:val="66"/>
        </w:numPr>
        <w:spacing w:before="0" w:after="0" w:line="240" w:lineRule="auto"/>
        <w:rPr>
          <w:rFonts w:eastAsia="Calibri" w:cs="Times New Roman"/>
          <w:szCs w:val="24"/>
          <w:lang w:val="en-US"/>
        </w:rPr>
      </w:pPr>
      <w:r w:rsidRPr="00E46C80">
        <w:rPr>
          <w:rFonts w:eastAsia="Calibri" w:cs="Times New Roman"/>
          <w:szCs w:val="24"/>
          <w:u w:val="single"/>
          <w:lang w:val="en-US"/>
        </w:rPr>
        <w:lastRenderedPageBreak/>
        <w:t>Usluge produženje licence VMware</w:t>
      </w:r>
      <w:r w:rsidRPr="00E46C80">
        <w:rPr>
          <w:rFonts w:eastAsia="Calibri" w:cs="Times New Roman"/>
          <w:szCs w:val="24"/>
          <w:lang w:val="en-US"/>
        </w:rPr>
        <w:t>, jedinstvena javna nabavka, ugovorene vrijednosti 6.892,24€ bez uračunatog PDV-a, za predmetni postupak zaključen je ugovor sa »Čikom« doo Podgorica.</w:t>
      </w:r>
    </w:p>
    <w:p w:rsidR="005439CA" w:rsidRDefault="00E46C80" w:rsidP="00146EBE">
      <w:pPr>
        <w:numPr>
          <w:ilvl w:val="0"/>
          <w:numId w:val="66"/>
        </w:numPr>
        <w:spacing w:before="0" w:after="0" w:line="240" w:lineRule="auto"/>
        <w:rPr>
          <w:rFonts w:eastAsia="Calibri" w:cs="Times New Roman"/>
          <w:szCs w:val="24"/>
          <w:lang w:val="en-US"/>
        </w:rPr>
      </w:pPr>
      <w:r w:rsidRPr="00E46C80">
        <w:rPr>
          <w:rFonts w:eastAsia="Calibri" w:cs="Times New Roman"/>
          <w:szCs w:val="24"/>
          <w:u w:val="single"/>
          <w:lang w:val="en-US"/>
        </w:rPr>
        <w:t>Usluge produženje licence supporta Juniper SRX340-ATP-BUN3</w:t>
      </w:r>
      <w:r w:rsidRPr="00E46C80">
        <w:rPr>
          <w:rFonts w:eastAsia="Calibri" w:cs="Times New Roman"/>
          <w:szCs w:val="24"/>
          <w:lang w:val="en-US"/>
        </w:rPr>
        <w:t>, jedinstvena javna nabavka, procijenjene vrijednosti 6.743,24€ bez uračunatog PDV-a, za predmetni postupak zaključen je ugovor sa »Coreit« doo Podgorica.</w:t>
      </w:r>
      <w:bookmarkStart w:id="80" w:name="_Toc62197148"/>
      <w:bookmarkStart w:id="81" w:name="_Toc62552719"/>
      <w:bookmarkStart w:id="82" w:name="_Toc62813718"/>
    </w:p>
    <w:p w:rsidR="00E46C80" w:rsidRPr="00E46C80" w:rsidRDefault="00E46C80" w:rsidP="005620FA">
      <w:pPr>
        <w:spacing w:after="0" w:line="240" w:lineRule="auto"/>
        <w:ind w:left="360"/>
        <w:rPr>
          <w:rFonts w:eastAsia="Calibri" w:cs="Times New Roman"/>
          <w:szCs w:val="24"/>
          <w:lang w:val="en-US"/>
        </w:rPr>
      </w:pPr>
      <w:r w:rsidRPr="00E46C80">
        <w:rPr>
          <w:rFonts w:eastAsia="Calibri" w:cs="Times New Roman"/>
          <w:b/>
          <w:szCs w:val="24"/>
          <w:lang w:val="sl-SI"/>
        </w:rPr>
        <w:t>OSTALE AKTIVNOSTI</w:t>
      </w:r>
      <w:bookmarkEnd w:id="80"/>
      <w:bookmarkEnd w:id="81"/>
      <w:bookmarkEnd w:id="82"/>
    </w:p>
    <w:p w:rsidR="00E46C80" w:rsidRPr="00E46C80" w:rsidRDefault="005620FA" w:rsidP="005620FA">
      <w:pPr>
        <w:keepNext/>
        <w:keepLines/>
        <w:tabs>
          <w:tab w:val="left" w:pos="4962"/>
        </w:tabs>
        <w:spacing w:before="0" w:after="0" w:line="240" w:lineRule="auto"/>
        <w:ind w:hanging="11"/>
        <w:jc w:val="left"/>
        <w:outlineLvl w:val="2"/>
        <w:rPr>
          <w:rFonts w:eastAsia="Times New Roman" w:cs="Times New Roman"/>
          <w:b/>
          <w:bCs/>
          <w:noProof/>
          <w:color w:val="000000"/>
          <w:szCs w:val="24"/>
        </w:rPr>
      </w:pPr>
      <w:bookmarkStart w:id="83" w:name="_Toc62197149"/>
      <w:bookmarkStart w:id="84" w:name="_Toc62552720"/>
      <w:bookmarkStart w:id="85" w:name="_Toc62813719"/>
      <w:r>
        <w:rPr>
          <w:rFonts w:eastAsia="Times New Roman" w:cs="Times New Roman"/>
          <w:b/>
          <w:bCs/>
          <w:noProof/>
          <w:color w:val="000000"/>
          <w:szCs w:val="24"/>
        </w:rPr>
        <w:t xml:space="preserve">       </w:t>
      </w:r>
      <w:r w:rsidR="00E46C80" w:rsidRPr="00E46C80">
        <w:rPr>
          <w:rFonts w:eastAsia="Times New Roman" w:cs="Times New Roman"/>
          <w:b/>
          <w:bCs/>
          <w:noProof/>
          <w:color w:val="000000"/>
          <w:szCs w:val="24"/>
        </w:rPr>
        <w:t>Saradnja sa zaštitnikom imovinsko pravnih interesa, nadležnim sudovima i advokatima</w:t>
      </w:r>
      <w:bookmarkEnd w:id="83"/>
      <w:bookmarkEnd w:id="84"/>
      <w:bookmarkEnd w:id="85"/>
    </w:p>
    <w:p w:rsidR="00E46C80" w:rsidRPr="00745D02" w:rsidRDefault="005620FA" w:rsidP="005620FA">
      <w:pPr>
        <w:spacing w:before="0" w:after="0" w:line="240" w:lineRule="auto"/>
        <w:rPr>
          <w:rFonts w:eastAsia="Calibri" w:cs="Times New Roman"/>
          <w:szCs w:val="24"/>
          <w:lang w:val="sl-SI"/>
        </w:rPr>
      </w:pPr>
      <w:r>
        <w:rPr>
          <w:rFonts w:eastAsia="Calibri" w:cs="Times New Roman"/>
          <w:szCs w:val="24"/>
          <w:lang w:val="sl-SI"/>
        </w:rPr>
        <w:t xml:space="preserve">       </w:t>
      </w:r>
      <w:r w:rsidR="00E46C80" w:rsidRPr="00E46C80">
        <w:rPr>
          <w:rFonts w:eastAsia="Calibri" w:cs="Times New Roman"/>
          <w:szCs w:val="24"/>
          <w:lang w:val="sl-SI"/>
        </w:rPr>
        <w:t>Zaštitniku imovinsko pravnih interesa i sudskim vještacima se blagovremeno dostavljaju odgovori, dokazi i izjašnjenja na navode tužbi podnijetih protiv države Crne Gore i Uprave carina. Po osnovu radnih sporova (iznosi naknada štete po utuženom osnovu, troškovi postupka, kamate, troškovi izvršnog postupka), troškovi su u 2020. godini sa budžetskog računa iznosili 5.924,60€, što je značajno manje  u odnosu na  prethodne godine. Imaći u vidu da je 2016. godine iznos troškova po osnovu radnih sporova bio 191.488</w:t>
      </w:r>
      <w:r w:rsidR="00707FF3">
        <w:rPr>
          <w:rFonts w:eastAsia="Calibri" w:cs="Times New Roman"/>
          <w:szCs w:val="24"/>
          <w:lang w:val="sl-SI"/>
        </w:rPr>
        <w:t xml:space="preserve"> </w:t>
      </w:r>
      <w:r w:rsidR="00E46C80" w:rsidRPr="00E46C80">
        <w:rPr>
          <w:rFonts w:eastAsia="Calibri" w:cs="Times New Roman"/>
          <w:szCs w:val="24"/>
          <w:lang w:val="sl-SI"/>
        </w:rPr>
        <w:t>€, a 2020.</w:t>
      </w:r>
      <w:r w:rsidR="00707FF3">
        <w:rPr>
          <w:rFonts w:eastAsia="Calibri" w:cs="Times New Roman"/>
          <w:szCs w:val="24"/>
          <w:lang w:val="sl-SI"/>
        </w:rPr>
        <w:t xml:space="preserve"> </w:t>
      </w:r>
      <w:r w:rsidR="00E46C80" w:rsidRPr="00E46C80">
        <w:rPr>
          <w:rFonts w:eastAsia="Calibri" w:cs="Times New Roman"/>
          <w:szCs w:val="24"/>
          <w:lang w:val="sl-SI"/>
        </w:rPr>
        <w:t>godine 5.924</w:t>
      </w:r>
      <w:r w:rsidR="00707FF3">
        <w:rPr>
          <w:rFonts w:eastAsia="Calibri" w:cs="Times New Roman"/>
          <w:szCs w:val="24"/>
          <w:lang w:val="sl-SI"/>
        </w:rPr>
        <w:t xml:space="preserve"> </w:t>
      </w:r>
      <w:r w:rsidR="00E46C80" w:rsidRPr="00E46C80">
        <w:rPr>
          <w:rFonts w:eastAsia="Calibri" w:cs="Times New Roman"/>
          <w:szCs w:val="24"/>
          <w:lang w:val="sl-SI"/>
        </w:rPr>
        <w:t>€, Sektor za upravljanje ljudskim resursima, u saradnji sa upravnicima carinarnica postigao je značajne rezultate u sprovođenju specijalizovanih programa upravljanja kadrovima, koji su bili fokusirani na regulis</w:t>
      </w:r>
      <w:r w:rsidR="00745D02">
        <w:rPr>
          <w:rFonts w:eastAsia="Calibri" w:cs="Times New Roman"/>
          <w:szCs w:val="24"/>
          <w:lang w:val="sl-SI"/>
        </w:rPr>
        <w:t xml:space="preserve">anje oblasti radnih sporova.   </w:t>
      </w:r>
    </w:p>
    <w:p w:rsidR="00800A34" w:rsidRPr="00E46C80" w:rsidRDefault="00800A34" w:rsidP="00E46C80">
      <w:pPr>
        <w:spacing w:before="0" w:after="0" w:line="240" w:lineRule="auto"/>
        <w:ind w:firstLine="708"/>
        <w:rPr>
          <w:rFonts w:ascii="Times New Roman" w:eastAsia="Calibri" w:hAnsi="Times New Roman" w:cs="Times New Roman"/>
          <w:color w:val="943634"/>
          <w:sz w:val="22"/>
          <w:szCs w:val="24"/>
          <w:lang w:val="sl-SI"/>
        </w:rPr>
      </w:pPr>
    </w:p>
    <w:p w:rsidR="00E46C80" w:rsidRPr="00E46C80" w:rsidRDefault="005439CA" w:rsidP="00E46C80">
      <w:pPr>
        <w:spacing w:before="0" w:after="0" w:line="240" w:lineRule="auto"/>
        <w:rPr>
          <w:rFonts w:ascii="Times New Roman" w:eastAsia="Calibri" w:hAnsi="Times New Roman" w:cs="Times New Roman"/>
          <w:i/>
          <w:sz w:val="22"/>
          <w:szCs w:val="24"/>
          <w:lang w:val="sl-SI"/>
        </w:rPr>
      </w:pPr>
      <w:r>
        <w:rPr>
          <w:rFonts w:ascii="Times New Roman" w:eastAsia="Calibri" w:hAnsi="Times New Roman" w:cs="Times New Roman"/>
          <w:i/>
          <w:sz w:val="22"/>
          <w:szCs w:val="24"/>
          <w:lang w:val="sl-SI"/>
        </w:rPr>
        <w:t xml:space="preserve">                            </w:t>
      </w:r>
      <w:r w:rsidR="00E46C80" w:rsidRPr="00E46C80">
        <w:rPr>
          <w:rFonts w:ascii="Times New Roman" w:eastAsia="Calibri" w:hAnsi="Times New Roman" w:cs="Times New Roman"/>
          <w:i/>
          <w:sz w:val="22"/>
          <w:szCs w:val="24"/>
          <w:lang w:val="sl-SI"/>
        </w:rPr>
        <w:t>Tabela 13: Pregled iznosa troškova radnih sporova</w:t>
      </w:r>
    </w:p>
    <w:tbl>
      <w:tblPr>
        <w:tblStyle w:val="MediumGrid3-Accent1"/>
        <w:tblW w:w="7655" w:type="dxa"/>
        <w:tblLook w:val="04A0" w:firstRow="1" w:lastRow="0" w:firstColumn="1" w:lastColumn="0" w:noHBand="0" w:noVBand="1"/>
      </w:tblPr>
      <w:tblGrid>
        <w:gridCol w:w="913"/>
        <w:gridCol w:w="1639"/>
        <w:gridCol w:w="1579"/>
        <w:gridCol w:w="1114"/>
        <w:gridCol w:w="1134"/>
        <w:gridCol w:w="1276"/>
      </w:tblGrid>
      <w:tr w:rsidR="00E46C80" w:rsidRPr="00E46C80" w:rsidTr="009F41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3" w:type="dxa"/>
          </w:tcPr>
          <w:p w:rsidR="00E46C80" w:rsidRPr="00E46C80" w:rsidRDefault="00E46C80" w:rsidP="00E46C80">
            <w:pPr>
              <w:spacing w:before="0" w:after="0" w:line="240" w:lineRule="auto"/>
              <w:rPr>
                <w:rFonts w:ascii="Times New Roman" w:hAnsi="Times New Roman"/>
                <w:sz w:val="22"/>
                <w:szCs w:val="24"/>
              </w:rPr>
            </w:pPr>
            <w:r w:rsidRPr="00E46C80">
              <w:rPr>
                <w:rFonts w:ascii="Times New Roman" w:hAnsi="Times New Roman"/>
                <w:sz w:val="22"/>
                <w:szCs w:val="24"/>
              </w:rPr>
              <w:t>Godina</w:t>
            </w:r>
          </w:p>
        </w:tc>
        <w:tc>
          <w:tcPr>
            <w:tcW w:w="1639" w:type="dxa"/>
          </w:tcPr>
          <w:p w:rsidR="00E46C80" w:rsidRPr="00E46C80" w:rsidRDefault="00E46C80" w:rsidP="00E46C80">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4"/>
              </w:rPr>
            </w:pPr>
            <w:r w:rsidRPr="00E46C80">
              <w:rPr>
                <w:rFonts w:ascii="Times New Roman" w:hAnsi="Times New Roman"/>
                <w:sz w:val="22"/>
                <w:szCs w:val="24"/>
              </w:rPr>
              <w:t>2016</w:t>
            </w:r>
          </w:p>
        </w:tc>
        <w:tc>
          <w:tcPr>
            <w:tcW w:w="1579" w:type="dxa"/>
          </w:tcPr>
          <w:p w:rsidR="00E46C80" w:rsidRPr="00E46C80" w:rsidRDefault="00E46C80" w:rsidP="00E46C80">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4"/>
              </w:rPr>
            </w:pPr>
            <w:r w:rsidRPr="00E46C80">
              <w:rPr>
                <w:rFonts w:ascii="Times New Roman" w:hAnsi="Times New Roman"/>
                <w:sz w:val="22"/>
                <w:szCs w:val="24"/>
              </w:rPr>
              <w:t>2017</w:t>
            </w:r>
          </w:p>
        </w:tc>
        <w:tc>
          <w:tcPr>
            <w:tcW w:w="1114" w:type="dxa"/>
          </w:tcPr>
          <w:p w:rsidR="00E46C80" w:rsidRPr="00E46C80" w:rsidRDefault="00E46C80" w:rsidP="00E46C80">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4"/>
              </w:rPr>
            </w:pPr>
            <w:r w:rsidRPr="00E46C80">
              <w:rPr>
                <w:rFonts w:ascii="Times New Roman" w:hAnsi="Times New Roman"/>
                <w:sz w:val="22"/>
                <w:szCs w:val="24"/>
              </w:rPr>
              <w:t>2018</w:t>
            </w:r>
          </w:p>
        </w:tc>
        <w:tc>
          <w:tcPr>
            <w:tcW w:w="1134" w:type="dxa"/>
          </w:tcPr>
          <w:p w:rsidR="00E46C80" w:rsidRPr="00E46C80" w:rsidRDefault="00E46C80" w:rsidP="00E46C80">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4"/>
              </w:rPr>
            </w:pPr>
            <w:r w:rsidRPr="00E46C80">
              <w:rPr>
                <w:rFonts w:ascii="Times New Roman" w:hAnsi="Times New Roman"/>
                <w:sz w:val="22"/>
                <w:szCs w:val="24"/>
              </w:rPr>
              <w:t>2019</w:t>
            </w:r>
          </w:p>
        </w:tc>
        <w:tc>
          <w:tcPr>
            <w:tcW w:w="1276" w:type="dxa"/>
          </w:tcPr>
          <w:p w:rsidR="00E46C80" w:rsidRPr="00E46C80" w:rsidRDefault="00E46C80" w:rsidP="00E46C80">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4"/>
              </w:rPr>
            </w:pPr>
            <w:r w:rsidRPr="00E46C80">
              <w:rPr>
                <w:rFonts w:ascii="Times New Roman" w:hAnsi="Times New Roman"/>
                <w:sz w:val="22"/>
                <w:szCs w:val="24"/>
              </w:rPr>
              <w:t>2020</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3" w:type="dxa"/>
          </w:tcPr>
          <w:p w:rsidR="00E46C80" w:rsidRPr="00E46C80" w:rsidRDefault="00E46C80" w:rsidP="00E46C80">
            <w:pPr>
              <w:spacing w:before="0" w:after="0" w:line="240" w:lineRule="auto"/>
              <w:jc w:val="left"/>
              <w:rPr>
                <w:rFonts w:ascii="Times New Roman" w:hAnsi="Times New Roman"/>
                <w:sz w:val="22"/>
                <w:szCs w:val="24"/>
              </w:rPr>
            </w:pPr>
            <w:r w:rsidRPr="00E46C80">
              <w:rPr>
                <w:rFonts w:ascii="Times New Roman" w:hAnsi="Times New Roman"/>
                <w:sz w:val="22"/>
                <w:szCs w:val="24"/>
              </w:rPr>
              <w:t xml:space="preserve">Iznos </w:t>
            </w:r>
          </w:p>
        </w:tc>
        <w:tc>
          <w:tcPr>
            <w:tcW w:w="1639" w:type="dxa"/>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4"/>
              </w:rPr>
            </w:pPr>
            <w:r w:rsidRPr="00E46C80">
              <w:rPr>
                <w:rFonts w:ascii="Times New Roman" w:hAnsi="Times New Roman"/>
                <w:sz w:val="22"/>
                <w:szCs w:val="24"/>
              </w:rPr>
              <w:t>191.488 €</w:t>
            </w:r>
          </w:p>
        </w:tc>
        <w:tc>
          <w:tcPr>
            <w:tcW w:w="1579" w:type="dxa"/>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4"/>
              </w:rPr>
            </w:pPr>
            <w:r w:rsidRPr="00E46C80">
              <w:rPr>
                <w:rFonts w:ascii="Times New Roman" w:hAnsi="Times New Roman"/>
                <w:sz w:val="22"/>
                <w:szCs w:val="24"/>
              </w:rPr>
              <w:t>22.026,43 €</w:t>
            </w:r>
          </w:p>
        </w:tc>
        <w:tc>
          <w:tcPr>
            <w:tcW w:w="1114" w:type="dxa"/>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4"/>
              </w:rPr>
            </w:pPr>
            <w:r w:rsidRPr="00E46C80">
              <w:rPr>
                <w:rFonts w:ascii="Times New Roman" w:hAnsi="Times New Roman"/>
                <w:sz w:val="22"/>
                <w:szCs w:val="24"/>
              </w:rPr>
              <w:t>53.851 €</w:t>
            </w:r>
          </w:p>
        </w:tc>
        <w:tc>
          <w:tcPr>
            <w:tcW w:w="1134" w:type="dxa"/>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4"/>
              </w:rPr>
            </w:pPr>
            <w:r w:rsidRPr="00E46C80">
              <w:rPr>
                <w:rFonts w:ascii="Times New Roman" w:hAnsi="Times New Roman"/>
                <w:sz w:val="22"/>
                <w:szCs w:val="24"/>
              </w:rPr>
              <w:t>7.400 €</w:t>
            </w:r>
          </w:p>
        </w:tc>
        <w:tc>
          <w:tcPr>
            <w:tcW w:w="1276" w:type="dxa"/>
          </w:tcPr>
          <w:p w:rsidR="00E46C80" w:rsidRPr="00E46C80" w:rsidRDefault="00E46C80" w:rsidP="00E46C80">
            <w:pPr>
              <w:spacing w:before="0"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4"/>
              </w:rPr>
            </w:pPr>
            <w:r w:rsidRPr="00E46C80">
              <w:rPr>
                <w:rFonts w:ascii="Times New Roman" w:hAnsi="Times New Roman"/>
                <w:sz w:val="22"/>
                <w:szCs w:val="24"/>
              </w:rPr>
              <w:t>5.924,60 €</w:t>
            </w:r>
          </w:p>
        </w:tc>
      </w:tr>
    </w:tbl>
    <w:p w:rsidR="00E46C80" w:rsidRPr="00E46C80" w:rsidRDefault="00E46C80" w:rsidP="005439CA">
      <w:pPr>
        <w:spacing w:before="0" w:after="0" w:line="240" w:lineRule="auto"/>
        <w:ind w:firstLine="708"/>
        <w:rPr>
          <w:rFonts w:eastAsia="Calibri" w:cs="Times New Roman"/>
          <w:szCs w:val="24"/>
          <w:lang w:val="sl-SI"/>
        </w:rPr>
      </w:pPr>
      <w:r w:rsidRPr="00E46C80">
        <w:rPr>
          <w:rFonts w:eastAsia="Calibri" w:cs="Times New Roman"/>
          <w:szCs w:val="24"/>
          <w:lang w:val="sl-SI"/>
        </w:rPr>
        <w:t>Iz navedenih podataka za pet prethodnih godina, možemo konstatovati odlične rezultate na smanjenju troškova vezanih za radne sporove.</w:t>
      </w:r>
    </w:p>
    <w:p w:rsidR="00E46C80" w:rsidRPr="00E46C80" w:rsidRDefault="00745D02" w:rsidP="005439CA">
      <w:pPr>
        <w:keepNext/>
        <w:keepLines/>
        <w:tabs>
          <w:tab w:val="left" w:pos="4962"/>
        </w:tabs>
        <w:spacing w:after="0" w:line="240" w:lineRule="auto"/>
        <w:ind w:hanging="11"/>
        <w:outlineLvl w:val="2"/>
        <w:rPr>
          <w:rFonts w:eastAsia="Times New Roman" w:cs="Times New Roman"/>
          <w:b/>
          <w:bCs/>
          <w:noProof/>
          <w:color w:val="000000"/>
          <w:szCs w:val="24"/>
        </w:rPr>
      </w:pPr>
      <w:bookmarkStart w:id="86" w:name="_Toc62197150"/>
      <w:bookmarkStart w:id="87" w:name="_Toc62552721"/>
      <w:bookmarkStart w:id="88" w:name="_Toc62813720"/>
      <w:r>
        <w:rPr>
          <w:rFonts w:eastAsia="Times New Roman" w:cs="Times New Roman"/>
          <w:b/>
          <w:bCs/>
          <w:noProof/>
          <w:color w:val="000000"/>
          <w:szCs w:val="24"/>
        </w:rPr>
        <w:tab/>
        <w:t xml:space="preserve">             </w:t>
      </w:r>
      <w:r w:rsidR="00E46C80" w:rsidRPr="00E46C80">
        <w:rPr>
          <w:rFonts w:eastAsia="Times New Roman" w:cs="Times New Roman"/>
          <w:b/>
          <w:bCs/>
          <w:noProof/>
          <w:color w:val="000000"/>
          <w:szCs w:val="24"/>
        </w:rPr>
        <w:t>Obuke i ispiti za sticanje licenci za obavljanje poslova zastupanja pred carinskim organom</w:t>
      </w:r>
      <w:bookmarkEnd w:id="86"/>
      <w:bookmarkEnd w:id="87"/>
      <w:bookmarkEnd w:id="88"/>
    </w:p>
    <w:p w:rsidR="00E46C80" w:rsidRPr="00E46C80" w:rsidRDefault="00E46C80" w:rsidP="005439CA">
      <w:pPr>
        <w:spacing w:before="0" w:after="0" w:line="240" w:lineRule="auto"/>
        <w:ind w:firstLine="708"/>
        <w:rPr>
          <w:rFonts w:eastAsia="Calibri" w:cs="Times New Roman"/>
          <w:color w:val="943634"/>
          <w:szCs w:val="24"/>
          <w:lang w:val="sl-SI"/>
        </w:rPr>
      </w:pPr>
      <w:r w:rsidRPr="00E46C80">
        <w:rPr>
          <w:rFonts w:eastAsia="Calibri" w:cs="Times New Roman"/>
          <w:szCs w:val="24"/>
          <w:lang w:val="sl-SI"/>
        </w:rPr>
        <w:t>U saradnji sa Privrednom Komorom Crne Gore Uprava carina je u toku  2020.godine sprovela obuke kandidata za  sticanje licence za zastupanje pred carinskim organom. Preduzimane su i aktivnosti u cilju blagovremene informisanosti prijavljenih kandidata o Zakonom propisanim uslovima, potrebnoj dokumentaciji za sticanje licenci i odobrenja za obavljanje poslova zastupanja pred organima Carinske službe, kao i o programu za polaganje stručnog ispita.</w:t>
      </w:r>
    </w:p>
    <w:p w:rsidR="00E46C80" w:rsidRPr="005620FA" w:rsidRDefault="00E46C80" w:rsidP="005620FA">
      <w:pPr>
        <w:spacing w:before="0" w:after="0" w:line="240" w:lineRule="auto"/>
        <w:ind w:firstLine="708"/>
        <w:rPr>
          <w:rFonts w:eastAsia="Calibri" w:cs="Times New Roman"/>
          <w:szCs w:val="24"/>
          <w:lang w:val="en-US"/>
        </w:rPr>
      </w:pPr>
      <w:r w:rsidRPr="00E46C80">
        <w:rPr>
          <w:rFonts w:eastAsia="Calibri" w:cs="Times New Roman"/>
          <w:szCs w:val="24"/>
          <w:lang w:val="sl-SI"/>
        </w:rPr>
        <w:t xml:space="preserve">Organizovan je stručni ispit za sticanje licence i  </w:t>
      </w:r>
      <w:r w:rsidRPr="00E46C80">
        <w:rPr>
          <w:rFonts w:eastAsia="Calibri" w:cs="Times New Roman"/>
          <w:szCs w:val="24"/>
          <w:lang w:val="en-US"/>
        </w:rPr>
        <w:t>izdato je 17 licenci za obavljanje poslova zastupanja.  Donijeto je 35 rješenja o produženju licenci, kao i 2 odobrenja za obavljanje poslova zastupanja pred carinskim organom. Donijeta su 3 odobrenja za elektronsku razmje</w:t>
      </w:r>
      <w:r w:rsidR="005620FA">
        <w:rPr>
          <w:rFonts w:eastAsia="Calibri" w:cs="Times New Roman"/>
          <w:szCs w:val="24"/>
          <w:lang w:val="en-US"/>
        </w:rPr>
        <w:t>nu podataka privrednom društvu.</w:t>
      </w:r>
    </w:p>
    <w:p w:rsidR="00E46C80" w:rsidRPr="00E46C80" w:rsidRDefault="005439CA" w:rsidP="00E46C80">
      <w:pPr>
        <w:spacing w:before="0" w:after="0" w:line="240" w:lineRule="auto"/>
        <w:rPr>
          <w:rFonts w:ascii="Times New Roman" w:eastAsia="Calibri" w:hAnsi="Times New Roman" w:cs="Times New Roman"/>
          <w:i/>
          <w:sz w:val="22"/>
          <w:szCs w:val="24"/>
          <w:lang w:val="sl-SI"/>
        </w:rPr>
      </w:pPr>
      <w:r>
        <w:rPr>
          <w:rFonts w:ascii="Times New Roman" w:eastAsia="Calibri" w:hAnsi="Times New Roman" w:cs="Times New Roman"/>
          <w:i/>
          <w:sz w:val="22"/>
          <w:szCs w:val="24"/>
          <w:lang w:val="sl-SI"/>
        </w:rPr>
        <w:t xml:space="preserve">                </w:t>
      </w:r>
      <w:r w:rsidR="00E46C80" w:rsidRPr="00E46C80">
        <w:rPr>
          <w:rFonts w:ascii="Times New Roman" w:eastAsia="Calibri" w:hAnsi="Times New Roman" w:cs="Times New Roman"/>
          <w:i/>
          <w:sz w:val="22"/>
          <w:szCs w:val="24"/>
          <w:lang w:val="sl-SI"/>
        </w:rPr>
        <w:t>Tabela 14: Pregled licenci</w:t>
      </w:r>
    </w:p>
    <w:tbl>
      <w:tblPr>
        <w:tblStyle w:val="LightList-Accent11"/>
        <w:tblW w:w="0" w:type="auto"/>
        <w:tblLook w:val="04A0" w:firstRow="1" w:lastRow="0" w:firstColumn="1" w:lastColumn="0" w:noHBand="0" w:noVBand="1"/>
      </w:tblPr>
      <w:tblGrid>
        <w:gridCol w:w="2010"/>
        <w:gridCol w:w="225"/>
        <w:gridCol w:w="2042"/>
        <w:gridCol w:w="222"/>
        <w:gridCol w:w="1984"/>
        <w:gridCol w:w="2552"/>
      </w:tblGrid>
      <w:tr w:rsidR="00E46C80" w:rsidRPr="00E46C80" w:rsidTr="00E46C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0" w:type="dxa"/>
            <w:tcBorders>
              <w:right w:val="single" w:sz="4" w:space="0" w:color="auto"/>
            </w:tcBorders>
          </w:tcPr>
          <w:p w:rsidR="00E46C80" w:rsidRPr="00E46C80" w:rsidRDefault="00E46C80" w:rsidP="00E46C80">
            <w:pPr>
              <w:spacing w:before="0" w:after="0" w:line="240" w:lineRule="auto"/>
              <w:ind w:right="4"/>
              <w:jc w:val="left"/>
              <w:rPr>
                <w:rFonts w:ascii="Times New Roman" w:eastAsia="Times New Roman" w:hAnsi="Times New Roman"/>
                <w:color w:val="943634"/>
                <w:sz w:val="18"/>
                <w:szCs w:val="18"/>
              </w:rPr>
            </w:pPr>
            <w:r w:rsidRPr="00E46C80">
              <w:rPr>
                <w:rFonts w:ascii="Times New Roman" w:eastAsia="Times New Roman" w:hAnsi="Times New Roman"/>
                <w:sz w:val="18"/>
                <w:szCs w:val="18"/>
              </w:rPr>
              <w:t xml:space="preserve">Izdate </w:t>
            </w:r>
            <w:r w:rsidRPr="00E46C80">
              <w:rPr>
                <w:rFonts w:ascii="Times New Roman" w:hAnsi="Times New Roman"/>
                <w:sz w:val="18"/>
                <w:szCs w:val="18"/>
              </w:rPr>
              <w:t xml:space="preserve">licence za obavljanje poslova zastupanja  </w:t>
            </w:r>
          </w:p>
        </w:tc>
        <w:tc>
          <w:tcPr>
            <w:tcW w:w="225" w:type="dxa"/>
            <w:tcBorders>
              <w:left w:val="single" w:sz="4" w:space="0" w:color="auto"/>
            </w:tcBorders>
          </w:tcPr>
          <w:p w:rsidR="00E46C80" w:rsidRPr="00E46C80" w:rsidRDefault="00E46C80" w:rsidP="00E46C80">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943634"/>
                <w:sz w:val="18"/>
                <w:szCs w:val="18"/>
              </w:rPr>
            </w:pPr>
          </w:p>
          <w:p w:rsidR="00E46C80" w:rsidRPr="00E46C80" w:rsidRDefault="00E46C80" w:rsidP="00E46C80">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943634"/>
                <w:sz w:val="18"/>
                <w:szCs w:val="18"/>
              </w:rPr>
            </w:pPr>
          </w:p>
          <w:p w:rsidR="00E46C80" w:rsidRPr="00E46C80" w:rsidRDefault="00E46C80" w:rsidP="00E46C80">
            <w:pPr>
              <w:spacing w:before="0" w:after="0" w:line="240" w:lineRule="auto"/>
              <w:ind w:right="4"/>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943634"/>
                <w:sz w:val="18"/>
                <w:szCs w:val="18"/>
              </w:rPr>
            </w:pPr>
          </w:p>
        </w:tc>
        <w:tc>
          <w:tcPr>
            <w:tcW w:w="2042" w:type="dxa"/>
            <w:tcBorders>
              <w:right w:val="single" w:sz="4" w:space="0" w:color="auto"/>
            </w:tcBorders>
          </w:tcPr>
          <w:p w:rsidR="00E46C80" w:rsidRPr="00E46C80" w:rsidRDefault="00E46C80" w:rsidP="00E46C80">
            <w:pPr>
              <w:spacing w:before="0" w:after="0" w:line="240" w:lineRule="auto"/>
              <w:ind w:right="4"/>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943634"/>
                <w:sz w:val="18"/>
                <w:szCs w:val="18"/>
              </w:rPr>
            </w:pPr>
            <w:r w:rsidRPr="00E46C80">
              <w:rPr>
                <w:rFonts w:ascii="Times New Roman" w:hAnsi="Times New Roman"/>
                <w:sz w:val="18"/>
                <w:szCs w:val="18"/>
              </w:rPr>
              <w:t>Rješenja o produženju licenci</w:t>
            </w:r>
          </w:p>
        </w:tc>
        <w:tc>
          <w:tcPr>
            <w:tcW w:w="160" w:type="dxa"/>
            <w:tcBorders>
              <w:left w:val="single" w:sz="4" w:space="0" w:color="auto"/>
            </w:tcBorders>
          </w:tcPr>
          <w:p w:rsidR="00E46C80" w:rsidRPr="00E46C80" w:rsidRDefault="00E46C80" w:rsidP="00E46C80">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943634"/>
                <w:sz w:val="18"/>
                <w:szCs w:val="18"/>
              </w:rPr>
            </w:pPr>
          </w:p>
          <w:p w:rsidR="00E46C80" w:rsidRPr="00E46C80" w:rsidRDefault="00E46C80" w:rsidP="00E46C80">
            <w:pPr>
              <w:spacing w:before="0" w:after="0" w:line="240" w:lineRule="auto"/>
              <w:ind w:right="4"/>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943634"/>
                <w:sz w:val="18"/>
                <w:szCs w:val="18"/>
              </w:rPr>
            </w:pPr>
          </w:p>
        </w:tc>
        <w:tc>
          <w:tcPr>
            <w:tcW w:w="1984" w:type="dxa"/>
            <w:tcBorders>
              <w:right w:val="single" w:sz="4" w:space="0" w:color="auto"/>
            </w:tcBorders>
          </w:tcPr>
          <w:p w:rsidR="00E46C80" w:rsidRPr="00E46C80" w:rsidRDefault="00E46C80" w:rsidP="00E46C80">
            <w:pPr>
              <w:spacing w:before="0" w:after="0" w:line="240" w:lineRule="auto"/>
              <w:ind w:right="4"/>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943634"/>
                <w:sz w:val="18"/>
                <w:szCs w:val="18"/>
              </w:rPr>
            </w:pPr>
            <w:r w:rsidRPr="00E46C80">
              <w:rPr>
                <w:rFonts w:ascii="Times New Roman" w:hAnsi="Times New Roman"/>
                <w:sz w:val="18"/>
                <w:szCs w:val="18"/>
              </w:rPr>
              <w:t>Odobrenja za obavljanje poslova zastupanja pred carinskim organom</w:t>
            </w:r>
          </w:p>
        </w:tc>
        <w:tc>
          <w:tcPr>
            <w:tcW w:w="2552" w:type="dxa"/>
            <w:tcBorders>
              <w:left w:val="single" w:sz="4" w:space="0" w:color="auto"/>
            </w:tcBorders>
          </w:tcPr>
          <w:p w:rsidR="00E46C80" w:rsidRPr="00E46C80" w:rsidRDefault="00E46C80" w:rsidP="00E46C80">
            <w:pPr>
              <w:spacing w:before="0" w:after="0" w:line="240" w:lineRule="auto"/>
              <w:ind w:right="4"/>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943634"/>
                <w:sz w:val="18"/>
                <w:szCs w:val="18"/>
              </w:rPr>
            </w:pPr>
            <w:r w:rsidRPr="00E46C80">
              <w:rPr>
                <w:rFonts w:ascii="Times New Roman" w:hAnsi="Times New Roman"/>
                <w:sz w:val="18"/>
                <w:szCs w:val="18"/>
              </w:rPr>
              <w:t>Odobrenja za elektronsku razmjenu podataka privrednom društvu</w:t>
            </w:r>
          </w:p>
        </w:tc>
      </w:tr>
      <w:tr w:rsidR="00E46C80" w:rsidRPr="00E46C80" w:rsidTr="009F41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0" w:type="dxa"/>
            <w:tcBorders>
              <w:right w:val="single" w:sz="4" w:space="0" w:color="auto"/>
            </w:tcBorders>
          </w:tcPr>
          <w:p w:rsidR="00E46C80" w:rsidRPr="00E46C80" w:rsidRDefault="00E46C80" w:rsidP="00E46C80">
            <w:pPr>
              <w:spacing w:before="0" w:after="0" w:line="240" w:lineRule="auto"/>
              <w:ind w:right="4"/>
              <w:jc w:val="center"/>
              <w:rPr>
                <w:rFonts w:ascii="Times New Roman" w:eastAsia="Times New Roman" w:hAnsi="Times New Roman"/>
                <w:sz w:val="22"/>
                <w:szCs w:val="24"/>
              </w:rPr>
            </w:pPr>
            <w:r w:rsidRPr="00E46C80">
              <w:rPr>
                <w:rFonts w:ascii="Times New Roman" w:eastAsia="Times New Roman" w:hAnsi="Times New Roman"/>
                <w:sz w:val="22"/>
                <w:szCs w:val="24"/>
              </w:rPr>
              <w:t>17</w:t>
            </w:r>
          </w:p>
        </w:tc>
        <w:tc>
          <w:tcPr>
            <w:tcW w:w="225" w:type="dxa"/>
            <w:tcBorders>
              <w:left w:val="single" w:sz="4" w:space="0" w:color="auto"/>
            </w:tcBorders>
          </w:tcPr>
          <w:p w:rsidR="00E46C80" w:rsidRPr="00E46C80" w:rsidRDefault="00E46C80" w:rsidP="00E46C80">
            <w:pPr>
              <w:spacing w:before="0" w:after="0" w:line="240" w:lineRule="auto"/>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2"/>
                <w:szCs w:val="24"/>
              </w:rPr>
            </w:pPr>
          </w:p>
        </w:tc>
        <w:tc>
          <w:tcPr>
            <w:tcW w:w="2042" w:type="dxa"/>
            <w:tcBorders>
              <w:right w:val="single" w:sz="4" w:space="0" w:color="auto"/>
            </w:tcBorders>
          </w:tcPr>
          <w:p w:rsidR="00E46C80" w:rsidRPr="00E46C80" w:rsidRDefault="00E46C80" w:rsidP="00E46C80">
            <w:pPr>
              <w:spacing w:before="0" w:after="0" w:line="240" w:lineRule="auto"/>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4"/>
              </w:rPr>
            </w:pPr>
            <w:r w:rsidRPr="00E46C80">
              <w:rPr>
                <w:rFonts w:ascii="Times New Roman" w:eastAsia="Times New Roman" w:hAnsi="Times New Roman"/>
                <w:sz w:val="22"/>
                <w:szCs w:val="24"/>
              </w:rPr>
              <w:t>35</w:t>
            </w:r>
          </w:p>
        </w:tc>
        <w:tc>
          <w:tcPr>
            <w:tcW w:w="160" w:type="dxa"/>
            <w:tcBorders>
              <w:left w:val="single" w:sz="4" w:space="0" w:color="auto"/>
            </w:tcBorders>
          </w:tcPr>
          <w:p w:rsidR="00E46C80" w:rsidRPr="00E46C80" w:rsidRDefault="00E46C80" w:rsidP="00E46C80">
            <w:pPr>
              <w:spacing w:before="0" w:after="0" w:line="240" w:lineRule="auto"/>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4"/>
              </w:rPr>
            </w:pPr>
          </w:p>
        </w:tc>
        <w:tc>
          <w:tcPr>
            <w:tcW w:w="1984" w:type="dxa"/>
            <w:tcBorders>
              <w:right w:val="single" w:sz="4" w:space="0" w:color="auto"/>
            </w:tcBorders>
          </w:tcPr>
          <w:p w:rsidR="00E46C80" w:rsidRPr="00E46C80" w:rsidRDefault="00E46C80" w:rsidP="00E46C80">
            <w:pPr>
              <w:spacing w:before="0" w:after="0" w:line="240" w:lineRule="auto"/>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4"/>
              </w:rPr>
            </w:pPr>
            <w:r w:rsidRPr="00E46C80">
              <w:rPr>
                <w:rFonts w:ascii="Times New Roman" w:eastAsia="Times New Roman" w:hAnsi="Times New Roman"/>
                <w:sz w:val="22"/>
                <w:szCs w:val="24"/>
              </w:rPr>
              <w:t>2</w:t>
            </w:r>
          </w:p>
        </w:tc>
        <w:tc>
          <w:tcPr>
            <w:tcW w:w="2552" w:type="dxa"/>
            <w:tcBorders>
              <w:left w:val="single" w:sz="4" w:space="0" w:color="auto"/>
            </w:tcBorders>
          </w:tcPr>
          <w:p w:rsidR="00E46C80" w:rsidRPr="00E46C80" w:rsidRDefault="00E46C80" w:rsidP="00E46C80">
            <w:pPr>
              <w:spacing w:before="0" w:after="0" w:line="240" w:lineRule="auto"/>
              <w:ind w:right="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2"/>
                <w:szCs w:val="24"/>
              </w:rPr>
            </w:pPr>
            <w:r w:rsidRPr="00E46C80">
              <w:rPr>
                <w:rFonts w:ascii="Times New Roman" w:eastAsia="Times New Roman" w:hAnsi="Times New Roman"/>
                <w:sz w:val="22"/>
                <w:szCs w:val="24"/>
              </w:rPr>
              <w:t>3</w:t>
            </w:r>
          </w:p>
        </w:tc>
      </w:tr>
    </w:tbl>
    <w:p w:rsidR="00E46C80" w:rsidRPr="00E46C80" w:rsidRDefault="00E46C80" w:rsidP="00E46C80">
      <w:pPr>
        <w:spacing w:before="0" w:after="0" w:line="240" w:lineRule="auto"/>
        <w:ind w:right="4"/>
        <w:rPr>
          <w:rFonts w:ascii="Times New Roman" w:eastAsia="Times New Roman" w:hAnsi="Times New Roman" w:cs="Times New Roman"/>
          <w:color w:val="943634"/>
          <w:sz w:val="22"/>
          <w:szCs w:val="24"/>
          <w:lang w:val="sl-SI" w:eastAsia="sl-SI"/>
        </w:rPr>
      </w:pPr>
    </w:p>
    <w:p w:rsidR="00E46C80" w:rsidRPr="00E46C80" w:rsidRDefault="005439CA" w:rsidP="005439CA">
      <w:pPr>
        <w:keepNext/>
        <w:keepLines/>
        <w:tabs>
          <w:tab w:val="left" w:pos="4962"/>
        </w:tabs>
        <w:spacing w:after="0" w:line="269" w:lineRule="auto"/>
        <w:ind w:hanging="11"/>
        <w:jc w:val="left"/>
        <w:outlineLvl w:val="2"/>
        <w:rPr>
          <w:rFonts w:eastAsia="Times New Roman" w:cs="Times New Roman"/>
          <w:b/>
          <w:bCs/>
          <w:noProof/>
          <w:color w:val="000000"/>
          <w:szCs w:val="24"/>
        </w:rPr>
      </w:pPr>
      <w:bookmarkStart w:id="89" w:name="_Toc62552722"/>
      <w:bookmarkStart w:id="90" w:name="_Toc62813721"/>
      <w:r w:rsidRPr="005439CA">
        <w:rPr>
          <w:rFonts w:eastAsia="Times New Roman" w:cs="Times New Roman"/>
          <w:b/>
          <w:bCs/>
          <w:noProof/>
          <w:color w:val="000000"/>
          <w:szCs w:val="24"/>
        </w:rPr>
        <w:t xml:space="preserve">              </w:t>
      </w:r>
      <w:r w:rsidR="00E46C80" w:rsidRPr="00E46C80">
        <w:rPr>
          <w:rFonts w:eastAsia="Times New Roman" w:cs="Times New Roman"/>
          <w:b/>
          <w:bCs/>
          <w:noProof/>
          <w:color w:val="000000"/>
          <w:szCs w:val="24"/>
        </w:rPr>
        <w:t>Postupanje sa carinskom robom</w:t>
      </w:r>
      <w:bookmarkEnd w:id="89"/>
      <w:bookmarkEnd w:id="90"/>
    </w:p>
    <w:p w:rsidR="00E46C80" w:rsidRDefault="00E46C80" w:rsidP="005620FA">
      <w:pPr>
        <w:spacing w:before="0" w:after="0" w:line="240" w:lineRule="auto"/>
        <w:ind w:firstLine="720"/>
        <w:rPr>
          <w:rFonts w:eastAsia="Times New Roman" w:cs="Times New Roman"/>
          <w:szCs w:val="24"/>
          <w:lang w:val="sl-SI" w:eastAsia="da-DK"/>
        </w:rPr>
      </w:pPr>
      <w:r w:rsidRPr="00E46C80">
        <w:rPr>
          <w:rFonts w:eastAsia="Times New Roman" w:cs="Times New Roman"/>
          <w:bCs/>
          <w:szCs w:val="24"/>
          <w:lang w:val="sl-SI" w:eastAsia="da-DK"/>
        </w:rPr>
        <w:t>Carinska roba</w:t>
      </w:r>
      <w:r w:rsidRPr="00E46C80">
        <w:rPr>
          <w:rFonts w:eastAsia="Times New Roman" w:cs="Times New Roman"/>
          <w:b/>
          <w:szCs w:val="24"/>
          <w:lang w:val="sl-SI" w:eastAsia="da-DK"/>
        </w:rPr>
        <w:t xml:space="preserve">, </w:t>
      </w:r>
      <w:r w:rsidRPr="00E46C80">
        <w:rPr>
          <w:rFonts w:eastAsia="Times New Roman" w:cs="Times New Roman"/>
          <w:szCs w:val="24"/>
          <w:lang w:val="sl-SI" w:eastAsia="da-DK"/>
        </w:rPr>
        <w:t>koja se privremeno oduzima po prekršajnim i krivičnim prijavama carinskih ispostava – Carinarnica, Odsjeka za suzbijanje krijumčarenja, Centara bezbijednosti –MUP-a CG, se uredno preuzima i skladišti. Sva carinska roba se skladišti u Centralni magacin kod preduzeća Zetatrans AD Podgorica i  AD Franca Bijelo Polje, kod kojih se vodi uredna evidencija o ulasku i  izlasku robe iz magacina i ista je obezbijeđena video</w:t>
      </w:r>
      <w:r w:rsidR="005620FA">
        <w:rPr>
          <w:rFonts w:eastAsia="Times New Roman" w:cs="Times New Roman"/>
          <w:szCs w:val="24"/>
          <w:lang w:val="sl-SI" w:eastAsia="da-DK"/>
        </w:rPr>
        <w:t xml:space="preserve"> nadzorom i čuvarskom službom.</w:t>
      </w:r>
    </w:p>
    <w:p w:rsidR="005620FA" w:rsidRPr="005620FA" w:rsidRDefault="005620FA" w:rsidP="005620FA">
      <w:pPr>
        <w:spacing w:before="0" w:after="0" w:line="240" w:lineRule="auto"/>
        <w:ind w:firstLine="720"/>
        <w:rPr>
          <w:rFonts w:eastAsia="Times New Roman" w:cs="Times New Roman"/>
          <w:szCs w:val="24"/>
          <w:lang w:val="sl-SI" w:eastAsia="da-DK"/>
        </w:rPr>
      </w:pPr>
    </w:p>
    <w:p w:rsidR="00E46C80" w:rsidRDefault="005439CA" w:rsidP="00E46C80">
      <w:pPr>
        <w:spacing w:before="0" w:after="0" w:line="240" w:lineRule="auto"/>
        <w:jc w:val="left"/>
        <w:rPr>
          <w:rFonts w:ascii="Times New Roman" w:eastAsia="Calibri" w:hAnsi="Times New Roman" w:cs="Times New Roman"/>
          <w:i/>
          <w:sz w:val="22"/>
          <w:lang w:val="sl-SI"/>
        </w:rPr>
      </w:pPr>
      <w:r>
        <w:rPr>
          <w:rFonts w:ascii="Times New Roman" w:eastAsia="Calibri" w:hAnsi="Times New Roman" w:cs="Times New Roman"/>
          <w:i/>
          <w:sz w:val="22"/>
          <w:lang w:val="sl-SI"/>
        </w:rPr>
        <w:t xml:space="preserve">             </w:t>
      </w:r>
      <w:r w:rsidR="005620FA">
        <w:rPr>
          <w:rFonts w:ascii="Times New Roman" w:eastAsia="Calibri" w:hAnsi="Times New Roman" w:cs="Times New Roman"/>
          <w:i/>
          <w:sz w:val="22"/>
          <w:lang w:val="sl-SI"/>
        </w:rPr>
        <w:t xml:space="preserve">    </w:t>
      </w:r>
      <w:r w:rsidR="00E46C80" w:rsidRPr="00E46C80">
        <w:rPr>
          <w:rFonts w:ascii="Times New Roman" w:eastAsia="Calibri" w:hAnsi="Times New Roman" w:cs="Times New Roman"/>
          <w:i/>
          <w:sz w:val="22"/>
          <w:lang w:val="sl-SI"/>
        </w:rPr>
        <w:t>Tabela 15: Postupanje sa carinskom robom</w:t>
      </w:r>
    </w:p>
    <w:p w:rsidR="00342B4D" w:rsidRPr="00E46C80" w:rsidRDefault="00342B4D" w:rsidP="00E46C80">
      <w:pPr>
        <w:spacing w:before="0" w:after="0" w:line="240" w:lineRule="auto"/>
        <w:jc w:val="left"/>
        <w:rPr>
          <w:rFonts w:ascii="Times New Roman" w:eastAsia="Calibri" w:hAnsi="Times New Roman" w:cs="Times New Roman"/>
          <w:i/>
          <w:sz w:val="22"/>
          <w:lang w:val="sl-SI"/>
        </w:rPr>
      </w:pPr>
    </w:p>
    <w:tbl>
      <w:tblPr>
        <w:tblStyle w:val="ColorfulGrid-Accent11"/>
        <w:tblW w:w="0" w:type="auto"/>
        <w:tblLook w:val="04A0" w:firstRow="1" w:lastRow="0" w:firstColumn="1" w:lastColumn="0" w:noHBand="0" w:noVBand="1"/>
      </w:tblPr>
      <w:tblGrid>
        <w:gridCol w:w="4606"/>
        <w:gridCol w:w="4606"/>
      </w:tblGrid>
      <w:tr w:rsidR="00E46C80" w:rsidRPr="00E46C80" w:rsidTr="00E46C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shd w:val="clear" w:color="auto" w:fill="DBE5F1"/>
          </w:tcPr>
          <w:p w:rsidR="00E46C80" w:rsidRPr="00E46C80" w:rsidRDefault="00E46C80" w:rsidP="00E46C80">
            <w:pPr>
              <w:spacing w:before="0" w:after="0" w:line="240" w:lineRule="auto"/>
              <w:rPr>
                <w:rFonts w:ascii="Times New Roman" w:hAnsi="Times New Roman"/>
                <w:sz w:val="20"/>
              </w:rPr>
            </w:pPr>
            <w:r w:rsidRPr="00E46C80">
              <w:rPr>
                <w:rFonts w:ascii="Times New Roman" w:hAnsi="Times New Roman"/>
                <w:sz w:val="20"/>
              </w:rPr>
              <w:t xml:space="preserve">Broj primljenih predmeta </w:t>
            </w:r>
          </w:p>
        </w:tc>
        <w:tc>
          <w:tcPr>
            <w:tcW w:w="4606" w:type="dxa"/>
            <w:shd w:val="clear" w:color="auto" w:fill="DBE5F1"/>
          </w:tcPr>
          <w:p w:rsidR="00E46C80" w:rsidRPr="00E46C80" w:rsidRDefault="00E46C80" w:rsidP="00E46C80">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0"/>
              </w:rPr>
            </w:pPr>
            <w:r w:rsidRPr="00E46C80">
              <w:rPr>
                <w:rFonts w:ascii="Times New Roman" w:hAnsi="Times New Roman"/>
                <w:sz w:val="20"/>
              </w:rPr>
              <w:t>294</w:t>
            </w:r>
          </w:p>
        </w:tc>
      </w:tr>
      <w:tr w:rsidR="00E46C80" w:rsidRPr="00E46C80" w:rsidTr="00E46C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shd w:val="clear" w:color="auto" w:fill="DBE5F1"/>
          </w:tcPr>
          <w:p w:rsidR="00E46C80" w:rsidRPr="00E46C80" w:rsidRDefault="00E46C80" w:rsidP="00E46C80">
            <w:pPr>
              <w:spacing w:before="0" w:after="0" w:line="240" w:lineRule="auto"/>
              <w:rPr>
                <w:rFonts w:ascii="Times New Roman" w:hAnsi="Times New Roman"/>
                <w:b/>
                <w:sz w:val="20"/>
              </w:rPr>
            </w:pPr>
            <w:r w:rsidRPr="00E46C80">
              <w:rPr>
                <w:rFonts w:ascii="Times New Roman" w:hAnsi="Times New Roman"/>
                <w:b/>
                <w:sz w:val="20"/>
              </w:rPr>
              <w:lastRenderedPageBreak/>
              <w:t xml:space="preserve">Vrsta i vrijednost preuzete robe </w:t>
            </w:r>
          </w:p>
        </w:tc>
        <w:tc>
          <w:tcPr>
            <w:tcW w:w="4606" w:type="dxa"/>
            <w:shd w:val="clear" w:color="auto" w:fill="DBE5F1"/>
          </w:tcPr>
          <w:p w:rsidR="00E46C80" w:rsidRPr="00E46C80" w:rsidRDefault="00E46C80" w:rsidP="00E46C80">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46C80">
              <w:rPr>
                <w:rFonts w:ascii="Times New Roman" w:hAnsi="Times New Roman"/>
                <w:sz w:val="20"/>
              </w:rPr>
              <w:t>Cigarete, rezani duvan, alkoholni proizvodi, kafa, gorivo, žive životinje, odjevni predmeti, obuća, auto djelovi, sokovi, prehrambeni proizvodi, oprema, namještaj, petarde</w:t>
            </w:r>
          </w:p>
        </w:tc>
      </w:tr>
      <w:tr w:rsidR="00E46C80" w:rsidRPr="00E46C80" w:rsidTr="00E46C80">
        <w:tc>
          <w:tcPr>
            <w:cnfStyle w:val="001000000000" w:firstRow="0" w:lastRow="0" w:firstColumn="1" w:lastColumn="0" w:oddVBand="0" w:evenVBand="0" w:oddHBand="0" w:evenHBand="0" w:firstRowFirstColumn="0" w:firstRowLastColumn="0" w:lastRowFirstColumn="0" w:lastRowLastColumn="0"/>
            <w:tcW w:w="4606" w:type="dxa"/>
            <w:shd w:val="clear" w:color="auto" w:fill="DBE5F1"/>
          </w:tcPr>
          <w:p w:rsidR="00E46C80" w:rsidRPr="00E46C80" w:rsidRDefault="00E46C80" w:rsidP="00E46C80">
            <w:pPr>
              <w:spacing w:before="0" w:after="0" w:line="240" w:lineRule="auto"/>
              <w:rPr>
                <w:rFonts w:ascii="Times New Roman" w:hAnsi="Times New Roman"/>
                <w:b/>
                <w:sz w:val="20"/>
              </w:rPr>
            </w:pPr>
            <w:r w:rsidRPr="00E46C80">
              <w:rPr>
                <w:rFonts w:ascii="Times New Roman" w:hAnsi="Times New Roman"/>
                <w:b/>
                <w:sz w:val="20"/>
              </w:rPr>
              <w:t>Broj rješenja o ustupanju robe u humanitarne svrhe</w:t>
            </w:r>
          </w:p>
        </w:tc>
        <w:tc>
          <w:tcPr>
            <w:tcW w:w="4606" w:type="dxa"/>
          </w:tcPr>
          <w:p w:rsidR="00E46C80" w:rsidRPr="00E46C80" w:rsidRDefault="00E46C80" w:rsidP="00E46C80">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46C80">
              <w:rPr>
                <w:rFonts w:ascii="Times New Roman" w:hAnsi="Times New Roman"/>
                <w:sz w:val="20"/>
              </w:rPr>
              <w:t>31</w:t>
            </w:r>
          </w:p>
        </w:tc>
      </w:tr>
      <w:tr w:rsidR="00E46C80" w:rsidRPr="00E46C80" w:rsidTr="00E46C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shd w:val="clear" w:color="auto" w:fill="DBE5F1"/>
          </w:tcPr>
          <w:p w:rsidR="00E46C80" w:rsidRPr="00E46C80" w:rsidRDefault="00E46C80" w:rsidP="00E46C80">
            <w:pPr>
              <w:spacing w:before="0" w:after="0" w:line="240" w:lineRule="auto"/>
              <w:rPr>
                <w:rFonts w:ascii="Times New Roman" w:hAnsi="Times New Roman"/>
                <w:b/>
                <w:sz w:val="20"/>
              </w:rPr>
            </w:pPr>
            <w:r w:rsidRPr="00E46C80">
              <w:rPr>
                <w:rFonts w:ascii="Times New Roman" w:hAnsi="Times New Roman"/>
                <w:b/>
                <w:sz w:val="20"/>
              </w:rPr>
              <w:t>Količina robe ustupljenjue u humanitarne svrhe</w:t>
            </w:r>
          </w:p>
        </w:tc>
        <w:tc>
          <w:tcPr>
            <w:tcW w:w="4606" w:type="dxa"/>
            <w:shd w:val="clear" w:color="auto" w:fill="DBE5F1"/>
          </w:tcPr>
          <w:p w:rsidR="00E46C80" w:rsidRPr="00E46C80" w:rsidRDefault="00E46C80" w:rsidP="00E46C80">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46C80">
              <w:rPr>
                <w:rFonts w:ascii="Times New Roman" w:hAnsi="Times New Roman"/>
                <w:sz w:val="20"/>
              </w:rPr>
              <w:t>26.000kd. odjeće, 2.500 pari obuće, 22.000l sokova, 40 t. voća i povrća, dronovi, oprema, 37kg zivih zivotinja, 120 kg ribe, galanterija</w:t>
            </w:r>
          </w:p>
        </w:tc>
      </w:tr>
      <w:tr w:rsidR="00E46C80" w:rsidRPr="00E46C80" w:rsidTr="00E46C80">
        <w:tc>
          <w:tcPr>
            <w:cnfStyle w:val="001000000000" w:firstRow="0" w:lastRow="0" w:firstColumn="1" w:lastColumn="0" w:oddVBand="0" w:evenVBand="0" w:oddHBand="0" w:evenHBand="0" w:firstRowFirstColumn="0" w:firstRowLastColumn="0" w:lastRowFirstColumn="0" w:lastRowLastColumn="0"/>
            <w:tcW w:w="4606" w:type="dxa"/>
            <w:shd w:val="clear" w:color="auto" w:fill="DBE5F1"/>
          </w:tcPr>
          <w:p w:rsidR="00E46C80" w:rsidRPr="00E46C80" w:rsidRDefault="00E46C80" w:rsidP="00E46C80">
            <w:pPr>
              <w:spacing w:before="0" w:after="0" w:line="240" w:lineRule="auto"/>
              <w:rPr>
                <w:rFonts w:ascii="Times New Roman" w:hAnsi="Times New Roman"/>
                <w:b/>
                <w:sz w:val="20"/>
              </w:rPr>
            </w:pPr>
            <w:r w:rsidRPr="00E46C80">
              <w:rPr>
                <w:rFonts w:ascii="Times New Roman" w:hAnsi="Times New Roman"/>
                <w:b/>
                <w:sz w:val="20"/>
              </w:rPr>
              <w:t>Broj održanih licitacija</w:t>
            </w:r>
          </w:p>
        </w:tc>
        <w:tc>
          <w:tcPr>
            <w:tcW w:w="4606" w:type="dxa"/>
          </w:tcPr>
          <w:p w:rsidR="00E46C80" w:rsidRPr="00E46C80" w:rsidRDefault="00E46C80" w:rsidP="00E46C80">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46C80">
              <w:rPr>
                <w:rFonts w:ascii="Times New Roman" w:hAnsi="Times New Roman"/>
                <w:sz w:val="20"/>
              </w:rPr>
              <w:t>1</w:t>
            </w:r>
          </w:p>
        </w:tc>
      </w:tr>
      <w:tr w:rsidR="00E46C80" w:rsidRPr="00E46C80" w:rsidTr="00E46C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shd w:val="clear" w:color="auto" w:fill="DBE5F1"/>
          </w:tcPr>
          <w:p w:rsidR="00E46C80" w:rsidRPr="00E46C80" w:rsidRDefault="00E46C80" w:rsidP="00E46C80">
            <w:pPr>
              <w:spacing w:before="0" w:after="0" w:line="240" w:lineRule="auto"/>
              <w:rPr>
                <w:rFonts w:ascii="Times New Roman" w:hAnsi="Times New Roman"/>
                <w:b/>
                <w:sz w:val="20"/>
              </w:rPr>
            </w:pPr>
            <w:r w:rsidRPr="00E46C80">
              <w:rPr>
                <w:rFonts w:ascii="Times New Roman" w:hAnsi="Times New Roman"/>
                <w:b/>
                <w:sz w:val="20"/>
              </w:rPr>
              <w:t xml:space="preserve">Broj prodaja robe neposrednom pogodbom </w:t>
            </w:r>
          </w:p>
        </w:tc>
        <w:tc>
          <w:tcPr>
            <w:tcW w:w="4606" w:type="dxa"/>
            <w:shd w:val="clear" w:color="auto" w:fill="DBE5F1"/>
          </w:tcPr>
          <w:p w:rsidR="00E46C80" w:rsidRPr="00E46C80" w:rsidRDefault="00E46C80" w:rsidP="00E46C80">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46C80">
              <w:rPr>
                <w:rFonts w:ascii="Times New Roman" w:hAnsi="Times New Roman"/>
                <w:sz w:val="20"/>
              </w:rPr>
              <w:t>4</w:t>
            </w:r>
          </w:p>
        </w:tc>
      </w:tr>
      <w:tr w:rsidR="00E46C80" w:rsidRPr="00E46C80" w:rsidTr="00E46C80">
        <w:tc>
          <w:tcPr>
            <w:cnfStyle w:val="001000000000" w:firstRow="0" w:lastRow="0" w:firstColumn="1" w:lastColumn="0" w:oddVBand="0" w:evenVBand="0" w:oddHBand="0" w:evenHBand="0" w:firstRowFirstColumn="0" w:firstRowLastColumn="0" w:lastRowFirstColumn="0" w:lastRowLastColumn="0"/>
            <w:tcW w:w="4606" w:type="dxa"/>
            <w:shd w:val="clear" w:color="auto" w:fill="DBE5F1"/>
          </w:tcPr>
          <w:p w:rsidR="00E46C80" w:rsidRPr="00E46C80" w:rsidRDefault="00E46C80" w:rsidP="00E46C80">
            <w:pPr>
              <w:spacing w:before="0" w:after="0" w:line="240" w:lineRule="auto"/>
              <w:rPr>
                <w:rFonts w:ascii="Times New Roman" w:hAnsi="Times New Roman"/>
                <w:b/>
                <w:sz w:val="20"/>
              </w:rPr>
            </w:pPr>
            <w:r w:rsidRPr="00E46C80">
              <w:rPr>
                <w:rFonts w:ascii="Times New Roman" w:hAnsi="Times New Roman"/>
                <w:b/>
                <w:sz w:val="20"/>
              </w:rPr>
              <w:t>Broj prodaja robe shodno čl. 278 Carinskog zakona</w:t>
            </w:r>
          </w:p>
        </w:tc>
        <w:tc>
          <w:tcPr>
            <w:tcW w:w="4606" w:type="dxa"/>
          </w:tcPr>
          <w:p w:rsidR="00E46C80" w:rsidRPr="00E46C80" w:rsidRDefault="00E46C80" w:rsidP="00E46C80">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46C80">
              <w:rPr>
                <w:rFonts w:ascii="Times New Roman" w:hAnsi="Times New Roman"/>
                <w:sz w:val="20"/>
              </w:rPr>
              <w:t>8</w:t>
            </w:r>
          </w:p>
        </w:tc>
      </w:tr>
      <w:tr w:rsidR="00E46C80" w:rsidRPr="00E46C80" w:rsidTr="00E46C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shd w:val="clear" w:color="auto" w:fill="DBE5F1"/>
          </w:tcPr>
          <w:p w:rsidR="00E46C80" w:rsidRPr="00E46C80" w:rsidRDefault="00E46C80" w:rsidP="00E46C80">
            <w:pPr>
              <w:spacing w:before="0" w:after="0" w:line="240" w:lineRule="auto"/>
              <w:rPr>
                <w:rFonts w:ascii="Times New Roman" w:hAnsi="Times New Roman"/>
                <w:b/>
                <w:sz w:val="20"/>
              </w:rPr>
            </w:pPr>
            <w:r w:rsidRPr="00E46C80">
              <w:rPr>
                <w:rFonts w:ascii="Times New Roman" w:hAnsi="Times New Roman"/>
                <w:b/>
                <w:sz w:val="20"/>
              </w:rPr>
              <w:t xml:space="preserve">Ukupna vrijednost prodate robe </w:t>
            </w:r>
          </w:p>
        </w:tc>
        <w:tc>
          <w:tcPr>
            <w:tcW w:w="4606" w:type="dxa"/>
            <w:shd w:val="clear" w:color="auto" w:fill="DBE5F1"/>
          </w:tcPr>
          <w:p w:rsidR="00E46C80" w:rsidRPr="00E46C80" w:rsidRDefault="00E46C80" w:rsidP="00E46C80">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46C80">
              <w:rPr>
                <w:rFonts w:ascii="Times New Roman" w:hAnsi="Times New Roman"/>
                <w:sz w:val="20"/>
              </w:rPr>
              <w:t>79.804,57€</w:t>
            </w:r>
          </w:p>
        </w:tc>
      </w:tr>
      <w:tr w:rsidR="00E46C80" w:rsidRPr="00E46C80" w:rsidTr="00E46C80">
        <w:tc>
          <w:tcPr>
            <w:cnfStyle w:val="001000000000" w:firstRow="0" w:lastRow="0" w:firstColumn="1" w:lastColumn="0" w:oddVBand="0" w:evenVBand="0" w:oddHBand="0" w:evenHBand="0" w:firstRowFirstColumn="0" w:firstRowLastColumn="0" w:lastRowFirstColumn="0" w:lastRowLastColumn="0"/>
            <w:tcW w:w="4606" w:type="dxa"/>
            <w:shd w:val="clear" w:color="auto" w:fill="DBE5F1"/>
          </w:tcPr>
          <w:p w:rsidR="00E46C80" w:rsidRPr="00E46C80" w:rsidRDefault="00E46C80" w:rsidP="00E46C80">
            <w:pPr>
              <w:spacing w:before="0" w:after="0" w:line="240" w:lineRule="auto"/>
              <w:rPr>
                <w:rFonts w:ascii="Times New Roman" w:hAnsi="Times New Roman"/>
                <w:b/>
                <w:sz w:val="20"/>
              </w:rPr>
            </w:pPr>
            <w:r w:rsidRPr="00E46C80">
              <w:rPr>
                <w:rFonts w:ascii="Times New Roman" w:hAnsi="Times New Roman"/>
                <w:b/>
                <w:sz w:val="20"/>
              </w:rPr>
              <w:t>Ukupni troškovi prodaje robe</w:t>
            </w:r>
          </w:p>
        </w:tc>
        <w:tc>
          <w:tcPr>
            <w:tcW w:w="4606" w:type="dxa"/>
          </w:tcPr>
          <w:p w:rsidR="00E46C80" w:rsidRPr="00E46C80" w:rsidRDefault="00E46C80" w:rsidP="00E46C80">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46C80">
              <w:rPr>
                <w:rFonts w:ascii="Times New Roman" w:hAnsi="Times New Roman"/>
                <w:sz w:val="20"/>
              </w:rPr>
              <w:t>6.170,70€</w:t>
            </w:r>
          </w:p>
        </w:tc>
      </w:tr>
      <w:tr w:rsidR="00E46C80" w:rsidRPr="00E46C80" w:rsidTr="00E46C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shd w:val="clear" w:color="auto" w:fill="DBE5F1"/>
          </w:tcPr>
          <w:p w:rsidR="00E46C80" w:rsidRPr="00E46C80" w:rsidRDefault="00E46C80" w:rsidP="00E46C80">
            <w:pPr>
              <w:spacing w:before="0" w:after="0" w:line="240" w:lineRule="auto"/>
              <w:rPr>
                <w:rFonts w:ascii="Times New Roman" w:hAnsi="Times New Roman"/>
                <w:b/>
                <w:sz w:val="20"/>
              </w:rPr>
            </w:pPr>
            <w:r w:rsidRPr="00E46C80">
              <w:rPr>
                <w:rFonts w:ascii="Times New Roman" w:hAnsi="Times New Roman"/>
                <w:b/>
                <w:sz w:val="20"/>
              </w:rPr>
              <w:t>Broj uništenja robe</w:t>
            </w:r>
          </w:p>
        </w:tc>
        <w:tc>
          <w:tcPr>
            <w:tcW w:w="4606" w:type="dxa"/>
            <w:shd w:val="clear" w:color="auto" w:fill="DBE5F1"/>
          </w:tcPr>
          <w:p w:rsidR="00E46C80" w:rsidRPr="00E46C80" w:rsidRDefault="00E46C80" w:rsidP="00E46C80">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46C80">
              <w:rPr>
                <w:rFonts w:ascii="Times New Roman" w:hAnsi="Times New Roman"/>
                <w:sz w:val="20"/>
              </w:rPr>
              <w:t>23</w:t>
            </w:r>
          </w:p>
        </w:tc>
      </w:tr>
      <w:tr w:rsidR="00E46C80" w:rsidRPr="00E46C80" w:rsidTr="00E46C80">
        <w:tc>
          <w:tcPr>
            <w:cnfStyle w:val="001000000000" w:firstRow="0" w:lastRow="0" w:firstColumn="1" w:lastColumn="0" w:oddVBand="0" w:evenVBand="0" w:oddHBand="0" w:evenHBand="0" w:firstRowFirstColumn="0" w:firstRowLastColumn="0" w:lastRowFirstColumn="0" w:lastRowLastColumn="0"/>
            <w:tcW w:w="4606" w:type="dxa"/>
            <w:shd w:val="clear" w:color="auto" w:fill="DBE5F1"/>
          </w:tcPr>
          <w:p w:rsidR="00E46C80" w:rsidRPr="00E46C80" w:rsidRDefault="00E46C80" w:rsidP="00E46C80">
            <w:pPr>
              <w:spacing w:before="0" w:after="0" w:line="240" w:lineRule="auto"/>
              <w:rPr>
                <w:rFonts w:ascii="Times New Roman" w:hAnsi="Times New Roman"/>
                <w:b/>
                <w:sz w:val="20"/>
              </w:rPr>
            </w:pPr>
            <w:r w:rsidRPr="00E46C80">
              <w:rPr>
                <w:rFonts w:ascii="Times New Roman" w:hAnsi="Times New Roman"/>
                <w:b/>
                <w:sz w:val="20"/>
              </w:rPr>
              <w:t xml:space="preserve">Količina i vrsta uništene robe </w:t>
            </w:r>
          </w:p>
        </w:tc>
        <w:tc>
          <w:tcPr>
            <w:tcW w:w="4606" w:type="dxa"/>
          </w:tcPr>
          <w:p w:rsidR="00E46C80" w:rsidRPr="00E46C80" w:rsidRDefault="00E46C80" w:rsidP="00E46C8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46C80">
              <w:rPr>
                <w:rFonts w:ascii="Times New Roman" w:hAnsi="Times New Roman"/>
                <w:sz w:val="20"/>
              </w:rPr>
              <w:t>42t.cigareta, 25t. rezanog duvana, 5.000l alkoholnih proizvoda, 4 t sirove kafe, 8t. prehrambenih prozvoda, 170.000kd. odjeće, 3.500 pari obuće, 300 kol.opreme...</w:t>
            </w:r>
          </w:p>
        </w:tc>
      </w:tr>
      <w:tr w:rsidR="00E46C80" w:rsidRPr="00E46C80" w:rsidTr="00E46C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shd w:val="clear" w:color="auto" w:fill="DBE5F1"/>
          </w:tcPr>
          <w:p w:rsidR="00E46C80" w:rsidRPr="00E46C80" w:rsidRDefault="00E46C80" w:rsidP="00E46C80">
            <w:pPr>
              <w:spacing w:before="0" w:after="0" w:line="240" w:lineRule="auto"/>
              <w:rPr>
                <w:rFonts w:ascii="Times New Roman" w:hAnsi="Times New Roman"/>
                <w:b/>
                <w:sz w:val="20"/>
              </w:rPr>
            </w:pPr>
            <w:r w:rsidRPr="00E46C80">
              <w:rPr>
                <w:rFonts w:ascii="Times New Roman" w:hAnsi="Times New Roman"/>
                <w:b/>
                <w:sz w:val="20"/>
              </w:rPr>
              <w:t xml:space="preserve">Troškovi uništenja robe </w:t>
            </w:r>
          </w:p>
        </w:tc>
        <w:tc>
          <w:tcPr>
            <w:tcW w:w="4606" w:type="dxa"/>
            <w:shd w:val="clear" w:color="auto" w:fill="DBE5F1"/>
          </w:tcPr>
          <w:p w:rsidR="00E46C80" w:rsidRPr="00E46C80" w:rsidRDefault="00E46C80" w:rsidP="00E46C80">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46C80">
              <w:rPr>
                <w:rFonts w:ascii="Times New Roman" w:hAnsi="Times New Roman"/>
                <w:sz w:val="20"/>
              </w:rPr>
              <w:t>10.385,20€</w:t>
            </w:r>
          </w:p>
        </w:tc>
      </w:tr>
    </w:tbl>
    <w:p w:rsidR="005620FA" w:rsidRDefault="005620FA" w:rsidP="005620FA">
      <w:pPr>
        <w:spacing w:after="0" w:line="240" w:lineRule="auto"/>
        <w:rPr>
          <w:rFonts w:ascii="Calibri" w:eastAsia="Calibri" w:hAnsi="Calibri" w:cs="Arial"/>
          <w:b/>
          <w:szCs w:val="24"/>
          <w:lang w:val="pl-PL"/>
        </w:rPr>
      </w:pPr>
    </w:p>
    <w:p w:rsidR="008610B5" w:rsidRDefault="008610B5" w:rsidP="008610B5">
      <w:pPr>
        <w:keepNext/>
        <w:keepLines/>
        <w:spacing w:before="0" w:after="0" w:line="240" w:lineRule="auto"/>
        <w:ind w:left="927"/>
        <w:jc w:val="left"/>
        <w:outlineLvl w:val="0"/>
        <w:rPr>
          <w:rFonts w:ascii="Calibri" w:eastAsia="Calibri" w:hAnsi="Calibri" w:cs="Times New Roman"/>
          <w:b/>
          <w:szCs w:val="24"/>
          <w:lang w:val="sl-SI"/>
        </w:rPr>
      </w:pPr>
      <w:r w:rsidRPr="008610B5">
        <w:rPr>
          <w:rFonts w:ascii="Calibri" w:eastAsia="Calibri" w:hAnsi="Calibri" w:cs="Times New Roman"/>
          <w:b/>
          <w:szCs w:val="24"/>
          <w:lang w:val="sl-SI"/>
        </w:rPr>
        <w:t>ZAKLJUČAK</w:t>
      </w:r>
    </w:p>
    <w:p w:rsidR="004F08D7" w:rsidRPr="008610B5" w:rsidRDefault="004F08D7" w:rsidP="008610B5">
      <w:pPr>
        <w:keepNext/>
        <w:keepLines/>
        <w:spacing w:before="0" w:after="0" w:line="240" w:lineRule="auto"/>
        <w:ind w:left="927"/>
        <w:jc w:val="left"/>
        <w:outlineLvl w:val="0"/>
        <w:rPr>
          <w:rFonts w:ascii="Calibri" w:eastAsia="Calibri" w:hAnsi="Calibri" w:cs="Times New Roman"/>
          <w:b/>
          <w:szCs w:val="24"/>
          <w:lang w:val="sl-SI"/>
        </w:rPr>
      </w:pPr>
    </w:p>
    <w:p w:rsidR="008610B5" w:rsidRPr="008610B5" w:rsidRDefault="008610B5" w:rsidP="008610B5">
      <w:pPr>
        <w:spacing w:before="0" w:after="0" w:line="240" w:lineRule="auto"/>
        <w:ind w:firstLine="720"/>
        <w:rPr>
          <w:rFonts w:ascii="Calibri" w:eastAsia="Times New Roman" w:hAnsi="Calibri" w:cs="Times New Roman"/>
          <w:i/>
          <w:iCs/>
          <w:szCs w:val="24"/>
          <w:lang w:val="sl-SI"/>
        </w:rPr>
      </w:pPr>
      <w:r w:rsidRPr="008610B5">
        <w:rPr>
          <w:rFonts w:ascii="Calibri" w:eastAsia="Times New Roman" w:hAnsi="Calibri" w:cs="Times New Roman"/>
          <w:szCs w:val="24"/>
          <w:lang w:val="sl-SI"/>
        </w:rPr>
        <w:t xml:space="preserve">Sumirajući rezultate poslovanja za period 01.01.- 31.12.2020.godine, moramo najprije uzeti u obzir krizu izazvanu pojavom virusa </w:t>
      </w:r>
      <w:r w:rsidRPr="008610B5">
        <w:rPr>
          <w:rFonts w:ascii="Calibri" w:eastAsia="Calibri" w:hAnsi="Calibri" w:cs="Times New Roman"/>
          <w:color w:val="2E2E38"/>
          <w:szCs w:val="24"/>
          <w:shd w:val="clear" w:color="auto" w:fill="FFFFFF"/>
          <w:lang w:val="sl-SI"/>
        </w:rPr>
        <w:t>COVID-19, koja je prisilila cjelokupnu privredu na brzi razvoj novog načina poslovanja.</w:t>
      </w:r>
      <w:r w:rsidRPr="008610B5">
        <w:rPr>
          <w:rFonts w:ascii="Calibri" w:eastAsia="Times New Roman" w:hAnsi="Calibri" w:cs="Times New Roman"/>
          <w:szCs w:val="24"/>
          <w:lang w:val="sl-SI"/>
        </w:rPr>
        <w:t xml:space="preserve"> Uprava carina</w:t>
      </w:r>
      <w:r w:rsidRPr="008610B5">
        <w:rPr>
          <w:rFonts w:ascii="Calibri" w:eastAsia="Calibri" w:hAnsi="Calibri" w:cs="Times New Roman"/>
          <w:color w:val="2E2E38"/>
          <w:szCs w:val="24"/>
          <w:shd w:val="clear" w:color="auto" w:fill="FFFFFF"/>
          <w:lang w:val="sl-SI"/>
        </w:rPr>
        <w:t xml:space="preserve"> se uspješno prilagodila novonastalim okolnostima, </w:t>
      </w:r>
      <w:r w:rsidRPr="008610B5">
        <w:rPr>
          <w:rFonts w:ascii="Calibri" w:eastAsia="Times New Roman" w:hAnsi="Calibri" w:cs="Times New Roman"/>
          <w:szCs w:val="24"/>
          <w:lang w:val="sl-SI"/>
        </w:rPr>
        <w:t xml:space="preserve">  nastavljajući sa proaktivnim pristupom u realizaciji svih zadataka. Programske obaveze</w:t>
      </w:r>
      <w:r w:rsidRPr="008610B5">
        <w:rPr>
          <w:rFonts w:ascii="Calibri" w:eastAsia="Times New Roman" w:hAnsi="Calibri" w:cs="Times New Roman"/>
          <w:szCs w:val="24"/>
        </w:rPr>
        <w:t xml:space="preserve"> se realizuju dobrom dinamikom u skladu sa standardima EU, SCO i STO. </w:t>
      </w:r>
      <w:r w:rsidRPr="008610B5">
        <w:rPr>
          <w:rFonts w:ascii="Calibri" w:eastAsia="Times New Roman" w:hAnsi="Calibri" w:cs="Times New Roman"/>
          <w:szCs w:val="24"/>
          <w:lang w:val="sl-SI"/>
        </w:rPr>
        <w:t>Usklađivanje zakonodavstva sa pravnom tekovinom Evropske unije, povećanje obima i efikasnosti naplate primitaka, zaštita carinskog područja i suzbijanje sive ekonomije, jačanje integriteta i povjerenja građana u rad carinske službe ostaće i dalje ključni prioriteti.</w:t>
      </w:r>
      <w:r w:rsidRPr="008610B5">
        <w:rPr>
          <w:rFonts w:ascii="Calibri" w:eastAsia="Times New Roman" w:hAnsi="Calibri" w:cs="Times New Roman"/>
          <w:b/>
          <w:bCs/>
          <w:i/>
          <w:iCs/>
          <w:szCs w:val="24"/>
          <w:lang w:val="sl-SI"/>
        </w:rPr>
        <w:t xml:space="preserve"> </w:t>
      </w:r>
    </w:p>
    <w:p w:rsidR="002F73A8" w:rsidRDefault="002F73A8" w:rsidP="008610B5">
      <w:pPr>
        <w:spacing w:after="0" w:line="240" w:lineRule="auto"/>
        <w:ind w:firstLine="709"/>
        <w:rPr>
          <w:rFonts w:ascii="Calibri" w:eastAsia="Calibri" w:hAnsi="Calibri" w:cs="Arial"/>
          <w:b/>
          <w:szCs w:val="24"/>
          <w:lang w:val="pl-PL"/>
        </w:rPr>
      </w:pPr>
      <w:r w:rsidRPr="00B135BD">
        <w:rPr>
          <w:rFonts w:ascii="Calibri" w:eastAsia="Calibri" w:hAnsi="Calibri" w:cs="Arial"/>
          <w:b/>
          <w:szCs w:val="24"/>
          <w:lang w:val="pl-PL"/>
        </w:rPr>
        <w:t>Predlog mjera za unapređenje stanja u oblasti za koju je organ uprave osnovan</w:t>
      </w:r>
    </w:p>
    <w:p w:rsidR="004F08D7" w:rsidRPr="00B135BD" w:rsidRDefault="004F08D7" w:rsidP="008610B5">
      <w:pPr>
        <w:spacing w:after="0" w:line="240" w:lineRule="auto"/>
        <w:ind w:firstLine="709"/>
        <w:rPr>
          <w:rFonts w:ascii="Calibri" w:eastAsia="Calibri" w:hAnsi="Calibri" w:cs="Arial"/>
          <w:b/>
          <w:szCs w:val="24"/>
          <w:lang w:val="pl-PL"/>
        </w:rPr>
      </w:pPr>
    </w:p>
    <w:p w:rsidR="002F73A8" w:rsidRPr="00B135BD" w:rsidRDefault="002F73A8" w:rsidP="002F73A8">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Organizovati  seminare i radionice iz oblasti praktične  primjene Zakona o prekršajnom postupku.</w:t>
      </w:r>
    </w:p>
    <w:p w:rsidR="002F73A8" w:rsidRPr="00B135BD" w:rsidRDefault="002F73A8" w:rsidP="002F73A8">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 xml:space="preserve"> Intenzivirati praćenje propisa iz oblasti radnih odnosa, posebno u dijelu gdje su prava i obaveze  zaposlenih propisane imperativnom normom.  </w:t>
      </w:r>
    </w:p>
    <w:p w:rsidR="002F73A8" w:rsidRPr="00B135BD" w:rsidRDefault="002F73A8" w:rsidP="002F73A8">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 xml:space="preserve"> Dalja modernizacija uređaja i opreme koju koriste carinski službenici. Konkretno, modernizaciju programa za kolske vage i njegovo povezivanje sa Carinskim informacionim sistemom i nabavku novih uređaja za vršenje kontrolne funkcije (skenera, videoskopa, bastera i slične oipreme).</w:t>
      </w:r>
    </w:p>
    <w:p w:rsidR="002F73A8" w:rsidRPr="00B135BD" w:rsidRDefault="002F73A8" w:rsidP="002F73A8">
      <w:pPr>
        <w:spacing w:before="0" w:after="0" w:line="240" w:lineRule="auto"/>
        <w:ind w:firstLine="720"/>
        <w:rPr>
          <w:rFonts w:ascii="Calibri" w:eastAsia="Calibri" w:hAnsi="Calibri" w:cs="Arial"/>
          <w:color w:val="00B050"/>
          <w:szCs w:val="24"/>
          <w:lang w:val="sl-SI"/>
        </w:rPr>
      </w:pPr>
      <w:r w:rsidRPr="00B135BD">
        <w:rPr>
          <w:rFonts w:ascii="Calibri" w:eastAsia="Calibri" w:hAnsi="Calibri" w:cs="Arial"/>
          <w:szCs w:val="24"/>
          <w:lang w:val="sl-SI"/>
        </w:rPr>
        <w:t>Nastaviti intenzivne aktivnosti u okviru NCTS projekta.</w:t>
      </w:r>
      <w:r w:rsidRPr="00B135BD">
        <w:rPr>
          <w:rFonts w:ascii="Calibri" w:eastAsia="Calibri" w:hAnsi="Calibri" w:cs="Arial"/>
          <w:color w:val="00B050"/>
          <w:szCs w:val="24"/>
          <w:lang w:val="sl-SI"/>
        </w:rPr>
        <w:t xml:space="preserve"> </w:t>
      </w:r>
      <w:r w:rsidRPr="00B135BD">
        <w:rPr>
          <w:rFonts w:ascii="Calibri" w:eastAsia="Calibri" w:hAnsi="Calibri" w:cs="Arial"/>
          <w:szCs w:val="24"/>
          <w:lang w:val="sl-SI"/>
        </w:rPr>
        <w:t>Potrebno je implementirati elektronske module u skladu sa najvišim standardima, kako u oblasti poslovnih procesa tako i u dijelu informatičke podrške kroz moderne analitičke alate.</w:t>
      </w:r>
      <w:r w:rsidRPr="00B135BD">
        <w:rPr>
          <w:rFonts w:ascii="Calibri" w:eastAsia="Calibri" w:hAnsi="Calibri" w:cs="Arial"/>
          <w:color w:val="00B050"/>
          <w:szCs w:val="24"/>
          <w:lang w:val="sl-SI"/>
        </w:rPr>
        <w:t xml:space="preserve"> </w:t>
      </w:r>
      <w:r w:rsidRPr="00B135BD">
        <w:rPr>
          <w:rFonts w:ascii="Calibri" w:eastAsia="Calibri" w:hAnsi="Calibri" w:cs="Arial"/>
          <w:szCs w:val="24"/>
          <w:lang w:val="sl-SI"/>
        </w:rPr>
        <w:t>Razvoj navedenih modula je jedna od polaznih osnova za dalji razvoj UC.</w:t>
      </w:r>
    </w:p>
    <w:p w:rsidR="002F73A8" w:rsidRPr="00B135BD" w:rsidRDefault="002F73A8" w:rsidP="002F73A8">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Potrebne su intenzivne aktivnosti na digitalizaciji carinskih procedura u pomorskom i poštanskom saobraćaju, u saradnji sa GIZ-om, kako bi navedena oblast bila usklađena sa preporukama WCO i najboljom EU praksom.</w:t>
      </w:r>
    </w:p>
    <w:p w:rsidR="002F73A8" w:rsidRPr="00B135BD" w:rsidRDefault="002F73A8" w:rsidP="002F73A8">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Potrebno je nastaviti sa implementacijom CEFTA Strategije za upravljanje carinskim rizikom.</w:t>
      </w:r>
    </w:p>
    <w:p w:rsidR="002F73A8" w:rsidRPr="00B135BD" w:rsidRDefault="002F73A8" w:rsidP="002F73A8">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t>Intenzivirati razmjenu iskustava i informacija iz oblasti naknadnih kontrola sa partnerskim zemljama i zemljama regiona.</w:t>
      </w:r>
    </w:p>
    <w:p w:rsidR="002F73A8" w:rsidRPr="00B135BD" w:rsidRDefault="002F73A8" w:rsidP="002F73A8">
      <w:pPr>
        <w:spacing w:before="0" w:after="0" w:line="240" w:lineRule="auto"/>
        <w:ind w:firstLine="720"/>
        <w:rPr>
          <w:rFonts w:ascii="Calibri" w:eastAsia="Calibri" w:hAnsi="Calibri" w:cs="Arial"/>
          <w:szCs w:val="24"/>
          <w:lang w:val="sl-SI"/>
        </w:rPr>
      </w:pPr>
      <w:r w:rsidRPr="00B135BD">
        <w:rPr>
          <w:rFonts w:ascii="Calibri" w:eastAsia="Calibri" w:hAnsi="Calibri" w:cs="Arial"/>
          <w:szCs w:val="24"/>
          <w:lang w:val="sl-SI"/>
        </w:rPr>
        <w:lastRenderedPageBreak/>
        <w:t xml:space="preserve">Imajući u vidu da  intenzivne aktivnosti na jačanju bezbjednosti i zaštite carinskog područja predstavljaju jedan od glavnih okvira Poslovne strategije Uprave carina, za čiju  primjenu je neophodan i razvoj administrativnih kapaciteta,  kroz obuke na  unapređenju znanja, uključujući različite oblike carinskih prevara i iskustava istražnih praksi u svijetu. </w:t>
      </w:r>
    </w:p>
    <w:p w:rsidR="004E6DC8" w:rsidRPr="004F08D7" w:rsidRDefault="002F73A8" w:rsidP="004F08D7">
      <w:pPr>
        <w:spacing w:before="0" w:after="0" w:line="240" w:lineRule="auto"/>
        <w:ind w:firstLine="720"/>
        <w:contextualSpacing/>
        <w:rPr>
          <w:rFonts w:ascii="Calibri" w:eastAsia="Calibri" w:hAnsi="Calibri" w:cs="Arial"/>
          <w:szCs w:val="24"/>
          <w:lang w:val="sl-SI"/>
        </w:rPr>
      </w:pPr>
      <w:r w:rsidRPr="00B135BD">
        <w:rPr>
          <w:rFonts w:ascii="Calibri" w:eastAsia="Calibri" w:hAnsi="Calibri" w:cs="Arial"/>
          <w:szCs w:val="24"/>
          <w:lang w:val="sl-SI"/>
        </w:rPr>
        <w:t>Upravi carina su neophodna veća budžetska sredstva za unaprijeđenje infrastrukture i tehničkog okruženja informacionog sistema za postizanje poslovnih ciljeva carinske službe</w:t>
      </w:r>
      <w:r>
        <w:rPr>
          <w:rFonts w:ascii="Calibri" w:eastAsia="Calibri" w:hAnsi="Calibri" w:cs="Arial"/>
          <w:szCs w:val="24"/>
          <w:lang w:val="sl-SI"/>
        </w:rPr>
        <w:t>.</w:t>
      </w:r>
    </w:p>
    <w:p w:rsidR="008834F7" w:rsidRDefault="008834F7" w:rsidP="00800A34">
      <w:pPr>
        <w:spacing w:before="0" w:after="240" w:line="240" w:lineRule="auto"/>
        <w:rPr>
          <w:rFonts w:ascii="Calibri" w:eastAsia="Times New Roman" w:hAnsi="Calibri" w:cs="Times New Roman"/>
          <w:szCs w:val="24"/>
          <w:lang w:val="en-US"/>
        </w:rPr>
      </w:pPr>
    </w:p>
    <w:p w:rsidR="004E6DC8" w:rsidRPr="004E6DC8" w:rsidRDefault="0061160D" w:rsidP="004E6DC8">
      <w:pPr>
        <w:shd w:val="clear" w:color="auto" w:fill="EE8C69" w:themeFill="accent1" w:themeFillTint="99"/>
        <w:spacing w:before="0" w:after="240" w:line="240" w:lineRule="auto"/>
        <w:jc w:val="center"/>
        <w:rPr>
          <w:rFonts w:eastAsia="Times New Roman" w:cs="Times New Roman"/>
          <w:b/>
          <w:sz w:val="26"/>
          <w:szCs w:val="26"/>
          <w:lang w:val="en-US"/>
        </w:rPr>
      </w:pPr>
      <w:r>
        <w:rPr>
          <w:rFonts w:eastAsia="Times New Roman" w:cs="Times New Roman"/>
          <w:b/>
          <w:sz w:val="26"/>
          <w:szCs w:val="26"/>
          <w:lang w:val="en-US"/>
        </w:rPr>
        <w:t>VI</w:t>
      </w:r>
      <w:r w:rsidR="0015012A">
        <w:rPr>
          <w:rFonts w:eastAsia="Times New Roman" w:cs="Times New Roman"/>
          <w:b/>
          <w:sz w:val="26"/>
          <w:szCs w:val="26"/>
          <w:lang w:val="en-US"/>
        </w:rPr>
        <w:t>I</w:t>
      </w:r>
      <w:r w:rsidR="00BA7C7C">
        <w:rPr>
          <w:rFonts w:eastAsia="Times New Roman" w:cs="Times New Roman"/>
          <w:b/>
          <w:sz w:val="26"/>
          <w:szCs w:val="26"/>
          <w:lang w:val="en-US"/>
        </w:rPr>
        <w:t>I</w:t>
      </w:r>
      <w:r w:rsidR="004E6DC8" w:rsidRPr="004E6DC8">
        <w:rPr>
          <w:rFonts w:eastAsia="Times New Roman" w:cs="Times New Roman"/>
          <w:b/>
          <w:sz w:val="26"/>
          <w:szCs w:val="26"/>
          <w:lang w:val="en-US"/>
        </w:rPr>
        <w:t xml:space="preserve"> IZVJEŠTAJ </w:t>
      </w:r>
      <w:r w:rsidR="004E6DC8">
        <w:rPr>
          <w:rFonts w:eastAsia="Times New Roman" w:cs="Times New Roman"/>
          <w:b/>
          <w:sz w:val="26"/>
          <w:szCs w:val="26"/>
          <w:lang w:val="en-US"/>
        </w:rPr>
        <w:t xml:space="preserve">O RADU </w:t>
      </w:r>
      <w:r w:rsidR="004E6DC8" w:rsidRPr="004E6DC8">
        <w:rPr>
          <w:rFonts w:eastAsia="Times New Roman" w:cs="Times New Roman"/>
          <w:b/>
          <w:sz w:val="26"/>
          <w:szCs w:val="26"/>
          <w:lang w:val="en-US"/>
        </w:rPr>
        <w:t>PORESKE UPRAVE</w:t>
      </w:r>
    </w:p>
    <w:p w:rsidR="008834F7" w:rsidRDefault="004E6DC8" w:rsidP="004E6DC8">
      <w:pPr>
        <w:tabs>
          <w:tab w:val="left" w:pos="0"/>
        </w:tabs>
        <w:spacing w:before="0" w:after="0" w:line="240" w:lineRule="auto"/>
        <w:contextualSpacing/>
        <w:rPr>
          <w:rFonts w:ascii="Calibri" w:eastAsia="Times New Roman" w:hAnsi="Calibri" w:cs="Arial"/>
          <w:lang w:val="en-GB"/>
        </w:rPr>
      </w:pPr>
      <w:r>
        <w:rPr>
          <w:rFonts w:ascii="Calibri" w:eastAsia="Times New Roman" w:hAnsi="Calibri" w:cs="Arial"/>
          <w:lang w:val="en-GB"/>
        </w:rPr>
        <w:tab/>
      </w:r>
    </w:p>
    <w:p w:rsidR="004E6DC8" w:rsidRPr="004E6DC8" w:rsidRDefault="007A417E" w:rsidP="004E6DC8">
      <w:pPr>
        <w:tabs>
          <w:tab w:val="left" w:pos="0"/>
        </w:tabs>
        <w:spacing w:before="0" w:after="0" w:line="240" w:lineRule="auto"/>
        <w:contextualSpacing/>
        <w:rPr>
          <w:rFonts w:ascii="Calibri" w:eastAsia="Times New Roman" w:hAnsi="Calibri" w:cs="Arial"/>
          <w:lang w:val="en-GB"/>
        </w:rPr>
      </w:pPr>
      <w:r>
        <w:rPr>
          <w:rFonts w:ascii="Calibri" w:eastAsia="Times New Roman" w:hAnsi="Calibri" w:cs="Arial"/>
          <w:lang w:val="en-GB"/>
        </w:rPr>
        <w:tab/>
      </w:r>
      <w:r w:rsidR="004E6DC8" w:rsidRPr="004E6DC8">
        <w:rPr>
          <w:rFonts w:ascii="Calibri" w:eastAsia="Times New Roman" w:hAnsi="Calibri" w:cs="Arial"/>
          <w:lang w:val="en-GB"/>
        </w:rPr>
        <w:t xml:space="preserve">U toku 2020. godine Poreska uprava je ostvarila značajne korake u sprovođenju započetih reformi i započinjanju novih aktivnosti kojima će nastaviti put snažne i moderne organizacije. Tako je u toku druga godina ambicioznog reformskog programa koji se realizuje. Značajni napori uloženi su u pripremu nabavke Sistema za integrisano upravljanje prihodima (IRMS). IRMS će obezbijediti modernizovana IT rješenja za osnovne procese uključujući reinžinjering poslovnih procesa i mogućnosti skladišta podataka i analitike. Takođe, naporno se radilo na pripremi za uvođenje Sistema za elektronsku fiskalizaciju, čijom primjenom će se povećati efekti rada u Poreskoj upravi i smanjiti siva ekonomija.  </w:t>
      </w:r>
      <w:r w:rsidR="004E6DC8" w:rsidRPr="004E6DC8">
        <w:rPr>
          <w:rFonts w:ascii="Calibri" w:eastAsia="Times New Roman" w:hAnsi="Calibri" w:cs="Arial"/>
          <w:lang w:val="en-GB"/>
        </w:rPr>
        <w:tab/>
        <w:t xml:space="preserve">   </w:t>
      </w:r>
      <w:r w:rsidR="004E6DC8" w:rsidRPr="004E6DC8">
        <w:rPr>
          <w:rFonts w:ascii="Calibri" w:eastAsia="Times New Roman" w:hAnsi="Calibri" w:cs="Arial"/>
          <w:lang w:val="en-GB"/>
        </w:rPr>
        <w:tab/>
      </w:r>
    </w:p>
    <w:p w:rsidR="004E6DC8" w:rsidRPr="004E6DC8" w:rsidRDefault="004E6DC8" w:rsidP="004E6DC8">
      <w:pPr>
        <w:tabs>
          <w:tab w:val="left" w:pos="0"/>
        </w:tabs>
        <w:spacing w:before="0" w:after="0" w:line="240" w:lineRule="auto"/>
        <w:contextualSpacing/>
        <w:rPr>
          <w:rFonts w:ascii="Calibri" w:eastAsia="Times New Roman" w:hAnsi="Calibri" w:cs="Arial"/>
          <w:lang w:val="en-GB"/>
        </w:rPr>
      </w:pPr>
      <w:r w:rsidRPr="004E6DC8">
        <w:rPr>
          <w:rFonts w:ascii="Calibri" w:eastAsia="Times New Roman" w:hAnsi="Calibri" w:cs="Arial"/>
          <w:lang w:val="en-GB"/>
        </w:rPr>
        <w:tab/>
        <w:t>Realizovana je redovna godišnja posjeta MMF-a gdje je razmotren napredak koji je Poreska uprava Crne Gore ostvarila po osnovu programa reforme koji se realizuje uz podršku Odjeljenja za fiskalne poslove MMF-a. Date su preporuke i sugestije koje se odnose na dalje unapređenje poslovnih porcesa u Poreskoj upravi.</w:t>
      </w:r>
    </w:p>
    <w:p w:rsidR="004E6DC8" w:rsidRPr="004E6DC8" w:rsidRDefault="004E6DC8" w:rsidP="004E6DC8">
      <w:pPr>
        <w:tabs>
          <w:tab w:val="left" w:pos="0"/>
        </w:tabs>
        <w:spacing w:before="0" w:after="0" w:line="240" w:lineRule="auto"/>
        <w:contextualSpacing/>
        <w:rPr>
          <w:rFonts w:ascii="Calibri" w:eastAsia="Times New Roman" w:hAnsi="Calibri" w:cs="Arial"/>
          <w:lang w:val="en-GB"/>
        </w:rPr>
      </w:pPr>
      <w:r w:rsidRPr="004E6DC8">
        <w:rPr>
          <w:rFonts w:ascii="Calibri" w:eastAsia="Times New Roman" w:hAnsi="Calibri" w:cs="Arial"/>
          <w:lang w:val="en-GB"/>
        </w:rPr>
        <w:tab/>
        <w:t>U periodu od septembra do novembra realizovala se i posjeta MMF-a Sektoru za operativu u oblasti inspekcijskog nadzora u okviru projekta Reforma inspekcijskog nadzora, tokom koje su date preporuke za izmjenu propisa koji ili predstavljaju barijeru ili su neophodni za implementaciju modernog pristupa u radu poreske inspekcije ali i pomoć u usklađivanju organizacione strukture inspekcijskog nadzora i operativnih potreba, uključujući i centralizaciju izbora predmeta za kontrolu.</w:t>
      </w:r>
    </w:p>
    <w:p w:rsidR="004E6DC8" w:rsidRPr="004E6DC8" w:rsidRDefault="004E6DC8" w:rsidP="004E6DC8">
      <w:pPr>
        <w:tabs>
          <w:tab w:val="left" w:pos="0"/>
        </w:tabs>
        <w:spacing w:before="0" w:after="0" w:line="240" w:lineRule="auto"/>
        <w:contextualSpacing/>
        <w:rPr>
          <w:rFonts w:ascii="Calibri" w:eastAsia="Times New Roman" w:hAnsi="Calibri" w:cs="Arial"/>
          <w:sz w:val="22"/>
          <w:lang w:val="en-GB"/>
        </w:rPr>
      </w:pPr>
      <w:r w:rsidRPr="004E6DC8">
        <w:rPr>
          <w:rFonts w:ascii="Calibri" w:eastAsia="Times New Roman" w:hAnsi="Calibri" w:cs="Arial"/>
          <w:lang w:val="en-GB"/>
        </w:rPr>
        <w:tab/>
        <w:t>Situacija sa pandemijom korona virusa, koja je pogodila cijeli svijet, uticala je i na rezultate realizovane u izvještajnom periodu u vidu smanjene naplate. Međutim, s obzirom na Vladin program podrške privredi u vidu subvencioniranja dijela bruto zarada, na koji imaju pravo poreski obveznici koji nemaju zaostalih poreskih potraživanja, a koji će biti nastavljen radi prevazilaženja posljedica ekonomske krize izazvane pandemijom, Poreska uprava očekuje da će se stepen poreske discipline i dobrovoljnog poštovanja poreskih propisa zadržati na zadovoljavajućem nivou i u narednom periodu.</w:t>
      </w:r>
    </w:p>
    <w:p w:rsidR="00800A34" w:rsidRPr="00800A34" w:rsidRDefault="00800A34" w:rsidP="00800A34">
      <w:pPr>
        <w:spacing w:before="0" w:after="0" w:line="240" w:lineRule="auto"/>
        <w:jc w:val="left"/>
        <w:rPr>
          <w:rFonts w:ascii="Calibri" w:eastAsia="Calibri" w:hAnsi="Calibri" w:cs="Calibri"/>
          <w:b/>
          <w:color w:val="000000"/>
          <w:szCs w:val="24"/>
          <w:lang w:val="pl-PL"/>
        </w:rPr>
      </w:pPr>
    </w:p>
    <w:p w:rsidR="003611CF" w:rsidRPr="003611CF" w:rsidRDefault="003611CF" w:rsidP="003611CF">
      <w:pPr>
        <w:keepNext/>
        <w:spacing w:before="0" w:after="0" w:line="240" w:lineRule="auto"/>
        <w:jc w:val="center"/>
        <w:outlineLvl w:val="1"/>
        <w:rPr>
          <w:rFonts w:ascii="Calibri" w:eastAsia="Times New Roman" w:hAnsi="Calibri" w:cs="Calibri"/>
          <w:b/>
          <w:bCs/>
          <w:szCs w:val="24"/>
          <w:lang w:val="en-US"/>
        </w:rPr>
      </w:pPr>
      <w:r w:rsidRPr="003611CF">
        <w:rPr>
          <w:rFonts w:ascii="Calibri" w:eastAsia="Times New Roman" w:hAnsi="Calibri" w:cs="Calibri"/>
          <w:b/>
          <w:bCs/>
          <w:szCs w:val="24"/>
          <w:lang w:val="en-US"/>
        </w:rPr>
        <w:t>SEKTOR ZA USLUGE I REGISTRACIJU</w:t>
      </w:r>
    </w:p>
    <w:p w:rsidR="003611CF" w:rsidRPr="003611CF" w:rsidRDefault="003611CF" w:rsidP="003611CF">
      <w:pPr>
        <w:tabs>
          <w:tab w:val="left" w:pos="3270"/>
        </w:tabs>
        <w:spacing w:before="0" w:after="0" w:line="240" w:lineRule="auto"/>
        <w:rPr>
          <w:rFonts w:ascii="Calibri" w:eastAsia="Times New Roman" w:hAnsi="Calibri" w:cs="Calibri"/>
          <w:bCs/>
          <w:szCs w:val="24"/>
          <w:lang w:val="hr-HR"/>
        </w:rPr>
      </w:pPr>
      <w:r w:rsidRPr="003611CF">
        <w:rPr>
          <w:rFonts w:ascii="Calibri" w:eastAsia="Times New Roman" w:hAnsi="Calibri" w:cs="Calibri"/>
          <w:bCs/>
          <w:szCs w:val="24"/>
          <w:lang w:val="hr-HR"/>
        </w:rPr>
        <w:t xml:space="preserve">                                                       </w:t>
      </w:r>
      <w:r>
        <w:rPr>
          <w:rFonts w:ascii="Calibri" w:eastAsia="Times New Roman" w:hAnsi="Calibri" w:cs="Calibri"/>
          <w:bCs/>
          <w:szCs w:val="24"/>
          <w:lang w:val="hr-HR"/>
        </w:rPr>
        <w:t xml:space="preserve">                              </w:t>
      </w:r>
      <w:r w:rsidRPr="003611CF">
        <w:rPr>
          <w:rFonts w:ascii="Calibri" w:eastAsia="Times New Roman" w:hAnsi="Calibri" w:cs="Calibri"/>
          <w:bCs/>
          <w:szCs w:val="24"/>
          <w:lang w:val="hr-HR"/>
        </w:rPr>
        <w:t xml:space="preserve">   </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 xml:space="preserve">Izvještaj o radu Sektora za usluge i registraciju urađen je na osnovu obavljenih radnih aktivnosti filijala-područnih jedinica i odsjeka koji pripadaju ovom Sektoru. </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Aktivnosti Sektora za usluge i registraciju u navedenom periodu odvijala su se u skladu sa usvojenim Planom rada za 2020. godinu, pružanjem kvalitetne i profesionalne usluge poreskim obveznicima, a u cilju efikasne naplate javnih prihoda što je glavni zadatak Poreske uprave.</w:t>
      </w:r>
    </w:p>
    <w:p w:rsid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Poslovne aktivnosti službenika Sektora za usluge i registraciju u izvještajnom periodu, bile su usmjerene na davanje kvalitetnih odgovora na pitanja postavljena putem telefonskih poziva, pisanih zahtjeva, kao i elektronskom poštom.</w:t>
      </w:r>
    </w:p>
    <w:p w:rsidR="003611CF" w:rsidRPr="003611CF" w:rsidRDefault="003611CF" w:rsidP="003611CF">
      <w:pPr>
        <w:spacing w:before="0" w:after="0" w:line="240" w:lineRule="auto"/>
        <w:rPr>
          <w:rFonts w:ascii="Calibri" w:eastAsia="Times New Roman" w:hAnsi="Calibri" w:cs="Calibri"/>
          <w:szCs w:val="24"/>
          <w:lang w:val="en-GB"/>
        </w:rPr>
      </w:pP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 xml:space="preserve">      </w:t>
      </w:r>
    </w:p>
    <w:p w:rsidR="003611CF" w:rsidRPr="003611CF" w:rsidRDefault="003611CF" w:rsidP="003611CF">
      <w:pPr>
        <w:spacing w:before="0" w:after="0" w:line="240" w:lineRule="auto"/>
        <w:jc w:val="center"/>
        <w:rPr>
          <w:rFonts w:ascii="Calibri" w:eastAsia="Times New Roman" w:hAnsi="Calibri" w:cs="Calibri"/>
          <w:bCs/>
          <w:szCs w:val="24"/>
          <w:lang w:val="en-GB"/>
        </w:rPr>
      </w:pPr>
      <w:r w:rsidRPr="003611CF">
        <w:rPr>
          <w:rFonts w:ascii="Calibri" w:eastAsia="Times New Roman" w:hAnsi="Calibri" w:cs="Calibri"/>
          <w:bCs/>
          <w:szCs w:val="24"/>
          <w:lang w:val="en-GB"/>
        </w:rPr>
        <w:lastRenderedPageBreak/>
        <w:t>NAČIN PRUŽANJA USLUGA PORESKIM OBVEZNICIMA U PERIODU 01.01-31.12.2019/2020. GODINA - UPOREDNI PODACI</w:t>
      </w:r>
    </w:p>
    <w:tbl>
      <w:tblPr>
        <w:tblW w:w="0" w:type="auto"/>
        <w:jc w:val="center"/>
        <w:tblLook w:val="04A0" w:firstRow="1" w:lastRow="0" w:firstColumn="1" w:lastColumn="0" w:noHBand="0" w:noVBand="1"/>
      </w:tblPr>
      <w:tblGrid>
        <w:gridCol w:w="2802"/>
        <w:gridCol w:w="2410"/>
        <w:gridCol w:w="2410"/>
        <w:gridCol w:w="1665"/>
      </w:tblGrid>
      <w:tr w:rsidR="003611CF" w:rsidRPr="003611CF" w:rsidTr="003611CF">
        <w:trPr>
          <w:jc w:val="center"/>
        </w:trPr>
        <w:tc>
          <w:tcPr>
            <w:tcW w:w="2802" w:type="dxa"/>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Times New Roman" w:hAnsi="Arial" w:cs="Arial"/>
                <w:bCs/>
                <w:color w:val="FFFFFF"/>
                <w:sz w:val="20"/>
                <w:szCs w:val="20"/>
                <w:lang w:val="en-GB"/>
              </w:rPr>
            </w:pPr>
            <w:r w:rsidRPr="003611CF">
              <w:rPr>
                <w:rFonts w:ascii="Arial" w:eastAsia="Times New Roman" w:hAnsi="Arial" w:cs="Arial"/>
                <w:bCs/>
                <w:color w:val="FFFFFF"/>
                <w:sz w:val="20"/>
                <w:szCs w:val="20"/>
                <w:lang w:val="en-GB"/>
              </w:rPr>
              <w:t>Način pružanja usluga</w:t>
            </w:r>
          </w:p>
        </w:tc>
        <w:tc>
          <w:tcPr>
            <w:tcW w:w="2410" w:type="dxa"/>
            <w:tcBorders>
              <w:bottom w:val="single" w:sz="12" w:space="0" w:color="FFFFFF"/>
            </w:tcBorders>
            <w:shd w:val="clear" w:color="auto" w:fill="348DA5"/>
          </w:tcPr>
          <w:p w:rsidR="003611CF" w:rsidRPr="003611CF" w:rsidRDefault="003611CF" w:rsidP="003611CF">
            <w:pPr>
              <w:tabs>
                <w:tab w:val="center" w:pos="4536"/>
              </w:tabs>
              <w:spacing w:before="0" w:after="0" w:line="240" w:lineRule="auto"/>
              <w:jc w:val="center"/>
              <w:rPr>
                <w:rFonts w:ascii="Arial" w:eastAsia="Times New Roman" w:hAnsi="Arial" w:cs="Arial"/>
                <w:bCs/>
                <w:color w:val="FFFFFF"/>
                <w:sz w:val="20"/>
                <w:szCs w:val="20"/>
                <w:lang w:val="en-GB"/>
              </w:rPr>
            </w:pPr>
            <w:r w:rsidRPr="003611CF">
              <w:rPr>
                <w:rFonts w:ascii="Arial" w:eastAsia="Times New Roman" w:hAnsi="Arial" w:cs="Arial"/>
                <w:bCs/>
                <w:color w:val="FFFFFF"/>
                <w:sz w:val="20"/>
                <w:szCs w:val="20"/>
                <w:lang w:val="en-GB"/>
              </w:rPr>
              <w:t>01.01-31.12.</w:t>
            </w:r>
          </w:p>
          <w:p w:rsidR="003611CF" w:rsidRPr="003611CF" w:rsidRDefault="003611CF" w:rsidP="003611CF">
            <w:pPr>
              <w:tabs>
                <w:tab w:val="center" w:pos="4536"/>
              </w:tabs>
              <w:spacing w:before="0" w:after="0" w:line="240" w:lineRule="auto"/>
              <w:jc w:val="center"/>
              <w:rPr>
                <w:rFonts w:ascii="Arial" w:eastAsia="Times New Roman" w:hAnsi="Arial" w:cs="Arial"/>
                <w:bCs/>
                <w:color w:val="FFFFFF"/>
                <w:sz w:val="20"/>
                <w:szCs w:val="20"/>
                <w:lang w:val="en-GB"/>
              </w:rPr>
            </w:pPr>
            <w:r w:rsidRPr="003611CF">
              <w:rPr>
                <w:rFonts w:ascii="Arial" w:eastAsia="Times New Roman" w:hAnsi="Arial" w:cs="Arial"/>
                <w:bCs/>
                <w:color w:val="FFFFFF"/>
                <w:sz w:val="20"/>
                <w:szCs w:val="20"/>
                <w:lang w:val="en-GB"/>
              </w:rPr>
              <w:t>2019.godina</w:t>
            </w:r>
          </w:p>
        </w:tc>
        <w:tc>
          <w:tcPr>
            <w:tcW w:w="2410" w:type="dxa"/>
            <w:tcBorders>
              <w:bottom w:val="single" w:sz="12" w:space="0" w:color="FFFFFF"/>
            </w:tcBorders>
            <w:shd w:val="clear" w:color="auto" w:fill="348DA5"/>
          </w:tcPr>
          <w:p w:rsidR="003611CF" w:rsidRPr="003611CF" w:rsidRDefault="003611CF" w:rsidP="003611CF">
            <w:pPr>
              <w:tabs>
                <w:tab w:val="center" w:pos="4536"/>
              </w:tabs>
              <w:spacing w:before="0" w:after="0" w:line="240" w:lineRule="auto"/>
              <w:jc w:val="center"/>
              <w:rPr>
                <w:rFonts w:ascii="Arial" w:eastAsia="Times New Roman" w:hAnsi="Arial" w:cs="Arial"/>
                <w:bCs/>
                <w:color w:val="FFFFFF"/>
                <w:sz w:val="20"/>
                <w:szCs w:val="20"/>
                <w:lang w:val="en-GB"/>
              </w:rPr>
            </w:pPr>
            <w:r w:rsidRPr="003611CF">
              <w:rPr>
                <w:rFonts w:ascii="Arial" w:eastAsia="Times New Roman" w:hAnsi="Arial" w:cs="Arial"/>
                <w:bCs/>
                <w:color w:val="FFFFFF"/>
                <w:sz w:val="20"/>
                <w:szCs w:val="20"/>
                <w:lang w:val="en-GB"/>
              </w:rPr>
              <w:t>01.01-31.12.</w:t>
            </w:r>
          </w:p>
          <w:p w:rsidR="003611CF" w:rsidRPr="003611CF" w:rsidRDefault="003611CF" w:rsidP="003611CF">
            <w:pPr>
              <w:tabs>
                <w:tab w:val="center" w:pos="4536"/>
              </w:tabs>
              <w:spacing w:before="0" w:after="0" w:line="240" w:lineRule="auto"/>
              <w:jc w:val="center"/>
              <w:rPr>
                <w:rFonts w:ascii="Arial" w:eastAsia="Times New Roman" w:hAnsi="Arial" w:cs="Arial"/>
                <w:bCs/>
                <w:color w:val="FFFFFF"/>
                <w:sz w:val="20"/>
                <w:szCs w:val="20"/>
                <w:lang w:val="en-GB"/>
              </w:rPr>
            </w:pPr>
            <w:r w:rsidRPr="003611CF">
              <w:rPr>
                <w:rFonts w:ascii="Arial" w:eastAsia="Times New Roman" w:hAnsi="Arial" w:cs="Arial"/>
                <w:bCs/>
                <w:color w:val="FFFFFF"/>
                <w:sz w:val="20"/>
                <w:szCs w:val="20"/>
                <w:lang w:val="en-GB"/>
              </w:rPr>
              <w:t>2020.godina</w:t>
            </w:r>
          </w:p>
        </w:tc>
        <w:tc>
          <w:tcPr>
            <w:tcW w:w="1665" w:type="dxa"/>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Times New Roman" w:hAnsi="Arial" w:cs="Arial"/>
                <w:bCs/>
                <w:color w:val="FFFFFF"/>
                <w:sz w:val="20"/>
                <w:szCs w:val="20"/>
                <w:lang w:val="en-GB"/>
              </w:rPr>
            </w:pPr>
            <w:r w:rsidRPr="003611CF">
              <w:rPr>
                <w:rFonts w:ascii="Arial" w:eastAsia="Times New Roman" w:hAnsi="Arial" w:cs="Arial"/>
                <w:bCs/>
                <w:color w:val="FFFFFF"/>
                <w:sz w:val="20"/>
                <w:szCs w:val="20"/>
                <w:lang w:val="en-GB"/>
              </w:rPr>
              <w:t>Index</w:t>
            </w:r>
          </w:p>
        </w:tc>
      </w:tr>
      <w:tr w:rsidR="003611CF" w:rsidRPr="003611CF" w:rsidTr="003611CF">
        <w:trPr>
          <w:jc w:val="center"/>
        </w:trPr>
        <w:tc>
          <w:tcPr>
            <w:tcW w:w="2802" w:type="dxa"/>
            <w:shd w:val="clear" w:color="auto" w:fill="FDE9D9"/>
          </w:tcPr>
          <w:p w:rsidR="003611CF" w:rsidRPr="003611CF" w:rsidRDefault="003611CF" w:rsidP="003611CF">
            <w:pPr>
              <w:tabs>
                <w:tab w:val="center" w:pos="4536"/>
              </w:tabs>
              <w:spacing w:before="0" w:after="0" w:line="240" w:lineRule="auto"/>
              <w:rPr>
                <w:rFonts w:ascii="Arial" w:eastAsia="Times New Roman" w:hAnsi="Arial" w:cs="Arial"/>
                <w:b/>
                <w:bCs/>
                <w:color w:val="000000"/>
                <w:sz w:val="20"/>
                <w:szCs w:val="20"/>
                <w:lang w:val="en-GB"/>
              </w:rPr>
            </w:pPr>
            <w:r w:rsidRPr="003611CF">
              <w:rPr>
                <w:rFonts w:ascii="Arial" w:eastAsia="Times New Roman" w:hAnsi="Arial" w:cs="Arial"/>
                <w:b/>
                <w:bCs/>
                <w:color w:val="000000"/>
                <w:sz w:val="20"/>
                <w:szCs w:val="20"/>
                <w:lang w:val="en-GB"/>
              </w:rPr>
              <w:t>Lični kontakt</w:t>
            </w:r>
          </w:p>
        </w:tc>
        <w:tc>
          <w:tcPr>
            <w:tcW w:w="2410"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b/>
                <w:sz w:val="20"/>
                <w:lang w:val="en-GB"/>
              </w:rPr>
            </w:pPr>
            <w:r w:rsidRPr="003611CF">
              <w:rPr>
                <w:rFonts w:ascii="Arial" w:eastAsia="Times New Roman" w:hAnsi="Arial" w:cs="Arial"/>
                <w:b/>
                <w:sz w:val="20"/>
                <w:lang w:val="en-GB"/>
              </w:rPr>
              <w:t>176.451</w:t>
            </w:r>
          </w:p>
        </w:tc>
        <w:tc>
          <w:tcPr>
            <w:tcW w:w="2410"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b/>
                <w:sz w:val="20"/>
                <w:lang w:val="en-GB"/>
              </w:rPr>
            </w:pPr>
            <w:r w:rsidRPr="003611CF">
              <w:rPr>
                <w:rFonts w:ascii="Arial" w:eastAsia="Times New Roman" w:hAnsi="Arial" w:cs="Arial"/>
                <w:b/>
                <w:sz w:val="20"/>
                <w:lang w:val="en-GB"/>
              </w:rPr>
              <w:t>102.876</w:t>
            </w:r>
          </w:p>
        </w:tc>
        <w:tc>
          <w:tcPr>
            <w:tcW w:w="1665"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b/>
                <w:sz w:val="20"/>
                <w:lang w:val="en-GB"/>
              </w:rPr>
            </w:pPr>
            <w:r w:rsidRPr="003611CF">
              <w:rPr>
                <w:rFonts w:ascii="Arial" w:eastAsia="Times New Roman" w:hAnsi="Arial" w:cs="Arial"/>
                <w:b/>
                <w:sz w:val="20"/>
                <w:lang w:val="en-GB"/>
              </w:rPr>
              <w:t>58</w:t>
            </w:r>
          </w:p>
        </w:tc>
      </w:tr>
      <w:tr w:rsidR="003611CF" w:rsidRPr="003611CF" w:rsidTr="003611CF">
        <w:trPr>
          <w:jc w:val="center"/>
        </w:trPr>
        <w:tc>
          <w:tcPr>
            <w:tcW w:w="2802" w:type="dxa"/>
            <w:shd w:val="clear" w:color="auto" w:fill="FEF4EC"/>
          </w:tcPr>
          <w:p w:rsidR="003611CF" w:rsidRPr="003611CF" w:rsidRDefault="003611CF" w:rsidP="003611CF">
            <w:pPr>
              <w:tabs>
                <w:tab w:val="center" w:pos="4536"/>
              </w:tabs>
              <w:spacing w:before="0" w:after="0" w:line="240" w:lineRule="auto"/>
              <w:jc w:val="center"/>
              <w:rPr>
                <w:rFonts w:ascii="Arial" w:eastAsia="Times New Roman" w:hAnsi="Arial" w:cs="Arial"/>
                <w:bCs/>
                <w:color w:val="000000"/>
                <w:sz w:val="20"/>
                <w:szCs w:val="20"/>
                <w:lang w:val="en-GB"/>
              </w:rPr>
            </w:pPr>
            <w:r w:rsidRPr="003611CF">
              <w:rPr>
                <w:rFonts w:ascii="Arial" w:eastAsia="Times New Roman" w:hAnsi="Arial" w:cs="Arial"/>
                <w:bCs/>
                <w:color w:val="000000"/>
                <w:sz w:val="20"/>
                <w:szCs w:val="20"/>
                <w:lang w:val="en-GB"/>
              </w:rPr>
              <w:t>Pravna lica</w:t>
            </w:r>
          </w:p>
        </w:tc>
        <w:tc>
          <w:tcPr>
            <w:tcW w:w="2410" w:type="dxa"/>
            <w:shd w:val="clear" w:color="auto" w:fill="FEF4EC"/>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126.599</w:t>
            </w:r>
          </w:p>
        </w:tc>
        <w:tc>
          <w:tcPr>
            <w:tcW w:w="2410" w:type="dxa"/>
            <w:shd w:val="clear" w:color="auto" w:fill="FEF4EC"/>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78.079</w:t>
            </w:r>
          </w:p>
        </w:tc>
        <w:tc>
          <w:tcPr>
            <w:tcW w:w="1665" w:type="dxa"/>
            <w:shd w:val="clear" w:color="auto" w:fill="FEF4EC"/>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62</w:t>
            </w:r>
          </w:p>
        </w:tc>
      </w:tr>
      <w:tr w:rsidR="003611CF" w:rsidRPr="003611CF" w:rsidTr="003611CF">
        <w:trPr>
          <w:jc w:val="center"/>
        </w:trPr>
        <w:tc>
          <w:tcPr>
            <w:tcW w:w="2802"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bCs/>
                <w:color w:val="000000"/>
                <w:sz w:val="20"/>
                <w:szCs w:val="20"/>
                <w:lang w:val="en-GB"/>
              </w:rPr>
            </w:pPr>
            <w:r w:rsidRPr="003611CF">
              <w:rPr>
                <w:rFonts w:ascii="Arial" w:eastAsia="Times New Roman" w:hAnsi="Arial" w:cs="Arial"/>
                <w:bCs/>
                <w:color w:val="000000"/>
                <w:sz w:val="20"/>
                <w:szCs w:val="20"/>
                <w:lang w:val="en-GB"/>
              </w:rPr>
              <w:t>Fizička lica</w:t>
            </w:r>
          </w:p>
        </w:tc>
        <w:tc>
          <w:tcPr>
            <w:tcW w:w="2410"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49.852</w:t>
            </w:r>
          </w:p>
        </w:tc>
        <w:tc>
          <w:tcPr>
            <w:tcW w:w="2410"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24.797</w:t>
            </w:r>
          </w:p>
        </w:tc>
        <w:tc>
          <w:tcPr>
            <w:tcW w:w="1665"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50</w:t>
            </w:r>
          </w:p>
        </w:tc>
      </w:tr>
      <w:tr w:rsidR="003611CF" w:rsidRPr="003611CF" w:rsidTr="003611CF">
        <w:trPr>
          <w:jc w:val="center"/>
        </w:trPr>
        <w:tc>
          <w:tcPr>
            <w:tcW w:w="2802" w:type="dxa"/>
            <w:shd w:val="clear" w:color="auto" w:fill="FEF4EC"/>
          </w:tcPr>
          <w:p w:rsidR="003611CF" w:rsidRPr="003611CF" w:rsidRDefault="003611CF" w:rsidP="003611CF">
            <w:pPr>
              <w:tabs>
                <w:tab w:val="center" w:pos="4536"/>
              </w:tabs>
              <w:spacing w:before="0" w:after="0" w:line="240" w:lineRule="auto"/>
              <w:rPr>
                <w:rFonts w:ascii="Arial" w:eastAsia="Times New Roman" w:hAnsi="Arial" w:cs="Arial"/>
                <w:b/>
                <w:bCs/>
                <w:color w:val="000000"/>
                <w:sz w:val="20"/>
                <w:szCs w:val="20"/>
                <w:lang w:val="en-GB"/>
              </w:rPr>
            </w:pPr>
            <w:r w:rsidRPr="003611CF">
              <w:rPr>
                <w:rFonts w:ascii="Arial" w:eastAsia="Times New Roman" w:hAnsi="Arial" w:cs="Arial"/>
                <w:b/>
                <w:bCs/>
                <w:color w:val="000000"/>
                <w:sz w:val="20"/>
                <w:szCs w:val="20"/>
                <w:lang w:val="en-GB"/>
              </w:rPr>
              <w:t>Telefonski kontakt</w:t>
            </w:r>
          </w:p>
        </w:tc>
        <w:tc>
          <w:tcPr>
            <w:tcW w:w="2410" w:type="dxa"/>
            <w:shd w:val="clear" w:color="auto" w:fill="FEF4EC"/>
          </w:tcPr>
          <w:p w:rsidR="003611CF" w:rsidRPr="003611CF" w:rsidRDefault="003611CF" w:rsidP="003611CF">
            <w:pPr>
              <w:tabs>
                <w:tab w:val="center" w:pos="4536"/>
              </w:tabs>
              <w:spacing w:before="0" w:after="0" w:line="240" w:lineRule="auto"/>
              <w:jc w:val="center"/>
              <w:rPr>
                <w:rFonts w:ascii="Arial" w:eastAsia="Times New Roman" w:hAnsi="Arial" w:cs="Arial"/>
                <w:b/>
                <w:sz w:val="20"/>
                <w:lang w:val="en-GB"/>
              </w:rPr>
            </w:pPr>
            <w:r w:rsidRPr="003611CF">
              <w:rPr>
                <w:rFonts w:ascii="Arial" w:eastAsia="Times New Roman" w:hAnsi="Arial" w:cs="Arial"/>
                <w:b/>
                <w:sz w:val="20"/>
                <w:lang w:val="en-GB"/>
              </w:rPr>
              <w:t>47.695</w:t>
            </w:r>
          </w:p>
        </w:tc>
        <w:tc>
          <w:tcPr>
            <w:tcW w:w="2410" w:type="dxa"/>
            <w:shd w:val="clear" w:color="auto" w:fill="FEF4EC"/>
          </w:tcPr>
          <w:p w:rsidR="003611CF" w:rsidRPr="003611CF" w:rsidRDefault="003611CF" w:rsidP="003611CF">
            <w:pPr>
              <w:tabs>
                <w:tab w:val="center" w:pos="4536"/>
              </w:tabs>
              <w:spacing w:before="0" w:after="0" w:line="240" w:lineRule="auto"/>
              <w:jc w:val="center"/>
              <w:rPr>
                <w:rFonts w:ascii="Arial" w:eastAsia="Times New Roman" w:hAnsi="Arial" w:cs="Arial"/>
                <w:b/>
                <w:sz w:val="20"/>
                <w:lang w:val="en-GB"/>
              </w:rPr>
            </w:pPr>
            <w:r w:rsidRPr="003611CF">
              <w:rPr>
                <w:rFonts w:ascii="Arial" w:eastAsia="Times New Roman" w:hAnsi="Arial" w:cs="Arial"/>
                <w:b/>
                <w:sz w:val="20"/>
                <w:lang w:val="en-GB"/>
              </w:rPr>
              <w:t>39.390</w:t>
            </w:r>
          </w:p>
        </w:tc>
        <w:tc>
          <w:tcPr>
            <w:tcW w:w="1665" w:type="dxa"/>
            <w:shd w:val="clear" w:color="auto" w:fill="FEF4EC"/>
          </w:tcPr>
          <w:p w:rsidR="003611CF" w:rsidRPr="003611CF" w:rsidRDefault="003611CF" w:rsidP="003611CF">
            <w:pPr>
              <w:tabs>
                <w:tab w:val="center" w:pos="4536"/>
              </w:tabs>
              <w:spacing w:before="0" w:after="0" w:line="240" w:lineRule="auto"/>
              <w:jc w:val="center"/>
              <w:rPr>
                <w:rFonts w:ascii="Arial" w:eastAsia="Times New Roman" w:hAnsi="Arial" w:cs="Arial"/>
                <w:b/>
                <w:sz w:val="20"/>
                <w:lang w:val="en-GB"/>
              </w:rPr>
            </w:pPr>
            <w:r w:rsidRPr="003611CF">
              <w:rPr>
                <w:rFonts w:ascii="Arial" w:eastAsia="Times New Roman" w:hAnsi="Arial" w:cs="Arial"/>
                <w:b/>
                <w:sz w:val="20"/>
                <w:lang w:val="en-GB"/>
              </w:rPr>
              <w:t>83</w:t>
            </w:r>
          </w:p>
        </w:tc>
      </w:tr>
      <w:tr w:rsidR="003611CF" w:rsidRPr="003611CF" w:rsidTr="003611CF">
        <w:trPr>
          <w:jc w:val="center"/>
        </w:trPr>
        <w:tc>
          <w:tcPr>
            <w:tcW w:w="2802"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bCs/>
                <w:color w:val="000000"/>
                <w:sz w:val="20"/>
                <w:szCs w:val="20"/>
                <w:lang w:val="en-GB"/>
              </w:rPr>
            </w:pPr>
            <w:r w:rsidRPr="003611CF">
              <w:rPr>
                <w:rFonts w:ascii="Arial" w:eastAsia="Times New Roman" w:hAnsi="Arial" w:cs="Arial"/>
                <w:bCs/>
                <w:color w:val="000000"/>
                <w:sz w:val="20"/>
                <w:szCs w:val="20"/>
                <w:lang w:val="en-GB"/>
              </w:rPr>
              <w:t>Pravna lica</w:t>
            </w:r>
          </w:p>
        </w:tc>
        <w:tc>
          <w:tcPr>
            <w:tcW w:w="2410"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24.018</w:t>
            </w:r>
          </w:p>
        </w:tc>
        <w:tc>
          <w:tcPr>
            <w:tcW w:w="2410"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24.812</w:t>
            </w:r>
          </w:p>
        </w:tc>
        <w:tc>
          <w:tcPr>
            <w:tcW w:w="1665"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103</w:t>
            </w:r>
          </w:p>
        </w:tc>
      </w:tr>
      <w:tr w:rsidR="003611CF" w:rsidRPr="003611CF" w:rsidTr="003611CF">
        <w:trPr>
          <w:jc w:val="center"/>
        </w:trPr>
        <w:tc>
          <w:tcPr>
            <w:tcW w:w="2802" w:type="dxa"/>
            <w:shd w:val="clear" w:color="auto" w:fill="FEF4EC"/>
          </w:tcPr>
          <w:p w:rsidR="003611CF" w:rsidRPr="003611CF" w:rsidRDefault="003611CF" w:rsidP="003611CF">
            <w:pPr>
              <w:tabs>
                <w:tab w:val="center" w:pos="4536"/>
              </w:tabs>
              <w:spacing w:before="0" w:after="0" w:line="240" w:lineRule="auto"/>
              <w:jc w:val="center"/>
              <w:rPr>
                <w:rFonts w:ascii="Arial" w:eastAsia="Times New Roman" w:hAnsi="Arial" w:cs="Arial"/>
                <w:bCs/>
                <w:color w:val="000000"/>
                <w:sz w:val="20"/>
                <w:szCs w:val="20"/>
                <w:lang w:val="en-GB"/>
              </w:rPr>
            </w:pPr>
            <w:r w:rsidRPr="003611CF">
              <w:rPr>
                <w:rFonts w:ascii="Arial" w:eastAsia="Times New Roman" w:hAnsi="Arial" w:cs="Arial"/>
                <w:bCs/>
                <w:color w:val="000000"/>
                <w:sz w:val="20"/>
                <w:szCs w:val="20"/>
                <w:lang w:val="en-GB"/>
              </w:rPr>
              <w:t>Fizička lica</w:t>
            </w:r>
          </w:p>
        </w:tc>
        <w:tc>
          <w:tcPr>
            <w:tcW w:w="2410" w:type="dxa"/>
            <w:shd w:val="clear" w:color="auto" w:fill="FEF4EC"/>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23.677</w:t>
            </w:r>
          </w:p>
        </w:tc>
        <w:tc>
          <w:tcPr>
            <w:tcW w:w="2410" w:type="dxa"/>
            <w:shd w:val="clear" w:color="auto" w:fill="FEF4EC"/>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14.578</w:t>
            </w:r>
          </w:p>
        </w:tc>
        <w:tc>
          <w:tcPr>
            <w:tcW w:w="1665" w:type="dxa"/>
            <w:shd w:val="clear" w:color="auto" w:fill="FEF4EC"/>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62</w:t>
            </w:r>
          </w:p>
        </w:tc>
      </w:tr>
      <w:tr w:rsidR="003611CF" w:rsidRPr="003611CF" w:rsidTr="003611CF">
        <w:trPr>
          <w:jc w:val="center"/>
        </w:trPr>
        <w:tc>
          <w:tcPr>
            <w:tcW w:w="2802" w:type="dxa"/>
            <w:shd w:val="clear" w:color="auto" w:fill="FDE9D9"/>
          </w:tcPr>
          <w:p w:rsidR="003611CF" w:rsidRPr="003611CF" w:rsidRDefault="003611CF" w:rsidP="003611CF">
            <w:pPr>
              <w:tabs>
                <w:tab w:val="center" w:pos="4536"/>
              </w:tabs>
              <w:spacing w:before="0" w:after="0" w:line="240" w:lineRule="auto"/>
              <w:rPr>
                <w:rFonts w:ascii="Arial" w:eastAsia="Times New Roman" w:hAnsi="Arial" w:cs="Arial"/>
                <w:b/>
                <w:bCs/>
                <w:color w:val="000000"/>
                <w:sz w:val="20"/>
                <w:szCs w:val="20"/>
                <w:lang w:val="en-GB"/>
              </w:rPr>
            </w:pPr>
            <w:r w:rsidRPr="003611CF">
              <w:rPr>
                <w:rFonts w:ascii="Arial" w:eastAsia="Times New Roman" w:hAnsi="Arial" w:cs="Arial"/>
                <w:b/>
                <w:bCs/>
                <w:color w:val="000000"/>
                <w:sz w:val="20"/>
                <w:szCs w:val="20"/>
                <w:lang w:val="en-GB"/>
              </w:rPr>
              <w:t>Korespondencija</w:t>
            </w:r>
          </w:p>
        </w:tc>
        <w:tc>
          <w:tcPr>
            <w:tcW w:w="2410"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b/>
                <w:sz w:val="20"/>
                <w:lang w:val="en-GB"/>
              </w:rPr>
            </w:pPr>
            <w:r w:rsidRPr="003611CF">
              <w:rPr>
                <w:rFonts w:ascii="Arial" w:eastAsia="Times New Roman" w:hAnsi="Arial" w:cs="Arial"/>
                <w:b/>
                <w:sz w:val="20"/>
                <w:lang w:val="en-GB"/>
              </w:rPr>
              <w:t>3.984</w:t>
            </w:r>
          </w:p>
        </w:tc>
        <w:tc>
          <w:tcPr>
            <w:tcW w:w="2410"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b/>
                <w:sz w:val="20"/>
                <w:lang w:val="en-GB"/>
              </w:rPr>
            </w:pPr>
            <w:r w:rsidRPr="003611CF">
              <w:rPr>
                <w:rFonts w:ascii="Arial" w:eastAsia="Times New Roman" w:hAnsi="Arial" w:cs="Arial"/>
                <w:b/>
                <w:sz w:val="20"/>
                <w:lang w:val="en-GB"/>
              </w:rPr>
              <w:t>12.483</w:t>
            </w:r>
          </w:p>
        </w:tc>
        <w:tc>
          <w:tcPr>
            <w:tcW w:w="1665"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b/>
                <w:sz w:val="20"/>
                <w:lang w:val="en-GB"/>
              </w:rPr>
            </w:pPr>
            <w:r w:rsidRPr="003611CF">
              <w:rPr>
                <w:rFonts w:ascii="Arial" w:eastAsia="Times New Roman" w:hAnsi="Arial" w:cs="Arial"/>
                <w:b/>
                <w:sz w:val="20"/>
                <w:lang w:val="en-GB"/>
              </w:rPr>
              <w:t>313</w:t>
            </w:r>
          </w:p>
        </w:tc>
      </w:tr>
      <w:tr w:rsidR="003611CF" w:rsidRPr="003611CF" w:rsidTr="003611CF">
        <w:trPr>
          <w:jc w:val="center"/>
        </w:trPr>
        <w:tc>
          <w:tcPr>
            <w:tcW w:w="2802" w:type="dxa"/>
            <w:shd w:val="clear" w:color="auto" w:fill="FEF4EC"/>
          </w:tcPr>
          <w:p w:rsidR="003611CF" w:rsidRPr="003611CF" w:rsidRDefault="003611CF" w:rsidP="003611CF">
            <w:pPr>
              <w:tabs>
                <w:tab w:val="center" w:pos="4536"/>
              </w:tabs>
              <w:spacing w:before="0" w:after="0" w:line="240" w:lineRule="auto"/>
              <w:jc w:val="center"/>
              <w:rPr>
                <w:rFonts w:ascii="Arial" w:eastAsia="Times New Roman" w:hAnsi="Arial" w:cs="Arial"/>
                <w:bCs/>
                <w:color w:val="000000"/>
                <w:sz w:val="20"/>
                <w:szCs w:val="20"/>
                <w:lang w:val="en-GB"/>
              </w:rPr>
            </w:pPr>
            <w:r w:rsidRPr="003611CF">
              <w:rPr>
                <w:rFonts w:ascii="Arial" w:eastAsia="Times New Roman" w:hAnsi="Arial" w:cs="Arial"/>
                <w:bCs/>
                <w:color w:val="000000"/>
                <w:sz w:val="20"/>
                <w:szCs w:val="20"/>
                <w:lang w:val="en-GB"/>
              </w:rPr>
              <w:t>Pravna lica</w:t>
            </w:r>
          </w:p>
        </w:tc>
        <w:tc>
          <w:tcPr>
            <w:tcW w:w="2410" w:type="dxa"/>
            <w:shd w:val="clear" w:color="auto" w:fill="FEF4EC"/>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2.310</w:t>
            </w:r>
          </w:p>
        </w:tc>
        <w:tc>
          <w:tcPr>
            <w:tcW w:w="2410" w:type="dxa"/>
            <w:shd w:val="clear" w:color="auto" w:fill="FEF4EC"/>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9.568</w:t>
            </w:r>
          </w:p>
        </w:tc>
        <w:tc>
          <w:tcPr>
            <w:tcW w:w="1665" w:type="dxa"/>
            <w:shd w:val="clear" w:color="auto" w:fill="FEF4EC"/>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414</w:t>
            </w:r>
          </w:p>
        </w:tc>
      </w:tr>
      <w:tr w:rsidR="003611CF" w:rsidRPr="003611CF" w:rsidTr="003611CF">
        <w:trPr>
          <w:jc w:val="center"/>
        </w:trPr>
        <w:tc>
          <w:tcPr>
            <w:tcW w:w="2802"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bCs/>
                <w:color w:val="000000"/>
                <w:sz w:val="20"/>
                <w:szCs w:val="20"/>
                <w:lang w:val="en-GB"/>
              </w:rPr>
            </w:pPr>
            <w:r w:rsidRPr="003611CF">
              <w:rPr>
                <w:rFonts w:ascii="Arial" w:eastAsia="Times New Roman" w:hAnsi="Arial" w:cs="Arial"/>
                <w:bCs/>
                <w:color w:val="000000"/>
                <w:sz w:val="20"/>
                <w:szCs w:val="20"/>
                <w:lang w:val="en-GB"/>
              </w:rPr>
              <w:t>Fizička lica</w:t>
            </w:r>
          </w:p>
        </w:tc>
        <w:tc>
          <w:tcPr>
            <w:tcW w:w="2410"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1.674</w:t>
            </w:r>
          </w:p>
        </w:tc>
        <w:tc>
          <w:tcPr>
            <w:tcW w:w="2410"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2.915</w:t>
            </w:r>
          </w:p>
        </w:tc>
        <w:tc>
          <w:tcPr>
            <w:tcW w:w="1665"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192</w:t>
            </w:r>
          </w:p>
        </w:tc>
      </w:tr>
    </w:tbl>
    <w:p w:rsidR="003611CF" w:rsidRPr="003611CF" w:rsidRDefault="003611CF" w:rsidP="003611CF">
      <w:pPr>
        <w:spacing w:before="0" w:after="0" w:line="240" w:lineRule="auto"/>
        <w:rPr>
          <w:rFonts w:ascii="Arial" w:eastAsia="Times New Roman" w:hAnsi="Arial" w:cs="Arial"/>
          <w:sz w:val="22"/>
          <w:lang w:val="en-GB"/>
        </w:rPr>
      </w:pPr>
      <w:r w:rsidRPr="003611CF">
        <w:rPr>
          <w:rFonts w:ascii="Arial" w:eastAsia="Times New Roman" w:hAnsi="Arial" w:cs="Arial"/>
          <w:sz w:val="22"/>
          <w:lang w:val="en-GB"/>
        </w:rPr>
        <w:tab/>
      </w:r>
    </w:p>
    <w:p w:rsidR="003611CF" w:rsidRPr="003611CF" w:rsidRDefault="003611CF" w:rsidP="003611CF">
      <w:pPr>
        <w:spacing w:before="0" w:after="0" w:line="240" w:lineRule="auto"/>
        <w:jc w:val="center"/>
        <w:rPr>
          <w:rFonts w:ascii="Calibri" w:eastAsia="Times New Roman" w:hAnsi="Calibri" w:cs="Calibri"/>
          <w:bCs/>
          <w:szCs w:val="24"/>
          <w:lang w:val="en-GB"/>
        </w:rPr>
      </w:pPr>
      <w:r w:rsidRPr="003611CF">
        <w:rPr>
          <w:rFonts w:ascii="Calibri" w:eastAsia="Times New Roman" w:hAnsi="Calibri" w:cs="Calibri"/>
          <w:bCs/>
          <w:szCs w:val="24"/>
          <w:lang w:val="en-GB"/>
        </w:rPr>
        <w:t>STRUKTURA PRUŽENIH USLUGA PO VRSTAMA POREZA U PERIODU 01.01-31.12.2019/2020. GODINA - UPOREDNI PODACI</w:t>
      </w:r>
    </w:p>
    <w:tbl>
      <w:tblPr>
        <w:tblW w:w="0" w:type="auto"/>
        <w:jc w:val="center"/>
        <w:tblLook w:val="04A0" w:firstRow="1" w:lastRow="0" w:firstColumn="1" w:lastColumn="0" w:noHBand="0" w:noVBand="1"/>
      </w:tblPr>
      <w:tblGrid>
        <w:gridCol w:w="4643"/>
        <w:gridCol w:w="2092"/>
        <w:gridCol w:w="1957"/>
        <w:gridCol w:w="946"/>
      </w:tblGrid>
      <w:tr w:rsidR="003611CF" w:rsidRPr="003611CF" w:rsidTr="003611CF">
        <w:trPr>
          <w:trHeight w:val="374"/>
          <w:jc w:val="center"/>
        </w:trPr>
        <w:tc>
          <w:tcPr>
            <w:tcW w:w="4786" w:type="dxa"/>
            <w:tcBorders>
              <w:bottom w:val="single" w:sz="12" w:space="0" w:color="FFFFFF"/>
            </w:tcBorders>
            <w:shd w:val="clear" w:color="auto" w:fill="348DA5"/>
          </w:tcPr>
          <w:p w:rsidR="003611CF" w:rsidRPr="003611CF" w:rsidRDefault="003611CF" w:rsidP="003611CF">
            <w:pPr>
              <w:tabs>
                <w:tab w:val="center" w:pos="4536"/>
              </w:tabs>
              <w:spacing w:before="0" w:after="0" w:line="240" w:lineRule="auto"/>
              <w:jc w:val="center"/>
              <w:rPr>
                <w:rFonts w:ascii="Arial" w:eastAsia="Times New Roman" w:hAnsi="Arial" w:cs="Arial"/>
                <w:bCs/>
                <w:color w:val="FFFFFF"/>
                <w:sz w:val="20"/>
                <w:szCs w:val="24"/>
                <w:lang w:val="en-GB"/>
              </w:rPr>
            </w:pPr>
            <w:r w:rsidRPr="003611CF">
              <w:rPr>
                <w:rFonts w:ascii="Arial" w:eastAsia="Times New Roman" w:hAnsi="Arial" w:cs="Arial"/>
                <w:bCs/>
                <w:color w:val="FFFFFF"/>
                <w:sz w:val="20"/>
                <w:szCs w:val="24"/>
                <w:lang w:val="en-GB"/>
              </w:rPr>
              <w:t>Poreska oblast</w:t>
            </w:r>
          </w:p>
        </w:tc>
        <w:tc>
          <w:tcPr>
            <w:tcW w:w="2126" w:type="dxa"/>
            <w:tcBorders>
              <w:bottom w:val="single" w:sz="12" w:space="0" w:color="FFFFFF"/>
            </w:tcBorders>
            <w:shd w:val="clear" w:color="auto" w:fill="348DA5"/>
          </w:tcPr>
          <w:p w:rsidR="003611CF" w:rsidRPr="003611CF" w:rsidRDefault="003611CF" w:rsidP="003611CF">
            <w:pPr>
              <w:tabs>
                <w:tab w:val="center" w:pos="4536"/>
              </w:tabs>
              <w:spacing w:before="0" w:after="0" w:line="240" w:lineRule="auto"/>
              <w:jc w:val="center"/>
              <w:rPr>
                <w:rFonts w:ascii="Arial" w:eastAsia="Times New Roman" w:hAnsi="Arial" w:cs="Arial"/>
                <w:bCs/>
                <w:color w:val="FFFFFF"/>
                <w:sz w:val="20"/>
                <w:szCs w:val="24"/>
                <w:lang w:val="en-GB"/>
              </w:rPr>
            </w:pPr>
            <w:r w:rsidRPr="003611CF">
              <w:rPr>
                <w:rFonts w:ascii="Arial" w:eastAsia="Times New Roman" w:hAnsi="Arial" w:cs="Arial"/>
                <w:bCs/>
                <w:color w:val="FFFFFF"/>
                <w:sz w:val="20"/>
                <w:szCs w:val="24"/>
                <w:lang w:val="en-GB"/>
              </w:rPr>
              <w:t>01.01-31.12.</w:t>
            </w:r>
          </w:p>
          <w:p w:rsidR="003611CF" w:rsidRPr="003611CF" w:rsidRDefault="003611CF" w:rsidP="003611CF">
            <w:pPr>
              <w:tabs>
                <w:tab w:val="center" w:pos="4536"/>
              </w:tabs>
              <w:spacing w:before="0" w:after="0" w:line="240" w:lineRule="auto"/>
              <w:jc w:val="center"/>
              <w:rPr>
                <w:rFonts w:ascii="Arial" w:eastAsia="Times New Roman" w:hAnsi="Arial" w:cs="Arial"/>
                <w:bCs/>
                <w:color w:val="FFFFFF"/>
                <w:sz w:val="20"/>
                <w:szCs w:val="24"/>
                <w:lang w:val="en-GB"/>
              </w:rPr>
            </w:pPr>
            <w:r w:rsidRPr="003611CF">
              <w:rPr>
                <w:rFonts w:ascii="Arial" w:eastAsia="Times New Roman" w:hAnsi="Arial" w:cs="Arial"/>
                <w:bCs/>
                <w:color w:val="FFFFFF"/>
                <w:sz w:val="20"/>
                <w:szCs w:val="24"/>
                <w:lang w:val="en-GB"/>
              </w:rPr>
              <w:t>2019.godina</w:t>
            </w:r>
          </w:p>
        </w:tc>
        <w:tc>
          <w:tcPr>
            <w:tcW w:w="1985" w:type="dxa"/>
            <w:tcBorders>
              <w:bottom w:val="single" w:sz="12" w:space="0" w:color="FFFFFF"/>
            </w:tcBorders>
            <w:shd w:val="clear" w:color="auto" w:fill="348DA5"/>
          </w:tcPr>
          <w:p w:rsidR="003611CF" w:rsidRPr="003611CF" w:rsidRDefault="003611CF" w:rsidP="003611CF">
            <w:pPr>
              <w:tabs>
                <w:tab w:val="center" w:pos="4536"/>
              </w:tabs>
              <w:spacing w:before="0" w:after="0" w:line="240" w:lineRule="auto"/>
              <w:jc w:val="center"/>
              <w:rPr>
                <w:rFonts w:ascii="Arial" w:eastAsia="Times New Roman" w:hAnsi="Arial" w:cs="Arial"/>
                <w:bCs/>
                <w:color w:val="FFFFFF"/>
                <w:sz w:val="20"/>
                <w:szCs w:val="24"/>
                <w:lang w:val="en-GB"/>
              </w:rPr>
            </w:pPr>
            <w:r w:rsidRPr="003611CF">
              <w:rPr>
                <w:rFonts w:ascii="Arial" w:eastAsia="Times New Roman" w:hAnsi="Arial" w:cs="Arial"/>
                <w:bCs/>
                <w:color w:val="FFFFFF"/>
                <w:sz w:val="20"/>
                <w:szCs w:val="24"/>
                <w:lang w:val="en-GB"/>
              </w:rPr>
              <w:t>01.01-31.12.</w:t>
            </w:r>
          </w:p>
          <w:p w:rsidR="003611CF" w:rsidRPr="003611CF" w:rsidRDefault="003611CF" w:rsidP="003611CF">
            <w:pPr>
              <w:tabs>
                <w:tab w:val="center" w:pos="4536"/>
              </w:tabs>
              <w:spacing w:before="0" w:after="0" w:line="240" w:lineRule="auto"/>
              <w:jc w:val="center"/>
              <w:rPr>
                <w:rFonts w:ascii="Arial" w:eastAsia="Times New Roman" w:hAnsi="Arial" w:cs="Arial"/>
                <w:bCs/>
                <w:color w:val="FFFFFF"/>
                <w:sz w:val="20"/>
                <w:szCs w:val="24"/>
                <w:lang w:val="en-GB"/>
              </w:rPr>
            </w:pPr>
            <w:r w:rsidRPr="003611CF">
              <w:rPr>
                <w:rFonts w:ascii="Arial" w:eastAsia="Times New Roman" w:hAnsi="Arial" w:cs="Arial"/>
                <w:bCs/>
                <w:color w:val="FFFFFF"/>
                <w:sz w:val="20"/>
                <w:szCs w:val="24"/>
                <w:lang w:val="en-GB"/>
              </w:rPr>
              <w:t>2020.godina</w:t>
            </w:r>
          </w:p>
        </w:tc>
        <w:tc>
          <w:tcPr>
            <w:tcW w:w="957" w:type="dxa"/>
            <w:tcBorders>
              <w:bottom w:val="single" w:sz="12" w:space="0" w:color="FFFFFF"/>
            </w:tcBorders>
            <w:shd w:val="clear" w:color="auto" w:fill="348DA5"/>
          </w:tcPr>
          <w:p w:rsidR="003611CF" w:rsidRPr="003611CF" w:rsidRDefault="003611CF" w:rsidP="003611CF">
            <w:pPr>
              <w:tabs>
                <w:tab w:val="center" w:pos="4536"/>
              </w:tabs>
              <w:spacing w:before="0" w:after="0" w:line="240" w:lineRule="auto"/>
              <w:jc w:val="center"/>
              <w:rPr>
                <w:rFonts w:ascii="Arial" w:eastAsia="Times New Roman" w:hAnsi="Arial" w:cs="Arial"/>
                <w:bCs/>
                <w:color w:val="FFFFFF"/>
                <w:sz w:val="20"/>
                <w:szCs w:val="24"/>
                <w:lang w:val="en-GB"/>
              </w:rPr>
            </w:pPr>
            <w:r w:rsidRPr="003611CF">
              <w:rPr>
                <w:rFonts w:ascii="Arial" w:eastAsia="Times New Roman" w:hAnsi="Arial" w:cs="Arial"/>
                <w:bCs/>
                <w:color w:val="FFFFFF"/>
                <w:sz w:val="20"/>
                <w:szCs w:val="24"/>
                <w:lang w:val="en-GB"/>
              </w:rPr>
              <w:t>Index</w:t>
            </w:r>
          </w:p>
        </w:tc>
      </w:tr>
      <w:tr w:rsidR="003611CF" w:rsidRPr="003611CF" w:rsidTr="003611CF">
        <w:trPr>
          <w:jc w:val="center"/>
        </w:trPr>
        <w:tc>
          <w:tcPr>
            <w:tcW w:w="4786" w:type="dxa"/>
            <w:shd w:val="clear" w:color="auto" w:fill="FDE9D9"/>
          </w:tcPr>
          <w:p w:rsidR="003611CF" w:rsidRPr="003611CF" w:rsidRDefault="003611CF" w:rsidP="003611CF">
            <w:pPr>
              <w:tabs>
                <w:tab w:val="center" w:pos="4536"/>
              </w:tabs>
              <w:spacing w:before="0" w:after="0" w:line="240" w:lineRule="auto"/>
              <w:jc w:val="left"/>
              <w:rPr>
                <w:rFonts w:ascii="Arial" w:eastAsia="Times New Roman" w:hAnsi="Arial" w:cs="Arial"/>
                <w:bCs/>
                <w:color w:val="000000"/>
                <w:sz w:val="20"/>
                <w:szCs w:val="24"/>
                <w:lang w:val="en-GB"/>
              </w:rPr>
            </w:pPr>
            <w:r w:rsidRPr="003611CF">
              <w:rPr>
                <w:rFonts w:ascii="Arial" w:eastAsia="Times New Roman" w:hAnsi="Arial" w:cs="Arial"/>
                <w:bCs/>
                <w:color w:val="000000"/>
                <w:sz w:val="20"/>
                <w:szCs w:val="24"/>
                <w:lang w:val="en-GB"/>
              </w:rPr>
              <w:t>Porez na dohodak fizičkih lica</w:t>
            </w:r>
          </w:p>
        </w:tc>
        <w:tc>
          <w:tcPr>
            <w:tcW w:w="2126"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15.329</w:t>
            </w:r>
          </w:p>
        </w:tc>
        <w:tc>
          <w:tcPr>
            <w:tcW w:w="1985"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6.414</w:t>
            </w:r>
          </w:p>
        </w:tc>
        <w:tc>
          <w:tcPr>
            <w:tcW w:w="957"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42</w:t>
            </w:r>
          </w:p>
        </w:tc>
      </w:tr>
      <w:tr w:rsidR="003611CF" w:rsidRPr="003611CF" w:rsidTr="003611CF">
        <w:trPr>
          <w:jc w:val="center"/>
        </w:trPr>
        <w:tc>
          <w:tcPr>
            <w:tcW w:w="4786" w:type="dxa"/>
            <w:shd w:val="clear" w:color="auto" w:fill="FEF4EC"/>
          </w:tcPr>
          <w:p w:rsidR="003611CF" w:rsidRPr="003611CF" w:rsidRDefault="003611CF" w:rsidP="003611CF">
            <w:pPr>
              <w:tabs>
                <w:tab w:val="center" w:pos="4536"/>
              </w:tabs>
              <w:spacing w:before="0" w:after="0" w:line="240" w:lineRule="auto"/>
              <w:jc w:val="left"/>
              <w:rPr>
                <w:rFonts w:ascii="Arial" w:eastAsia="Times New Roman" w:hAnsi="Arial" w:cs="Arial"/>
                <w:bCs/>
                <w:color w:val="000000"/>
                <w:sz w:val="20"/>
                <w:szCs w:val="24"/>
                <w:lang w:val="en-GB"/>
              </w:rPr>
            </w:pPr>
            <w:r w:rsidRPr="003611CF">
              <w:rPr>
                <w:rFonts w:ascii="Arial" w:eastAsia="Times New Roman" w:hAnsi="Arial" w:cs="Arial"/>
                <w:bCs/>
                <w:color w:val="000000"/>
                <w:sz w:val="20"/>
                <w:szCs w:val="24"/>
                <w:lang w:val="en-GB"/>
              </w:rPr>
              <w:t>Porez na dodatnu vrijednost</w:t>
            </w:r>
          </w:p>
        </w:tc>
        <w:tc>
          <w:tcPr>
            <w:tcW w:w="2126" w:type="dxa"/>
            <w:shd w:val="clear" w:color="auto" w:fill="FEF4EC"/>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9.575</w:t>
            </w:r>
          </w:p>
        </w:tc>
        <w:tc>
          <w:tcPr>
            <w:tcW w:w="1985" w:type="dxa"/>
            <w:shd w:val="clear" w:color="auto" w:fill="FEF4EC"/>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6.980</w:t>
            </w:r>
          </w:p>
        </w:tc>
        <w:tc>
          <w:tcPr>
            <w:tcW w:w="957" w:type="dxa"/>
            <w:shd w:val="clear" w:color="auto" w:fill="FEF4EC"/>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73</w:t>
            </w:r>
          </w:p>
        </w:tc>
      </w:tr>
      <w:tr w:rsidR="003611CF" w:rsidRPr="003611CF" w:rsidTr="003611CF">
        <w:trPr>
          <w:jc w:val="center"/>
        </w:trPr>
        <w:tc>
          <w:tcPr>
            <w:tcW w:w="4786" w:type="dxa"/>
            <w:shd w:val="clear" w:color="auto" w:fill="FDE9D9"/>
          </w:tcPr>
          <w:p w:rsidR="003611CF" w:rsidRPr="003611CF" w:rsidRDefault="003611CF" w:rsidP="003611CF">
            <w:pPr>
              <w:tabs>
                <w:tab w:val="center" w:pos="4536"/>
              </w:tabs>
              <w:spacing w:before="0" w:after="0" w:line="240" w:lineRule="auto"/>
              <w:jc w:val="left"/>
              <w:rPr>
                <w:rFonts w:ascii="Arial" w:eastAsia="Times New Roman" w:hAnsi="Arial" w:cs="Arial"/>
                <w:bCs/>
                <w:color w:val="000000"/>
                <w:sz w:val="20"/>
                <w:szCs w:val="24"/>
                <w:lang w:val="en-GB"/>
              </w:rPr>
            </w:pPr>
            <w:r w:rsidRPr="003611CF">
              <w:rPr>
                <w:rFonts w:ascii="Arial" w:eastAsia="Times New Roman" w:hAnsi="Arial" w:cs="Arial"/>
                <w:bCs/>
                <w:color w:val="000000"/>
                <w:sz w:val="20"/>
                <w:szCs w:val="24"/>
                <w:lang w:val="en-GB"/>
              </w:rPr>
              <w:t>Porez na dobit</w:t>
            </w:r>
          </w:p>
        </w:tc>
        <w:tc>
          <w:tcPr>
            <w:tcW w:w="2126"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1.692</w:t>
            </w:r>
          </w:p>
        </w:tc>
        <w:tc>
          <w:tcPr>
            <w:tcW w:w="1985"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1.559</w:t>
            </w:r>
          </w:p>
        </w:tc>
        <w:tc>
          <w:tcPr>
            <w:tcW w:w="957"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92</w:t>
            </w:r>
          </w:p>
        </w:tc>
      </w:tr>
      <w:tr w:rsidR="003611CF" w:rsidRPr="003611CF" w:rsidTr="003611CF">
        <w:trPr>
          <w:jc w:val="center"/>
        </w:trPr>
        <w:tc>
          <w:tcPr>
            <w:tcW w:w="4786" w:type="dxa"/>
            <w:shd w:val="clear" w:color="auto" w:fill="FEF4EC"/>
          </w:tcPr>
          <w:p w:rsidR="003611CF" w:rsidRPr="003611CF" w:rsidRDefault="003611CF" w:rsidP="003611CF">
            <w:pPr>
              <w:tabs>
                <w:tab w:val="center" w:pos="4536"/>
              </w:tabs>
              <w:spacing w:before="0" w:after="0" w:line="240" w:lineRule="auto"/>
              <w:jc w:val="left"/>
              <w:rPr>
                <w:rFonts w:ascii="Arial" w:eastAsia="Times New Roman" w:hAnsi="Arial" w:cs="Arial"/>
                <w:bCs/>
                <w:color w:val="000000"/>
                <w:sz w:val="20"/>
                <w:szCs w:val="24"/>
                <w:lang w:val="en-GB"/>
              </w:rPr>
            </w:pPr>
            <w:r w:rsidRPr="003611CF">
              <w:rPr>
                <w:rFonts w:ascii="Arial" w:eastAsia="Times New Roman" w:hAnsi="Arial" w:cs="Arial"/>
                <w:bCs/>
                <w:color w:val="000000"/>
                <w:sz w:val="20"/>
                <w:szCs w:val="24"/>
                <w:lang w:val="en-GB"/>
              </w:rPr>
              <w:t>Poreske prijave (Zakon o objedinjenoj registraciji)</w:t>
            </w:r>
          </w:p>
        </w:tc>
        <w:tc>
          <w:tcPr>
            <w:tcW w:w="2126" w:type="dxa"/>
            <w:shd w:val="clear" w:color="auto" w:fill="FEF4EC"/>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123.769</w:t>
            </w:r>
          </w:p>
        </w:tc>
        <w:tc>
          <w:tcPr>
            <w:tcW w:w="1985" w:type="dxa"/>
            <w:shd w:val="clear" w:color="auto" w:fill="FEF4EC"/>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88.435</w:t>
            </w:r>
          </w:p>
        </w:tc>
        <w:tc>
          <w:tcPr>
            <w:tcW w:w="957" w:type="dxa"/>
            <w:shd w:val="clear" w:color="auto" w:fill="FEF4EC"/>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71</w:t>
            </w:r>
          </w:p>
        </w:tc>
      </w:tr>
      <w:tr w:rsidR="003611CF" w:rsidRPr="003611CF" w:rsidTr="003611CF">
        <w:trPr>
          <w:jc w:val="center"/>
        </w:trPr>
        <w:tc>
          <w:tcPr>
            <w:tcW w:w="4786" w:type="dxa"/>
            <w:shd w:val="clear" w:color="auto" w:fill="FDE9D9"/>
          </w:tcPr>
          <w:p w:rsidR="003611CF" w:rsidRPr="003611CF" w:rsidRDefault="003611CF" w:rsidP="003611CF">
            <w:pPr>
              <w:tabs>
                <w:tab w:val="center" w:pos="4536"/>
              </w:tabs>
              <w:spacing w:before="0" w:after="0" w:line="240" w:lineRule="auto"/>
              <w:jc w:val="left"/>
              <w:rPr>
                <w:rFonts w:ascii="Arial" w:eastAsia="Times New Roman" w:hAnsi="Arial" w:cs="Arial"/>
                <w:bCs/>
                <w:color w:val="000000"/>
                <w:sz w:val="20"/>
                <w:szCs w:val="24"/>
                <w:lang w:val="en-GB"/>
              </w:rPr>
            </w:pPr>
            <w:r w:rsidRPr="003611CF">
              <w:rPr>
                <w:rFonts w:ascii="Arial" w:eastAsia="Times New Roman" w:hAnsi="Arial" w:cs="Arial"/>
                <w:bCs/>
                <w:color w:val="000000"/>
                <w:sz w:val="20"/>
                <w:szCs w:val="24"/>
                <w:lang w:val="en-GB"/>
              </w:rPr>
              <w:t>Zakon o poreskoj administraciji</w:t>
            </w:r>
          </w:p>
        </w:tc>
        <w:tc>
          <w:tcPr>
            <w:tcW w:w="2126"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34.764</w:t>
            </w:r>
          </w:p>
        </w:tc>
        <w:tc>
          <w:tcPr>
            <w:tcW w:w="1985"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21.444</w:t>
            </w:r>
          </w:p>
        </w:tc>
        <w:tc>
          <w:tcPr>
            <w:tcW w:w="957"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62</w:t>
            </w:r>
          </w:p>
        </w:tc>
      </w:tr>
      <w:tr w:rsidR="003611CF" w:rsidRPr="003611CF" w:rsidTr="003611CF">
        <w:trPr>
          <w:jc w:val="center"/>
        </w:trPr>
        <w:tc>
          <w:tcPr>
            <w:tcW w:w="4786" w:type="dxa"/>
            <w:shd w:val="clear" w:color="auto" w:fill="FEF4EC"/>
          </w:tcPr>
          <w:p w:rsidR="003611CF" w:rsidRPr="003611CF" w:rsidRDefault="003611CF" w:rsidP="003611CF">
            <w:pPr>
              <w:tabs>
                <w:tab w:val="center" w:pos="4536"/>
              </w:tabs>
              <w:spacing w:before="0" w:after="0" w:line="240" w:lineRule="auto"/>
              <w:jc w:val="left"/>
              <w:rPr>
                <w:rFonts w:ascii="Arial" w:eastAsia="Times New Roman" w:hAnsi="Arial" w:cs="Arial"/>
                <w:bCs/>
                <w:color w:val="000000"/>
                <w:sz w:val="20"/>
                <w:szCs w:val="24"/>
                <w:lang w:val="en-GB"/>
              </w:rPr>
            </w:pPr>
            <w:r w:rsidRPr="003611CF">
              <w:rPr>
                <w:rFonts w:ascii="Arial" w:eastAsia="Times New Roman" w:hAnsi="Arial" w:cs="Arial"/>
                <w:bCs/>
                <w:color w:val="000000"/>
                <w:sz w:val="20"/>
                <w:szCs w:val="24"/>
                <w:lang w:val="en-GB"/>
              </w:rPr>
              <w:t>Ostali odgovori</w:t>
            </w:r>
          </w:p>
        </w:tc>
        <w:tc>
          <w:tcPr>
            <w:tcW w:w="2126" w:type="dxa"/>
            <w:shd w:val="clear" w:color="auto" w:fill="FEF4EC"/>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43.036</w:t>
            </w:r>
          </w:p>
        </w:tc>
        <w:tc>
          <w:tcPr>
            <w:tcW w:w="1985" w:type="dxa"/>
            <w:shd w:val="clear" w:color="auto" w:fill="FEF4EC"/>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33.683</w:t>
            </w:r>
          </w:p>
        </w:tc>
        <w:tc>
          <w:tcPr>
            <w:tcW w:w="957" w:type="dxa"/>
            <w:shd w:val="clear" w:color="auto" w:fill="FEF4EC"/>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78</w:t>
            </w:r>
          </w:p>
        </w:tc>
      </w:tr>
    </w:tbl>
    <w:p w:rsidR="003611CF" w:rsidRPr="003611CF" w:rsidRDefault="003611CF" w:rsidP="003611CF">
      <w:pPr>
        <w:spacing w:before="0" w:after="0" w:line="240" w:lineRule="auto"/>
        <w:rPr>
          <w:rFonts w:ascii="Arial" w:eastAsia="Times New Roman" w:hAnsi="Arial" w:cs="Arial"/>
          <w:sz w:val="22"/>
          <w:lang w:val="en-GB"/>
        </w:rPr>
      </w:pP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Arial" w:eastAsia="Times New Roman" w:hAnsi="Arial" w:cs="Arial"/>
          <w:sz w:val="22"/>
          <w:lang w:val="en-GB"/>
        </w:rPr>
        <w:tab/>
      </w:r>
      <w:r w:rsidRPr="003611CF">
        <w:rPr>
          <w:rFonts w:ascii="Calibri" w:eastAsia="Times New Roman" w:hAnsi="Calibri" w:cs="Calibri"/>
          <w:szCs w:val="24"/>
          <w:lang w:val="en-GB"/>
        </w:rPr>
        <w:t>Način i struktura pružanja usluga poreskim obveznicima po pojedinim poreskim oblastima sa aspekta njihovog planiranja predstavljaju specifičnu kategoriju, pa je prilikom planiranja korišten broj ostvarenih usluga iz 2019. godine.</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 xml:space="preserve">Poreska uprava je u </w:t>
      </w:r>
      <w:r w:rsidRPr="003611CF">
        <w:rPr>
          <w:rFonts w:ascii="Calibri" w:eastAsia="Times New Roman" w:hAnsi="Calibri" w:cs="Calibri"/>
          <w:szCs w:val="24"/>
        </w:rPr>
        <w:t>izvještajnom</w:t>
      </w:r>
      <w:r w:rsidRPr="003611CF">
        <w:rPr>
          <w:rFonts w:ascii="Calibri" w:eastAsia="Times New Roman" w:hAnsi="Calibri" w:cs="Calibri"/>
          <w:szCs w:val="24"/>
          <w:lang w:val="en-GB"/>
        </w:rPr>
        <w:t xml:space="preserve"> periodu izdala više pisanih materijala koji su bili dostupni poreskim obveznicima, kako u Centrali Poreske uprave tako i u svim područnim jedinicama. Prisutnost predstavnika Poreske uprave u elektronskim i štampanim medijima uz davanje konkretnih objašnjenja u vezi sa primjenom poreskih propisa bila je značajna. </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 xml:space="preserve">Navedene aktivnosti Poreske uprave su značajno doprinijele edukaciji poreskih obveznika koji su dobili više informacija u vezi sa primjenom poreskih propisa. </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 xml:space="preserve">    </w:t>
      </w:r>
    </w:p>
    <w:p w:rsidR="003611CF" w:rsidRPr="003611CF" w:rsidRDefault="003611CF" w:rsidP="003611CF">
      <w:pPr>
        <w:spacing w:before="0" w:after="0" w:line="240" w:lineRule="auto"/>
        <w:rPr>
          <w:rFonts w:ascii="Calibri" w:eastAsia="Times New Roman" w:hAnsi="Calibri" w:cs="Calibri"/>
          <w:b/>
          <w:szCs w:val="24"/>
          <w:lang w:val="en-GB"/>
        </w:rPr>
      </w:pPr>
      <w:r w:rsidRPr="003611CF">
        <w:rPr>
          <w:rFonts w:ascii="Calibri" w:eastAsia="Times New Roman" w:hAnsi="Calibri" w:cs="Calibri"/>
          <w:b/>
          <w:szCs w:val="24"/>
          <w:lang w:val="en-GB"/>
        </w:rPr>
        <w:t>Registracija poreskih obveznika</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 xml:space="preserve">              Struktura registrovanih poreskih obveznika u periodu 01.01-31.12.2020. godine je sljedeća</w:t>
      </w:r>
      <w:r>
        <w:rPr>
          <w:rFonts w:ascii="Calibri" w:eastAsia="Times New Roman" w:hAnsi="Calibri" w:cs="Calibri"/>
          <w:szCs w:val="24"/>
          <w:lang w:val="en-GB"/>
        </w:rPr>
        <w:t xml:space="preserve">:                            </w:t>
      </w:r>
      <w:r w:rsidRPr="003611CF">
        <w:rPr>
          <w:rFonts w:ascii="Calibri" w:eastAsia="Times New Roman" w:hAnsi="Calibri" w:cs="Calibri"/>
          <w:szCs w:val="24"/>
          <w:lang w:val="en-GB"/>
        </w:rPr>
        <w:t xml:space="preserve">                  </w:t>
      </w:r>
    </w:p>
    <w:p w:rsidR="003611CF" w:rsidRPr="003611CF" w:rsidRDefault="003611CF" w:rsidP="003611CF">
      <w:pPr>
        <w:spacing w:before="0" w:after="0" w:line="240" w:lineRule="auto"/>
        <w:rPr>
          <w:rFonts w:ascii="Calibri" w:eastAsia="Times New Roman" w:hAnsi="Calibri" w:cs="Calibri"/>
          <w:szCs w:val="24"/>
          <w:lang w:val="en-GB"/>
        </w:rPr>
      </w:pPr>
    </w:p>
    <w:p w:rsidR="003611CF" w:rsidRPr="003611CF" w:rsidRDefault="003611CF" w:rsidP="003611CF">
      <w:pPr>
        <w:tabs>
          <w:tab w:val="center" w:pos="4536"/>
        </w:tabs>
        <w:spacing w:before="0" w:after="0" w:line="240" w:lineRule="auto"/>
        <w:jc w:val="center"/>
        <w:rPr>
          <w:rFonts w:ascii="Calibri" w:eastAsia="Times New Roman" w:hAnsi="Calibri" w:cs="Calibri"/>
          <w:bCs/>
          <w:szCs w:val="24"/>
          <w:lang w:val="en-GB"/>
        </w:rPr>
      </w:pPr>
      <w:r w:rsidRPr="003611CF">
        <w:rPr>
          <w:rFonts w:ascii="Calibri" w:eastAsia="Times New Roman" w:hAnsi="Calibri" w:cs="Calibri"/>
          <w:bCs/>
          <w:szCs w:val="24"/>
          <w:lang w:val="en-GB"/>
        </w:rPr>
        <w:t>UKUPAN BROJ REGISTROVANIH OBVEZNIKA U PERIODU 01.01-31.12.2019/2020. GODINE -UPOREDNI PODACI</w:t>
      </w:r>
    </w:p>
    <w:tbl>
      <w:tblPr>
        <w:tblW w:w="0" w:type="auto"/>
        <w:jc w:val="center"/>
        <w:tblLook w:val="04A0" w:firstRow="1" w:lastRow="0" w:firstColumn="1" w:lastColumn="0" w:noHBand="0" w:noVBand="1"/>
      </w:tblPr>
      <w:tblGrid>
        <w:gridCol w:w="2321"/>
        <w:gridCol w:w="3032"/>
        <w:gridCol w:w="3119"/>
        <w:gridCol w:w="815"/>
      </w:tblGrid>
      <w:tr w:rsidR="003611CF" w:rsidRPr="003611CF" w:rsidTr="003611CF">
        <w:trPr>
          <w:jc w:val="center"/>
        </w:trPr>
        <w:tc>
          <w:tcPr>
            <w:tcW w:w="2321" w:type="dxa"/>
            <w:tcBorders>
              <w:bottom w:val="single" w:sz="12" w:space="0" w:color="FFFFFF"/>
            </w:tcBorders>
            <w:shd w:val="clear" w:color="auto" w:fill="348DA5"/>
          </w:tcPr>
          <w:p w:rsidR="003611CF" w:rsidRPr="003611CF" w:rsidRDefault="003611CF" w:rsidP="003611CF">
            <w:pPr>
              <w:tabs>
                <w:tab w:val="center" w:pos="4536"/>
              </w:tabs>
              <w:spacing w:before="0" w:after="0" w:line="240" w:lineRule="auto"/>
              <w:jc w:val="center"/>
              <w:rPr>
                <w:rFonts w:ascii="Arial" w:eastAsia="Times New Roman" w:hAnsi="Arial" w:cs="Arial"/>
                <w:bCs/>
                <w:color w:val="FFFFFF"/>
                <w:sz w:val="20"/>
                <w:szCs w:val="24"/>
                <w:lang w:val="en-GB"/>
              </w:rPr>
            </w:pPr>
            <w:r w:rsidRPr="003611CF">
              <w:rPr>
                <w:rFonts w:ascii="Arial" w:eastAsia="Times New Roman" w:hAnsi="Arial" w:cs="Arial"/>
                <w:bCs/>
                <w:color w:val="FFFFFF"/>
                <w:sz w:val="20"/>
                <w:szCs w:val="24"/>
                <w:lang w:val="en-GB"/>
              </w:rPr>
              <w:t xml:space="preserve">     Vrsta registracije</w:t>
            </w:r>
          </w:p>
        </w:tc>
        <w:tc>
          <w:tcPr>
            <w:tcW w:w="3032" w:type="dxa"/>
            <w:tcBorders>
              <w:bottom w:val="single" w:sz="12" w:space="0" w:color="FFFFFF"/>
            </w:tcBorders>
            <w:shd w:val="clear" w:color="auto" w:fill="348DA5"/>
          </w:tcPr>
          <w:p w:rsidR="003611CF" w:rsidRPr="003611CF" w:rsidRDefault="003611CF" w:rsidP="003611CF">
            <w:pPr>
              <w:tabs>
                <w:tab w:val="center" w:pos="4536"/>
              </w:tabs>
              <w:spacing w:before="0" w:after="0" w:line="240" w:lineRule="auto"/>
              <w:jc w:val="center"/>
              <w:rPr>
                <w:rFonts w:ascii="Arial" w:eastAsia="Times New Roman" w:hAnsi="Arial" w:cs="Arial"/>
                <w:bCs/>
                <w:color w:val="FFFFFF"/>
                <w:sz w:val="20"/>
                <w:szCs w:val="24"/>
                <w:lang w:val="en-GB"/>
              </w:rPr>
            </w:pPr>
            <w:r w:rsidRPr="003611CF">
              <w:rPr>
                <w:rFonts w:ascii="Arial" w:eastAsia="Times New Roman" w:hAnsi="Arial" w:cs="Arial"/>
                <w:bCs/>
                <w:color w:val="FFFFFF"/>
                <w:sz w:val="20"/>
                <w:szCs w:val="24"/>
                <w:lang w:val="en-GB"/>
              </w:rPr>
              <w:t>Broj registrovanih obveznika- 01.01-31.12.2019. godine</w:t>
            </w:r>
          </w:p>
        </w:tc>
        <w:tc>
          <w:tcPr>
            <w:tcW w:w="3119" w:type="dxa"/>
            <w:tcBorders>
              <w:bottom w:val="single" w:sz="12" w:space="0" w:color="FFFFFF"/>
            </w:tcBorders>
            <w:shd w:val="clear" w:color="auto" w:fill="348DA5"/>
          </w:tcPr>
          <w:p w:rsidR="003611CF" w:rsidRPr="003611CF" w:rsidRDefault="003611CF" w:rsidP="003611CF">
            <w:pPr>
              <w:tabs>
                <w:tab w:val="center" w:pos="4536"/>
              </w:tabs>
              <w:spacing w:before="0" w:after="0" w:line="240" w:lineRule="auto"/>
              <w:jc w:val="center"/>
              <w:rPr>
                <w:rFonts w:ascii="Arial" w:eastAsia="Times New Roman" w:hAnsi="Arial" w:cs="Arial"/>
                <w:bCs/>
                <w:color w:val="FFFFFF"/>
                <w:sz w:val="20"/>
                <w:szCs w:val="24"/>
                <w:lang w:val="en-GB"/>
              </w:rPr>
            </w:pPr>
            <w:r w:rsidRPr="003611CF">
              <w:rPr>
                <w:rFonts w:ascii="Arial" w:eastAsia="Times New Roman" w:hAnsi="Arial" w:cs="Arial"/>
                <w:bCs/>
                <w:color w:val="FFFFFF"/>
                <w:sz w:val="20"/>
                <w:szCs w:val="24"/>
                <w:lang w:val="en-GB"/>
              </w:rPr>
              <w:t>Broj registrovanih obveznika-   01.01-31.12.2020. godine</w:t>
            </w:r>
          </w:p>
        </w:tc>
        <w:tc>
          <w:tcPr>
            <w:tcW w:w="815" w:type="dxa"/>
            <w:tcBorders>
              <w:bottom w:val="single" w:sz="12" w:space="0" w:color="FFFFFF"/>
            </w:tcBorders>
            <w:shd w:val="clear" w:color="auto" w:fill="348DA5"/>
          </w:tcPr>
          <w:p w:rsidR="003611CF" w:rsidRPr="003611CF" w:rsidRDefault="003611CF" w:rsidP="003611CF">
            <w:pPr>
              <w:tabs>
                <w:tab w:val="center" w:pos="4536"/>
              </w:tabs>
              <w:spacing w:before="0" w:after="0" w:line="240" w:lineRule="auto"/>
              <w:jc w:val="center"/>
              <w:rPr>
                <w:rFonts w:ascii="Arial" w:eastAsia="Times New Roman" w:hAnsi="Arial" w:cs="Arial"/>
                <w:bCs/>
                <w:color w:val="FFFFFF"/>
                <w:sz w:val="20"/>
                <w:szCs w:val="24"/>
                <w:lang w:val="en-GB"/>
              </w:rPr>
            </w:pPr>
            <w:r w:rsidRPr="003611CF">
              <w:rPr>
                <w:rFonts w:ascii="Arial" w:eastAsia="Times New Roman" w:hAnsi="Arial" w:cs="Arial"/>
                <w:bCs/>
                <w:color w:val="FFFFFF"/>
                <w:sz w:val="20"/>
                <w:szCs w:val="24"/>
                <w:lang w:val="en-GB"/>
              </w:rPr>
              <w:t>Index</w:t>
            </w:r>
          </w:p>
        </w:tc>
      </w:tr>
      <w:tr w:rsidR="003611CF" w:rsidRPr="003611CF" w:rsidTr="003611CF">
        <w:trPr>
          <w:jc w:val="center"/>
        </w:trPr>
        <w:tc>
          <w:tcPr>
            <w:tcW w:w="2321" w:type="dxa"/>
            <w:shd w:val="clear" w:color="auto" w:fill="FDE9D9"/>
          </w:tcPr>
          <w:p w:rsidR="003611CF" w:rsidRPr="003611CF" w:rsidRDefault="003611CF" w:rsidP="003611CF">
            <w:pPr>
              <w:tabs>
                <w:tab w:val="center" w:pos="4536"/>
              </w:tabs>
              <w:spacing w:before="0" w:after="0" w:line="240" w:lineRule="auto"/>
              <w:jc w:val="left"/>
              <w:rPr>
                <w:rFonts w:ascii="Arial" w:eastAsia="Times New Roman" w:hAnsi="Arial" w:cs="Arial"/>
                <w:b/>
                <w:bCs/>
                <w:color w:val="000000"/>
                <w:sz w:val="20"/>
                <w:szCs w:val="24"/>
                <w:lang w:val="en-GB"/>
              </w:rPr>
            </w:pPr>
            <w:r w:rsidRPr="003611CF">
              <w:rPr>
                <w:rFonts w:ascii="Arial" w:eastAsia="Times New Roman" w:hAnsi="Arial" w:cs="Arial"/>
                <w:b/>
                <w:bCs/>
                <w:color w:val="000000"/>
                <w:sz w:val="20"/>
                <w:szCs w:val="24"/>
                <w:lang w:val="en-GB"/>
              </w:rPr>
              <w:t>Opšta  registracija</w:t>
            </w:r>
          </w:p>
        </w:tc>
        <w:tc>
          <w:tcPr>
            <w:tcW w:w="3032"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b/>
                <w:sz w:val="20"/>
                <w:lang w:val="en-GB"/>
              </w:rPr>
            </w:pPr>
            <w:r w:rsidRPr="003611CF">
              <w:rPr>
                <w:rFonts w:ascii="Arial" w:eastAsia="Times New Roman" w:hAnsi="Arial" w:cs="Arial"/>
                <w:b/>
                <w:sz w:val="20"/>
                <w:lang w:val="en-GB"/>
              </w:rPr>
              <w:t>6.339</w:t>
            </w:r>
          </w:p>
        </w:tc>
        <w:tc>
          <w:tcPr>
            <w:tcW w:w="3119"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b/>
                <w:sz w:val="20"/>
                <w:lang w:val="en-GB"/>
              </w:rPr>
            </w:pPr>
            <w:r w:rsidRPr="003611CF">
              <w:rPr>
                <w:rFonts w:ascii="Arial" w:eastAsia="Times New Roman" w:hAnsi="Arial" w:cs="Arial"/>
                <w:b/>
                <w:sz w:val="20"/>
                <w:lang w:val="en-GB"/>
              </w:rPr>
              <w:t>5.145</w:t>
            </w:r>
          </w:p>
        </w:tc>
        <w:tc>
          <w:tcPr>
            <w:tcW w:w="815"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b/>
                <w:sz w:val="20"/>
                <w:lang w:val="en-GB"/>
              </w:rPr>
            </w:pPr>
            <w:r w:rsidRPr="003611CF">
              <w:rPr>
                <w:rFonts w:ascii="Arial" w:eastAsia="Times New Roman" w:hAnsi="Arial" w:cs="Arial"/>
                <w:b/>
                <w:sz w:val="20"/>
                <w:lang w:val="en-GB"/>
              </w:rPr>
              <w:t>81</w:t>
            </w:r>
          </w:p>
        </w:tc>
      </w:tr>
      <w:tr w:rsidR="003611CF" w:rsidRPr="003611CF" w:rsidTr="003611CF">
        <w:trPr>
          <w:jc w:val="center"/>
        </w:trPr>
        <w:tc>
          <w:tcPr>
            <w:tcW w:w="2321" w:type="dxa"/>
            <w:shd w:val="clear" w:color="auto" w:fill="FEF4EC"/>
          </w:tcPr>
          <w:p w:rsidR="003611CF" w:rsidRPr="003611CF" w:rsidRDefault="003611CF" w:rsidP="003611CF">
            <w:pPr>
              <w:tabs>
                <w:tab w:val="center" w:pos="4536"/>
              </w:tabs>
              <w:spacing w:before="0" w:after="0" w:line="240" w:lineRule="auto"/>
              <w:jc w:val="center"/>
              <w:rPr>
                <w:rFonts w:ascii="Arial" w:eastAsia="Times New Roman" w:hAnsi="Arial" w:cs="Arial"/>
                <w:bCs/>
                <w:color w:val="000000"/>
                <w:sz w:val="20"/>
                <w:szCs w:val="24"/>
                <w:lang w:val="en-GB"/>
              </w:rPr>
            </w:pPr>
            <w:r w:rsidRPr="003611CF">
              <w:rPr>
                <w:rFonts w:ascii="Arial" w:eastAsia="Times New Roman" w:hAnsi="Arial" w:cs="Arial"/>
                <w:bCs/>
                <w:color w:val="000000"/>
                <w:sz w:val="20"/>
                <w:szCs w:val="24"/>
                <w:lang w:val="en-GB"/>
              </w:rPr>
              <w:t>Pravna lica</w:t>
            </w:r>
          </w:p>
        </w:tc>
        <w:tc>
          <w:tcPr>
            <w:tcW w:w="3032" w:type="dxa"/>
            <w:shd w:val="clear" w:color="auto" w:fill="FEF4EC"/>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5.345</w:t>
            </w:r>
          </w:p>
        </w:tc>
        <w:tc>
          <w:tcPr>
            <w:tcW w:w="3119" w:type="dxa"/>
            <w:shd w:val="clear" w:color="auto" w:fill="FEF4EC"/>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4.390</w:t>
            </w:r>
          </w:p>
        </w:tc>
        <w:tc>
          <w:tcPr>
            <w:tcW w:w="815" w:type="dxa"/>
            <w:shd w:val="clear" w:color="auto" w:fill="FEF4EC"/>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82</w:t>
            </w:r>
          </w:p>
        </w:tc>
      </w:tr>
      <w:tr w:rsidR="003611CF" w:rsidRPr="003611CF" w:rsidTr="003611CF">
        <w:trPr>
          <w:jc w:val="center"/>
        </w:trPr>
        <w:tc>
          <w:tcPr>
            <w:tcW w:w="2321"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bCs/>
                <w:color w:val="000000"/>
                <w:sz w:val="20"/>
                <w:szCs w:val="24"/>
                <w:lang w:val="en-GB"/>
              </w:rPr>
            </w:pPr>
            <w:r w:rsidRPr="003611CF">
              <w:rPr>
                <w:rFonts w:ascii="Arial" w:eastAsia="Times New Roman" w:hAnsi="Arial" w:cs="Arial"/>
                <w:bCs/>
                <w:color w:val="000000"/>
                <w:sz w:val="20"/>
                <w:szCs w:val="24"/>
                <w:lang w:val="en-GB"/>
              </w:rPr>
              <w:t>Preduzetnici</w:t>
            </w:r>
          </w:p>
        </w:tc>
        <w:tc>
          <w:tcPr>
            <w:tcW w:w="3032"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994</w:t>
            </w:r>
          </w:p>
        </w:tc>
        <w:tc>
          <w:tcPr>
            <w:tcW w:w="3119"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755</w:t>
            </w:r>
          </w:p>
        </w:tc>
        <w:tc>
          <w:tcPr>
            <w:tcW w:w="815"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76</w:t>
            </w:r>
          </w:p>
        </w:tc>
      </w:tr>
      <w:tr w:rsidR="003611CF" w:rsidRPr="003611CF" w:rsidTr="003611CF">
        <w:trPr>
          <w:jc w:val="center"/>
        </w:trPr>
        <w:tc>
          <w:tcPr>
            <w:tcW w:w="2321" w:type="dxa"/>
            <w:shd w:val="clear" w:color="auto" w:fill="FEF4EC"/>
          </w:tcPr>
          <w:p w:rsidR="003611CF" w:rsidRPr="003611CF" w:rsidRDefault="003611CF" w:rsidP="003611CF">
            <w:pPr>
              <w:tabs>
                <w:tab w:val="center" w:pos="4536"/>
              </w:tabs>
              <w:spacing w:before="0" w:after="0" w:line="240" w:lineRule="auto"/>
              <w:jc w:val="left"/>
              <w:rPr>
                <w:rFonts w:ascii="Arial" w:eastAsia="Times New Roman" w:hAnsi="Arial" w:cs="Arial"/>
                <w:b/>
                <w:bCs/>
                <w:color w:val="000000"/>
                <w:sz w:val="20"/>
                <w:szCs w:val="24"/>
                <w:lang w:val="en-GB"/>
              </w:rPr>
            </w:pPr>
            <w:r w:rsidRPr="003611CF">
              <w:rPr>
                <w:rFonts w:ascii="Arial" w:eastAsia="Times New Roman" w:hAnsi="Arial" w:cs="Arial"/>
                <w:b/>
                <w:bCs/>
                <w:color w:val="000000"/>
                <w:sz w:val="20"/>
                <w:szCs w:val="24"/>
                <w:lang w:val="en-GB"/>
              </w:rPr>
              <w:t>Registracija za PDV</w:t>
            </w:r>
          </w:p>
        </w:tc>
        <w:tc>
          <w:tcPr>
            <w:tcW w:w="3032" w:type="dxa"/>
            <w:shd w:val="clear" w:color="auto" w:fill="FEF4EC"/>
          </w:tcPr>
          <w:p w:rsidR="003611CF" w:rsidRPr="003611CF" w:rsidRDefault="003611CF" w:rsidP="003611CF">
            <w:pPr>
              <w:tabs>
                <w:tab w:val="center" w:pos="4536"/>
              </w:tabs>
              <w:spacing w:before="0" w:after="0" w:line="240" w:lineRule="auto"/>
              <w:jc w:val="center"/>
              <w:rPr>
                <w:rFonts w:ascii="Arial" w:eastAsia="Times New Roman" w:hAnsi="Arial" w:cs="Arial"/>
                <w:b/>
                <w:sz w:val="20"/>
                <w:lang w:val="en-GB"/>
              </w:rPr>
            </w:pPr>
            <w:r w:rsidRPr="003611CF">
              <w:rPr>
                <w:rFonts w:ascii="Arial" w:eastAsia="Times New Roman" w:hAnsi="Arial" w:cs="Arial"/>
                <w:b/>
                <w:sz w:val="20"/>
                <w:lang w:val="en-GB"/>
              </w:rPr>
              <w:t>5.161</w:t>
            </w:r>
          </w:p>
        </w:tc>
        <w:tc>
          <w:tcPr>
            <w:tcW w:w="3119" w:type="dxa"/>
            <w:shd w:val="clear" w:color="auto" w:fill="FEF4EC"/>
          </w:tcPr>
          <w:p w:rsidR="003611CF" w:rsidRPr="003611CF" w:rsidRDefault="003611CF" w:rsidP="003611CF">
            <w:pPr>
              <w:tabs>
                <w:tab w:val="center" w:pos="4536"/>
              </w:tabs>
              <w:spacing w:before="0" w:after="0" w:line="240" w:lineRule="auto"/>
              <w:jc w:val="center"/>
              <w:rPr>
                <w:rFonts w:ascii="Arial" w:eastAsia="Times New Roman" w:hAnsi="Arial" w:cs="Arial"/>
                <w:b/>
                <w:sz w:val="20"/>
                <w:lang w:val="en-GB"/>
              </w:rPr>
            </w:pPr>
            <w:r w:rsidRPr="003611CF">
              <w:rPr>
                <w:rFonts w:ascii="Arial" w:eastAsia="Times New Roman" w:hAnsi="Arial" w:cs="Arial"/>
                <w:b/>
                <w:sz w:val="20"/>
                <w:lang w:val="en-GB"/>
              </w:rPr>
              <w:t>3.352</w:t>
            </w:r>
          </w:p>
        </w:tc>
        <w:tc>
          <w:tcPr>
            <w:tcW w:w="815" w:type="dxa"/>
            <w:shd w:val="clear" w:color="auto" w:fill="FEF4EC"/>
          </w:tcPr>
          <w:p w:rsidR="003611CF" w:rsidRPr="003611CF" w:rsidRDefault="003611CF" w:rsidP="003611CF">
            <w:pPr>
              <w:tabs>
                <w:tab w:val="center" w:pos="4536"/>
              </w:tabs>
              <w:spacing w:before="0" w:after="0" w:line="240" w:lineRule="auto"/>
              <w:jc w:val="center"/>
              <w:rPr>
                <w:rFonts w:ascii="Arial" w:eastAsia="Times New Roman" w:hAnsi="Arial" w:cs="Arial"/>
                <w:b/>
                <w:sz w:val="20"/>
                <w:lang w:val="en-GB"/>
              </w:rPr>
            </w:pPr>
            <w:r w:rsidRPr="003611CF">
              <w:rPr>
                <w:rFonts w:ascii="Arial" w:eastAsia="Times New Roman" w:hAnsi="Arial" w:cs="Arial"/>
                <w:b/>
                <w:sz w:val="20"/>
                <w:lang w:val="en-GB"/>
              </w:rPr>
              <w:t>65</w:t>
            </w:r>
          </w:p>
        </w:tc>
      </w:tr>
      <w:tr w:rsidR="003611CF" w:rsidRPr="003611CF" w:rsidTr="003611CF">
        <w:trPr>
          <w:jc w:val="center"/>
        </w:trPr>
        <w:tc>
          <w:tcPr>
            <w:tcW w:w="2321"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bCs/>
                <w:color w:val="000000"/>
                <w:sz w:val="20"/>
                <w:szCs w:val="24"/>
                <w:lang w:val="en-GB"/>
              </w:rPr>
            </w:pPr>
            <w:r w:rsidRPr="003611CF">
              <w:rPr>
                <w:rFonts w:ascii="Arial" w:eastAsia="Times New Roman" w:hAnsi="Arial" w:cs="Arial"/>
                <w:bCs/>
                <w:color w:val="000000"/>
                <w:sz w:val="20"/>
                <w:szCs w:val="24"/>
                <w:lang w:val="en-GB"/>
              </w:rPr>
              <w:t>Pravna lica</w:t>
            </w:r>
          </w:p>
        </w:tc>
        <w:tc>
          <w:tcPr>
            <w:tcW w:w="3032"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4.894</w:t>
            </w:r>
          </w:p>
        </w:tc>
        <w:tc>
          <w:tcPr>
            <w:tcW w:w="3119"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3.269</w:t>
            </w:r>
          </w:p>
        </w:tc>
        <w:tc>
          <w:tcPr>
            <w:tcW w:w="815"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67</w:t>
            </w:r>
          </w:p>
        </w:tc>
      </w:tr>
      <w:tr w:rsidR="003611CF" w:rsidRPr="003611CF" w:rsidTr="003611CF">
        <w:trPr>
          <w:jc w:val="center"/>
        </w:trPr>
        <w:tc>
          <w:tcPr>
            <w:tcW w:w="2321" w:type="dxa"/>
            <w:shd w:val="clear" w:color="auto" w:fill="FEF4EC"/>
          </w:tcPr>
          <w:p w:rsidR="003611CF" w:rsidRPr="003611CF" w:rsidRDefault="003611CF" w:rsidP="003611CF">
            <w:pPr>
              <w:tabs>
                <w:tab w:val="center" w:pos="4536"/>
              </w:tabs>
              <w:spacing w:before="0" w:after="0" w:line="240" w:lineRule="auto"/>
              <w:jc w:val="center"/>
              <w:rPr>
                <w:rFonts w:ascii="Arial" w:eastAsia="Times New Roman" w:hAnsi="Arial" w:cs="Arial"/>
                <w:bCs/>
                <w:color w:val="000000"/>
                <w:sz w:val="20"/>
                <w:szCs w:val="24"/>
                <w:lang w:val="en-GB"/>
              </w:rPr>
            </w:pPr>
            <w:r w:rsidRPr="003611CF">
              <w:rPr>
                <w:rFonts w:ascii="Arial" w:eastAsia="Times New Roman" w:hAnsi="Arial" w:cs="Arial"/>
                <w:bCs/>
                <w:color w:val="000000"/>
                <w:sz w:val="20"/>
                <w:szCs w:val="24"/>
                <w:lang w:val="en-GB"/>
              </w:rPr>
              <w:t>Preduzetnici</w:t>
            </w:r>
          </w:p>
        </w:tc>
        <w:tc>
          <w:tcPr>
            <w:tcW w:w="3032" w:type="dxa"/>
            <w:shd w:val="clear" w:color="auto" w:fill="FEF4EC"/>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267</w:t>
            </w:r>
          </w:p>
        </w:tc>
        <w:tc>
          <w:tcPr>
            <w:tcW w:w="3119" w:type="dxa"/>
            <w:shd w:val="clear" w:color="auto" w:fill="FEF4EC"/>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83</w:t>
            </w:r>
          </w:p>
        </w:tc>
        <w:tc>
          <w:tcPr>
            <w:tcW w:w="815" w:type="dxa"/>
            <w:shd w:val="clear" w:color="auto" w:fill="FEF4EC"/>
          </w:tcPr>
          <w:p w:rsidR="003611CF" w:rsidRPr="003611CF" w:rsidRDefault="003611CF" w:rsidP="003611CF">
            <w:pPr>
              <w:tabs>
                <w:tab w:val="center" w:pos="4536"/>
              </w:tabs>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31</w:t>
            </w:r>
          </w:p>
        </w:tc>
      </w:tr>
    </w:tbl>
    <w:p w:rsidR="003611CF" w:rsidRPr="003611CF" w:rsidRDefault="003611CF" w:rsidP="003611CF">
      <w:pPr>
        <w:spacing w:before="0" w:after="0" w:line="240" w:lineRule="auto"/>
        <w:rPr>
          <w:rFonts w:ascii="Arial" w:eastAsia="Times New Roman" w:hAnsi="Arial" w:cs="Arial"/>
          <w:sz w:val="22"/>
          <w:lang w:val="en-GB"/>
        </w:rPr>
      </w:pP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Arial" w:eastAsia="Times New Roman" w:hAnsi="Arial" w:cs="Arial"/>
          <w:sz w:val="22"/>
          <w:lang w:val="en-GB"/>
        </w:rPr>
        <w:tab/>
      </w:r>
      <w:r w:rsidRPr="003611CF">
        <w:rPr>
          <w:rFonts w:ascii="Calibri" w:eastAsia="Times New Roman" w:hAnsi="Calibri" w:cs="Calibri"/>
          <w:szCs w:val="24"/>
          <w:lang w:val="en-GB"/>
        </w:rPr>
        <w:t>Prilikom izrade Plana registracije poreskih obveznika za 2020.</w:t>
      </w:r>
      <w:r>
        <w:rPr>
          <w:rFonts w:ascii="Calibri" w:eastAsia="Times New Roman" w:hAnsi="Calibri" w:cs="Calibri"/>
          <w:szCs w:val="24"/>
          <w:lang w:val="en-GB"/>
        </w:rPr>
        <w:t xml:space="preserve"> </w:t>
      </w:r>
      <w:r w:rsidRPr="003611CF">
        <w:rPr>
          <w:rFonts w:ascii="Calibri" w:eastAsia="Times New Roman" w:hAnsi="Calibri" w:cs="Calibri"/>
          <w:szCs w:val="24"/>
          <w:lang w:val="en-GB"/>
        </w:rPr>
        <w:t>godinu, po različitim vidovima korišteni su podaci o broju izvršenih registracija poreskih obveznika (preduzetnika i pravnih lica) tokom 2019.godine.</w:t>
      </w:r>
    </w:p>
    <w:p w:rsidR="003611CF" w:rsidRPr="003611CF" w:rsidRDefault="003611CF" w:rsidP="003611CF">
      <w:pPr>
        <w:spacing w:before="0" w:after="0" w:line="240" w:lineRule="auto"/>
        <w:rPr>
          <w:rFonts w:ascii="Calibri" w:eastAsia="Times New Roman" w:hAnsi="Calibri" w:cs="Calibri"/>
          <w:szCs w:val="24"/>
          <w:lang w:val="en-GB"/>
        </w:rPr>
      </w:pPr>
    </w:p>
    <w:p w:rsidR="003611CF" w:rsidRPr="003611CF" w:rsidRDefault="003611CF" w:rsidP="003611CF">
      <w:pPr>
        <w:spacing w:before="0" w:after="0" w:line="240" w:lineRule="auto"/>
        <w:rPr>
          <w:rFonts w:ascii="Calibri" w:eastAsia="Times New Roman" w:hAnsi="Calibri" w:cs="Calibri"/>
          <w:b/>
          <w:szCs w:val="24"/>
          <w:lang w:val="en-GB"/>
        </w:rPr>
      </w:pPr>
      <w:r w:rsidRPr="003611CF">
        <w:rPr>
          <w:rFonts w:ascii="Calibri" w:eastAsia="Times New Roman" w:hAnsi="Calibri" w:cs="Calibri"/>
          <w:b/>
          <w:szCs w:val="24"/>
          <w:lang w:val="en-GB"/>
        </w:rPr>
        <w:t>Prestanak registracije (brisanje iz registra)</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 xml:space="preserve">U izvještajnom periodu određenom broju poreskih obveznika prestala je registracija i to: </w:t>
      </w:r>
    </w:p>
    <w:p w:rsidR="003611CF" w:rsidRPr="003611CF" w:rsidRDefault="003611CF" w:rsidP="004D6CB4">
      <w:pPr>
        <w:numPr>
          <w:ilvl w:val="0"/>
          <w:numId w:val="125"/>
        </w:numPr>
        <w:spacing w:before="0" w:after="0" w:line="240" w:lineRule="auto"/>
        <w:ind w:left="0" w:firstLine="360"/>
        <w:jc w:val="left"/>
        <w:rPr>
          <w:rFonts w:ascii="Calibri" w:eastAsia="Times New Roman" w:hAnsi="Calibri" w:cs="Calibri"/>
          <w:szCs w:val="24"/>
          <w:lang w:val="en-GB"/>
        </w:rPr>
      </w:pPr>
      <w:r w:rsidRPr="003611CF">
        <w:rPr>
          <w:rFonts w:ascii="Calibri" w:eastAsia="Times New Roman" w:hAnsi="Calibri" w:cs="Calibri"/>
          <w:szCs w:val="24"/>
          <w:lang w:val="en-GB"/>
        </w:rPr>
        <w:lastRenderedPageBreak/>
        <w:t>Opšta registracija - ukupan broj poreskih obveznika kojima je prestala registracija je 2.560 (1.829 pravnih lica i 731 preduzetnik).</w:t>
      </w:r>
    </w:p>
    <w:p w:rsidR="003611CF" w:rsidRPr="003611CF" w:rsidRDefault="003611CF" w:rsidP="004D6CB4">
      <w:pPr>
        <w:numPr>
          <w:ilvl w:val="0"/>
          <w:numId w:val="125"/>
        </w:numPr>
        <w:spacing w:before="0" w:after="0" w:line="240" w:lineRule="auto"/>
        <w:ind w:left="0" w:firstLine="360"/>
        <w:jc w:val="left"/>
        <w:rPr>
          <w:rFonts w:ascii="Calibri" w:eastAsia="Times New Roman" w:hAnsi="Calibri" w:cs="Calibri"/>
          <w:szCs w:val="24"/>
          <w:lang w:val="en-GB"/>
        </w:rPr>
      </w:pPr>
      <w:r w:rsidRPr="003611CF">
        <w:rPr>
          <w:rFonts w:ascii="Calibri" w:eastAsia="Times New Roman" w:hAnsi="Calibri" w:cs="Calibri"/>
          <w:szCs w:val="24"/>
          <w:lang w:val="en-GB"/>
        </w:rPr>
        <w:t xml:space="preserve">Registracija za PDV - donešeno je 398 rješenja o prestanku PDV registracije (312 rješenja za pravna lica i 86 rješenja za preduzetnike). </w:t>
      </w:r>
    </w:p>
    <w:p w:rsidR="003611CF" w:rsidRPr="003611CF" w:rsidRDefault="003611CF" w:rsidP="003611CF">
      <w:pPr>
        <w:spacing w:before="0" w:after="0" w:line="240" w:lineRule="auto"/>
        <w:rPr>
          <w:rFonts w:ascii="Calibri" w:eastAsia="Times New Roman" w:hAnsi="Calibri" w:cs="Calibri"/>
          <w:szCs w:val="24"/>
          <w:lang w:val="en-GB"/>
        </w:rPr>
      </w:pPr>
    </w:p>
    <w:p w:rsidR="003611CF" w:rsidRPr="003611CF" w:rsidRDefault="003611CF" w:rsidP="003611CF">
      <w:pPr>
        <w:tabs>
          <w:tab w:val="center" w:pos="4536"/>
        </w:tabs>
        <w:spacing w:before="0" w:after="0" w:line="240" w:lineRule="auto"/>
        <w:jc w:val="center"/>
        <w:rPr>
          <w:rFonts w:ascii="Calibri" w:eastAsia="Times New Roman" w:hAnsi="Calibri" w:cs="Calibri"/>
          <w:bCs/>
          <w:szCs w:val="24"/>
          <w:lang w:val="en-GB"/>
        </w:rPr>
      </w:pPr>
      <w:r w:rsidRPr="003611CF">
        <w:rPr>
          <w:rFonts w:ascii="Calibri" w:eastAsia="Times New Roman" w:hAnsi="Calibri" w:cs="Calibri"/>
          <w:bCs/>
          <w:szCs w:val="24"/>
          <w:lang w:val="en-GB"/>
        </w:rPr>
        <w:t>UKUPAN BROJ OBVEZNIKA KOJIMA JE PRESTALA REGISTRACIJA U PERIODU 01.01-31.12.2019/ 2020. GODINE - UPOREDNI PODACI</w:t>
      </w:r>
    </w:p>
    <w:tbl>
      <w:tblPr>
        <w:tblW w:w="0" w:type="auto"/>
        <w:jc w:val="center"/>
        <w:tblLook w:val="04A0" w:firstRow="1" w:lastRow="0" w:firstColumn="1" w:lastColumn="0" w:noHBand="0" w:noVBand="1"/>
      </w:tblPr>
      <w:tblGrid>
        <w:gridCol w:w="3085"/>
        <w:gridCol w:w="2693"/>
        <w:gridCol w:w="2694"/>
        <w:gridCol w:w="815"/>
      </w:tblGrid>
      <w:tr w:rsidR="003611CF" w:rsidRPr="003611CF" w:rsidTr="003611CF">
        <w:trPr>
          <w:jc w:val="center"/>
        </w:trPr>
        <w:tc>
          <w:tcPr>
            <w:tcW w:w="3085" w:type="dxa"/>
            <w:tcBorders>
              <w:bottom w:val="single" w:sz="12" w:space="0" w:color="FFFFFF"/>
            </w:tcBorders>
            <w:shd w:val="clear" w:color="auto" w:fill="348DA5"/>
          </w:tcPr>
          <w:p w:rsidR="003611CF" w:rsidRPr="003611CF" w:rsidRDefault="003611CF" w:rsidP="003611CF">
            <w:pPr>
              <w:tabs>
                <w:tab w:val="center" w:pos="4536"/>
              </w:tabs>
              <w:spacing w:before="0" w:after="0" w:line="240" w:lineRule="auto"/>
              <w:jc w:val="center"/>
              <w:rPr>
                <w:rFonts w:ascii="Arial" w:eastAsia="Times New Roman" w:hAnsi="Arial" w:cs="Arial"/>
                <w:bCs/>
                <w:color w:val="FFFFFF"/>
                <w:sz w:val="20"/>
                <w:szCs w:val="20"/>
                <w:lang w:val="en-GB"/>
              </w:rPr>
            </w:pPr>
            <w:r w:rsidRPr="003611CF">
              <w:rPr>
                <w:rFonts w:ascii="Arial" w:eastAsia="Times New Roman" w:hAnsi="Arial" w:cs="Arial"/>
                <w:bCs/>
                <w:color w:val="FFFFFF"/>
                <w:sz w:val="20"/>
                <w:szCs w:val="20"/>
                <w:lang w:val="en-GB"/>
              </w:rPr>
              <w:t>Vrsta registracije</w:t>
            </w:r>
          </w:p>
          <w:p w:rsidR="003611CF" w:rsidRPr="003611CF" w:rsidRDefault="003611CF" w:rsidP="003611CF">
            <w:pPr>
              <w:spacing w:before="0" w:after="0" w:line="240" w:lineRule="auto"/>
              <w:jc w:val="right"/>
              <w:rPr>
                <w:rFonts w:ascii="Arial" w:eastAsia="Times New Roman" w:hAnsi="Arial" w:cs="Arial"/>
                <w:bCs/>
                <w:color w:val="FFFFFF"/>
                <w:sz w:val="20"/>
                <w:szCs w:val="20"/>
                <w:lang w:val="en-GB"/>
              </w:rPr>
            </w:pPr>
          </w:p>
        </w:tc>
        <w:tc>
          <w:tcPr>
            <w:tcW w:w="2693" w:type="dxa"/>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Times New Roman" w:hAnsi="Arial" w:cs="Arial"/>
                <w:bCs/>
                <w:color w:val="FFFFFF"/>
                <w:sz w:val="20"/>
                <w:szCs w:val="20"/>
                <w:lang w:val="en-GB"/>
              </w:rPr>
            </w:pPr>
            <w:r w:rsidRPr="003611CF">
              <w:rPr>
                <w:rFonts w:ascii="Arial" w:eastAsia="Times New Roman" w:hAnsi="Arial" w:cs="Arial"/>
                <w:bCs/>
                <w:color w:val="FFFFFF"/>
                <w:sz w:val="20"/>
                <w:szCs w:val="20"/>
                <w:lang w:val="en-GB"/>
              </w:rPr>
              <w:t>Broj obveznika kojima je prestala registracija -   01.01-31.12.2019. godine</w:t>
            </w:r>
          </w:p>
        </w:tc>
        <w:tc>
          <w:tcPr>
            <w:tcW w:w="2694" w:type="dxa"/>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Times New Roman" w:hAnsi="Arial" w:cs="Arial"/>
                <w:bCs/>
                <w:color w:val="FFFFFF"/>
                <w:sz w:val="20"/>
                <w:szCs w:val="20"/>
                <w:lang w:val="en-GB"/>
              </w:rPr>
            </w:pPr>
            <w:r w:rsidRPr="003611CF">
              <w:rPr>
                <w:rFonts w:ascii="Arial" w:eastAsia="Times New Roman" w:hAnsi="Arial" w:cs="Arial"/>
                <w:bCs/>
                <w:color w:val="FFFFFF"/>
                <w:sz w:val="20"/>
                <w:szCs w:val="20"/>
                <w:lang w:val="en-GB"/>
              </w:rPr>
              <w:t>Broj obveznika kojima je prestala registracija -   01.01-31.12.2020. godine</w:t>
            </w:r>
          </w:p>
        </w:tc>
        <w:tc>
          <w:tcPr>
            <w:tcW w:w="815" w:type="dxa"/>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Times New Roman" w:hAnsi="Arial" w:cs="Arial"/>
                <w:bCs/>
                <w:color w:val="FFFFFF"/>
                <w:sz w:val="20"/>
                <w:szCs w:val="20"/>
                <w:lang w:val="en-GB"/>
              </w:rPr>
            </w:pPr>
            <w:r w:rsidRPr="003611CF">
              <w:rPr>
                <w:rFonts w:ascii="Arial" w:eastAsia="Times New Roman" w:hAnsi="Arial" w:cs="Arial"/>
                <w:bCs/>
                <w:color w:val="FFFFFF"/>
                <w:sz w:val="20"/>
                <w:szCs w:val="20"/>
                <w:lang w:val="en-GB"/>
              </w:rPr>
              <w:t>Index</w:t>
            </w:r>
          </w:p>
        </w:tc>
      </w:tr>
      <w:tr w:rsidR="003611CF" w:rsidRPr="003611CF" w:rsidTr="003611CF">
        <w:trPr>
          <w:jc w:val="center"/>
        </w:trPr>
        <w:tc>
          <w:tcPr>
            <w:tcW w:w="3085" w:type="dxa"/>
            <w:shd w:val="clear" w:color="auto" w:fill="FDE9D9"/>
          </w:tcPr>
          <w:p w:rsidR="003611CF" w:rsidRPr="003611CF" w:rsidRDefault="003611CF" w:rsidP="003611CF">
            <w:pPr>
              <w:tabs>
                <w:tab w:val="center" w:pos="4536"/>
              </w:tabs>
              <w:spacing w:before="0" w:after="0" w:line="240" w:lineRule="auto"/>
              <w:jc w:val="left"/>
              <w:rPr>
                <w:rFonts w:ascii="Arial" w:eastAsia="Times New Roman" w:hAnsi="Arial" w:cs="Arial"/>
                <w:b/>
                <w:bCs/>
                <w:color w:val="000000"/>
                <w:sz w:val="20"/>
                <w:szCs w:val="20"/>
                <w:lang w:val="en-GB"/>
              </w:rPr>
            </w:pPr>
            <w:r w:rsidRPr="003611CF">
              <w:rPr>
                <w:rFonts w:ascii="Arial" w:eastAsia="Times New Roman" w:hAnsi="Arial" w:cs="Arial"/>
                <w:b/>
                <w:bCs/>
                <w:color w:val="000000"/>
                <w:sz w:val="20"/>
                <w:szCs w:val="20"/>
                <w:lang w:val="en-GB"/>
              </w:rPr>
              <w:t>Prestanak opšte registracije</w:t>
            </w:r>
          </w:p>
        </w:tc>
        <w:tc>
          <w:tcPr>
            <w:tcW w:w="2693" w:type="dxa"/>
            <w:shd w:val="clear" w:color="auto" w:fill="FDE9D9"/>
          </w:tcPr>
          <w:p w:rsidR="003611CF" w:rsidRPr="003611CF" w:rsidRDefault="003611CF" w:rsidP="003611CF">
            <w:pPr>
              <w:spacing w:before="0" w:after="0" w:line="240" w:lineRule="auto"/>
              <w:jc w:val="center"/>
              <w:rPr>
                <w:rFonts w:ascii="Arial" w:eastAsia="Times New Roman" w:hAnsi="Arial" w:cs="Arial"/>
                <w:b/>
                <w:sz w:val="20"/>
                <w:lang w:val="en-GB"/>
              </w:rPr>
            </w:pPr>
            <w:r w:rsidRPr="003611CF">
              <w:rPr>
                <w:rFonts w:ascii="Arial" w:eastAsia="Times New Roman" w:hAnsi="Arial" w:cs="Arial"/>
                <w:b/>
                <w:sz w:val="20"/>
                <w:lang w:val="en-GB"/>
              </w:rPr>
              <w:t>3.339</w:t>
            </w:r>
          </w:p>
        </w:tc>
        <w:tc>
          <w:tcPr>
            <w:tcW w:w="2694" w:type="dxa"/>
            <w:shd w:val="clear" w:color="auto" w:fill="FDE9D9"/>
          </w:tcPr>
          <w:p w:rsidR="003611CF" w:rsidRPr="003611CF" w:rsidRDefault="003611CF" w:rsidP="003611CF">
            <w:pPr>
              <w:spacing w:before="0" w:after="0" w:line="240" w:lineRule="auto"/>
              <w:jc w:val="center"/>
              <w:rPr>
                <w:rFonts w:ascii="Arial" w:eastAsia="Times New Roman" w:hAnsi="Arial" w:cs="Arial"/>
                <w:b/>
                <w:sz w:val="20"/>
                <w:lang w:val="en-GB"/>
              </w:rPr>
            </w:pPr>
            <w:r w:rsidRPr="003611CF">
              <w:rPr>
                <w:rFonts w:ascii="Arial" w:eastAsia="Times New Roman" w:hAnsi="Arial" w:cs="Arial"/>
                <w:b/>
                <w:sz w:val="20"/>
                <w:lang w:val="en-GB"/>
              </w:rPr>
              <w:t>2.560</w:t>
            </w:r>
          </w:p>
        </w:tc>
        <w:tc>
          <w:tcPr>
            <w:tcW w:w="815" w:type="dxa"/>
            <w:shd w:val="clear" w:color="auto" w:fill="FDE9D9"/>
          </w:tcPr>
          <w:p w:rsidR="003611CF" w:rsidRPr="003611CF" w:rsidRDefault="003611CF" w:rsidP="003611CF">
            <w:pPr>
              <w:spacing w:before="0" w:after="0" w:line="240" w:lineRule="auto"/>
              <w:jc w:val="center"/>
              <w:rPr>
                <w:rFonts w:ascii="Arial" w:eastAsia="Times New Roman" w:hAnsi="Arial" w:cs="Arial"/>
                <w:b/>
                <w:sz w:val="20"/>
                <w:lang w:val="en-GB"/>
              </w:rPr>
            </w:pPr>
            <w:r w:rsidRPr="003611CF">
              <w:rPr>
                <w:rFonts w:ascii="Arial" w:eastAsia="Times New Roman" w:hAnsi="Arial" w:cs="Arial"/>
                <w:b/>
                <w:sz w:val="20"/>
                <w:lang w:val="en-GB"/>
              </w:rPr>
              <w:t>77</w:t>
            </w:r>
          </w:p>
        </w:tc>
      </w:tr>
      <w:tr w:rsidR="003611CF" w:rsidRPr="003611CF" w:rsidTr="003611CF">
        <w:trPr>
          <w:jc w:val="center"/>
        </w:trPr>
        <w:tc>
          <w:tcPr>
            <w:tcW w:w="3085" w:type="dxa"/>
            <w:shd w:val="clear" w:color="auto" w:fill="FEF4EC"/>
          </w:tcPr>
          <w:p w:rsidR="003611CF" w:rsidRPr="003611CF" w:rsidRDefault="003611CF" w:rsidP="003611CF">
            <w:pPr>
              <w:tabs>
                <w:tab w:val="center" w:pos="4536"/>
              </w:tabs>
              <w:spacing w:before="0" w:after="0" w:line="240" w:lineRule="auto"/>
              <w:jc w:val="center"/>
              <w:rPr>
                <w:rFonts w:ascii="Arial" w:eastAsia="Times New Roman" w:hAnsi="Arial" w:cs="Arial"/>
                <w:bCs/>
                <w:color w:val="000000"/>
                <w:sz w:val="20"/>
                <w:szCs w:val="20"/>
                <w:lang w:val="en-GB"/>
              </w:rPr>
            </w:pPr>
            <w:r w:rsidRPr="003611CF">
              <w:rPr>
                <w:rFonts w:ascii="Arial" w:eastAsia="Times New Roman" w:hAnsi="Arial" w:cs="Arial"/>
                <w:bCs/>
                <w:color w:val="000000"/>
                <w:sz w:val="20"/>
                <w:szCs w:val="20"/>
                <w:lang w:val="en-GB"/>
              </w:rPr>
              <w:t>Pravna lica</w:t>
            </w:r>
          </w:p>
        </w:tc>
        <w:tc>
          <w:tcPr>
            <w:tcW w:w="2693" w:type="dxa"/>
            <w:shd w:val="clear" w:color="auto" w:fill="FEF4EC"/>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2.474</w:t>
            </w:r>
          </w:p>
        </w:tc>
        <w:tc>
          <w:tcPr>
            <w:tcW w:w="2694" w:type="dxa"/>
            <w:shd w:val="clear" w:color="auto" w:fill="FEF4EC"/>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1.829</w:t>
            </w:r>
          </w:p>
        </w:tc>
        <w:tc>
          <w:tcPr>
            <w:tcW w:w="815" w:type="dxa"/>
            <w:shd w:val="clear" w:color="auto" w:fill="FEF4EC"/>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74</w:t>
            </w:r>
          </w:p>
        </w:tc>
      </w:tr>
      <w:tr w:rsidR="003611CF" w:rsidRPr="003611CF" w:rsidTr="003611CF">
        <w:trPr>
          <w:jc w:val="center"/>
        </w:trPr>
        <w:tc>
          <w:tcPr>
            <w:tcW w:w="3085"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bCs/>
                <w:color w:val="000000"/>
                <w:sz w:val="20"/>
                <w:szCs w:val="20"/>
                <w:lang w:val="en-GB"/>
              </w:rPr>
            </w:pPr>
            <w:r w:rsidRPr="003611CF">
              <w:rPr>
                <w:rFonts w:ascii="Arial" w:eastAsia="Times New Roman" w:hAnsi="Arial" w:cs="Arial"/>
                <w:bCs/>
                <w:color w:val="000000"/>
                <w:sz w:val="20"/>
                <w:szCs w:val="20"/>
                <w:lang w:val="en-GB"/>
              </w:rPr>
              <w:t>Preduzetnici</w:t>
            </w:r>
          </w:p>
        </w:tc>
        <w:tc>
          <w:tcPr>
            <w:tcW w:w="2693" w:type="dxa"/>
            <w:shd w:val="clear" w:color="auto" w:fill="FDE9D9"/>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865</w:t>
            </w:r>
          </w:p>
        </w:tc>
        <w:tc>
          <w:tcPr>
            <w:tcW w:w="2694" w:type="dxa"/>
            <w:shd w:val="clear" w:color="auto" w:fill="FDE9D9"/>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731</w:t>
            </w:r>
          </w:p>
        </w:tc>
        <w:tc>
          <w:tcPr>
            <w:tcW w:w="815" w:type="dxa"/>
            <w:shd w:val="clear" w:color="auto" w:fill="FDE9D9"/>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85</w:t>
            </w:r>
          </w:p>
        </w:tc>
      </w:tr>
      <w:tr w:rsidR="003611CF" w:rsidRPr="003611CF" w:rsidTr="003611CF">
        <w:trPr>
          <w:jc w:val="center"/>
        </w:trPr>
        <w:tc>
          <w:tcPr>
            <w:tcW w:w="3085" w:type="dxa"/>
            <w:shd w:val="clear" w:color="auto" w:fill="FEF4EC"/>
          </w:tcPr>
          <w:p w:rsidR="003611CF" w:rsidRPr="003611CF" w:rsidRDefault="003611CF" w:rsidP="003611CF">
            <w:pPr>
              <w:tabs>
                <w:tab w:val="center" w:pos="4536"/>
              </w:tabs>
              <w:spacing w:before="0" w:after="0" w:line="240" w:lineRule="auto"/>
              <w:jc w:val="left"/>
              <w:rPr>
                <w:rFonts w:ascii="Arial" w:eastAsia="Times New Roman" w:hAnsi="Arial" w:cs="Arial"/>
                <w:b/>
                <w:bCs/>
                <w:color w:val="000000"/>
                <w:sz w:val="20"/>
                <w:szCs w:val="20"/>
                <w:lang w:val="en-GB"/>
              </w:rPr>
            </w:pPr>
            <w:r w:rsidRPr="003611CF">
              <w:rPr>
                <w:rFonts w:ascii="Arial" w:eastAsia="Times New Roman" w:hAnsi="Arial" w:cs="Arial"/>
                <w:b/>
                <w:bCs/>
                <w:color w:val="000000"/>
                <w:sz w:val="20"/>
                <w:szCs w:val="20"/>
                <w:lang w:val="en-GB"/>
              </w:rPr>
              <w:t>Prestanak registracije za PDV</w:t>
            </w:r>
          </w:p>
        </w:tc>
        <w:tc>
          <w:tcPr>
            <w:tcW w:w="2693" w:type="dxa"/>
            <w:shd w:val="clear" w:color="auto" w:fill="FEF4EC"/>
          </w:tcPr>
          <w:p w:rsidR="003611CF" w:rsidRPr="003611CF" w:rsidRDefault="003611CF" w:rsidP="003611CF">
            <w:pPr>
              <w:spacing w:before="0" w:after="0" w:line="240" w:lineRule="auto"/>
              <w:jc w:val="center"/>
              <w:rPr>
                <w:rFonts w:ascii="Arial" w:eastAsia="Times New Roman" w:hAnsi="Arial" w:cs="Arial"/>
                <w:b/>
                <w:sz w:val="20"/>
                <w:lang w:val="en-GB"/>
              </w:rPr>
            </w:pPr>
            <w:r w:rsidRPr="003611CF">
              <w:rPr>
                <w:rFonts w:ascii="Arial" w:eastAsia="Times New Roman" w:hAnsi="Arial" w:cs="Arial"/>
                <w:b/>
                <w:sz w:val="20"/>
                <w:lang w:val="en-GB"/>
              </w:rPr>
              <w:t>387</w:t>
            </w:r>
          </w:p>
        </w:tc>
        <w:tc>
          <w:tcPr>
            <w:tcW w:w="2694" w:type="dxa"/>
            <w:shd w:val="clear" w:color="auto" w:fill="FEF4EC"/>
          </w:tcPr>
          <w:p w:rsidR="003611CF" w:rsidRPr="003611CF" w:rsidRDefault="003611CF" w:rsidP="003611CF">
            <w:pPr>
              <w:spacing w:before="0" w:after="0" w:line="240" w:lineRule="auto"/>
              <w:jc w:val="center"/>
              <w:rPr>
                <w:rFonts w:ascii="Arial" w:eastAsia="Times New Roman" w:hAnsi="Arial" w:cs="Arial"/>
                <w:b/>
                <w:sz w:val="20"/>
                <w:lang w:val="en-GB"/>
              </w:rPr>
            </w:pPr>
            <w:r w:rsidRPr="003611CF">
              <w:rPr>
                <w:rFonts w:ascii="Arial" w:eastAsia="Times New Roman" w:hAnsi="Arial" w:cs="Arial"/>
                <w:b/>
                <w:sz w:val="20"/>
                <w:lang w:val="en-GB"/>
              </w:rPr>
              <w:t>398</w:t>
            </w:r>
          </w:p>
        </w:tc>
        <w:tc>
          <w:tcPr>
            <w:tcW w:w="815" w:type="dxa"/>
            <w:shd w:val="clear" w:color="auto" w:fill="FEF4EC"/>
          </w:tcPr>
          <w:p w:rsidR="003611CF" w:rsidRPr="003611CF" w:rsidRDefault="003611CF" w:rsidP="003611CF">
            <w:pPr>
              <w:spacing w:before="0" w:after="0" w:line="240" w:lineRule="auto"/>
              <w:jc w:val="center"/>
              <w:rPr>
                <w:rFonts w:ascii="Arial" w:eastAsia="Times New Roman" w:hAnsi="Arial" w:cs="Arial"/>
                <w:b/>
                <w:sz w:val="20"/>
                <w:lang w:val="en-GB"/>
              </w:rPr>
            </w:pPr>
            <w:r w:rsidRPr="003611CF">
              <w:rPr>
                <w:rFonts w:ascii="Arial" w:eastAsia="Times New Roman" w:hAnsi="Arial" w:cs="Arial"/>
                <w:b/>
                <w:sz w:val="20"/>
                <w:lang w:val="en-GB"/>
              </w:rPr>
              <w:t>103</w:t>
            </w:r>
          </w:p>
        </w:tc>
      </w:tr>
      <w:tr w:rsidR="003611CF" w:rsidRPr="003611CF" w:rsidTr="003611CF">
        <w:trPr>
          <w:jc w:val="center"/>
        </w:trPr>
        <w:tc>
          <w:tcPr>
            <w:tcW w:w="3085" w:type="dxa"/>
            <w:shd w:val="clear" w:color="auto" w:fill="FDE9D9"/>
          </w:tcPr>
          <w:p w:rsidR="003611CF" w:rsidRPr="003611CF" w:rsidRDefault="003611CF" w:rsidP="003611CF">
            <w:pPr>
              <w:tabs>
                <w:tab w:val="center" w:pos="4536"/>
              </w:tabs>
              <w:spacing w:before="0" w:after="0" w:line="240" w:lineRule="auto"/>
              <w:jc w:val="center"/>
              <w:rPr>
                <w:rFonts w:ascii="Arial" w:eastAsia="Times New Roman" w:hAnsi="Arial" w:cs="Arial"/>
                <w:bCs/>
                <w:color w:val="000000"/>
                <w:sz w:val="20"/>
                <w:szCs w:val="20"/>
                <w:lang w:val="en-GB"/>
              </w:rPr>
            </w:pPr>
            <w:r w:rsidRPr="003611CF">
              <w:rPr>
                <w:rFonts w:ascii="Arial" w:eastAsia="Times New Roman" w:hAnsi="Arial" w:cs="Arial"/>
                <w:bCs/>
                <w:color w:val="000000"/>
                <w:sz w:val="20"/>
                <w:szCs w:val="20"/>
                <w:lang w:val="en-GB"/>
              </w:rPr>
              <w:t>Pravna lica</w:t>
            </w:r>
          </w:p>
        </w:tc>
        <w:tc>
          <w:tcPr>
            <w:tcW w:w="2693" w:type="dxa"/>
            <w:shd w:val="clear" w:color="auto" w:fill="FDE9D9"/>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329</w:t>
            </w:r>
          </w:p>
        </w:tc>
        <w:tc>
          <w:tcPr>
            <w:tcW w:w="2694" w:type="dxa"/>
            <w:shd w:val="clear" w:color="auto" w:fill="FDE9D9"/>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312</w:t>
            </w:r>
          </w:p>
        </w:tc>
        <w:tc>
          <w:tcPr>
            <w:tcW w:w="815" w:type="dxa"/>
            <w:shd w:val="clear" w:color="auto" w:fill="FDE9D9"/>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95</w:t>
            </w:r>
          </w:p>
        </w:tc>
      </w:tr>
      <w:tr w:rsidR="003611CF" w:rsidRPr="003611CF" w:rsidTr="003611CF">
        <w:trPr>
          <w:jc w:val="center"/>
        </w:trPr>
        <w:tc>
          <w:tcPr>
            <w:tcW w:w="3085" w:type="dxa"/>
            <w:shd w:val="clear" w:color="auto" w:fill="FEF4EC"/>
          </w:tcPr>
          <w:p w:rsidR="003611CF" w:rsidRPr="003611CF" w:rsidRDefault="003611CF" w:rsidP="003611CF">
            <w:pPr>
              <w:tabs>
                <w:tab w:val="center" w:pos="4536"/>
              </w:tabs>
              <w:spacing w:before="0" w:after="0" w:line="240" w:lineRule="auto"/>
              <w:jc w:val="center"/>
              <w:rPr>
                <w:rFonts w:ascii="Arial" w:eastAsia="Times New Roman" w:hAnsi="Arial" w:cs="Arial"/>
                <w:bCs/>
                <w:color w:val="000000"/>
                <w:sz w:val="20"/>
                <w:szCs w:val="20"/>
                <w:lang w:val="en-GB"/>
              </w:rPr>
            </w:pPr>
            <w:r w:rsidRPr="003611CF">
              <w:rPr>
                <w:rFonts w:ascii="Arial" w:eastAsia="Times New Roman" w:hAnsi="Arial" w:cs="Arial"/>
                <w:bCs/>
                <w:color w:val="000000"/>
                <w:sz w:val="20"/>
                <w:szCs w:val="20"/>
                <w:lang w:val="en-GB"/>
              </w:rPr>
              <w:t>Preduzetnici</w:t>
            </w:r>
          </w:p>
        </w:tc>
        <w:tc>
          <w:tcPr>
            <w:tcW w:w="2693" w:type="dxa"/>
            <w:shd w:val="clear" w:color="auto" w:fill="FEF4EC"/>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58</w:t>
            </w:r>
          </w:p>
        </w:tc>
        <w:tc>
          <w:tcPr>
            <w:tcW w:w="2694" w:type="dxa"/>
            <w:shd w:val="clear" w:color="auto" w:fill="FEF4EC"/>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86</w:t>
            </w:r>
          </w:p>
        </w:tc>
        <w:tc>
          <w:tcPr>
            <w:tcW w:w="815" w:type="dxa"/>
            <w:shd w:val="clear" w:color="auto" w:fill="FEF4EC"/>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148</w:t>
            </w:r>
          </w:p>
        </w:tc>
      </w:tr>
    </w:tbl>
    <w:p w:rsidR="003611CF" w:rsidRPr="003611CF" w:rsidRDefault="003611CF" w:rsidP="003611CF">
      <w:pPr>
        <w:spacing w:before="0" w:after="0" w:line="240" w:lineRule="auto"/>
        <w:rPr>
          <w:rFonts w:ascii="Arial" w:eastAsia="Times New Roman" w:hAnsi="Arial" w:cs="Arial"/>
          <w:sz w:val="22"/>
          <w:lang w:val="en-GB"/>
        </w:rPr>
      </w:pPr>
    </w:p>
    <w:p w:rsidR="003611CF" w:rsidRPr="003611CF" w:rsidRDefault="003611CF" w:rsidP="003611CF">
      <w:pPr>
        <w:spacing w:before="0" w:after="0" w:line="240" w:lineRule="auto"/>
        <w:rPr>
          <w:rFonts w:ascii="Calibri" w:eastAsia="Times New Roman" w:hAnsi="Calibri" w:cs="Calibri"/>
          <w:b/>
          <w:szCs w:val="24"/>
          <w:lang w:val="en-US"/>
        </w:rPr>
      </w:pPr>
      <w:r w:rsidRPr="003611CF">
        <w:rPr>
          <w:rFonts w:ascii="Calibri" w:eastAsia="Times New Roman" w:hAnsi="Calibri" w:cs="Calibri"/>
          <w:b/>
          <w:szCs w:val="24"/>
          <w:lang w:val="en-US"/>
        </w:rPr>
        <w:t xml:space="preserve">ODSJEK ZA EDUKACIJU JAVNOSTI, PRUŽANJE USLUGA PORESKIM OBVEZNICIMA I KONTAKT CENTAR </w:t>
      </w:r>
    </w:p>
    <w:p w:rsidR="003611CF" w:rsidRPr="003611CF" w:rsidRDefault="003611CF" w:rsidP="003611CF">
      <w:pPr>
        <w:spacing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U izvještajnom periodu poslovne aktivnosti ovog Odsjeka bile su usmjerene na pružanje usluga poreskim obveznicima, davanje kvalitetnih odgovora na postavljena pitanja putem telefonskih poziva, korespodencijom (putem dopisa), kao i putem elektronske pošte.</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 xml:space="preserve">Za pružanje usluga telefonskim putem poreskim obveznicima bio je dostupan i telefonski broj 448 – 188. </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 xml:space="preserve">Ukupan broj postavljenih pitanja (telefonski pozivi) i datih odgovora u izvještajnom periodu bio je 599 (pravnim licima-75; fizičkim licima-524).   </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Tokom izvještajnog perioda Odsjek za pružanje usluga primio je i odgovorio na 1311 pisanih zahtjeva u kojima je traženo mišljenje u vezi primjene odredaba zakona i podzakonskih akata iz različitih poreskih oblasti. Postavljena pitanja u pisanoj formi odnosila su se na gotovo sve poreske zakone i  podzakonske akte.</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Od ukupnog broja odgovora (1.311) u pisanoj formi, dato je 381 odgovora na pitanja upućena od strane pravnih lica, a 930 odgovora na pitanja upućena od strane fizičkih lica.</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bCs/>
          <w:szCs w:val="24"/>
          <w:lang w:val="hr-HR"/>
        </w:rPr>
        <w:tab/>
        <w:t xml:space="preserve">Putem elektronske pošte u </w:t>
      </w:r>
      <w:r w:rsidRPr="003611CF">
        <w:rPr>
          <w:rFonts w:ascii="Calibri" w:eastAsia="Times New Roman" w:hAnsi="Calibri" w:cs="Calibri"/>
          <w:szCs w:val="24"/>
          <w:lang w:val="en-GB"/>
        </w:rPr>
        <w:t xml:space="preserve">izvještajnom periodu, </w:t>
      </w:r>
      <w:r w:rsidRPr="003611CF">
        <w:rPr>
          <w:rFonts w:ascii="Calibri" w:eastAsia="Times New Roman" w:hAnsi="Calibri" w:cs="Calibri"/>
          <w:bCs/>
          <w:szCs w:val="24"/>
          <w:lang w:val="hr-HR"/>
        </w:rPr>
        <w:t xml:space="preserve">ovom Odsjeku pristiglo je 1.291 pitanje upućeno od strane poreskih obveznika, na koje - u roku odgovoreno. </w:t>
      </w:r>
      <w:r w:rsidRPr="003611CF">
        <w:rPr>
          <w:rFonts w:ascii="Calibri" w:eastAsia="Times New Roman" w:hAnsi="Calibri" w:cs="Calibri"/>
          <w:szCs w:val="24"/>
          <w:lang w:val="en-GB"/>
        </w:rPr>
        <w:t>Od ukupnog broja (1.291) odgovora upućenih Emailom, 930 odgovora na postavljena pitanja dato je fizičkim licima, a 361 odgovor na postavljena pitanja dato je pravnim licima.</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Službenici ovog dijela Odsjeka su poreskim obveznicima u periodu 01.01-31.12.2020. godine pružali pomoć i u neposrednom kontaktu (lični kontakt).</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Ličnim kontaktom pruženo je 21 usluga raznim klijentima. Od ukupnog broja (21) usmenih odgovora, svih 21 odgovor na postavljena pitanja dato je fizičkim licima.</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U Odsjeku za pružanje usluga poreskim obveznicima obavljeni su i sljedeći poslovi: s</w:t>
      </w:r>
      <w:r w:rsidRPr="003611CF">
        <w:rPr>
          <w:rFonts w:ascii="Calibri" w:eastAsia="Times New Roman" w:hAnsi="Calibri" w:cs="Calibri"/>
          <w:szCs w:val="24"/>
        </w:rPr>
        <w:t>ačinjeni su mjesečni izvještaji o radu Odsjeka za pružanje usluga poreskim obveznicima i logistiku; kao i ostala interna dokumenta za potrebe ovog Odsjeka. S</w:t>
      </w:r>
      <w:r w:rsidRPr="003611CF">
        <w:rPr>
          <w:rFonts w:ascii="Calibri" w:eastAsia="Times New Roman" w:hAnsi="Calibri" w:cs="Calibri"/>
          <w:szCs w:val="24"/>
          <w:lang w:val="en-GB"/>
        </w:rPr>
        <w:t xml:space="preserve">ačinjavan je i dokument teksta Poreska praksa - pitanja i odgovori. </w:t>
      </w:r>
      <w:r w:rsidRPr="003611CF">
        <w:rPr>
          <w:rFonts w:ascii="Calibri" w:eastAsia="Times New Roman" w:hAnsi="Calibri" w:cs="Calibri"/>
          <w:iCs/>
          <w:szCs w:val="24"/>
          <w:lang w:val="en-GB"/>
        </w:rPr>
        <w:t xml:space="preserve">                       </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iCs/>
          <w:szCs w:val="24"/>
          <w:lang w:val="en-GB"/>
        </w:rPr>
        <w:t xml:space="preserve">    </w:t>
      </w:r>
    </w:p>
    <w:p w:rsidR="003611CF" w:rsidRPr="003611CF" w:rsidRDefault="003611CF" w:rsidP="003611CF">
      <w:pPr>
        <w:tabs>
          <w:tab w:val="left" w:pos="0"/>
        </w:tabs>
        <w:spacing w:before="0" w:after="0" w:line="240" w:lineRule="auto"/>
        <w:rPr>
          <w:rFonts w:ascii="Calibri" w:eastAsia="Times New Roman" w:hAnsi="Calibri" w:cs="Calibri"/>
          <w:b/>
          <w:iCs/>
          <w:szCs w:val="24"/>
          <w:lang w:val="en-GB"/>
        </w:rPr>
      </w:pPr>
      <w:r w:rsidRPr="003611CF">
        <w:rPr>
          <w:rFonts w:ascii="Calibri" w:eastAsia="Times New Roman" w:hAnsi="Calibri" w:cs="Calibri"/>
          <w:b/>
          <w:iCs/>
          <w:szCs w:val="24"/>
          <w:lang w:val="en-GB"/>
        </w:rPr>
        <w:t>Aktivnosti Call-centra Poreske uprave</w:t>
      </w:r>
    </w:p>
    <w:p w:rsidR="003611CF" w:rsidRPr="003611CF" w:rsidRDefault="003611CF" w:rsidP="003611CF">
      <w:pPr>
        <w:spacing w:before="0" w:after="0" w:line="240" w:lineRule="auto"/>
        <w:rPr>
          <w:rFonts w:ascii="Calibri" w:eastAsia="Times New Roman" w:hAnsi="Calibri" w:cs="Calibri"/>
          <w:iCs/>
          <w:szCs w:val="24"/>
          <w:lang w:val="en-GB"/>
        </w:rPr>
      </w:pPr>
      <w:r w:rsidRPr="003611CF">
        <w:rPr>
          <w:rFonts w:ascii="Calibri" w:eastAsia="Times New Roman" w:hAnsi="Calibri" w:cs="Calibri"/>
          <w:iCs/>
          <w:szCs w:val="24"/>
          <w:lang w:val="en-GB"/>
        </w:rPr>
        <w:tab/>
        <w:t xml:space="preserve">Rad call-centra Poreske uprave od drugog kvartala 2020. godine obilježila je značajno intezivinija komunikacija s poreskim obveznicima kao posljedica pandemije zarazne bolesti Covid 19, zbog čega su obveznici usmjereni na komunikaciju putem telefona i elektronskih kanala, ali i </w:t>
      </w:r>
      <w:r w:rsidRPr="003611CF">
        <w:rPr>
          <w:rFonts w:ascii="Calibri" w:eastAsia="Times New Roman" w:hAnsi="Calibri" w:cs="Calibri"/>
          <w:iCs/>
          <w:szCs w:val="24"/>
          <w:lang w:val="en-GB"/>
        </w:rPr>
        <w:lastRenderedPageBreak/>
        <w:t>imajući u vidu čitav set ekonomskih mjera koje je Vlada Crne Gore uvela u cilju podrške privrednicima, i koje su direktno ili indirektno povezane sa nadležnostima Poreske uprave.</w:t>
      </w:r>
    </w:p>
    <w:p w:rsidR="003611CF" w:rsidRPr="003611CF" w:rsidRDefault="003611CF" w:rsidP="003611CF">
      <w:pPr>
        <w:spacing w:before="0" w:after="0" w:line="240" w:lineRule="auto"/>
        <w:rPr>
          <w:rFonts w:ascii="Calibri" w:eastAsia="Times New Roman" w:hAnsi="Calibri" w:cs="Calibri"/>
          <w:iCs/>
          <w:szCs w:val="24"/>
          <w:lang w:val="en-GB"/>
        </w:rPr>
      </w:pPr>
      <w:r w:rsidRPr="003611CF">
        <w:rPr>
          <w:rFonts w:ascii="Calibri" w:eastAsia="Times New Roman" w:hAnsi="Calibri" w:cs="Calibri"/>
          <w:iCs/>
          <w:szCs w:val="24"/>
          <w:lang w:val="en-GB"/>
        </w:rPr>
        <w:tab/>
        <w:t>Osim pitanja vezanih za rokove za podnošenje poreskih prijava, a posebno godišnjih prijava poreza na dobit i finansijskih iskaza, poreski obveznici obraćali su se kol-centru pitanjima vezanim za tumačenje odredbi Uredbe o uslovima za odlaganje dospjelih poreskih i neporeskih potraživanja, mogućnostima odlaganja ostalih vrsta poreza, kao što je porez na dobit i porez na dodatu vrijednost, te</w:t>
      </w:r>
      <w:r w:rsidRPr="003611CF">
        <w:rPr>
          <w:rFonts w:ascii="Calibri" w:eastAsia="Times New Roman" w:hAnsi="Calibri" w:cs="Calibri"/>
          <w:szCs w:val="24"/>
          <w:lang w:val="en-GB"/>
        </w:rPr>
        <w:t xml:space="preserve"> </w:t>
      </w:r>
      <w:r w:rsidRPr="003611CF">
        <w:rPr>
          <w:rFonts w:ascii="Calibri" w:eastAsia="Times New Roman" w:hAnsi="Calibri" w:cs="Calibri"/>
          <w:iCs/>
          <w:szCs w:val="24"/>
          <w:lang w:val="en-GB"/>
        </w:rPr>
        <w:t>subvencijama dijela bruto zarada zaposlenih kroz Vladin program za podršku privredi. Važan segment interesovanja poreskih obveznika bio je usmjeren i na izmjene Zakona o porezu na dodatu vrijednost u skladu sa kojima je došlo do izmjene stope PDV-a kod prometa određenih vrsta uluga i proizvoda, posebno vezanih za djelatnost hotelijerstva i ugostiteljstva.</w:t>
      </w:r>
    </w:p>
    <w:p w:rsidR="003611CF" w:rsidRPr="003611CF" w:rsidRDefault="003611CF" w:rsidP="003611CF">
      <w:pPr>
        <w:spacing w:before="0" w:after="0" w:line="240" w:lineRule="auto"/>
        <w:rPr>
          <w:rFonts w:ascii="Calibri" w:eastAsia="Times New Roman" w:hAnsi="Calibri" w:cs="Calibri"/>
          <w:iCs/>
          <w:szCs w:val="24"/>
          <w:lang w:val="en-GB"/>
        </w:rPr>
      </w:pPr>
      <w:r w:rsidRPr="003611CF">
        <w:rPr>
          <w:rFonts w:ascii="Calibri" w:eastAsia="Times New Roman" w:hAnsi="Calibri" w:cs="Calibri"/>
          <w:iCs/>
          <w:szCs w:val="24"/>
          <w:lang w:val="en-GB"/>
        </w:rPr>
        <w:tab/>
        <w:t>Imajući u vidu da je od početka trećeg kvartala 2020. godine intenziviran rad na realizaciji projekta elektronske fiskalizacije u cilju pripreme za primjenu Zakona o fiskalizaciji u prometu proizvoda i usluga, to je i ova oblast bila u fokusu pažnje poreskih obveznika, što se odrazilo I na opseg pitanja upuženih kol-centru.</w:t>
      </w:r>
    </w:p>
    <w:p w:rsidR="003611CF" w:rsidRPr="003611CF" w:rsidRDefault="003611CF" w:rsidP="003611CF">
      <w:pPr>
        <w:spacing w:before="0" w:after="0" w:line="240" w:lineRule="auto"/>
        <w:rPr>
          <w:rFonts w:ascii="Calibri" w:eastAsia="Times New Roman" w:hAnsi="Calibri" w:cs="Calibri"/>
          <w:iCs/>
          <w:szCs w:val="24"/>
          <w:lang w:val="en-GB"/>
        </w:rPr>
      </w:pPr>
      <w:r w:rsidRPr="003611CF">
        <w:rPr>
          <w:rFonts w:ascii="Calibri" w:eastAsia="Times New Roman" w:hAnsi="Calibri" w:cs="Calibri"/>
          <w:iCs/>
          <w:szCs w:val="24"/>
          <w:lang w:val="en-GB"/>
        </w:rPr>
        <w:tab/>
      </w:r>
    </w:p>
    <w:p w:rsidR="003611CF" w:rsidRPr="003611CF" w:rsidRDefault="003611CF" w:rsidP="003611CF">
      <w:pPr>
        <w:spacing w:before="0" w:after="0" w:line="240" w:lineRule="auto"/>
        <w:jc w:val="center"/>
        <w:rPr>
          <w:rFonts w:ascii="Calibri" w:eastAsia="Times New Roman" w:hAnsi="Calibri" w:cs="Calibri"/>
          <w:iCs/>
          <w:szCs w:val="24"/>
          <w:lang w:val="en-US"/>
        </w:rPr>
      </w:pPr>
      <w:r w:rsidRPr="003611CF">
        <w:rPr>
          <w:rFonts w:ascii="Calibri" w:eastAsia="Times New Roman" w:hAnsi="Calibri" w:cs="Calibri"/>
          <w:iCs/>
          <w:szCs w:val="24"/>
          <w:lang w:val="en-US"/>
        </w:rPr>
        <w:t>BROJ DATIH ODGOVORA PO PORESKIM OBLASTIMA</w:t>
      </w:r>
    </w:p>
    <w:tbl>
      <w:tblPr>
        <w:tblW w:w="0" w:type="auto"/>
        <w:jc w:val="center"/>
        <w:tblLook w:val="04A0" w:firstRow="1" w:lastRow="0" w:firstColumn="1" w:lastColumn="0" w:noHBand="0" w:noVBand="1"/>
      </w:tblPr>
      <w:tblGrid>
        <w:gridCol w:w="3652"/>
        <w:gridCol w:w="2410"/>
        <w:gridCol w:w="3225"/>
      </w:tblGrid>
      <w:tr w:rsidR="003611CF" w:rsidRPr="003611CF" w:rsidTr="003611CF">
        <w:trPr>
          <w:jc w:val="center"/>
        </w:trPr>
        <w:tc>
          <w:tcPr>
            <w:tcW w:w="3652" w:type="dxa"/>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Times New Roman" w:hAnsi="Arial" w:cs="Arial"/>
                <w:bCs/>
                <w:iCs/>
                <w:color w:val="FFFFFF"/>
                <w:sz w:val="20"/>
                <w:szCs w:val="24"/>
                <w:lang w:val="en-US"/>
              </w:rPr>
            </w:pPr>
            <w:r w:rsidRPr="003611CF">
              <w:rPr>
                <w:rFonts w:ascii="Arial" w:eastAsia="Times New Roman" w:hAnsi="Arial" w:cs="Arial"/>
                <w:bCs/>
                <w:iCs/>
                <w:color w:val="FFFFFF"/>
                <w:sz w:val="20"/>
                <w:szCs w:val="24"/>
                <w:lang w:val="en-US"/>
              </w:rPr>
              <w:t>Poreska oblast</w:t>
            </w:r>
          </w:p>
        </w:tc>
        <w:tc>
          <w:tcPr>
            <w:tcW w:w="2410" w:type="dxa"/>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Times New Roman" w:hAnsi="Arial" w:cs="Arial"/>
                <w:bCs/>
                <w:iCs/>
                <w:color w:val="FFFFFF"/>
                <w:sz w:val="20"/>
                <w:szCs w:val="24"/>
                <w:lang w:val="en-US"/>
              </w:rPr>
            </w:pPr>
            <w:r w:rsidRPr="003611CF">
              <w:rPr>
                <w:rFonts w:ascii="Arial" w:eastAsia="Times New Roman" w:hAnsi="Arial" w:cs="Arial"/>
                <w:bCs/>
                <w:iCs/>
                <w:color w:val="FFFFFF"/>
                <w:sz w:val="20"/>
                <w:szCs w:val="24"/>
                <w:lang w:val="en-US"/>
              </w:rPr>
              <w:t>Broj datih odgovora</w:t>
            </w:r>
          </w:p>
        </w:tc>
        <w:tc>
          <w:tcPr>
            <w:tcW w:w="3225" w:type="dxa"/>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Times New Roman" w:hAnsi="Arial" w:cs="Arial"/>
                <w:bCs/>
                <w:iCs/>
                <w:color w:val="FFFFFF"/>
                <w:sz w:val="20"/>
                <w:szCs w:val="24"/>
                <w:lang w:val="en-US"/>
              </w:rPr>
            </w:pPr>
            <w:r w:rsidRPr="003611CF">
              <w:rPr>
                <w:rFonts w:ascii="Arial" w:eastAsia="Times New Roman" w:hAnsi="Arial" w:cs="Arial"/>
                <w:bCs/>
                <w:iCs/>
                <w:color w:val="FFFFFF"/>
                <w:sz w:val="20"/>
                <w:szCs w:val="24"/>
                <w:lang w:val="en-US"/>
              </w:rPr>
              <w:t>Učešće po pojedinim poreskim oblastima (u %)</w:t>
            </w:r>
          </w:p>
        </w:tc>
      </w:tr>
      <w:tr w:rsidR="003611CF" w:rsidRPr="003611CF" w:rsidTr="003611CF">
        <w:trPr>
          <w:jc w:val="center"/>
        </w:trPr>
        <w:tc>
          <w:tcPr>
            <w:tcW w:w="3652" w:type="dxa"/>
            <w:shd w:val="clear" w:color="auto" w:fill="FDE9D9"/>
          </w:tcPr>
          <w:p w:rsidR="003611CF" w:rsidRPr="003611CF" w:rsidRDefault="003611CF" w:rsidP="003611CF">
            <w:pPr>
              <w:spacing w:before="0" w:after="0" w:line="240" w:lineRule="auto"/>
              <w:rPr>
                <w:rFonts w:ascii="Arial" w:eastAsia="Times New Roman" w:hAnsi="Arial" w:cs="Arial"/>
                <w:bCs/>
                <w:iCs/>
                <w:color w:val="000000"/>
                <w:sz w:val="20"/>
                <w:szCs w:val="24"/>
                <w:lang w:val="en-US"/>
              </w:rPr>
            </w:pPr>
            <w:r w:rsidRPr="003611CF">
              <w:rPr>
                <w:rFonts w:ascii="Arial" w:eastAsia="Times New Roman" w:hAnsi="Arial" w:cs="Arial"/>
                <w:bCs/>
                <w:iCs/>
                <w:color w:val="000000"/>
                <w:sz w:val="20"/>
                <w:szCs w:val="24"/>
                <w:lang w:val="en-US"/>
              </w:rPr>
              <w:t>Porez na dodatu vrijednost (PDV)</w:t>
            </w:r>
          </w:p>
        </w:tc>
        <w:tc>
          <w:tcPr>
            <w:tcW w:w="2410" w:type="dxa"/>
            <w:shd w:val="clear" w:color="auto" w:fill="FDE9D9"/>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1.560</w:t>
            </w:r>
          </w:p>
        </w:tc>
        <w:tc>
          <w:tcPr>
            <w:tcW w:w="3225" w:type="dxa"/>
            <w:shd w:val="clear" w:color="auto" w:fill="FDE9D9"/>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32,00%</w:t>
            </w:r>
          </w:p>
        </w:tc>
      </w:tr>
      <w:tr w:rsidR="003611CF" w:rsidRPr="003611CF" w:rsidTr="003611CF">
        <w:trPr>
          <w:jc w:val="center"/>
        </w:trPr>
        <w:tc>
          <w:tcPr>
            <w:tcW w:w="3652" w:type="dxa"/>
            <w:shd w:val="clear" w:color="auto" w:fill="FEF4EC"/>
          </w:tcPr>
          <w:p w:rsidR="003611CF" w:rsidRPr="003611CF" w:rsidRDefault="003611CF" w:rsidP="003611CF">
            <w:pPr>
              <w:spacing w:before="0" w:after="0" w:line="240" w:lineRule="auto"/>
              <w:rPr>
                <w:rFonts w:ascii="Arial" w:eastAsia="Times New Roman" w:hAnsi="Arial" w:cs="Arial"/>
                <w:bCs/>
                <w:iCs/>
                <w:color w:val="000000"/>
                <w:sz w:val="20"/>
                <w:szCs w:val="24"/>
                <w:lang w:val="en-US"/>
              </w:rPr>
            </w:pPr>
            <w:r w:rsidRPr="003611CF">
              <w:rPr>
                <w:rFonts w:ascii="Arial" w:eastAsia="Times New Roman" w:hAnsi="Arial" w:cs="Arial"/>
                <w:bCs/>
                <w:iCs/>
                <w:color w:val="000000"/>
                <w:sz w:val="20"/>
                <w:szCs w:val="24"/>
                <w:lang w:val="en-US"/>
              </w:rPr>
              <w:t>Porez na dohodak fizičkih lica</w:t>
            </w:r>
          </w:p>
        </w:tc>
        <w:tc>
          <w:tcPr>
            <w:tcW w:w="2410" w:type="dxa"/>
            <w:shd w:val="clear" w:color="auto" w:fill="FEF4EC"/>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1.433</w:t>
            </w:r>
          </w:p>
        </w:tc>
        <w:tc>
          <w:tcPr>
            <w:tcW w:w="3225" w:type="dxa"/>
            <w:shd w:val="clear" w:color="auto" w:fill="FEF4EC"/>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30,00%</w:t>
            </w:r>
          </w:p>
        </w:tc>
      </w:tr>
      <w:tr w:rsidR="003611CF" w:rsidRPr="003611CF" w:rsidTr="003611CF">
        <w:trPr>
          <w:jc w:val="center"/>
        </w:trPr>
        <w:tc>
          <w:tcPr>
            <w:tcW w:w="3652" w:type="dxa"/>
            <w:shd w:val="clear" w:color="auto" w:fill="FDE9D9"/>
          </w:tcPr>
          <w:p w:rsidR="003611CF" w:rsidRPr="003611CF" w:rsidRDefault="003611CF" w:rsidP="003611CF">
            <w:pPr>
              <w:spacing w:before="0" w:after="0" w:line="240" w:lineRule="auto"/>
              <w:rPr>
                <w:rFonts w:ascii="Arial" w:eastAsia="Times New Roman" w:hAnsi="Arial" w:cs="Arial"/>
                <w:bCs/>
                <w:iCs/>
                <w:color w:val="000000"/>
                <w:sz w:val="20"/>
                <w:szCs w:val="24"/>
                <w:lang w:val="en-US"/>
              </w:rPr>
            </w:pPr>
            <w:r w:rsidRPr="003611CF">
              <w:rPr>
                <w:rFonts w:ascii="Arial" w:eastAsia="Times New Roman" w:hAnsi="Arial" w:cs="Arial"/>
                <w:bCs/>
                <w:iCs/>
                <w:color w:val="000000"/>
                <w:sz w:val="20"/>
                <w:szCs w:val="24"/>
                <w:lang w:val="en-US"/>
              </w:rPr>
              <w:t>Porez na dobit pravnih lica</w:t>
            </w:r>
          </w:p>
        </w:tc>
        <w:tc>
          <w:tcPr>
            <w:tcW w:w="2410" w:type="dxa"/>
            <w:shd w:val="clear" w:color="auto" w:fill="FDE9D9"/>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645</w:t>
            </w:r>
          </w:p>
        </w:tc>
        <w:tc>
          <w:tcPr>
            <w:tcW w:w="3225" w:type="dxa"/>
            <w:shd w:val="clear" w:color="auto" w:fill="FDE9D9"/>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13,00%</w:t>
            </w:r>
          </w:p>
        </w:tc>
      </w:tr>
      <w:tr w:rsidR="003611CF" w:rsidRPr="003611CF" w:rsidTr="003611CF">
        <w:trPr>
          <w:jc w:val="center"/>
        </w:trPr>
        <w:tc>
          <w:tcPr>
            <w:tcW w:w="3652" w:type="dxa"/>
            <w:shd w:val="clear" w:color="auto" w:fill="FEF4EC"/>
          </w:tcPr>
          <w:p w:rsidR="003611CF" w:rsidRPr="003611CF" w:rsidRDefault="003611CF" w:rsidP="003611CF">
            <w:pPr>
              <w:spacing w:before="0" w:after="0" w:line="240" w:lineRule="auto"/>
              <w:rPr>
                <w:rFonts w:ascii="Arial" w:eastAsia="Times New Roman" w:hAnsi="Arial" w:cs="Arial"/>
                <w:bCs/>
                <w:iCs/>
                <w:color w:val="000000"/>
                <w:sz w:val="20"/>
                <w:szCs w:val="24"/>
                <w:lang w:val="en-US"/>
              </w:rPr>
            </w:pPr>
            <w:r w:rsidRPr="003611CF">
              <w:rPr>
                <w:rFonts w:ascii="Arial" w:eastAsia="Times New Roman" w:hAnsi="Arial" w:cs="Arial"/>
                <w:bCs/>
                <w:iCs/>
                <w:color w:val="000000"/>
                <w:sz w:val="20"/>
                <w:szCs w:val="24"/>
                <w:lang w:val="en-US"/>
              </w:rPr>
              <w:t xml:space="preserve">Porez na promet nepokretnosti </w:t>
            </w:r>
          </w:p>
        </w:tc>
        <w:tc>
          <w:tcPr>
            <w:tcW w:w="2410" w:type="dxa"/>
            <w:shd w:val="clear" w:color="auto" w:fill="FEF4EC"/>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207</w:t>
            </w:r>
          </w:p>
        </w:tc>
        <w:tc>
          <w:tcPr>
            <w:tcW w:w="3225" w:type="dxa"/>
            <w:shd w:val="clear" w:color="auto" w:fill="FEF4EC"/>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4%</w:t>
            </w:r>
          </w:p>
        </w:tc>
      </w:tr>
      <w:tr w:rsidR="003611CF" w:rsidRPr="003611CF" w:rsidTr="003611CF">
        <w:trPr>
          <w:jc w:val="center"/>
        </w:trPr>
        <w:tc>
          <w:tcPr>
            <w:tcW w:w="3652" w:type="dxa"/>
            <w:shd w:val="clear" w:color="auto" w:fill="FDE9D9"/>
          </w:tcPr>
          <w:p w:rsidR="003611CF" w:rsidRPr="003611CF" w:rsidRDefault="003611CF" w:rsidP="003611CF">
            <w:pPr>
              <w:spacing w:before="0" w:after="0" w:line="240" w:lineRule="auto"/>
              <w:rPr>
                <w:rFonts w:ascii="Arial" w:eastAsia="Times New Roman" w:hAnsi="Arial" w:cs="Arial"/>
                <w:bCs/>
                <w:iCs/>
                <w:color w:val="000000"/>
                <w:sz w:val="20"/>
                <w:szCs w:val="24"/>
                <w:lang w:val="en-US"/>
              </w:rPr>
            </w:pPr>
            <w:r w:rsidRPr="003611CF">
              <w:rPr>
                <w:rFonts w:ascii="Arial" w:eastAsia="Times New Roman" w:hAnsi="Arial" w:cs="Arial"/>
                <w:bCs/>
                <w:iCs/>
                <w:color w:val="000000"/>
                <w:sz w:val="20"/>
                <w:szCs w:val="24"/>
                <w:lang w:val="en-US"/>
              </w:rPr>
              <w:t xml:space="preserve">Registracija </w:t>
            </w:r>
          </w:p>
        </w:tc>
        <w:tc>
          <w:tcPr>
            <w:tcW w:w="2410" w:type="dxa"/>
            <w:shd w:val="clear" w:color="auto" w:fill="FDE9D9"/>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707</w:t>
            </w:r>
          </w:p>
        </w:tc>
        <w:tc>
          <w:tcPr>
            <w:tcW w:w="3225" w:type="dxa"/>
            <w:shd w:val="clear" w:color="auto" w:fill="FDE9D9"/>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15%</w:t>
            </w:r>
          </w:p>
        </w:tc>
      </w:tr>
      <w:tr w:rsidR="003611CF" w:rsidRPr="003611CF" w:rsidTr="003611CF">
        <w:trPr>
          <w:jc w:val="center"/>
        </w:trPr>
        <w:tc>
          <w:tcPr>
            <w:tcW w:w="3652" w:type="dxa"/>
            <w:shd w:val="clear" w:color="auto" w:fill="FDE9D9"/>
          </w:tcPr>
          <w:p w:rsidR="003611CF" w:rsidRPr="003611CF" w:rsidRDefault="003611CF" w:rsidP="003611CF">
            <w:pPr>
              <w:spacing w:before="0" w:after="0" w:line="240" w:lineRule="auto"/>
              <w:rPr>
                <w:rFonts w:ascii="Arial" w:eastAsia="Times New Roman" w:hAnsi="Arial" w:cs="Arial"/>
                <w:bCs/>
                <w:iCs/>
                <w:color w:val="000000"/>
                <w:sz w:val="20"/>
                <w:szCs w:val="24"/>
                <w:lang w:val="en-US"/>
              </w:rPr>
            </w:pPr>
            <w:r w:rsidRPr="003611CF">
              <w:rPr>
                <w:rFonts w:ascii="Arial" w:eastAsia="Times New Roman" w:hAnsi="Arial" w:cs="Arial"/>
                <w:iCs/>
                <w:sz w:val="20"/>
                <w:lang w:val="en-US"/>
              </w:rPr>
              <w:t>Elektronska fiskalizacija</w:t>
            </w:r>
          </w:p>
        </w:tc>
        <w:tc>
          <w:tcPr>
            <w:tcW w:w="2410" w:type="dxa"/>
            <w:shd w:val="clear" w:color="auto" w:fill="FDE9D9"/>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230</w:t>
            </w:r>
          </w:p>
        </w:tc>
        <w:tc>
          <w:tcPr>
            <w:tcW w:w="3225" w:type="dxa"/>
            <w:shd w:val="clear" w:color="auto" w:fill="FDE9D9"/>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5%</w:t>
            </w:r>
          </w:p>
        </w:tc>
      </w:tr>
      <w:tr w:rsidR="003611CF" w:rsidRPr="003611CF" w:rsidTr="003611CF">
        <w:trPr>
          <w:jc w:val="center"/>
        </w:trPr>
        <w:tc>
          <w:tcPr>
            <w:tcW w:w="3652" w:type="dxa"/>
            <w:shd w:val="clear" w:color="auto" w:fill="FEF4EC"/>
          </w:tcPr>
          <w:p w:rsidR="003611CF" w:rsidRPr="003611CF" w:rsidRDefault="003611CF" w:rsidP="003611CF">
            <w:pPr>
              <w:spacing w:before="0" w:after="0" w:line="240" w:lineRule="auto"/>
              <w:rPr>
                <w:rFonts w:ascii="Arial" w:eastAsia="Times New Roman" w:hAnsi="Arial" w:cs="Arial"/>
                <w:bCs/>
                <w:iCs/>
                <w:color w:val="000000"/>
                <w:sz w:val="20"/>
                <w:szCs w:val="24"/>
                <w:lang w:val="en-US"/>
              </w:rPr>
            </w:pPr>
            <w:r w:rsidRPr="003611CF">
              <w:rPr>
                <w:rFonts w:ascii="Arial" w:eastAsia="Times New Roman" w:hAnsi="Arial" w:cs="Arial"/>
                <w:bCs/>
                <w:iCs/>
                <w:color w:val="000000"/>
                <w:sz w:val="20"/>
                <w:szCs w:val="24"/>
                <w:lang w:val="en-US"/>
              </w:rPr>
              <w:t>Ostalo</w:t>
            </w:r>
          </w:p>
        </w:tc>
        <w:tc>
          <w:tcPr>
            <w:tcW w:w="2410" w:type="dxa"/>
            <w:shd w:val="clear" w:color="auto" w:fill="FEF4EC"/>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30</w:t>
            </w:r>
          </w:p>
        </w:tc>
        <w:tc>
          <w:tcPr>
            <w:tcW w:w="3225" w:type="dxa"/>
            <w:shd w:val="clear" w:color="auto" w:fill="FEF4EC"/>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w:t>
            </w:r>
          </w:p>
        </w:tc>
      </w:tr>
      <w:tr w:rsidR="003611CF" w:rsidRPr="003611CF" w:rsidTr="003611CF">
        <w:trPr>
          <w:jc w:val="center"/>
        </w:trPr>
        <w:tc>
          <w:tcPr>
            <w:tcW w:w="3652" w:type="dxa"/>
            <w:shd w:val="clear" w:color="auto" w:fill="FDE9D9"/>
          </w:tcPr>
          <w:p w:rsidR="003611CF" w:rsidRPr="003611CF" w:rsidRDefault="003611CF" w:rsidP="003611CF">
            <w:pPr>
              <w:spacing w:before="0" w:after="0" w:line="240" w:lineRule="auto"/>
              <w:rPr>
                <w:rFonts w:ascii="Arial" w:eastAsia="Times New Roman" w:hAnsi="Arial" w:cs="Arial"/>
                <w:b/>
                <w:bCs/>
                <w:iCs/>
                <w:color w:val="000000"/>
                <w:sz w:val="20"/>
                <w:szCs w:val="24"/>
                <w:lang w:val="en-US"/>
              </w:rPr>
            </w:pPr>
            <w:r w:rsidRPr="003611CF">
              <w:rPr>
                <w:rFonts w:ascii="Arial" w:eastAsia="Times New Roman" w:hAnsi="Arial" w:cs="Arial"/>
                <w:b/>
                <w:bCs/>
                <w:iCs/>
                <w:color w:val="000000"/>
                <w:sz w:val="20"/>
                <w:szCs w:val="24"/>
                <w:lang w:val="en-US"/>
              </w:rPr>
              <w:t>Ukupno</w:t>
            </w:r>
          </w:p>
        </w:tc>
        <w:tc>
          <w:tcPr>
            <w:tcW w:w="2410" w:type="dxa"/>
            <w:shd w:val="clear" w:color="auto" w:fill="FDE9D9"/>
            <w:vAlign w:val="center"/>
          </w:tcPr>
          <w:p w:rsidR="003611CF" w:rsidRPr="003611CF" w:rsidRDefault="003611CF" w:rsidP="003611CF">
            <w:pPr>
              <w:spacing w:before="0" w:after="0" w:line="240" w:lineRule="auto"/>
              <w:jc w:val="center"/>
              <w:rPr>
                <w:rFonts w:ascii="Arial" w:eastAsia="Times New Roman" w:hAnsi="Arial" w:cs="Arial"/>
                <w:b/>
                <w:iCs/>
                <w:sz w:val="20"/>
                <w:lang w:val="en-US"/>
              </w:rPr>
            </w:pPr>
            <w:r w:rsidRPr="003611CF">
              <w:rPr>
                <w:rFonts w:ascii="Arial" w:eastAsia="Times New Roman" w:hAnsi="Arial" w:cs="Arial"/>
                <w:b/>
                <w:iCs/>
                <w:sz w:val="20"/>
                <w:lang w:val="en-US"/>
              </w:rPr>
              <w:t>4.812</w:t>
            </w:r>
          </w:p>
        </w:tc>
        <w:tc>
          <w:tcPr>
            <w:tcW w:w="3225" w:type="dxa"/>
            <w:shd w:val="clear" w:color="auto" w:fill="FDE9D9"/>
            <w:vAlign w:val="center"/>
          </w:tcPr>
          <w:p w:rsidR="003611CF" w:rsidRPr="003611CF" w:rsidRDefault="003611CF" w:rsidP="003611CF">
            <w:pPr>
              <w:spacing w:before="0" w:after="0" w:line="240" w:lineRule="auto"/>
              <w:jc w:val="center"/>
              <w:rPr>
                <w:rFonts w:ascii="Arial" w:eastAsia="Times New Roman" w:hAnsi="Arial" w:cs="Arial"/>
                <w:b/>
                <w:iCs/>
                <w:sz w:val="20"/>
                <w:lang w:val="en-US"/>
              </w:rPr>
            </w:pPr>
            <w:r w:rsidRPr="003611CF">
              <w:rPr>
                <w:rFonts w:ascii="Arial" w:eastAsia="Times New Roman" w:hAnsi="Arial" w:cs="Arial"/>
                <w:b/>
                <w:iCs/>
                <w:sz w:val="20"/>
                <w:lang w:val="en-US"/>
              </w:rPr>
              <w:t>100</w:t>
            </w:r>
          </w:p>
        </w:tc>
      </w:tr>
    </w:tbl>
    <w:p w:rsidR="003611CF" w:rsidRPr="003611CF" w:rsidRDefault="003611CF" w:rsidP="003611CF">
      <w:pPr>
        <w:spacing w:before="0" w:after="0" w:line="240" w:lineRule="auto"/>
        <w:rPr>
          <w:rFonts w:ascii="Arial" w:eastAsia="Times New Roman" w:hAnsi="Arial" w:cs="Arial"/>
          <w:iCs/>
          <w:sz w:val="22"/>
          <w:lang w:val="en-GB"/>
        </w:rPr>
      </w:pPr>
    </w:p>
    <w:p w:rsidR="003611CF" w:rsidRPr="003611CF" w:rsidRDefault="003611CF" w:rsidP="003611CF">
      <w:pPr>
        <w:spacing w:before="0" w:after="0" w:line="240" w:lineRule="auto"/>
        <w:jc w:val="center"/>
        <w:rPr>
          <w:rFonts w:ascii="Arial" w:eastAsia="Times New Roman" w:hAnsi="Arial" w:cs="Arial"/>
          <w:iCs/>
          <w:sz w:val="20"/>
          <w:lang w:val="en-GB"/>
        </w:rPr>
      </w:pPr>
      <w:r w:rsidRPr="003611CF">
        <w:rPr>
          <w:rFonts w:ascii="Arial" w:eastAsia="Times New Roman" w:hAnsi="Arial" w:cs="Arial"/>
          <w:iCs/>
          <w:sz w:val="20"/>
          <w:lang w:val="en-GB"/>
        </w:rPr>
        <w:t>BROJ PRUŽENIH USLUGA PORESKIM OBVEZNICIMA PUTEM CALL-CENTRA</w:t>
      </w:r>
    </w:p>
    <w:tbl>
      <w:tblPr>
        <w:tblW w:w="0" w:type="auto"/>
        <w:jc w:val="center"/>
        <w:tblLook w:val="04A0" w:firstRow="1" w:lastRow="0" w:firstColumn="1" w:lastColumn="0" w:noHBand="0" w:noVBand="1"/>
      </w:tblPr>
      <w:tblGrid>
        <w:gridCol w:w="2321"/>
        <w:gridCol w:w="2322"/>
        <w:gridCol w:w="2322"/>
        <w:gridCol w:w="2322"/>
      </w:tblGrid>
      <w:tr w:rsidR="003611CF" w:rsidRPr="003611CF" w:rsidTr="003611CF">
        <w:trPr>
          <w:jc w:val="center"/>
        </w:trPr>
        <w:tc>
          <w:tcPr>
            <w:tcW w:w="2321" w:type="dxa"/>
            <w:vMerge w:val="restart"/>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Times New Roman" w:hAnsi="Arial" w:cs="Arial"/>
                <w:bCs/>
                <w:iCs/>
                <w:color w:val="FFFFFF"/>
                <w:sz w:val="20"/>
                <w:szCs w:val="24"/>
                <w:lang w:val="en-GB"/>
              </w:rPr>
            </w:pPr>
            <w:r w:rsidRPr="003611CF">
              <w:rPr>
                <w:rFonts w:ascii="Arial" w:eastAsia="Times New Roman" w:hAnsi="Arial" w:cs="Arial"/>
                <w:bCs/>
                <w:iCs/>
                <w:color w:val="FFFFFF"/>
                <w:sz w:val="20"/>
                <w:szCs w:val="24"/>
                <w:lang w:val="en-GB"/>
              </w:rPr>
              <w:t>Primaoci usluge</w:t>
            </w:r>
          </w:p>
        </w:tc>
        <w:tc>
          <w:tcPr>
            <w:tcW w:w="4644" w:type="dxa"/>
            <w:gridSpan w:val="2"/>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Times New Roman" w:hAnsi="Arial" w:cs="Arial"/>
                <w:bCs/>
                <w:iCs/>
                <w:color w:val="FFFFFF"/>
                <w:sz w:val="20"/>
                <w:szCs w:val="24"/>
                <w:lang w:val="en-US"/>
              </w:rPr>
            </w:pPr>
            <w:r w:rsidRPr="003611CF">
              <w:rPr>
                <w:rFonts w:ascii="Arial" w:eastAsia="Times New Roman" w:hAnsi="Arial" w:cs="Arial"/>
                <w:bCs/>
                <w:iCs/>
                <w:color w:val="FFFFFF"/>
                <w:sz w:val="20"/>
                <w:szCs w:val="24"/>
                <w:lang w:val="en-US"/>
              </w:rPr>
              <w:t>Broj pruženih usluga</w:t>
            </w:r>
          </w:p>
        </w:tc>
        <w:tc>
          <w:tcPr>
            <w:tcW w:w="2322" w:type="dxa"/>
            <w:vMerge w:val="restart"/>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Times New Roman" w:hAnsi="Arial" w:cs="Arial"/>
                <w:bCs/>
                <w:iCs/>
                <w:color w:val="FFFFFF"/>
                <w:sz w:val="20"/>
                <w:szCs w:val="24"/>
                <w:lang w:val="en-GB"/>
              </w:rPr>
            </w:pPr>
            <w:r w:rsidRPr="003611CF">
              <w:rPr>
                <w:rFonts w:ascii="Arial" w:eastAsia="Times New Roman" w:hAnsi="Arial" w:cs="Arial"/>
                <w:bCs/>
                <w:iCs/>
                <w:color w:val="FFFFFF"/>
                <w:sz w:val="20"/>
                <w:szCs w:val="24"/>
                <w:lang w:val="en-GB"/>
              </w:rPr>
              <w:t>Ukupno</w:t>
            </w:r>
          </w:p>
        </w:tc>
      </w:tr>
      <w:tr w:rsidR="003611CF" w:rsidRPr="003611CF" w:rsidTr="003611CF">
        <w:trPr>
          <w:jc w:val="center"/>
        </w:trPr>
        <w:tc>
          <w:tcPr>
            <w:tcW w:w="2321" w:type="dxa"/>
            <w:vMerge/>
            <w:shd w:val="clear" w:color="auto" w:fill="FDE9D9"/>
          </w:tcPr>
          <w:p w:rsidR="003611CF" w:rsidRPr="003611CF" w:rsidRDefault="003611CF" w:rsidP="003611CF">
            <w:pPr>
              <w:spacing w:before="0" w:after="0" w:line="240" w:lineRule="auto"/>
              <w:jc w:val="center"/>
              <w:rPr>
                <w:rFonts w:ascii="Arial" w:eastAsia="Times New Roman" w:hAnsi="Arial" w:cs="Arial"/>
                <w:b/>
                <w:bCs/>
                <w:iCs/>
                <w:color w:val="000000"/>
                <w:sz w:val="20"/>
                <w:szCs w:val="24"/>
                <w:lang w:val="en-GB"/>
              </w:rPr>
            </w:pPr>
          </w:p>
        </w:tc>
        <w:tc>
          <w:tcPr>
            <w:tcW w:w="2322" w:type="dxa"/>
            <w:shd w:val="clear" w:color="auto" w:fill="FDE9D9"/>
          </w:tcPr>
          <w:p w:rsidR="003611CF" w:rsidRPr="003611CF" w:rsidRDefault="003611CF" w:rsidP="003611CF">
            <w:pPr>
              <w:spacing w:before="0" w:after="0" w:line="240" w:lineRule="auto"/>
              <w:jc w:val="center"/>
              <w:rPr>
                <w:rFonts w:ascii="Arial" w:eastAsia="Times New Roman" w:hAnsi="Arial" w:cs="Arial"/>
                <w:b/>
                <w:iCs/>
                <w:color w:val="000000"/>
                <w:sz w:val="20"/>
                <w:szCs w:val="24"/>
                <w:lang w:val="en-US"/>
              </w:rPr>
            </w:pPr>
            <w:r w:rsidRPr="003611CF">
              <w:rPr>
                <w:rFonts w:ascii="Arial" w:eastAsia="Times New Roman" w:hAnsi="Arial" w:cs="Arial"/>
                <w:b/>
                <w:iCs/>
                <w:color w:val="000000"/>
                <w:sz w:val="20"/>
                <w:szCs w:val="24"/>
                <w:lang w:val="en-US"/>
              </w:rPr>
              <w:t>Pravna lica</w:t>
            </w:r>
          </w:p>
        </w:tc>
        <w:tc>
          <w:tcPr>
            <w:tcW w:w="2322" w:type="dxa"/>
            <w:shd w:val="clear" w:color="auto" w:fill="FDE9D9"/>
          </w:tcPr>
          <w:p w:rsidR="003611CF" w:rsidRPr="003611CF" w:rsidRDefault="003611CF" w:rsidP="003611CF">
            <w:pPr>
              <w:spacing w:before="0" w:after="0" w:line="240" w:lineRule="auto"/>
              <w:jc w:val="center"/>
              <w:rPr>
                <w:rFonts w:ascii="Arial" w:eastAsia="Times New Roman" w:hAnsi="Arial" w:cs="Arial"/>
                <w:b/>
                <w:iCs/>
                <w:color w:val="000000"/>
                <w:sz w:val="20"/>
                <w:szCs w:val="24"/>
                <w:lang w:val="en-US"/>
              </w:rPr>
            </w:pPr>
            <w:r w:rsidRPr="003611CF">
              <w:rPr>
                <w:rFonts w:ascii="Arial" w:eastAsia="Times New Roman" w:hAnsi="Arial" w:cs="Arial"/>
                <w:b/>
                <w:iCs/>
                <w:color w:val="000000"/>
                <w:sz w:val="20"/>
                <w:szCs w:val="24"/>
                <w:lang w:val="en-US"/>
              </w:rPr>
              <w:t>Fizička lica</w:t>
            </w:r>
          </w:p>
        </w:tc>
        <w:tc>
          <w:tcPr>
            <w:tcW w:w="2322" w:type="dxa"/>
            <w:vMerge/>
            <w:shd w:val="clear" w:color="auto" w:fill="FDE9D9"/>
          </w:tcPr>
          <w:p w:rsidR="003611CF" w:rsidRPr="003611CF" w:rsidRDefault="003611CF" w:rsidP="003611CF">
            <w:pPr>
              <w:spacing w:before="0" w:after="0" w:line="240" w:lineRule="auto"/>
              <w:jc w:val="center"/>
              <w:rPr>
                <w:rFonts w:ascii="Arial" w:eastAsia="Times New Roman" w:hAnsi="Arial" w:cs="Arial"/>
                <w:b/>
                <w:iCs/>
                <w:color w:val="000000"/>
                <w:sz w:val="20"/>
                <w:szCs w:val="24"/>
                <w:lang w:val="en-GB"/>
              </w:rPr>
            </w:pPr>
          </w:p>
        </w:tc>
      </w:tr>
      <w:tr w:rsidR="003611CF" w:rsidRPr="003611CF" w:rsidTr="003611CF">
        <w:trPr>
          <w:jc w:val="center"/>
        </w:trPr>
        <w:tc>
          <w:tcPr>
            <w:tcW w:w="2321" w:type="dxa"/>
            <w:shd w:val="clear" w:color="auto" w:fill="FEF4EC"/>
          </w:tcPr>
          <w:p w:rsidR="003611CF" w:rsidRPr="003611CF" w:rsidRDefault="003611CF" w:rsidP="003611CF">
            <w:pPr>
              <w:spacing w:before="0" w:after="0" w:line="240" w:lineRule="auto"/>
              <w:jc w:val="left"/>
              <w:rPr>
                <w:rFonts w:ascii="Arial" w:eastAsia="Times New Roman" w:hAnsi="Arial" w:cs="Arial"/>
                <w:bCs/>
                <w:iCs/>
                <w:color w:val="000000"/>
                <w:sz w:val="20"/>
                <w:szCs w:val="24"/>
                <w:lang w:val="en-GB"/>
              </w:rPr>
            </w:pPr>
            <w:r w:rsidRPr="003611CF">
              <w:rPr>
                <w:rFonts w:ascii="Arial" w:eastAsia="Times New Roman" w:hAnsi="Arial" w:cs="Arial"/>
                <w:bCs/>
                <w:iCs/>
                <w:color w:val="000000"/>
                <w:sz w:val="20"/>
                <w:szCs w:val="24"/>
                <w:lang w:val="en-GB"/>
              </w:rPr>
              <w:t>Rezidenti</w:t>
            </w:r>
          </w:p>
        </w:tc>
        <w:tc>
          <w:tcPr>
            <w:tcW w:w="2322" w:type="dxa"/>
            <w:shd w:val="clear" w:color="auto" w:fill="FEF4EC"/>
            <w:vAlign w:val="center"/>
          </w:tcPr>
          <w:p w:rsidR="003611CF" w:rsidRPr="003611CF" w:rsidRDefault="003611CF" w:rsidP="003611CF">
            <w:pPr>
              <w:spacing w:before="0" w:after="0" w:line="240" w:lineRule="auto"/>
              <w:jc w:val="center"/>
              <w:rPr>
                <w:rFonts w:ascii="Arial" w:eastAsia="Times New Roman" w:hAnsi="Arial" w:cs="Arial"/>
                <w:iCs/>
                <w:sz w:val="20"/>
                <w:lang w:val="en-US"/>
              </w:rPr>
            </w:pPr>
            <w:r w:rsidRPr="003611CF">
              <w:rPr>
                <w:rFonts w:ascii="Arial" w:eastAsia="Times New Roman" w:hAnsi="Arial" w:cs="Arial"/>
                <w:iCs/>
                <w:sz w:val="20"/>
                <w:lang w:val="en-US"/>
              </w:rPr>
              <w:t>1.200</w:t>
            </w:r>
          </w:p>
        </w:tc>
        <w:tc>
          <w:tcPr>
            <w:tcW w:w="2322" w:type="dxa"/>
            <w:shd w:val="clear" w:color="auto" w:fill="FEF4EC"/>
            <w:vAlign w:val="center"/>
          </w:tcPr>
          <w:p w:rsidR="003611CF" w:rsidRPr="003611CF" w:rsidRDefault="003611CF" w:rsidP="003611CF">
            <w:pPr>
              <w:spacing w:before="0" w:after="0" w:line="240" w:lineRule="auto"/>
              <w:jc w:val="center"/>
              <w:rPr>
                <w:rFonts w:ascii="Arial" w:eastAsia="Times New Roman" w:hAnsi="Arial" w:cs="Arial"/>
                <w:iCs/>
                <w:sz w:val="20"/>
                <w:lang w:val="en-US"/>
              </w:rPr>
            </w:pPr>
            <w:r w:rsidRPr="003611CF">
              <w:rPr>
                <w:rFonts w:ascii="Arial" w:eastAsia="Times New Roman" w:hAnsi="Arial" w:cs="Arial"/>
                <w:iCs/>
                <w:sz w:val="20"/>
                <w:lang w:val="en-US"/>
              </w:rPr>
              <w:t>1.932</w:t>
            </w:r>
          </w:p>
        </w:tc>
        <w:tc>
          <w:tcPr>
            <w:tcW w:w="2322" w:type="dxa"/>
            <w:shd w:val="clear" w:color="auto" w:fill="FEF4EC"/>
            <w:vAlign w:val="center"/>
          </w:tcPr>
          <w:p w:rsidR="003611CF" w:rsidRPr="003611CF" w:rsidRDefault="003611CF" w:rsidP="003611CF">
            <w:pPr>
              <w:spacing w:before="0" w:after="0" w:line="240" w:lineRule="auto"/>
              <w:jc w:val="center"/>
              <w:rPr>
                <w:rFonts w:ascii="Arial" w:eastAsia="Times New Roman" w:hAnsi="Arial" w:cs="Arial"/>
                <w:iCs/>
                <w:sz w:val="20"/>
                <w:lang w:val="en-US"/>
              </w:rPr>
            </w:pPr>
            <w:r w:rsidRPr="003611CF">
              <w:rPr>
                <w:rFonts w:ascii="Arial" w:eastAsia="Times New Roman" w:hAnsi="Arial" w:cs="Arial"/>
                <w:iCs/>
                <w:sz w:val="20"/>
                <w:lang w:val="en-US"/>
              </w:rPr>
              <w:t>3.132</w:t>
            </w:r>
          </w:p>
        </w:tc>
      </w:tr>
      <w:tr w:rsidR="003611CF" w:rsidRPr="003611CF" w:rsidTr="003611CF">
        <w:trPr>
          <w:jc w:val="center"/>
        </w:trPr>
        <w:tc>
          <w:tcPr>
            <w:tcW w:w="2321" w:type="dxa"/>
            <w:shd w:val="clear" w:color="auto" w:fill="FDE9D9"/>
          </w:tcPr>
          <w:p w:rsidR="003611CF" w:rsidRPr="003611CF" w:rsidRDefault="003611CF" w:rsidP="003611CF">
            <w:pPr>
              <w:spacing w:before="0" w:after="0" w:line="240" w:lineRule="auto"/>
              <w:jc w:val="left"/>
              <w:rPr>
                <w:rFonts w:ascii="Arial" w:eastAsia="Times New Roman" w:hAnsi="Arial" w:cs="Arial"/>
                <w:bCs/>
                <w:iCs/>
                <w:color w:val="000000"/>
                <w:sz w:val="20"/>
                <w:szCs w:val="24"/>
                <w:lang w:val="en-GB"/>
              </w:rPr>
            </w:pPr>
            <w:r w:rsidRPr="003611CF">
              <w:rPr>
                <w:rFonts w:ascii="Arial" w:eastAsia="Times New Roman" w:hAnsi="Arial" w:cs="Arial"/>
                <w:bCs/>
                <w:iCs/>
                <w:color w:val="000000"/>
                <w:sz w:val="20"/>
                <w:szCs w:val="24"/>
                <w:lang w:val="en-GB"/>
              </w:rPr>
              <w:t>Nerezidenti</w:t>
            </w:r>
          </w:p>
        </w:tc>
        <w:tc>
          <w:tcPr>
            <w:tcW w:w="2322" w:type="dxa"/>
            <w:shd w:val="clear" w:color="auto" w:fill="FDE9D9"/>
            <w:vAlign w:val="center"/>
          </w:tcPr>
          <w:p w:rsidR="003611CF" w:rsidRPr="003611CF" w:rsidRDefault="003611CF" w:rsidP="003611CF">
            <w:pPr>
              <w:spacing w:before="0" w:after="0" w:line="240" w:lineRule="auto"/>
              <w:jc w:val="center"/>
              <w:rPr>
                <w:rFonts w:ascii="Arial" w:eastAsia="Times New Roman" w:hAnsi="Arial" w:cs="Arial"/>
                <w:iCs/>
                <w:sz w:val="20"/>
                <w:lang w:val="en-US"/>
              </w:rPr>
            </w:pPr>
            <w:r w:rsidRPr="003611CF">
              <w:rPr>
                <w:rFonts w:ascii="Arial" w:eastAsia="Times New Roman" w:hAnsi="Arial" w:cs="Arial"/>
                <w:iCs/>
                <w:sz w:val="20"/>
                <w:lang w:val="en-US"/>
              </w:rPr>
              <w:t>1.000</w:t>
            </w:r>
          </w:p>
        </w:tc>
        <w:tc>
          <w:tcPr>
            <w:tcW w:w="2322" w:type="dxa"/>
            <w:shd w:val="clear" w:color="auto" w:fill="FDE9D9"/>
            <w:vAlign w:val="center"/>
          </w:tcPr>
          <w:p w:rsidR="003611CF" w:rsidRPr="003611CF" w:rsidRDefault="003611CF" w:rsidP="003611CF">
            <w:pPr>
              <w:spacing w:before="0" w:after="0" w:line="240" w:lineRule="auto"/>
              <w:jc w:val="center"/>
              <w:rPr>
                <w:rFonts w:ascii="Arial" w:eastAsia="Times New Roman" w:hAnsi="Arial" w:cs="Arial"/>
                <w:iCs/>
                <w:sz w:val="20"/>
                <w:lang w:val="en-US"/>
              </w:rPr>
            </w:pPr>
            <w:r w:rsidRPr="003611CF">
              <w:rPr>
                <w:rFonts w:ascii="Arial" w:eastAsia="Times New Roman" w:hAnsi="Arial" w:cs="Arial"/>
                <w:iCs/>
                <w:sz w:val="20"/>
                <w:lang w:val="en-US"/>
              </w:rPr>
              <w:t>680</w:t>
            </w:r>
          </w:p>
        </w:tc>
        <w:tc>
          <w:tcPr>
            <w:tcW w:w="2322" w:type="dxa"/>
            <w:shd w:val="clear" w:color="auto" w:fill="FDE9D9"/>
            <w:vAlign w:val="center"/>
          </w:tcPr>
          <w:p w:rsidR="003611CF" w:rsidRPr="003611CF" w:rsidRDefault="003611CF" w:rsidP="003611CF">
            <w:pPr>
              <w:spacing w:before="0" w:after="0" w:line="240" w:lineRule="auto"/>
              <w:jc w:val="center"/>
              <w:rPr>
                <w:rFonts w:ascii="Arial" w:eastAsia="Times New Roman" w:hAnsi="Arial" w:cs="Arial"/>
                <w:iCs/>
                <w:sz w:val="20"/>
                <w:lang w:val="en-US"/>
              </w:rPr>
            </w:pPr>
            <w:r w:rsidRPr="003611CF">
              <w:rPr>
                <w:rFonts w:ascii="Arial" w:eastAsia="Times New Roman" w:hAnsi="Arial" w:cs="Arial"/>
                <w:iCs/>
                <w:sz w:val="20"/>
                <w:lang w:val="en-US"/>
              </w:rPr>
              <w:t>1.680</w:t>
            </w:r>
          </w:p>
        </w:tc>
      </w:tr>
      <w:tr w:rsidR="003611CF" w:rsidRPr="003611CF" w:rsidTr="003611CF">
        <w:trPr>
          <w:jc w:val="center"/>
        </w:trPr>
        <w:tc>
          <w:tcPr>
            <w:tcW w:w="2321" w:type="dxa"/>
            <w:shd w:val="clear" w:color="auto" w:fill="FEF4EC"/>
          </w:tcPr>
          <w:p w:rsidR="003611CF" w:rsidRPr="003611CF" w:rsidRDefault="003611CF" w:rsidP="003611CF">
            <w:pPr>
              <w:spacing w:before="0" w:after="0" w:line="240" w:lineRule="auto"/>
              <w:jc w:val="left"/>
              <w:rPr>
                <w:rFonts w:ascii="Arial" w:eastAsia="Times New Roman" w:hAnsi="Arial" w:cs="Arial"/>
                <w:b/>
                <w:bCs/>
                <w:iCs/>
                <w:color w:val="000000"/>
                <w:sz w:val="20"/>
                <w:szCs w:val="24"/>
                <w:lang w:val="en-GB"/>
              </w:rPr>
            </w:pPr>
            <w:r w:rsidRPr="003611CF">
              <w:rPr>
                <w:rFonts w:ascii="Arial" w:eastAsia="Times New Roman" w:hAnsi="Arial" w:cs="Arial"/>
                <w:b/>
                <w:bCs/>
                <w:iCs/>
                <w:color w:val="000000"/>
                <w:sz w:val="20"/>
                <w:szCs w:val="24"/>
                <w:lang w:val="en-GB"/>
              </w:rPr>
              <w:t>Ukupno</w:t>
            </w:r>
          </w:p>
        </w:tc>
        <w:tc>
          <w:tcPr>
            <w:tcW w:w="2322" w:type="dxa"/>
            <w:shd w:val="clear" w:color="auto" w:fill="FEF4EC"/>
            <w:vAlign w:val="center"/>
          </w:tcPr>
          <w:p w:rsidR="003611CF" w:rsidRPr="003611CF" w:rsidRDefault="003611CF" w:rsidP="003611CF">
            <w:pPr>
              <w:spacing w:before="0" w:after="0" w:line="240" w:lineRule="auto"/>
              <w:jc w:val="center"/>
              <w:rPr>
                <w:rFonts w:ascii="Arial" w:eastAsia="Times New Roman" w:hAnsi="Arial" w:cs="Arial"/>
                <w:b/>
                <w:iCs/>
                <w:sz w:val="20"/>
                <w:lang w:val="en-US"/>
              </w:rPr>
            </w:pPr>
            <w:r w:rsidRPr="003611CF">
              <w:rPr>
                <w:rFonts w:ascii="Arial" w:eastAsia="Times New Roman" w:hAnsi="Arial" w:cs="Arial"/>
                <w:b/>
                <w:iCs/>
                <w:sz w:val="20"/>
                <w:lang w:val="en-US"/>
              </w:rPr>
              <w:t>2.200</w:t>
            </w:r>
          </w:p>
        </w:tc>
        <w:tc>
          <w:tcPr>
            <w:tcW w:w="2322" w:type="dxa"/>
            <w:shd w:val="clear" w:color="auto" w:fill="FEF4EC"/>
            <w:vAlign w:val="center"/>
          </w:tcPr>
          <w:p w:rsidR="003611CF" w:rsidRPr="003611CF" w:rsidRDefault="003611CF" w:rsidP="003611CF">
            <w:pPr>
              <w:spacing w:before="0" w:after="0" w:line="240" w:lineRule="auto"/>
              <w:jc w:val="center"/>
              <w:rPr>
                <w:rFonts w:ascii="Arial" w:eastAsia="Times New Roman" w:hAnsi="Arial" w:cs="Arial"/>
                <w:b/>
                <w:iCs/>
                <w:sz w:val="20"/>
                <w:lang w:val="en-US"/>
              </w:rPr>
            </w:pPr>
            <w:r w:rsidRPr="003611CF">
              <w:rPr>
                <w:rFonts w:ascii="Arial" w:eastAsia="Times New Roman" w:hAnsi="Arial" w:cs="Arial"/>
                <w:b/>
                <w:iCs/>
                <w:sz w:val="20"/>
                <w:lang w:val="en-US"/>
              </w:rPr>
              <w:t>2.612</w:t>
            </w:r>
          </w:p>
        </w:tc>
        <w:tc>
          <w:tcPr>
            <w:tcW w:w="2322" w:type="dxa"/>
            <w:shd w:val="clear" w:color="auto" w:fill="FEF4EC"/>
            <w:vAlign w:val="center"/>
          </w:tcPr>
          <w:p w:rsidR="003611CF" w:rsidRPr="003611CF" w:rsidRDefault="003611CF" w:rsidP="003611CF">
            <w:pPr>
              <w:spacing w:before="0" w:after="0" w:line="240" w:lineRule="auto"/>
              <w:jc w:val="center"/>
              <w:rPr>
                <w:rFonts w:ascii="Arial" w:eastAsia="Times New Roman" w:hAnsi="Arial" w:cs="Arial"/>
                <w:b/>
                <w:iCs/>
                <w:sz w:val="20"/>
                <w:lang w:val="en-US"/>
              </w:rPr>
            </w:pPr>
            <w:r w:rsidRPr="003611CF">
              <w:rPr>
                <w:rFonts w:ascii="Arial" w:eastAsia="Times New Roman" w:hAnsi="Arial" w:cs="Arial"/>
                <w:b/>
                <w:iCs/>
                <w:sz w:val="20"/>
                <w:lang w:val="en-US"/>
              </w:rPr>
              <w:t>4.812</w:t>
            </w:r>
          </w:p>
        </w:tc>
      </w:tr>
    </w:tbl>
    <w:p w:rsidR="003611CF" w:rsidRPr="003611CF" w:rsidRDefault="003611CF" w:rsidP="003611CF">
      <w:pPr>
        <w:spacing w:before="0" w:after="0" w:line="240" w:lineRule="auto"/>
        <w:rPr>
          <w:rFonts w:ascii="Arial" w:eastAsia="Times New Roman" w:hAnsi="Arial" w:cs="Arial"/>
          <w:iCs/>
          <w:sz w:val="22"/>
          <w:lang w:val="en-GB"/>
        </w:rPr>
      </w:pPr>
    </w:p>
    <w:p w:rsidR="003611CF" w:rsidRPr="003611CF" w:rsidRDefault="003611CF" w:rsidP="003611CF">
      <w:pPr>
        <w:tabs>
          <w:tab w:val="right" w:pos="9071"/>
        </w:tabs>
        <w:spacing w:before="0" w:after="0" w:line="240" w:lineRule="auto"/>
        <w:ind w:firstLine="709"/>
        <w:rPr>
          <w:rFonts w:ascii="Calibri" w:eastAsia="Times New Roman" w:hAnsi="Calibri" w:cs="Calibri"/>
          <w:iCs/>
          <w:szCs w:val="24"/>
          <w:lang w:val="en-GB"/>
        </w:rPr>
      </w:pPr>
      <w:r w:rsidRPr="003611CF">
        <w:rPr>
          <w:rFonts w:ascii="Arial" w:eastAsia="Times New Roman" w:hAnsi="Arial" w:cs="Arial"/>
          <w:iCs/>
          <w:sz w:val="22"/>
          <w:lang w:val="en-GB"/>
        </w:rPr>
        <w:tab/>
      </w:r>
      <w:r w:rsidRPr="003611CF">
        <w:rPr>
          <w:rFonts w:ascii="Calibri" w:eastAsia="Times New Roman" w:hAnsi="Calibri" w:cs="Calibri"/>
          <w:iCs/>
          <w:szCs w:val="24"/>
          <w:lang w:val="en-GB"/>
        </w:rPr>
        <w:t xml:space="preserve">Treba napomenuti da je u okviru kol-centra za potrebe sprovođenja projekta elektronska fiskalizacija organizovana podrška poreskim obveznicima, te da je za tu svrhu otvorena namjenska e-mail adresa za komunikaciju </w:t>
      </w:r>
      <w:hyperlink r:id="rId19" w:history="1">
        <w:r w:rsidRPr="003611CF">
          <w:rPr>
            <w:rFonts w:ascii="Calibri" w:eastAsia="Times New Roman" w:hAnsi="Calibri" w:cs="Calibri"/>
            <w:iCs/>
            <w:color w:val="0000FF"/>
            <w:szCs w:val="24"/>
            <w:u w:val="single"/>
            <w:lang w:val="en-GB"/>
          </w:rPr>
          <w:t>efiskalizacija@tax.gov.me</w:t>
        </w:r>
      </w:hyperlink>
      <w:r w:rsidRPr="003611CF">
        <w:rPr>
          <w:rFonts w:ascii="Calibri" w:eastAsia="Times New Roman" w:hAnsi="Calibri" w:cs="Calibri"/>
          <w:iCs/>
          <w:szCs w:val="24"/>
          <w:lang w:val="en-GB"/>
        </w:rPr>
        <w:t xml:space="preserve">, kao jedna od aktivnosti predviđenih shodno Komunikativnom planu donijetom za promociju projekta elektronska fiskalizacija. </w:t>
      </w:r>
    </w:p>
    <w:p w:rsidR="003611CF" w:rsidRPr="003611CF" w:rsidRDefault="003611CF" w:rsidP="003611CF">
      <w:pPr>
        <w:tabs>
          <w:tab w:val="right" w:pos="9071"/>
        </w:tabs>
        <w:spacing w:before="0" w:after="0" w:line="240" w:lineRule="auto"/>
        <w:ind w:firstLine="709"/>
        <w:rPr>
          <w:rFonts w:ascii="Calibri" w:eastAsia="Times New Roman" w:hAnsi="Calibri" w:cs="Calibri"/>
          <w:iCs/>
          <w:szCs w:val="24"/>
          <w:lang w:val="en-GB"/>
        </w:rPr>
      </w:pPr>
      <w:r w:rsidRPr="003611CF">
        <w:rPr>
          <w:rFonts w:ascii="Calibri" w:eastAsia="Times New Roman" w:hAnsi="Calibri" w:cs="Calibri"/>
          <w:iCs/>
          <w:szCs w:val="24"/>
          <w:lang w:val="en-GB"/>
        </w:rPr>
        <w:tab/>
        <w:t>Koordinacija podrške organizovana je iz Odsjeka, a putem navedenog mejla primljeno je i odgovoreno na 371 zahtjev poreskih obveznika u bliskoj saradnji sa službenicima za tehničku i pravnu pomoć iz projektnog tima.</w:t>
      </w:r>
    </w:p>
    <w:p w:rsidR="003611CF" w:rsidRPr="003611CF" w:rsidRDefault="003611CF" w:rsidP="003611CF">
      <w:pPr>
        <w:spacing w:before="0" w:after="0" w:line="240" w:lineRule="auto"/>
        <w:rPr>
          <w:rFonts w:ascii="Calibri" w:eastAsia="Times New Roman" w:hAnsi="Calibri" w:cs="Calibri"/>
          <w:iCs/>
          <w:szCs w:val="24"/>
          <w:lang w:val="en-GB"/>
        </w:rPr>
      </w:pPr>
      <w:r w:rsidRPr="003611CF">
        <w:rPr>
          <w:rFonts w:ascii="Calibri" w:eastAsia="Times New Roman" w:hAnsi="Calibri" w:cs="Calibri"/>
          <w:iCs/>
          <w:szCs w:val="24"/>
          <w:lang w:val="en-GB"/>
        </w:rPr>
        <w:tab/>
        <w:t>U skladu sa procedurama Sektora za usluge i registraciju, službenice zadužene za edukaciju javnosti</w:t>
      </w:r>
      <w:r w:rsidRPr="003611CF">
        <w:rPr>
          <w:rFonts w:ascii="Calibri" w:eastAsia="Times New Roman" w:hAnsi="Calibri" w:cs="Calibri"/>
          <w:bCs/>
          <w:iCs/>
          <w:szCs w:val="24"/>
          <w:lang w:val="en-GB"/>
        </w:rPr>
        <w:t xml:space="preserve"> </w:t>
      </w:r>
      <w:r w:rsidRPr="003611CF">
        <w:rPr>
          <w:rFonts w:ascii="Calibri" w:eastAsia="Times New Roman" w:hAnsi="Calibri" w:cs="Calibri"/>
          <w:iCs/>
          <w:szCs w:val="24"/>
          <w:lang w:val="en-GB"/>
        </w:rPr>
        <w:t>su u ovom izvještajnom periodu obavile sljedeće planirane poslove:</w:t>
      </w:r>
    </w:p>
    <w:p w:rsidR="003611CF" w:rsidRPr="003611CF" w:rsidRDefault="003611CF" w:rsidP="004D6CB4">
      <w:pPr>
        <w:numPr>
          <w:ilvl w:val="0"/>
          <w:numId w:val="126"/>
        </w:numPr>
        <w:spacing w:before="0" w:after="0" w:line="240" w:lineRule="auto"/>
        <w:ind w:left="0" w:firstLine="360"/>
        <w:jc w:val="left"/>
        <w:rPr>
          <w:rFonts w:ascii="Calibri" w:eastAsia="Times New Roman" w:hAnsi="Calibri" w:cs="Calibri"/>
          <w:iCs/>
          <w:szCs w:val="24"/>
          <w:lang w:val="en-US"/>
        </w:rPr>
      </w:pPr>
      <w:r w:rsidRPr="003611CF">
        <w:rPr>
          <w:rFonts w:ascii="Calibri" w:eastAsia="Times New Roman" w:hAnsi="Calibri" w:cs="Calibri"/>
          <w:iCs/>
          <w:szCs w:val="24"/>
          <w:lang w:val="en-US"/>
        </w:rPr>
        <w:t xml:space="preserve">Redovno ažuriranje zakonskih propisa objavljenih u “Službenom listu Crne Gore”, koji su od značaja za rad službenika Poreske uprave. </w:t>
      </w:r>
    </w:p>
    <w:p w:rsidR="003611CF" w:rsidRPr="003611CF" w:rsidRDefault="003611CF" w:rsidP="004D6CB4">
      <w:pPr>
        <w:numPr>
          <w:ilvl w:val="0"/>
          <w:numId w:val="126"/>
        </w:numPr>
        <w:spacing w:before="0" w:after="0" w:line="240" w:lineRule="auto"/>
        <w:ind w:left="0" w:firstLine="360"/>
        <w:jc w:val="left"/>
        <w:rPr>
          <w:rFonts w:ascii="Calibri" w:eastAsia="Times New Roman" w:hAnsi="Calibri" w:cs="Calibri"/>
          <w:iCs/>
          <w:szCs w:val="24"/>
          <w:lang w:val="en-US"/>
        </w:rPr>
      </w:pPr>
      <w:r w:rsidRPr="003611CF">
        <w:rPr>
          <w:rFonts w:ascii="Calibri" w:eastAsia="Times New Roman" w:hAnsi="Calibri" w:cs="Calibri"/>
          <w:iCs/>
          <w:szCs w:val="24"/>
          <w:lang w:val="en-US"/>
        </w:rPr>
        <w:t xml:space="preserve">U izvještajnom periodu procesuirano je 1.465 pitanja. </w:t>
      </w:r>
      <w:r w:rsidRPr="003611CF">
        <w:rPr>
          <w:rFonts w:ascii="Calibri" w:eastAsia="Times New Roman" w:hAnsi="Calibri" w:cs="Calibri"/>
          <w:szCs w:val="24"/>
          <w:lang w:val="en-GB"/>
        </w:rPr>
        <w:t xml:space="preserve">Redovno se ažurira baner na sajtu Poreske uprave koji se odnosi na VPO. </w:t>
      </w:r>
    </w:p>
    <w:p w:rsidR="003611CF" w:rsidRPr="003611CF" w:rsidRDefault="003611CF" w:rsidP="004D6CB4">
      <w:pPr>
        <w:numPr>
          <w:ilvl w:val="0"/>
          <w:numId w:val="126"/>
        </w:numPr>
        <w:spacing w:before="0" w:after="0" w:line="240" w:lineRule="auto"/>
        <w:ind w:left="0" w:firstLine="360"/>
        <w:jc w:val="left"/>
        <w:rPr>
          <w:rFonts w:ascii="Calibri" w:eastAsia="Times New Roman" w:hAnsi="Calibri" w:cs="Calibri"/>
          <w:iCs/>
          <w:szCs w:val="24"/>
          <w:lang w:val="en-US"/>
        </w:rPr>
      </w:pPr>
      <w:r w:rsidRPr="003611CF">
        <w:rPr>
          <w:rFonts w:ascii="Calibri" w:eastAsia="Times New Roman" w:hAnsi="Calibri" w:cs="Calibri"/>
          <w:szCs w:val="24"/>
          <w:lang w:val="en-GB"/>
        </w:rPr>
        <w:t>Izrada izvještaja o radu na kvartalnom i godišnjem nivou;</w:t>
      </w:r>
    </w:p>
    <w:p w:rsidR="003611CF" w:rsidRPr="003611CF" w:rsidRDefault="003611CF" w:rsidP="004D6CB4">
      <w:pPr>
        <w:numPr>
          <w:ilvl w:val="0"/>
          <w:numId w:val="126"/>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Izrada interne procedure za edukaciju javnosti;</w:t>
      </w:r>
    </w:p>
    <w:p w:rsidR="003611CF" w:rsidRPr="003611CF" w:rsidRDefault="003611CF" w:rsidP="004D6CB4">
      <w:pPr>
        <w:numPr>
          <w:ilvl w:val="0"/>
          <w:numId w:val="126"/>
        </w:numPr>
        <w:spacing w:before="0" w:after="0" w:line="240" w:lineRule="auto"/>
        <w:ind w:left="0" w:firstLine="360"/>
        <w:jc w:val="left"/>
        <w:rPr>
          <w:rFonts w:ascii="Calibri" w:eastAsia="Times New Roman" w:hAnsi="Calibri" w:cs="Calibri"/>
          <w:iCs/>
          <w:szCs w:val="24"/>
          <w:lang w:val="en-US"/>
        </w:rPr>
      </w:pPr>
      <w:r w:rsidRPr="003611CF">
        <w:rPr>
          <w:rFonts w:ascii="Calibri" w:eastAsia="Times New Roman" w:hAnsi="Calibri" w:cs="Calibri"/>
          <w:szCs w:val="24"/>
          <w:lang w:val="en-GB"/>
        </w:rPr>
        <w:t xml:space="preserve">Nastavak projekta "Edukacija učenika osnovnih i srednjih škola o porezima i poreskom sistemu" – (u periodu od 18. februara do 03.marta, održana su predavanja u pet škola (dvije </w:t>
      </w:r>
      <w:r w:rsidRPr="003611CF">
        <w:rPr>
          <w:rFonts w:ascii="Calibri" w:eastAsia="Times New Roman" w:hAnsi="Calibri" w:cs="Calibri"/>
          <w:szCs w:val="24"/>
          <w:lang w:val="en-GB"/>
        </w:rPr>
        <w:lastRenderedPageBreak/>
        <w:t>osnovne i tri srednje), kojima je prisustvovalo oko 400 učenika. Napomena: Ove školske godine kampanja nije mogla biti nastavljena zbog aktuelne kovid epidemije;</w:t>
      </w:r>
    </w:p>
    <w:p w:rsidR="003611CF" w:rsidRPr="003611CF" w:rsidRDefault="003611CF" w:rsidP="004D6CB4">
      <w:pPr>
        <w:numPr>
          <w:ilvl w:val="0"/>
          <w:numId w:val="126"/>
        </w:numPr>
        <w:spacing w:before="0" w:after="0" w:line="240" w:lineRule="auto"/>
        <w:ind w:left="0" w:firstLine="360"/>
        <w:jc w:val="left"/>
        <w:rPr>
          <w:rFonts w:ascii="Calibri" w:eastAsia="Times New Roman" w:hAnsi="Calibri" w:cs="Calibri"/>
          <w:iCs/>
          <w:szCs w:val="24"/>
          <w:lang w:val="en-US"/>
        </w:rPr>
      </w:pPr>
      <w:r w:rsidRPr="003611CF">
        <w:rPr>
          <w:rFonts w:ascii="Calibri" w:eastAsia="Times New Roman" w:hAnsi="Calibri" w:cs="Calibri"/>
          <w:szCs w:val="24"/>
          <w:lang w:val="en-GB"/>
        </w:rPr>
        <w:t xml:space="preserve">Gostovanje na lokalnim medijima: RTV Bijelo Polje, na temu “Zimska turistička sezona”  </w:t>
      </w:r>
    </w:p>
    <w:p w:rsidR="003611CF" w:rsidRPr="003611CF" w:rsidRDefault="003611CF" w:rsidP="004D6CB4">
      <w:pPr>
        <w:numPr>
          <w:ilvl w:val="0"/>
          <w:numId w:val="126"/>
        </w:numPr>
        <w:spacing w:before="0" w:after="0" w:line="240" w:lineRule="auto"/>
        <w:ind w:left="0" w:firstLine="360"/>
        <w:jc w:val="left"/>
        <w:rPr>
          <w:rFonts w:ascii="Calibri" w:eastAsia="Times New Roman" w:hAnsi="Calibri" w:cs="Calibri"/>
          <w:iCs/>
          <w:szCs w:val="24"/>
          <w:lang w:val="en-US"/>
        </w:rPr>
      </w:pPr>
      <w:r w:rsidRPr="003611CF">
        <w:rPr>
          <w:rFonts w:ascii="Calibri" w:eastAsia="Times New Roman" w:hAnsi="Calibri" w:cs="Calibri"/>
          <w:szCs w:val="24"/>
          <w:lang w:val="en-GB"/>
        </w:rPr>
        <w:t>na Radiju Kotor, Radiju Budva i RTV Pljevlja, na temu “Edukacija učenika osnovnih i srednjih škola”.</w:t>
      </w:r>
    </w:p>
    <w:p w:rsidR="003611CF" w:rsidRPr="003611CF" w:rsidRDefault="003611CF" w:rsidP="004D6CB4">
      <w:pPr>
        <w:numPr>
          <w:ilvl w:val="0"/>
          <w:numId w:val="126"/>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Učešće u radu radnih grupa (FRD);</w:t>
      </w:r>
    </w:p>
    <w:p w:rsidR="003611CF" w:rsidRPr="003611CF" w:rsidRDefault="003611CF" w:rsidP="004D6CB4">
      <w:pPr>
        <w:numPr>
          <w:ilvl w:val="0"/>
          <w:numId w:val="126"/>
        </w:numPr>
        <w:spacing w:before="0" w:after="0" w:line="240" w:lineRule="auto"/>
        <w:ind w:left="0" w:firstLine="360"/>
        <w:jc w:val="left"/>
        <w:rPr>
          <w:rFonts w:ascii="Calibri" w:eastAsia="Times New Roman" w:hAnsi="Calibri" w:cs="Calibri"/>
          <w:iCs/>
          <w:szCs w:val="24"/>
          <w:lang w:val="en-US"/>
        </w:rPr>
      </w:pPr>
      <w:r w:rsidRPr="003611CF">
        <w:rPr>
          <w:rFonts w:ascii="Calibri" w:eastAsia="Times New Roman" w:hAnsi="Calibri" w:cs="Calibri"/>
          <w:szCs w:val="24"/>
          <w:lang w:val="en-GB"/>
        </w:rPr>
        <w:t>Komunikacija sa članovima odbora u vezi pripreme materijala za redovne sjednice SO VPO;</w:t>
      </w:r>
    </w:p>
    <w:p w:rsidR="003611CF" w:rsidRPr="003611CF" w:rsidRDefault="003611CF" w:rsidP="004D6CB4">
      <w:pPr>
        <w:numPr>
          <w:ilvl w:val="0"/>
          <w:numId w:val="126"/>
        </w:numPr>
        <w:spacing w:before="0" w:after="0" w:line="240" w:lineRule="auto"/>
        <w:ind w:left="0" w:firstLine="360"/>
        <w:jc w:val="left"/>
        <w:rPr>
          <w:rFonts w:ascii="Calibri" w:eastAsia="Times New Roman" w:hAnsi="Calibri" w:cs="Calibri"/>
          <w:iCs/>
          <w:szCs w:val="24"/>
          <w:lang w:val="en-US"/>
        </w:rPr>
      </w:pPr>
      <w:r w:rsidRPr="003611CF">
        <w:rPr>
          <w:rFonts w:ascii="Calibri" w:eastAsia="Times New Roman" w:hAnsi="Calibri" w:cs="Calibri"/>
          <w:iCs/>
          <w:szCs w:val="24"/>
          <w:lang w:val="en-US"/>
        </w:rPr>
        <w:t xml:space="preserve">U koordinaciji sa </w:t>
      </w:r>
      <w:r w:rsidRPr="003611CF">
        <w:rPr>
          <w:rFonts w:ascii="Calibri" w:eastAsia="Times New Roman" w:hAnsi="Calibri" w:cs="Calibri"/>
          <w:szCs w:val="24"/>
          <w:lang w:val="it-IT"/>
        </w:rPr>
        <w:t>Odsjekom za registraciju poreskih obveznika, obveznika doprinosa i osiguranika (CROO) vršena provjera i dostava podataka za potrebe Komunalne policije Glavnog grada – Podgorica;</w:t>
      </w:r>
    </w:p>
    <w:p w:rsidR="003611CF" w:rsidRPr="003611CF" w:rsidRDefault="003611CF" w:rsidP="004D6CB4">
      <w:pPr>
        <w:numPr>
          <w:ilvl w:val="0"/>
          <w:numId w:val="126"/>
        </w:numPr>
        <w:spacing w:before="0" w:after="0" w:line="240" w:lineRule="auto"/>
        <w:ind w:left="0" w:firstLine="360"/>
        <w:jc w:val="left"/>
        <w:rPr>
          <w:rFonts w:ascii="Calibri" w:eastAsia="Times New Roman" w:hAnsi="Calibri" w:cs="Calibri"/>
          <w:iCs/>
          <w:szCs w:val="24"/>
          <w:lang w:val="en-US"/>
        </w:rPr>
      </w:pPr>
      <w:r w:rsidRPr="003611CF">
        <w:rPr>
          <w:rFonts w:ascii="Calibri" w:eastAsia="Times New Roman" w:hAnsi="Calibri" w:cs="Calibri"/>
          <w:iCs/>
          <w:szCs w:val="24"/>
          <w:lang w:val="en-US"/>
        </w:rPr>
        <w:t>Na osnovu sporazuma Poreske uprave Crne Gore i Privredne komore Crne Gore organizovana su i održana dva seminara – edukacije na temu “Građevinarstvo” I “Registracija i promjene u Centralnom privrednom registru (CRPS)”;</w:t>
      </w:r>
    </w:p>
    <w:p w:rsidR="003611CF" w:rsidRPr="003611CF" w:rsidRDefault="003611CF" w:rsidP="004D6CB4">
      <w:pPr>
        <w:numPr>
          <w:ilvl w:val="0"/>
          <w:numId w:val="126"/>
        </w:numPr>
        <w:spacing w:before="0" w:after="0" w:line="240" w:lineRule="auto"/>
        <w:ind w:left="0" w:firstLine="360"/>
        <w:jc w:val="left"/>
        <w:rPr>
          <w:rFonts w:ascii="Calibri" w:eastAsia="Times New Roman" w:hAnsi="Calibri" w:cs="Calibri"/>
          <w:iCs/>
          <w:szCs w:val="24"/>
          <w:lang w:val="en-US"/>
        </w:rPr>
      </w:pPr>
      <w:r w:rsidRPr="003611CF">
        <w:rPr>
          <w:rFonts w:ascii="Calibri" w:eastAsia="Times New Roman" w:hAnsi="Calibri" w:cs="Calibri"/>
          <w:iCs/>
          <w:szCs w:val="24"/>
          <w:lang w:val="en-US"/>
        </w:rPr>
        <w:t xml:space="preserve">Tokom septembra 2020.godine, po spiskovima dostavljenim iz Odjeljenja za analizu rizika, vršeno je pozivanje obveznika koji su po poreskoj evidenciji aktivni a nemaju prijavljene zaposlene..  </w:t>
      </w:r>
    </w:p>
    <w:p w:rsidR="003611CF" w:rsidRPr="003611CF" w:rsidRDefault="003611CF" w:rsidP="004D6CB4">
      <w:pPr>
        <w:numPr>
          <w:ilvl w:val="0"/>
          <w:numId w:val="126"/>
        </w:numPr>
        <w:spacing w:before="0" w:after="0" w:line="240" w:lineRule="auto"/>
        <w:ind w:left="0" w:firstLine="360"/>
        <w:jc w:val="left"/>
        <w:rPr>
          <w:rFonts w:ascii="Calibri" w:eastAsia="Times New Roman" w:hAnsi="Calibri" w:cs="Calibri"/>
          <w:iCs/>
          <w:szCs w:val="24"/>
          <w:lang w:val="en-US"/>
        </w:rPr>
      </w:pPr>
      <w:r w:rsidRPr="003611CF">
        <w:rPr>
          <w:rFonts w:ascii="Calibri" w:eastAsia="Times New Roman" w:hAnsi="Calibri" w:cs="Calibri"/>
          <w:iCs/>
          <w:szCs w:val="24"/>
          <w:lang w:val="en-US"/>
        </w:rPr>
        <w:t xml:space="preserve">U drugoj polovini septembra otpočele su aktivnosti na pripremi edukativnih kampanja u vezi sa elektronskom fiskalizacijom, koje su nastavljene i u četvrtom kvartalu. U tom periodu vođene su intenzivne komunikacije sa Privrednom komorom, u vezi sa organizovanjem okruglih stolova on line radionica, a takođe je snimljen i materijal na temu “Elektronska fiskalizacija” koji je emitovan preko you tube kanala Privredne komore. </w:t>
      </w:r>
    </w:p>
    <w:p w:rsidR="003611CF" w:rsidRPr="003611CF" w:rsidRDefault="003611CF" w:rsidP="004D6CB4">
      <w:pPr>
        <w:numPr>
          <w:ilvl w:val="0"/>
          <w:numId w:val="126"/>
        </w:numPr>
        <w:spacing w:before="0" w:after="0" w:line="240" w:lineRule="auto"/>
        <w:ind w:left="0" w:firstLine="360"/>
        <w:jc w:val="left"/>
        <w:rPr>
          <w:rFonts w:ascii="Calibri" w:eastAsia="Times New Roman" w:hAnsi="Calibri" w:cs="Calibri"/>
          <w:iCs/>
          <w:szCs w:val="24"/>
          <w:lang w:val="en-US"/>
        </w:rPr>
      </w:pPr>
      <w:r w:rsidRPr="003611CF">
        <w:rPr>
          <w:rFonts w:ascii="Calibri" w:eastAsia="Times New Roman" w:hAnsi="Calibri" w:cs="Calibri"/>
          <w:iCs/>
          <w:szCs w:val="24"/>
          <w:lang w:val="en-US"/>
        </w:rPr>
        <w:t xml:space="preserve">Tokom decembra vršena je provjera postojećih i sprovedene aktivnosti na pronalaženju novih kontakt adresa poreskih obveznika sa “Bijele liste” u cilju slanja novogodišnjih čestitki. </w:t>
      </w:r>
    </w:p>
    <w:p w:rsidR="003611CF" w:rsidRPr="003611CF" w:rsidRDefault="003611CF" w:rsidP="003611CF">
      <w:pPr>
        <w:spacing w:before="0" w:after="0" w:line="240" w:lineRule="auto"/>
        <w:rPr>
          <w:rFonts w:ascii="Calibri" w:eastAsia="Times New Roman" w:hAnsi="Calibri" w:cs="Calibri"/>
          <w:szCs w:val="24"/>
          <w:lang w:val="en-GB"/>
        </w:rPr>
      </w:pPr>
    </w:p>
    <w:p w:rsidR="003611CF" w:rsidRPr="003611CF" w:rsidRDefault="003611CF" w:rsidP="003611CF">
      <w:pPr>
        <w:spacing w:before="0" w:after="0" w:line="240" w:lineRule="auto"/>
        <w:rPr>
          <w:rFonts w:ascii="Calibri" w:eastAsia="Times New Roman" w:hAnsi="Calibri" w:cs="Calibri"/>
          <w:b/>
          <w:szCs w:val="24"/>
          <w:lang w:val="en-GB"/>
        </w:rPr>
      </w:pPr>
      <w:r w:rsidRPr="003611CF">
        <w:rPr>
          <w:rFonts w:ascii="Calibri" w:eastAsia="Times New Roman" w:hAnsi="Calibri" w:cs="Calibri"/>
          <w:b/>
          <w:szCs w:val="24"/>
          <w:lang w:val="en-GB"/>
        </w:rPr>
        <w:t xml:space="preserve">Odnosi s javnošću </w:t>
      </w:r>
    </w:p>
    <w:p w:rsidR="003611CF" w:rsidRPr="003611CF" w:rsidRDefault="003611CF" w:rsidP="003611CF">
      <w:pPr>
        <w:spacing w:after="0" w:line="240" w:lineRule="auto"/>
        <w:ind w:left="720"/>
        <w:rPr>
          <w:rFonts w:ascii="Calibri" w:eastAsia="Times New Roman" w:hAnsi="Calibri" w:cs="Calibri"/>
          <w:b/>
          <w:szCs w:val="24"/>
          <w:lang w:val="en-GB"/>
        </w:rPr>
      </w:pPr>
      <w:r w:rsidRPr="003611CF">
        <w:rPr>
          <w:rFonts w:ascii="Calibri" w:eastAsia="Times New Roman" w:hAnsi="Calibri" w:cs="Calibri"/>
          <w:b/>
          <w:szCs w:val="24"/>
          <w:lang w:val="en-GB"/>
        </w:rPr>
        <w:t>Televizijska gostovanja</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Televizijska gostovanja predstavnika Poreske uprave, na čelu sa Direktorom, na razne teme za više televizijskih medija.</w:t>
      </w:r>
    </w:p>
    <w:p w:rsidR="003611CF" w:rsidRPr="003611CF" w:rsidRDefault="003611CF" w:rsidP="003611CF">
      <w:pPr>
        <w:spacing w:before="0" w:after="0" w:line="240" w:lineRule="auto"/>
        <w:rPr>
          <w:rFonts w:ascii="Calibri" w:eastAsia="Times New Roman" w:hAnsi="Calibri" w:cs="Calibri"/>
          <w:szCs w:val="24"/>
          <w:lang w:val="en-GB"/>
        </w:rPr>
      </w:pPr>
    </w:p>
    <w:p w:rsidR="003611CF" w:rsidRPr="003611CF" w:rsidRDefault="003611CF" w:rsidP="003611CF">
      <w:pPr>
        <w:spacing w:before="0" w:after="0" w:line="240" w:lineRule="auto"/>
        <w:ind w:left="720"/>
        <w:rPr>
          <w:rFonts w:ascii="Calibri" w:eastAsia="Times New Roman" w:hAnsi="Calibri" w:cs="Calibri"/>
          <w:b/>
          <w:szCs w:val="24"/>
          <w:lang w:val="en-GB"/>
        </w:rPr>
      </w:pPr>
      <w:r w:rsidRPr="003611CF">
        <w:rPr>
          <w:rFonts w:ascii="Calibri" w:eastAsia="Times New Roman" w:hAnsi="Calibri" w:cs="Calibri"/>
          <w:b/>
          <w:szCs w:val="24"/>
          <w:lang w:val="en-GB"/>
        </w:rPr>
        <w:t>Štampani mediji</w:t>
      </w:r>
    </w:p>
    <w:p w:rsidR="003611CF" w:rsidRPr="003611CF" w:rsidRDefault="003611CF" w:rsidP="003611CF">
      <w:pPr>
        <w:spacing w:before="0" w:after="0" w:line="240" w:lineRule="auto"/>
        <w:rPr>
          <w:rFonts w:ascii="Calibri" w:eastAsia="Times New Roman" w:hAnsi="Calibri" w:cs="Calibri"/>
          <w:b/>
          <w:szCs w:val="24"/>
          <w:lang w:val="en-GB"/>
        </w:rPr>
      </w:pPr>
      <w:r w:rsidRPr="003611CF">
        <w:rPr>
          <w:rFonts w:ascii="Calibri" w:eastAsia="Times New Roman" w:hAnsi="Calibri" w:cs="Calibri"/>
          <w:szCs w:val="24"/>
          <w:lang w:val="en-GB"/>
        </w:rPr>
        <w:tab/>
        <w:t>Dati intervjui od strane direktora i drugih predstavnika Poreske uprave za više štampanih medija.</w:t>
      </w:r>
    </w:p>
    <w:p w:rsidR="003611CF" w:rsidRPr="003611CF" w:rsidRDefault="003611CF" w:rsidP="004D6CB4">
      <w:pPr>
        <w:numPr>
          <w:ilvl w:val="0"/>
          <w:numId w:val="90"/>
        </w:numPr>
        <w:spacing w:before="0" w:after="0" w:line="240" w:lineRule="auto"/>
        <w:ind w:left="0" w:firstLine="284"/>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51 set pitanja postavljenih od strane štampanih i elektronskih medija, vezanih za različite teme iz nadležnosti Poreske uprave</w:t>
      </w:r>
    </w:p>
    <w:p w:rsidR="003611CF" w:rsidRPr="003611CF" w:rsidRDefault="003611CF" w:rsidP="004D6CB4">
      <w:pPr>
        <w:numPr>
          <w:ilvl w:val="0"/>
          <w:numId w:val="90"/>
        </w:numPr>
        <w:spacing w:before="0" w:after="0" w:line="240" w:lineRule="auto"/>
        <w:ind w:left="0" w:firstLine="284"/>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22 saopstenja za medije, 15 informacija i 61 obavjestenje, radi upoznavanja gradjana i poreskih obveznika o rezultatima u radu, tekućim aktivnostima, te pravima i obavezama koje proističu iz poreske legislative</w:t>
      </w:r>
    </w:p>
    <w:p w:rsidR="003611CF" w:rsidRPr="003611CF" w:rsidRDefault="003611CF" w:rsidP="004D6CB4">
      <w:pPr>
        <w:numPr>
          <w:ilvl w:val="0"/>
          <w:numId w:val="90"/>
        </w:numPr>
        <w:spacing w:before="0" w:after="0" w:line="240" w:lineRule="auto"/>
        <w:ind w:left="0" w:firstLine="284"/>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Izrađena 2 informatora za poreske obveznike, i to radi povećanja stepena poštovanja poreskih propisa od strane poreskih obveznika koji obavljaju djelatnost povezanu sa zimskom turističkom sezonom i koji se bave građevinarstvom</w:t>
      </w:r>
    </w:p>
    <w:p w:rsidR="003611CF" w:rsidRPr="003611CF" w:rsidRDefault="003611CF" w:rsidP="004D6CB4">
      <w:pPr>
        <w:numPr>
          <w:ilvl w:val="0"/>
          <w:numId w:val="90"/>
        </w:numPr>
        <w:spacing w:before="0" w:after="0" w:line="240" w:lineRule="auto"/>
        <w:ind w:left="0" w:firstLine="284"/>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Ažurirana lista najurednijih poreskih obveznika, tj. Bijela lista</w:t>
      </w:r>
    </w:p>
    <w:p w:rsidR="003611CF" w:rsidRPr="003611CF" w:rsidRDefault="003611CF" w:rsidP="004D6CB4">
      <w:pPr>
        <w:numPr>
          <w:ilvl w:val="0"/>
          <w:numId w:val="90"/>
        </w:numPr>
        <w:spacing w:before="0" w:after="0" w:line="240" w:lineRule="auto"/>
        <w:ind w:left="0" w:firstLine="284"/>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Kontinuirano održavanje naloga Poreske uprave na društvenoj mreži Facebook i Twitter (195 objava na Facebook-u, 220 tweet-ova)</w:t>
      </w:r>
    </w:p>
    <w:p w:rsidR="003611CF" w:rsidRPr="003611CF" w:rsidRDefault="003611CF" w:rsidP="004D6CB4">
      <w:pPr>
        <w:numPr>
          <w:ilvl w:val="0"/>
          <w:numId w:val="90"/>
        </w:numPr>
        <w:spacing w:before="0" w:after="0" w:line="240" w:lineRule="auto"/>
        <w:ind w:left="0" w:firstLine="284"/>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Kontinuirano uređivanje internet stranice Poreske uprave</w:t>
      </w:r>
    </w:p>
    <w:p w:rsidR="003611CF" w:rsidRPr="003611CF" w:rsidRDefault="003611CF" w:rsidP="004D6CB4">
      <w:pPr>
        <w:numPr>
          <w:ilvl w:val="0"/>
          <w:numId w:val="90"/>
        </w:numPr>
        <w:spacing w:before="0" w:after="0" w:line="240" w:lineRule="auto"/>
        <w:ind w:left="0" w:firstLine="284"/>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U okviru Plana za poštovanje poreskih propisa Odsjek za edukaciju javnosti realizovao je set aktivnosti vezanih za:</w:t>
      </w:r>
    </w:p>
    <w:p w:rsidR="003611CF" w:rsidRPr="003611CF" w:rsidRDefault="003611CF" w:rsidP="004D6CB4">
      <w:pPr>
        <w:numPr>
          <w:ilvl w:val="0"/>
          <w:numId w:val="127"/>
        </w:numPr>
        <w:spacing w:before="0" w:after="0" w:line="240" w:lineRule="auto"/>
        <w:ind w:left="1134" w:hanging="283"/>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zimsku turističku sezonu – saopštenja za javnost, izjave za javnost i gostovanja u televizijskim programima, Informator za zimsku turističku sezionu, vizuali za društvene mreže</w:t>
      </w:r>
    </w:p>
    <w:p w:rsidR="003611CF" w:rsidRPr="003611CF" w:rsidRDefault="003611CF" w:rsidP="004D6CB4">
      <w:pPr>
        <w:numPr>
          <w:ilvl w:val="0"/>
          <w:numId w:val="127"/>
        </w:numPr>
        <w:spacing w:before="0" w:after="0" w:line="240" w:lineRule="auto"/>
        <w:ind w:left="1134" w:hanging="283"/>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lastRenderedPageBreak/>
        <w:t>građevinsku industriju - saopštenja za javnost, izjave za javnost i gostovanja u televizijskim programima, Informator za obveznike koji se bave građevinarstvom, vizuali za društvene mreže</w:t>
      </w:r>
    </w:p>
    <w:p w:rsidR="003611CF" w:rsidRPr="003611CF" w:rsidRDefault="003611CF" w:rsidP="004D6CB4">
      <w:pPr>
        <w:numPr>
          <w:ilvl w:val="0"/>
          <w:numId w:val="90"/>
        </w:numPr>
        <w:spacing w:before="0" w:after="0" w:line="240" w:lineRule="auto"/>
        <w:ind w:left="0" w:firstLine="284"/>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Izrađen Vodič za poreske obveznike radi jednostavnijeg postupanja po Uredbi o uslovima za odlaganje naplate poreskih i neporeskih potraživanja donijetih u skladu za zaključkom Vlade Crne Gore o uvođenju mjera za podršku privredi tokom trajanja epidemije zarazne bolesti COVID-19</w:t>
      </w:r>
    </w:p>
    <w:p w:rsidR="003611CF" w:rsidRPr="003611CF" w:rsidRDefault="003611CF" w:rsidP="003611CF">
      <w:pPr>
        <w:spacing w:before="0" w:after="0" w:line="240" w:lineRule="auto"/>
        <w:ind w:left="284"/>
        <w:contextualSpacing/>
        <w:rPr>
          <w:rFonts w:ascii="Calibri" w:eastAsia="Times New Roman" w:hAnsi="Calibri" w:cs="Calibri"/>
          <w:szCs w:val="24"/>
          <w:lang w:val="hr-HR" w:eastAsia="hr-HR"/>
        </w:rPr>
      </w:pPr>
    </w:p>
    <w:p w:rsidR="003611CF" w:rsidRPr="003611CF" w:rsidRDefault="003611CF" w:rsidP="003611CF">
      <w:pPr>
        <w:spacing w:before="0" w:after="0" w:line="240" w:lineRule="auto"/>
        <w:rPr>
          <w:rFonts w:ascii="Calibri" w:eastAsia="Times New Roman" w:hAnsi="Calibri" w:cs="Calibri"/>
          <w:b/>
          <w:szCs w:val="24"/>
          <w:lang w:val="hr-HR" w:eastAsia="hr-HR"/>
        </w:rPr>
      </w:pPr>
      <w:r w:rsidRPr="003611CF">
        <w:rPr>
          <w:rFonts w:ascii="Calibri" w:eastAsia="Times New Roman" w:hAnsi="Calibri" w:cs="Calibri"/>
          <w:b/>
          <w:szCs w:val="24"/>
          <w:lang w:val="hr-HR" w:eastAsia="hr-HR"/>
        </w:rPr>
        <w:t>Kampanja za promociju projekta elektronske fiskalizacije „računa se svaki račun“</w:t>
      </w:r>
    </w:p>
    <w:p w:rsidR="003611CF" w:rsidRPr="003611CF" w:rsidRDefault="003611CF" w:rsidP="003611CF">
      <w:pPr>
        <w:spacing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U cilju definisanja i planiranja promocije projekta EFI izrađen je Komunikacioni plan koji prepoznaje ciljeve, komunikacione poruke, interesne grupe, pristup i komunikacione kanale za realizaciju javne kampanje za promocije projekta, a izrađena je i procedura za podršku radi informisanja i edukovanja poreskih obveznika i javnosti o istom.</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U cilju realizacije navedenog plana, definisan je niz komunikacionih aktivnosti i to:</w:t>
      </w:r>
    </w:p>
    <w:p w:rsidR="003611CF" w:rsidRPr="003611CF" w:rsidRDefault="003611CF" w:rsidP="004D6CB4">
      <w:pPr>
        <w:numPr>
          <w:ilvl w:val="0"/>
          <w:numId w:val="128"/>
        </w:numPr>
        <w:spacing w:before="0" w:after="0" w:line="240" w:lineRule="auto"/>
        <w:ind w:left="0" w:firstLine="360"/>
        <w:jc w:val="left"/>
        <w:rPr>
          <w:rFonts w:ascii="Calibri" w:eastAsia="Times New Roman" w:hAnsi="Calibri" w:cs="Calibri"/>
          <w:szCs w:val="24"/>
          <w:lang w:val="en-GB"/>
        </w:rPr>
      </w:pPr>
      <w:r w:rsidRPr="003611CF">
        <w:rPr>
          <w:rFonts w:ascii="Calibri" w:eastAsia="Times New Roman" w:hAnsi="Calibri" w:cs="Calibri"/>
          <w:szCs w:val="24"/>
          <w:lang w:val="en-GB"/>
        </w:rPr>
        <w:t>Kontinuirano prezentovanje projekta u medijima</w:t>
      </w:r>
    </w:p>
    <w:p w:rsidR="003611CF" w:rsidRPr="003611CF" w:rsidRDefault="003611CF" w:rsidP="004D6CB4">
      <w:pPr>
        <w:numPr>
          <w:ilvl w:val="0"/>
          <w:numId w:val="128"/>
        </w:numPr>
        <w:spacing w:before="0" w:after="0" w:line="240" w:lineRule="auto"/>
        <w:ind w:left="0" w:firstLine="360"/>
        <w:jc w:val="left"/>
        <w:rPr>
          <w:rFonts w:ascii="Calibri" w:eastAsia="Times New Roman" w:hAnsi="Calibri" w:cs="Calibri"/>
          <w:szCs w:val="24"/>
          <w:lang w:val="en-GB"/>
        </w:rPr>
      </w:pPr>
      <w:r w:rsidRPr="003611CF">
        <w:rPr>
          <w:rFonts w:ascii="Calibri" w:eastAsia="Times New Roman" w:hAnsi="Calibri" w:cs="Calibri"/>
          <w:szCs w:val="24"/>
          <w:lang w:val="en-GB"/>
        </w:rPr>
        <w:t xml:space="preserve">Komuniciranje sa poreskim obveznicima putem e-mail adrese </w:t>
      </w:r>
      <w:hyperlink r:id="rId20" w:history="1">
        <w:r w:rsidRPr="003611CF">
          <w:rPr>
            <w:rFonts w:ascii="Calibri" w:eastAsia="Times New Roman" w:hAnsi="Calibri" w:cs="Calibri"/>
            <w:szCs w:val="24"/>
            <w:u w:val="single"/>
            <w:lang w:val="en-GB"/>
          </w:rPr>
          <w:t>Efiskalizacija</w:t>
        </w:r>
        <w:r w:rsidRPr="003611CF">
          <w:rPr>
            <w:rFonts w:ascii="Calibri" w:eastAsia="Times New Roman" w:hAnsi="Calibri" w:cs="Calibri"/>
            <w:szCs w:val="24"/>
            <w:u w:val="single"/>
            <w:lang w:val="en-US"/>
          </w:rPr>
          <w:t>@</w:t>
        </w:r>
        <w:r w:rsidRPr="003611CF">
          <w:rPr>
            <w:rFonts w:ascii="Calibri" w:eastAsia="Times New Roman" w:hAnsi="Calibri" w:cs="Calibri"/>
            <w:szCs w:val="24"/>
            <w:u w:val="single"/>
            <w:lang w:val="en-GB"/>
          </w:rPr>
          <w:t>tax.gov.me</w:t>
        </w:r>
      </w:hyperlink>
      <w:r w:rsidRPr="003611CF">
        <w:rPr>
          <w:rFonts w:ascii="Calibri" w:eastAsia="Times New Roman" w:hAnsi="Calibri" w:cs="Calibri"/>
          <w:szCs w:val="24"/>
          <w:lang w:val="en-GB"/>
        </w:rPr>
        <w:t xml:space="preserve"> otvorene u cilju pružanja podrške poreskim obveznicima, kao i putem telefonskog kontakta za tehničku podršku</w:t>
      </w:r>
    </w:p>
    <w:p w:rsidR="003611CF" w:rsidRPr="003611CF" w:rsidRDefault="003611CF" w:rsidP="004D6CB4">
      <w:pPr>
        <w:numPr>
          <w:ilvl w:val="0"/>
          <w:numId w:val="128"/>
        </w:numPr>
        <w:spacing w:before="0" w:after="0" w:line="240" w:lineRule="auto"/>
        <w:ind w:left="0" w:firstLine="360"/>
        <w:jc w:val="left"/>
        <w:rPr>
          <w:rFonts w:ascii="Calibri" w:eastAsia="Times New Roman" w:hAnsi="Calibri" w:cs="Calibri"/>
          <w:szCs w:val="24"/>
          <w:lang w:val="en-GB"/>
        </w:rPr>
      </w:pPr>
      <w:r w:rsidRPr="003611CF">
        <w:rPr>
          <w:rFonts w:ascii="Calibri" w:eastAsia="Times New Roman" w:hAnsi="Calibri" w:cs="Calibri"/>
          <w:szCs w:val="24"/>
          <w:lang w:val="en-GB"/>
        </w:rPr>
        <w:t>Organizovanje edukativnih i informativnih sastanaka sa poreskim obveznicima i strukovnim udruženjima u cilju otklanjanja nedoumica vezanih za projekta</w:t>
      </w:r>
    </w:p>
    <w:p w:rsidR="003611CF" w:rsidRPr="003611CF" w:rsidRDefault="003611CF" w:rsidP="004D6CB4">
      <w:pPr>
        <w:numPr>
          <w:ilvl w:val="0"/>
          <w:numId w:val="128"/>
        </w:numPr>
        <w:spacing w:before="0" w:after="0" w:line="240" w:lineRule="auto"/>
        <w:ind w:left="0" w:firstLine="360"/>
        <w:jc w:val="left"/>
        <w:rPr>
          <w:rFonts w:ascii="Calibri" w:eastAsia="Times New Roman" w:hAnsi="Calibri" w:cs="Calibri"/>
          <w:szCs w:val="24"/>
          <w:lang w:val="en-GB"/>
        </w:rPr>
      </w:pPr>
      <w:r w:rsidRPr="003611CF">
        <w:rPr>
          <w:rFonts w:ascii="Calibri" w:eastAsia="Times New Roman" w:hAnsi="Calibri" w:cs="Calibri"/>
          <w:szCs w:val="24"/>
          <w:lang w:val="en-GB"/>
        </w:rPr>
        <w:t>Objava dokumentacije i svih relevantnih informacija putem internet stranice Poreske uprave, kao i naloga Poreske uprave na društvenim mrežama Facebook i Twitter</w:t>
      </w:r>
    </w:p>
    <w:p w:rsidR="003611CF" w:rsidRPr="003611CF" w:rsidRDefault="003611CF" w:rsidP="004D6CB4">
      <w:pPr>
        <w:numPr>
          <w:ilvl w:val="0"/>
          <w:numId w:val="128"/>
        </w:numPr>
        <w:spacing w:before="0" w:after="0" w:line="240" w:lineRule="auto"/>
        <w:ind w:left="0" w:firstLine="360"/>
        <w:jc w:val="left"/>
        <w:rPr>
          <w:rFonts w:ascii="Calibri" w:eastAsia="Times New Roman" w:hAnsi="Calibri" w:cs="Calibri"/>
          <w:szCs w:val="24"/>
          <w:lang w:val="en-GB"/>
        </w:rPr>
      </w:pPr>
      <w:r w:rsidRPr="003611CF">
        <w:rPr>
          <w:rFonts w:ascii="Calibri" w:eastAsia="Times New Roman" w:hAnsi="Calibri" w:cs="Calibri"/>
          <w:szCs w:val="24"/>
          <w:lang w:val="en-GB"/>
        </w:rPr>
        <w:t>Izrada online tutorijala za poreske obveznike</w:t>
      </w:r>
    </w:p>
    <w:p w:rsidR="003611CF" w:rsidRPr="003611CF" w:rsidRDefault="003611CF" w:rsidP="004D6CB4">
      <w:pPr>
        <w:numPr>
          <w:ilvl w:val="0"/>
          <w:numId w:val="128"/>
        </w:numPr>
        <w:spacing w:before="0" w:after="0" w:line="240" w:lineRule="auto"/>
        <w:ind w:left="0" w:firstLine="360"/>
        <w:jc w:val="left"/>
        <w:rPr>
          <w:rFonts w:ascii="Calibri" w:eastAsia="Times New Roman" w:hAnsi="Calibri" w:cs="Calibri"/>
          <w:szCs w:val="24"/>
          <w:lang w:val="en-GB"/>
        </w:rPr>
      </w:pPr>
      <w:r w:rsidRPr="003611CF">
        <w:rPr>
          <w:rFonts w:ascii="Calibri" w:eastAsia="Times New Roman" w:hAnsi="Calibri" w:cs="Calibri"/>
          <w:szCs w:val="24"/>
          <w:lang w:val="en-GB"/>
        </w:rPr>
        <w:t>Saradnja sa specijalizovanom agencijom za marketinšku promociju projekta kroz javnu kampanju „Računa se svaki račun“</w:t>
      </w:r>
    </w:p>
    <w:p w:rsidR="003611CF" w:rsidRPr="003611CF" w:rsidRDefault="003611CF" w:rsidP="004D6CB4">
      <w:pPr>
        <w:numPr>
          <w:ilvl w:val="0"/>
          <w:numId w:val="128"/>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Organizacija konferencije za medije radi najave početka projekta elektronske fiskalizcije, promocije javne kampanje i ključnih poruka kampanje.</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U okviru ugovora potpisanog sa specijalizovanom agencijom definisan je slogan javne kampanje „Računa se svaki račun“ i precizirane I realizovane sve marketinške aktivnosti.</w:t>
      </w:r>
    </w:p>
    <w:p w:rsidR="003611CF" w:rsidRPr="003611CF" w:rsidRDefault="003611CF" w:rsidP="003611CF">
      <w:pPr>
        <w:spacing w:before="0" w:after="0" w:line="240" w:lineRule="auto"/>
        <w:rPr>
          <w:rFonts w:ascii="Calibri" w:eastAsia="Times New Roman" w:hAnsi="Calibri" w:cs="Calibri"/>
          <w:szCs w:val="24"/>
          <w:lang w:val="hr-HR" w:eastAsia="hr-HR"/>
        </w:rPr>
      </w:pPr>
    </w:p>
    <w:p w:rsidR="003611CF" w:rsidRPr="003611CF" w:rsidRDefault="003611CF" w:rsidP="003611CF">
      <w:pPr>
        <w:spacing w:before="0" w:line="240" w:lineRule="auto"/>
        <w:rPr>
          <w:rFonts w:ascii="Calibri" w:eastAsia="Times New Roman" w:hAnsi="Calibri" w:cs="Calibri"/>
          <w:b/>
          <w:szCs w:val="24"/>
          <w:lang w:val="hr-HR" w:eastAsia="hr-HR"/>
        </w:rPr>
      </w:pPr>
      <w:r w:rsidRPr="003611CF">
        <w:rPr>
          <w:rFonts w:ascii="Calibri" w:eastAsia="Times New Roman" w:hAnsi="Calibri" w:cs="Calibri"/>
          <w:b/>
          <w:szCs w:val="24"/>
          <w:lang w:val="hr-HR" w:eastAsia="hr-HR"/>
        </w:rPr>
        <w:t>FISCALIS 2020</w:t>
      </w:r>
    </w:p>
    <w:p w:rsidR="003611CF" w:rsidRPr="003611CF" w:rsidRDefault="003611CF" w:rsidP="004D6CB4">
      <w:pPr>
        <w:numPr>
          <w:ilvl w:val="0"/>
          <w:numId w:val="129"/>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Sastanak projekte grupe za IT tehnologiju i infrastrukturu, mart 2020. godine</w:t>
      </w:r>
    </w:p>
    <w:p w:rsidR="003611CF" w:rsidRPr="003611CF" w:rsidRDefault="003611CF" w:rsidP="004D6CB4">
      <w:pPr>
        <w:numPr>
          <w:ilvl w:val="0"/>
          <w:numId w:val="129"/>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Realizovani finansijski preduslovi za omogućavanje učešća Poreske uprave Crne Gore u programskim aktivnostima za finansijsku godinu 2020/2021</w:t>
      </w:r>
    </w:p>
    <w:p w:rsidR="003611CF" w:rsidRPr="003611CF" w:rsidRDefault="003611CF" w:rsidP="004D6CB4">
      <w:pPr>
        <w:numPr>
          <w:ilvl w:val="0"/>
          <w:numId w:val="129"/>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Pripremljen i dostavljen Finansijski izvještaj za 2019/2020 godinu</w:t>
      </w:r>
    </w:p>
    <w:p w:rsidR="003611CF" w:rsidRPr="003611CF" w:rsidRDefault="003611CF" w:rsidP="003611CF">
      <w:pPr>
        <w:spacing w:before="0" w:after="0" w:line="240" w:lineRule="auto"/>
        <w:rPr>
          <w:rFonts w:ascii="Calibri" w:eastAsia="Times New Roman" w:hAnsi="Calibri" w:cs="Calibri"/>
          <w:szCs w:val="24"/>
          <w:lang w:val="en-GB"/>
        </w:rPr>
      </w:pPr>
    </w:p>
    <w:p w:rsidR="003611CF" w:rsidRPr="003611CF" w:rsidRDefault="003611CF" w:rsidP="003611CF">
      <w:pPr>
        <w:spacing w:before="0" w:after="0" w:line="240" w:lineRule="auto"/>
        <w:rPr>
          <w:rFonts w:ascii="Calibri" w:eastAsia="Times New Roman" w:hAnsi="Calibri" w:cs="Calibri"/>
          <w:b/>
          <w:szCs w:val="24"/>
          <w:lang w:val="en-GB"/>
        </w:rPr>
      </w:pPr>
      <w:r w:rsidRPr="003611CF">
        <w:rPr>
          <w:rFonts w:ascii="Calibri" w:eastAsia="Times New Roman" w:hAnsi="Calibri" w:cs="Calibri"/>
          <w:b/>
          <w:szCs w:val="24"/>
          <w:lang w:val="en-GB"/>
        </w:rPr>
        <w:t>ODSJEK ZA REGISTRACIJU PORESKIH OBVEZNIKA, OBVEZNIKA DOPRINOSA I OSIGURANIKA (CROO)</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 xml:space="preserve">U Odsjeku za registraciju poreskih obveznika, obveznika doprinosa i osiguranika (CROO) u </w:t>
      </w:r>
      <w:r>
        <w:rPr>
          <w:rFonts w:ascii="Calibri" w:eastAsia="Times New Roman" w:hAnsi="Calibri" w:cs="Calibri"/>
          <w:szCs w:val="24"/>
          <w:lang w:val="en-GB"/>
        </w:rPr>
        <w:t xml:space="preserve">izvještajnom </w:t>
      </w:r>
      <w:r w:rsidRPr="003611CF">
        <w:rPr>
          <w:rFonts w:ascii="Calibri" w:eastAsia="Times New Roman" w:hAnsi="Calibri" w:cs="Calibri"/>
          <w:szCs w:val="24"/>
          <w:lang w:val="en-GB"/>
        </w:rPr>
        <w:t>periodu, obavljeni su sljedeći poslovi:</w:t>
      </w:r>
    </w:p>
    <w:p w:rsidR="003611CF" w:rsidRPr="003611CF" w:rsidRDefault="003611CF" w:rsidP="004D6CB4">
      <w:pPr>
        <w:numPr>
          <w:ilvl w:val="0"/>
          <w:numId w:val="88"/>
        </w:numPr>
        <w:tabs>
          <w:tab w:val="left" w:pos="180"/>
          <w:tab w:val="left" w:pos="360"/>
          <w:tab w:val="num" w:pos="567"/>
          <w:tab w:val="left" w:pos="720"/>
          <w:tab w:val="left" w:pos="900"/>
        </w:tabs>
        <w:spacing w:before="0" w:after="0" w:line="240" w:lineRule="auto"/>
        <w:ind w:left="0" w:firstLine="225"/>
        <w:jc w:val="left"/>
        <w:rPr>
          <w:rFonts w:ascii="Calibri" w:eastAsia="Times New Roman" w:hAnsi="Calibri" w:cs="Calibri"/>
          <w:szCs w:val="24"/>
          <w:lang w:val="en-GB"/>
        </w:rPr>
      </w:pPr>
      <w:r w:rsidRPr="003611CF">
        <w:rPr>
          <w:rFonts w:ascii="Calibri" w:eastAsia="Times New Roman" w:hAnsi="Calibri" w:cs="Calibri"/>
          <w:szCs w:val="24"/>
          <w:lang w:val="en-GB"/>
        </w:rPr>
        <w:t xml:space="preserve">Pružanje usluga iz oblasti registracije poreskih obveznika, obveznika doprinosa i osiguranika (CROO) je vršeno na sljedeći način: </w:t>
      </w:r>
    </w:p>
    <w:p w:rsidR="003611CF" w:rsidRPr="003611CF" w:rsidRDefault="003611CF" w:rsidP="004D6CB4">
      <w:pPr>
        <w:numPr>
          <w:ilvl w:val="0"/>
          <w:numId w:val="89"/>
        </w:numPr>
        <w:tabs>
          <w:tab w:val="num" w:pos="1260"/>
        </w:tabs>
        <w:spacing w:before="0" w:after="0" w:line="240" w:lineRule="auto"/>
        <w:ind w:hanging="45"/>
        <w:jc w:val="left"/>
        <w:rPr>
          <w:rFonts w:ascii="Calibri" w:eastAsia="Times New Roman" w:hAnsi="Calibri" w:cs="Calibri"/>
          <w:szCs w:val="24"/>
          <w:lang w:val="en-GB"/>
        </w:rPr>
      </w:pPr>
      <w:r w:rsidRPr="003611CF">
        <w:rPr>
          <w:rFonts w:ascii="Calibri" w:eastAsia="Times New Roman" w:hAnsi="Calibri" w:cs="Calibri"/>
          <w:szCs w:val="24"/>
          <w:lang w:val="en-GB"/>
        </w:rPr>
        <w:t>lični kontakti: 146 usluga (22 pravnim licima i 124 fizičkim licima),</w:t>
      </w:r>
    </w:p>
    <w:p w:rsidR="003611CF" w:rsidRPr="003611CF" w:rsidRDefault="003611CF" w:rsidP="004D6CB4">
      <w:pPr>
        <w:numPr>
          <w:ilvl w:val="0"/>
          <w:numId w:val="89"/>
        </w:numPr>
        <w:tabs>
          <w:tab w:val="num" w:pos="1260"/>
        </w:tabs>
        <w:spacing w:before="0" w:after="0" w:line="240" w:lineRule="auto"/>
        <w:ind w:hanging="45"/>
        <w:jc w:val="left"/>
        <w:rPr>
          <w:rFonts w:ascii="Calibri" w:eastAsia="Times New Roman" w:hAnsi="Calibri" w:cs="Calibri"/>
          <w:szCs w:val="24"/>
          <w:lang w:val="en-GB"/>
        </w:rPr>
      </w:pPr>
      <w:r w:rsidRPr="003611CF">
        <w:rPr>
          <w:rFonts w:ascii="Calibri" w:eastAsia="Times New Roman" w:hAnsi="Calibri" w:cs="Calibri"/>
          <w:szCs w:val="24"/>
          <w:lang w:val="en-GB"/>
        </w:rPr>
        <w:t>telefonski kontakti: 437 usluga (106 pravnim licima i 331 fizičkim licima),</w:t>
      </w:r>
    </w:p>
    <w:p w:rsidR="003611CF" w:rsidRPr="003611CF" w:rsidRDefault="003611CF" w:rsidP="004D6CB4">
      <w:pPr>
        <w:numPr>
          <w:ilvl w:val="0"/>
          <w:numId w:val="89"/>
        </w:numPr>
        <w:tabs>
          <w:tab w:val="num" w:pos="1260"/>
        </w:tabs>
        <w:spacing w:before="0" w:after="0" w:line="240" w:lineRule="auto"/>
        <w:ind w:hanging="45"/>
        <w:jc w:val="left"/>
        <w:rPr>
          <w:rFonts w:ascii="Calibri" w:eastAsia="Times New Roman" w:hAnsi="Calibri" w:cs="Calibri"/>
          <w:szCs w:val="24"/>
          <w:lang w:val="en-GB"/>
        </w:rPr>
      </w:pPr>
      <w:r w:rsidRPr="003611CF">
        <w:rPr>
          <w:rFonts w:ascii="Calibri" w:eastAsia="Times New Roman" w:hAnsi="Calibri" w:cs="Calibri"/>
          <w:szCs w:val="24"/>
          <w:lang w:val="en-GB"/>
        </w:rPr>
        <w:t>dopisi: odgovoreno je na 1.103 pisanih zahtjeva (432 pravnim licima i 671 fizičkim licima).</w:t>
      </w:r>
    </w:p>
    <w:p w:rsidR="003611CF" w:rsidRPr="003611CF" w:rsidRDefault="003611CF" w:rsidP="004D6CB4">
      <w:pPr>
        <w:numPr>
          <w:ilvl w:val="0"/>
          <w:numId w:val="88"/>
        </w:numPr>
        <w:tabs>
          <w:tab w:val="left" w:pos="180"/>
          <w:tab w:val="num" w:pos="585"/>
        </w:tabs>
        <w:spacing w:before="0" w:after="0" w:line="240" w:lineRule="auto"/>
        <w:ind w:left="585"/>
        <w:jc w:val="left"/>
        <w:rPr>
          <w:rFonts w:ascii="Calibri" w:eastAsia="Times New Roman" w:hAnsi="Calibri" w:cs="Calibri"/>
          <w:szCs w:val="24"/>
          <w:lang w:val="en-GB"/>
        </w:rPr>
      </w:pPr>
      <w:r w:rsidRPr="003611CF">
        <w:rPr>
          <w:rFonts w:ascii="Calibri" w:eastAsia="Times New Roman" w:hAnsi="Calibri" w:cs="Calibri"/>
          <w:szCs w:val="24"/>
          <w:lang w:val="en-GB"/>
        </w:rPr>
        <w:t>Registracija privrednih subjekata-pravnih lica:</w:t>
      </w:r>
    </w:p>
    <w:p w:rsidR="003611CF" w:rsidRPr="003611CF" w:rsidRDefault="003611CF" w:rsidP="004D6CB4">
      <w:pPr>
        <w:numPr>
          <w:ilvl w:val="1"/>
          <w:numId w:val="88"/>
        </w:numPr>
        <w:tabs>
          <w:tab w:val="left" w:pos="180"/>
        </w:tabs>
        <w:spacing w:before="0" w:after="0" w:line="240" w:lineRule="auto"/>
        <w:jc w:val="left"/>
        <w:rPr>
          <w:rFonts w:ascii="Calibri" w:eastAsia="Times New Roman" w:hAnsi="Calibri" w:cs="Calibri"/>
          <w:szCs w:val="24"/>
          <w:lang w:val="en-GB"/>
        </w:rPr>
      </w:pPr>
      <w:r w:rsidRPr="003611CF">
        <w:rPr>
          <w:rFonts w:ascii="Calibri" w:eastAsia="Times New Roman" w:hAnsi="Calibri" w:cs="Calibri"/>
          <w:szCs w:val="24"/>
          <w:lang w:val="en-GB"/>
        </w:rPr>
        <w:t>Opšta: registracija 3.255, promjene 5.393, prestanak 1.144,</w:t>
      </w:r>
    </w:p>
    <w:p w:rsidR="003611CF" w:rsidRPr="003611CF" w:rsidRDefault="003611CF" w:rsidP="004D6CB4">
      <w:pPr>
        <w:numPr>
          <w:ilvl w:val="1"/>
          <w:numId w:val="88"/>
        </w:numPr>
        <w:tabs>
          <w:tab w:val="left" w:pos="180"/>
        </w:tabs>
        <w:spacing w:before="0" w:after="0" w:line="240" w:lineRule="auto"/>
        <w:jc w:val="left"/>
        <w:rPr>
          <w:rFonts w:ascii="Calibri" w:eastAsia="Times New Roman" w:hAnsi="Calibri" w:cs="Calibri"/>
          <w:szCs w:val="24"/>
          <w:lang w:val="en-GB"/>
        </w:rPr>
      </w:pPr>
      <w:r w:rsidRPr="003611CF">
        <w:rPr>
          <w:rFonts w:ascii="Calibri" w:eastAsia="Times New Roman" w:hAnsi="Calibri" w:cs="Calibri"/>
          <w:szCs w:val="24"/>
          <w:lang w:val="en-GB"/>
        </w:rPr>
        <w:t>Registracija za PDV 2.474.</w:t>
      </w:r>
    </w:p>
    <w:p w:rsidR="003611CF" w:rsidRPr="003611CF" w:rsidRDefault="003611CF" w:rsidP="004D6CB4">
      <w:pPr>
        <w:numPr>
          <w:ilvl w:val="0"/>
          <w:numId w:val="88"/>
        </w:numPr>
        <w:tabs>
          <w:tab w:val="left" w:pos="180"/>
          <w:tab w:val="num" w:pos="567"/>
        </w:tabs>
        <w:spacing w:before="0" w:after="0" w:line="240" w:lineRule="auto"/>
        <w:ind w:left="0" w:firstLine="225"/>
        <w:jc w:val="left"/>
        <w:rPr>
          <w:rFonts w:ascii="Calibri" w:eastAsia="Times New Roman" w:hAnsi="Calibri" w:cs="Calibri"/>
          <w:szCs w:val="24"/>
          <w:lang w:val="en-GB"/>
        </w:rPr>
      </w:pPr>
      <w:r w:rsidRPr="003611CF">
        <w:rPr>
          <w:rFonts w:ascii="Calibri" w:eastAsia="Times New Roman" w:hAnsi="Calibri" w:cs="Calibri"/>
          <w:szCs w:val="24"/>
          <w:lang w:val="en-GB"/>
        </w:rPr>
        <w:lastRenderedPageBreak/>
        <w:t>Registracija nezaposlenih lica koja se nalaze na evidenciji Zavoda za zapošljavanje, u dijelu prijema stranaka, njihova obrada prijava i odjava osiguranja, kao i obrada osiguranja za članove porodice.</w:t>
      </w:r>
    </w:p>
    <w:p w:rsidR="003611CF" w:rsidRPr="003611CF" w:rsidRDefault="003611CF" w:rsidP="004D6CB4">
      <w:pPr>
        <w:numPr>
          <w:ilvl w:val="0"/>
          <w:numId w:val="88"/>
        </w:numPr>
        <w:tabs>
          <w:tab w:val="num" w:pos="567"/>
        </w:tabs>
        <w:spacing w:before="0" w:after="0" w:line="240" w:lineRule="auto"/>
        <w:ind w:left="0" w:firstLine="225"/>
        <w:jc w:val="left"/>
        <w:rPr>
          <w:rFonts w:ascii="Calibri" w:eastAsia="Times New Roman" w:hAnsi="Calibri" w:cs="Calibri"/>
          <w:szCs w:val="24"/>
          <w:lang w:val="en-GB"/>
        </w:rPr>
      </w:pPr>
      <w:r w:rsidRPr="003611CF">
        <w:rPr>
          <w:rFonts w:ascii="Calibri" w:eastAsia="Times New Roman" w:hAnsi="Calibri" w:cs="Calibri"/>
          <w:szCs w:val="24"/>
        </w:rPr>
        <w:t xml:space="preserve">Rješavanje spornih zahtjeva područnih jedinica </w:t>
      </w:r>
      <w:r w:rsidRPr="003611CF">
        <w:rPr>
          <w:rFonts w:ascii="Calibri" w:eastAsia="Times New Roman" w:hAnsi="Calibri" w:cs="Calibri"/>
          <w:szCs w:val="24"/>
          <w:lang w:val="en-GB"/>
        </w:rPr>
        <w:t>u vezi registracije i prestanka registracije poreskih obveznika, obveznika doprinosa i osiguranika p</w:t>
      </w:r>
      <w:r w:rsidRPr="003611CF">
        <w:rPr>
          <w:rFonts w:ascii="Calibri" w:eastAsia="Times New Roman" w:hAnsi="Calibri" w:cs="Calibri"/>
          <w:szCs w:val="24"/>
        </w:rPr>
        <w:t xml:space="preserve">reko kompjuterske aplikacije Poruke, </w:t>
      </w:r>
      <w:r w:rsidRPr="003611CF">
        <w:rPr>
          <w:rFonts w:ascii="Calibri" w:eastAsia="Times New Roman" w:hAnsi="Calibri" w:cs="Calibri"/>
          <w:szCs w:val="24"/>
          <w:lang w:val="en-GB"/>
        </w:rPr>
        <w:t xml:space="preserve">sa stanovišta pravne regulative i korišćenja kompjuterskih programa za registraciju. Riješeno je 4275 zahtjeva.  </w:t>
      </w:r>
    </w:p>
    <w:p w:rsidR="003611CF" w:rsidRPr="003611CF" w:rsidRDefault="003611CF" w:rsidP="004D6CB4">
      <w:pPr>
        <w:numPr>
          <w:ilvl w:val="0"/>
          <w:numId w:val="88"/>
        </w:numPr>
        <w:tabs>
          <w:tab w:val="left" w:pos="180"/>
          <w:tab w:val="num" w:pos="567"/>
        </w:tabs>
        <w:spacing w:before="0" w:after="0" w:line="240" w:lineRule="auto"/>
        <w:ind w:left="0" w:firstLine="225"/>
        <w:jc w:val="left"/>
        <w:rPr>
          <w:rFonts w:ascii="Calibri" w:eastAsia="Times New Roman" w:hAnsi="Calibri" w:cs="Calibri"/>
          <w:szCs w:val="24"/>
          <w:lang w:val="en-GB"/>
        </w:rPr>
      </w:pPr>
      <w:r w:rsidRPr="003611CF">
        <w:rPr>
          <w:rFonts w:ascii="Calibri" w:eastAsia="Times New Roman" w:hAnsi="Calibri" w:cs="Calibri"/>
          <w:szCs w:val="24"/>
          <w:lang w:val="en-GB"/>
        </w:rPr>
        <w:t>Rješavanje spornih zahtjeva područnih jedinica u vezi osiguranika za obavezno socijalno osiguranje sa fondovima (PIO, zdravstveno osiguranje) i Zavoda za zapošljavanje.</w:t>
      </w:r>
    </w:p>
    <w:p w:rsidR="003611CF" w:rsidRPr="003611CF" w:rsidRDefault="003611CF" w:rsidP="004D6CB4">
      <w:pPr>
        <w:numPr>
          <w:ilvl w:val="0"/>
          <w:numId w:val="88"/>
        </w:numPr>
        <w:tabs>
          <w:tab w:val="left" w:pos="180"/>
          <w:tab w:val="num" w:pos="567"/>
        </w:tabs>
        <w:spacing w:before="0" w:after="0" w:line="240" w:lineRule="auto"/>
        <w:ind w:left="0" w:firstLine="225"/>
        <w:jc w:val="left"/>
        <w:rPr>
          <w:rFonts w:ascii="Calibri" w:eastAsia="Times New Roman" w:hAnsi="Calibri" w:cs="Calibri"/>
          <w:szCs w:val="24"/>
          <w:lang w:val="en-GB"/>
        </w:rPr>
      </w:pPr>
      <w:r w:rsidRPr="003611CF">
        <w:rPr>
          <w:rFonts w:ascii="Calibri" w:eastAsia="Times New Roman" w:hAnsi="Calibri" w:cs="Calibri"/>
          <w:szCs w:val="24"/>
          <w:lang w:val="en-GB"/>
        </w:rPr>
        <w:t>Telefonski kontakti sa područnim jedinicama i ekspoziturama, vezano za postupanja prilikom registracije i prestanka registracije poreskih obveznika, korišćenje kompjuterskih programa, kao i kancelarijsko praćenje njihovog rada na osnovu dostavljenih mjesečnih izvještaja o radu.</w:t>
      </w:r>
    </w:p>
    <w:p w:rsidR="003611CF" w:rsidRPr="003611CF" w:rsidRDefault="003611CF" w:rsidP="004D6CB4">
      <w:pPr>
        <w:numPr>
          <w:ilvl w:val="0"/>
          <w:numId w:val="88"/>
        </w:numPr>
        <w:tabs>
          <w:tab w:val="left" w:pos="180"/>
          <w:tab w:val="num" w:pos="567"/>
        </w:tabs>
        <w:spacing w:before="0" w:after="0" w:line="240" w:lineRule="auto"/>
        <w:ind w:left="0" w:firstLine="225"/>
        <w:jc w:val="left"/>
        <w:rPr>
          <w:rFonts w:ascii="Calibri" w:eastAsia="Times New Roman" w:hAnsi="Calibri" w:cs="Calibri"/>
          <w:szCs w:val="24"/>
          <w:lang w:val="en-GB"/>
        </w:rPr>
      </w:pPr>
      <w:r w:rsidRPr="003611CF">
        <w:rPr>
          <w:rFonts w:ascii="Calibri" w:eastAsia="Times New Roman" w:hAnsi="Calibri" w:cs="Calibri"/>
          <w:szCs w:val="24"/>
          <w:lang w:val="en-GB"/>
        </w:rPr>
        <w:t xml:space="preserve">Na osnovu podnijetih zahtjeva izdato je 87 poreskih identifikacionih kartica osoblju konzulata i međunarodnih organizacija koje imaju diplomatski status, a vezano za oslobađanja od plaćanja PDV-a, odnosno akcize. </w:t>
      </w:r>
    </w:p>
    <w:p w:rsidR="003611CF" w:rsidRPr="003611CF" w:rsidRDefault="003611CF" w:rsidP="004D6CB4">
      <w:pPr>
        <w:numPr>
          <w:ilvl w:val="0"/>
          <w:numId w:val="88"/>
        </w:numPr>
        <w:tabs>
          <w:tab w:val="num" w:pos="567"/>
        </w:tabs>
        <w:spacing w:before="0" w:after="0" w:line="240" w:lineRule="auto"/>
        <w:ind w:left="0" w:firstLine="225"/>
        <w:jc w:val="left"/>
        <w:rPr>
          <w:rFonts w:ascii="Calibri" w:eastAsia="Times New Roman" w:hAnsi="Calibri" w:cs="Calibri"/>
          <w:szCs w:val="24"/>
          <w:lang w:val="en-GB"/>
        </w:rPr>
      </w:pPr>
      <w:r w:rsidRPr="003611CF">
        <w:rPr>
          <w:rFonts w:ascii="Calibri" w:eastAsia="Times New Roman" w:hAnsi="Calibri" w:cs="Calibri"/>
          <w:szCs w:val="24"/>
        </w:rPr>
        <w:t>Registracija fizičkih lica koja su imala pravo na povraćaj više uplaćenog doprinosa za penzijsko-invalidsko osiguranje u Centralni registar. Na osnovu donijetih rešenja od strane Sektora za obradu poreskih prijava i poreskih uplata izvršena je registracija i unos žiro računa za 111 fizičkih lica.</w:t>
      </w:r>
    </w:p>
    <w:p w:rsidR="003611CF" w:rsidRPr="003611CF" w:rsidRDefault="003611CF" w:rsidP="004D6CB4">
      <w:pPr>
        <w:numPr>
          <w:ilvl w:val="0"/>
          <w:numId w:val="88"/>
        </w:numPr>
        <w:tabs>
          <w:tab w:val="num" w:pos="567"/>
        </w:tabs>
        <w:spacing w:before="0" w:after="0" w:line="240" w:lineRule="auto"/>
        <w:ind w:left="0" w:firstLine="225"/>
        <w:jc w:val="left"/>
        <w:rPr>
          <w:rFonts w:ascii="Calibri" w:eastAsia="Times New Roman" w:hAnsi="Calibri" w:cs="Calibri"/>
          <w:szCs w:val="24"/>
          <w:lang w:val="en-GB"/>
        </w:rPr>
      </w:pPr>
      <w:r w:rsidRPr="003611CF">
        <w:rPr>
          <w:rFonts w:ascii="Calibri" w:eastAsia="Times New Roman" w:hAnsi="Calibri" w:cs="Calibri"/>
          <w:szCs w:val="24"/>
        </w:rPr>
        <w:t>Preko kompjuterske aplikacije PJMBG izvršena je zamjena Jedinstvenog matičnog broja za 956 fizičkih lica, a na osnovu podnijetih zahtjeva od strane područnih jedinica PU.</w:t>
      </w:r>
    </w:p>
    <w:p w:rsidR="003611CF" w:rsidRPr="003611CF" w:rsidRDefault="003611CF" w:rsidP="004D6CB4">
      <w:pPr>
        <w:numPr>
          <w:ilvl w:val="0"/>
          <w:numId w:val="88"/>
        </w:numPr>
        <w:tabs>
          <w:tab w:val="num" w:pos="567"/>
        </w:tabs>
        <w:spacing w:before="0" w:after="0" w:line="240" w:lineRule="auto"/>
        <w:ind w:left="0" w:firstLine="225"/>
        <w:jc w:val="left"/>
        <w:rPr>
          <w:rFonts w:ascii="Calibri" w:eastAsia="Times New Roman" w:hAnsi="Calibri" w:cs="Calibri"/>
          <w:szCs w:val="24"/>
          <w:lang w:val="en-GB"/>
        </w:rPr>
      </w:pPr>
      <w:r w:rsidRPr="003611CF">
        <w:rPr>
          <w:rFonts w:ascii="Calibri" w:eastAsia="Times New Roman" w:hAnsi="Calibri" w:cs="Calibri"/>
          <w:szCs w:val="24"/>
        </w:rPr>
        <w:t xml:space="preserve">Unijeti su opšti podaci za 2425 osiguranika za PIO i zdravstveno osiguranje, preko kompjuterske aplikacije UFL u Centralni registar. </w:t>
      </w:r>
    </w:p>
    <w:p w:rsidR="003611CF" w:rsidRPr="003611CF" w:rsidRDefault="003611CF" w:rsidP="004D6CB4">
      <w:pPr>
        <w:numPr>
          <w:ilvl w:val="0"/>
          <w:numId w:val="88"/>
        </w:numPr>
        <w:tabs>
          <w:tab w:val="num" w:pos="567"/>
        </w:tabs>
        <w:spacing w:before="0" w:after="0" w:line="240" w:lineRule="auto"/>
        <w:ind w:left="0" w:firstLine="225"/>
        <w:jc w:val="left"/>
        <w:rPr>
          <w:rFonts w:ascii="Calibri" w:eastAsia="Times New Roman" w:hAnsi="Calibri" w:cs="Calibri"/>
          <w:szCs w:val="24"/>
          <w:lang w:val="en-GB"/>
        </w:rPr>
      </w:pPr>
      <w:r w:rsidRPr="003611CF">
        <w:rPr>
          <w:rFonts w:ascii="Calibri" w:eastAsia="Times New Roman" w:hAnsi="Calibri" w:cs="Calibri"/>
          <w:szCs w:val="24"/>
        </w:rPr>
        <w:t xml:space="preserve">Na osnovu podnijetih prijava za registraciju (JPR) unešeni su podaci u Centralni registar za 2871 poslodavaca i 3915 osiguranika za PIO, odnosno zdravstveno osiguranje. </w:t>
      </w:r>
    </w:p>
    <w:p w:rsidR="003611CF" w:rsidRPr="003611CF" w:rsidRDefault="003611CF" w:rsidP="004D6CB4">
      <w:pPr>
        <w:numPr>
          <w:ilvl w:val="0"/>
          <w:numId w:val="88"/>
        </w:numPr>
        <w:tabs>
          <w:tab w:val="num" w:pos="567"/>
        </w:tabs>
        <w:spacing w:before="0" w:after="0" w:line="240" w:lineRule="auto"/>
        <w:ind w:left="0" w:firstLine="225"/>
        <w:jc w:val="left"/>
        <w:rPr>
          <w:rFonts w:ascii="Calibri" w:eastAsia="Times New Roman" w:hAnsi="Calibri" w:cs="Calibri"/>
          <w:szCs w:val="24"/>
          <w:lang w:val="en-GB"/>
        </w:rPr>
      </w:pPr>
      <w:r w:rsidRPr="003611CF">
        <w:rPr>
          <w:rFonts w:ascii="Calibri" w:eastAsia="Times New Roman" w:hAnsi="Calibri" w:cs="Calibri"/>
          <w:szCs w:val="24"/>
          <w:lang w:val="en-GB"/>
        </w:rPr>
        <w:t>Učestvovanje u radnim grupama na realizaciji Projekta Svjetske banke za reformu poreske administracije, odnosno  izradu IRMS-a:</w:t>
      </w:r>
    </w:p>
    <w:p w:rsidR="003611CF" w:rsidRPr="003611CF" w:rsidRDefault="003611CF" w:rsidP="004D6CB4">
      <w:pPr>
        <w:numPr>
          <w:ilvl w:val="0"/>
          <w:numId w:val="130"/>
        </w:numPr>
        <w:spacing w:before="0" w:after="0" w:line="240" w:lineRule="auto"/>
        <w:ind w:left="0" w:firstLine="360"/>
        <w:jc w:val="left"/>
        <w:rPr>
          <w:rFonts w:ascii="Calibri" w:eastAsia="Times New Roman" w:hAnsi="Calibri" w:cs="Calibri"/>
          <w:szCs w:val="24"/>
          <w:lang w:val="en-GB"/>
        </w:rPr>
      </w:pPr>
      <w:r w:rsidRPr="003611CF">
        <w:rPr>
          <w:rFonts w:ascii="Calibri" w:eastAsia="Times New Roman" w:hAnsi="Calibri" w:cs="Calibri"/>
          <w:szCs w:val="24"/>
          <w:lang w:val="en-GB"/>
        </w:rPr>
        <w:t xml:space="preserve">Zajedno sa službenicima CRPS-a pripremljen Opis poslovnih procesa (FRD) – “buduće stanje” kod registracije u CRPS i CROO I dostavljen ekspertu za IT, angažovanom na navedenom Projektu, kako bi isti pripremio za konsultantsku kuću KPMG, koja je trebala da izvrši kontrolu kvaliteta FRD-a. U tu svrhu organizovan sastanak na kome su tražene dodatne informacije. Nakon dostavljenih odgovora, KPMG je uradio Izvještaj o analizi funkcionalnih i tehničkih zahtjeva za buduće rješenje sa preporukama za unapređenje dokumenta funkcionalnih zahtjeva i opštih poslovnih zahtjeva. U narednom periodu planirani sastanci, na kome će se donijeti konačni zaključci u vezi poboljšanja FRD-a.   </w:t>
      </w:r>
    </w:p>
    <w:p w:rsidR="003611CF" w:rsidRPr="003611CF" w:rsidRDefault="003611CF" w:rsidP="004D6CB4">
      <w:pPr>
        <w:numPr>
          <w:ilvl w:val="0"/>
          <w:numId w:val="130"/>
        </w:numPr>
        <w:spacing w:before="0" w:after="0" w:line="240" w:lineRule="auto"/>
        <w:ind w:left="0" w:firstLine="360"/>
        <w:jc w:val="left"/>
        <w:rPr>
          <w:rFonts w:ascii="Calibri" w:eastAsia="Times New Roman" w:hAnsi="Calibri" w:cs="Calibri"/>
          <w:szCs w:val="24"/>
          <w:lang w:val="en-GB"/>
        </w:rPr>
      </w:pPr>
      <w:r w:rsidRPr="003611CF">
        <w:rPr>
          <w:rFonts w:ascii="Calibri" w:eastAsia="Times New Roman" w:hAnsi="Calibri" w:cs="Calibri"/>
          <w:szCs w:val="24"/>
          <w:lang w:val="en-GB"/>
        </w:rPr>
        <w:t xml:space="preserve">Zajedno sa službenicima CRPS-a pripremljene analize i izrada radnog materijala (Strategije, Kataloga podataka, Operativnog plana i Procedura) za čišćenje baze podataka u saradnji sa predstavnicima COMING-a Beograd, informatičkom kućom nadležnom za organizaciju čišćenja baze podataka i migraciju istih u CROO. Pripremljeni šifarnici iz baza podataka u CROO, gdje su izvršene analize i dati komentari kako bi se donijela konačna verzija. </w:t>
      </w:r>
    </w:p>
    <w:p w:rsidR="003611CF" w:rsidRPr="003611CF" w:rsidRDefault="003611CF" w:rsidP="004D6CB4">
      <w:pPr>
        <w:numPr>
          <w:ilvl w:val="0"/>
          <w:numId w:val="130"/>
        </w:numPr>
        <w:spacing w:before="0" w:after="0" w:line="240" w:lineRule="auto"/>
        <w:ind w:left="0" w:firstLine="360"/>
        <w:jc w:val="left"/>
        <w:rPr>
          <w:rFonts w:ascii="Calibri" w:eastAsia="Times New Roman" w:hAnsi="Calibri" w:cs="Calibri"/>
          <w:szCs w:val="24"/>
          <w:lang w:val="en-GB"/>
        </w:rPr>
      </w:pPr>
      <w:r w:rsidRPr="003611CF">
        <w:rPr>
          <w:rFonts w:ascii="Calibri" w:eastAsia="Times New Roman" w:hAnsi="Calibri" w:cs="Calibri"/>
          <w:szCs w:val="24"/>
          <w:lang w:val="en-GB"/>
        </w:rPr>
        <w:t>Preduzete aktivnosti sa nadležnim područnim jedinicama u vezi ažuriranja podataka o poreskim obveznicima u dijelu:</w:t>
      </w:r>
    </w:p>
    <w:p w:rsidR="003611CF" w:rsidRPr="003611CF" w:rsidRDefault="003611CF" w:rsidP="004D6CB4">
      <w:pPr>
        <w:numPr>
          <w:ilvl w:val="0"/>
          <w:numId w:val="91"/>
        </w:numPr>
        <w:tabs>
          <w:tab w:val="left" w:pos="1276"/>
        </w:tabs>
        <w:spacing w:before="0" w:after="0" w:line="240" w:lineRule="auto"/>
        <w:ind w:hanging="1032"/>
        <w:jc w:val="left"/>
        <w:rPr>
          <w:rFonts w:ascii="Calibri" w:eastAsia="Times New Roman" w:hAnsi="Calibri" w:cs="Calibri"/>
          <w:szCs w:val="24"/>
          <w:lang w:val="en-GB"/>
        </w:rPr>
      </w:pPr>
      <w:r w:rsidRPr="003611CF">
        <w:rPr>
          <w:rFonts w:ascii="Calibri" w:eastAsia="Times New Roman" w:hAnsi="Calibri" w:cs="Calibri"/>
          <w:szCs w:val="24"/>
          <w:lang w:val="en-GB"/>
        </w:rPr>
        <w:t>šifara djelatnosti,</w:t>
      </w:r>
    </w:p>
    <w:p w:rsidR="003611CF" w:rsidRPr="003611CF" w:rsidRDefault="003611CF" w:rsidP="004D6CB4">
      <w:pPr>
        <w:numPr>
          <w:ilvl w:val="0"/>
          <w:numId w:val="91"/>
        </w:numPr>
        <w:tabs>
          <w:tab w:val="left" w:pos="1276"/>
        </w:tabs>
        <w:spacing w:before="0" w:after="0" w:line="240" w:lineRule="auto"/>
        <w:ind w:hanging="1032"/>
        <w:jc w:val="left"/>
        <w:rPr>
          <w:rFonts w:ascii="Calibri" w:eastAsia="Times New Roman" w:hAnsi="Calibri" w:cs="Calibri"/>
          <w:szCs w:val="24"/>
          <w:lang w:val="en-GB"/>
        </w:rPr>
      </w:pPr>
      <w:r w:rsidRPr="003611CF">
        <w:rPr>
          <w:rFonts w:ascii="Calibri" w:eastAsia="Times New Roman" w:hAnsi="Calibri" w:cs="Calibri"/>
          <w:szCs w:val="24"/>
          <w:lang w:val="en-GB"/>
        </w:rPr>
        <w:t>netačan status Poreski obveznik – neobavezno osiguranje i</w:t>
      </w:r>
    </w:p>
    <w:p w:rsidR="003611CF" w:rsidRPr="003611CF" w:rsidRDefault="003611CF" w:rsidP="004D6CB4">
      <w:pPr>
        <w:numPr>
          <w:ilvl w:val="0"/>
          <w:numId w:val="91"/>
        </w:numPr>
        <w:tabs>
          <w:tab w:val="left" w:pos="1276"/>
        </w:tabs>
        <w:spacing w:before="0" w:after="0" w:line="240" w:lineRule="auto"/>
        <w:ind w:hanging="1032"/>
        <w:jc w:val="left"/>
        <w:rPr>
          <w:rFonts w:ascii="Calibri" w:eastAsia="Times New Roman" w:hAnsi="Calibri" w:cs="Calibri"/>
          <w:szCs w:val="24"/>
          <w:lang w:val="en-GB"/>
        </w:rPr>
      </w:pPr>
      <w:r w:rsidRPr="003611CF">
        <w:rPr>
          <w:rFonts w:ascii="Calibri" w:eastAsia="Times New Roman" w:hAnsi="Calibri" w:cs="Calibri"/>
          <w:szCs w:val="24"/>
          <w:lang w:val="en-GB"/>
        </w:rPr>
        <w:t>radno vrijeme.</w:t>
      </w:r>
    </w:p>
    <w:p w:rsidR="003611CF" w:rsidRPr="003611CF" w:rsidRDefault="003611CF" w:rsidP="004D6CB4">
      <w:pPr>
        <w:numPr>
          <w:ilvl w:val="0"/>
          <w:numId w:val="88"/>
        </w:numPr>
        <w:tabs>
          <w:tab w:val="num" w:pos="567"/>
        </w:tabs>
        <w:spacing w:before="0" w:after="0" w:line="240" w:lineRule="auto"/>
        <w:ind w:left="0" w:firstLine="180"/>
        <w:jc w:val="left"/>
        <w:rPr>
          <w:rFonts w:ascii="Calibri" w:eastAsia="Times New Roman" w:hAnsi="Calibri" w:cs="Calibri"/>
          <w:szCs w:val="24"/>
          <w:lang w:val="en-GB"/>
        </w:rPr>
      </w:pPr>
      <w:r w:rsidRPr="003611CF">
        <w:rPr>
          <w:rFonts w:ascii="Calibri" w:eastAsia="Times New Roman" w:hAnsi="Calibri" w:cs="Calibri"/>
          <w:szCs w:val="24"/>
          <w:lang w:val="en-GB"/>
        </w:rPr>
        <w:t>Na osnovu Inicijative sa predlogom mjera za eliminisanje barijera za registraciju organizacija koje ne obavljaju privrednu djelatnost od strane Uprave za statistiku, organizovan sastanak i donijeti zaključci da se izvrši analize za preuzimanje navedenog registra u Poreskoj upravi, a koji se trenutno vodi u Upravi za statistiku. Predviđeno organizovanje sastanaka u tu svrhu.</w:t>
      </w:r>
    </w:p>
    <w:p w:rsidR="003611CF" w:rsidRPr="003611CF" w:rsidRDefault="003611CF" w:rsidP="004D6CB4">
      <w:pPr>
        <w:numPr>
          <w:ilvl w:val="0"/>
          <w:numId w:val="88"/>
        </w:numPr>
        <w:tabs>
          <w:tab w:val="num" w:pos="567"/>
        </w:tabs>
        <w:spacing w:before="0" w:after="0" w:line="240" w:lineRule="auto"/>
        <w:ind w:left="0" w:firstLine="180"/>
        <w:jc w:val="left"/>
        <w:rPr>
          <w:rFonts w:ascii="Calibri" w:eastAsia="Times New Roman" w:hAnsi="Calibri" w:cs="Calibri"/>
          <w:szCs w:val="24"/>
          <w:lang w:val="en-GB"/>
        </w:rPr>
      </w:pPr>
      <w:r w:rsidRPr="003611CF">
        <w:rPr>
          <w:rFonts w:ascii="Calibri" w:eastAsia="Times New Roman" w:hAnsi="Calibri" w:cs="Calibri"/>
          <w:szCs w:val="24"/>
          <w:lang w:val="en-GB"/>
        </w:rPr>
        <w:lastRenderedPageBreak/>
        <w:t>Učestvovanje u Radnoj grupi za koordinaciju Sistema socijalne sigurnosti u organizaciji Ministarstva rada i socijalnog staranja.</w:t>
      </w:r>
    </w:p>
    <w:p w:rsidR="003611CF" w:rsidRPr="003611CF" w:rsidRDefault="003611CF" w:rsidP="004D6CB4">
      <w:pPr>
        <w:numPr>
          <w:ilvl w:val="0"/>
          <w:numId w:val="88"/>
        </w:numPr>
        <w:tabs>
          <w:tab w:val="num" w:pos="567"/>
        </w:tabs>
        <w:spacing w:before="0" w:after="0" w:line="240" w:lineRule="auto"/>
        <w:ind w:left="0" w:firstLine="180"/>
        <w:jc w:val="left"/>
        <w:rPr>
          <w:rFonts w:ascii="Calibri" w:eastAsia="Times New Roman" w:hAnsi="Calibri" w:cs="Calibri"/>
          <w:szCs w:val="24"/>
          <w:lang w:val="en-GB"/>
        </w:rPr>
      </w:pPr>
      <w:r w:rsidRPr="003611CF">
        <w:rPr>
          <w:rFonts w:ascii="Calibri" w:eastAsia="Times New Roman" w:hAnsi="Calibri" w:cs="Calibri"/>
          <w:szCs w:val="24"/>
          <w:lang w:val="en-GB"/>
        </w:rPr>
        <w:t xml:space="preserve">Studijska posjeta Poreskoj upravi Finske u vezi edukacije prilikom registracije poreskih obveznika i automatske razmjene podataka sa državnim organima koji vode određene registre.  </w:t>
      </w:r>
    </w:p>
    <w:p w:rsidR="003611CF" w:rsidRPr="003611CF" w:rsidRDefault="003611CF" w:rsidP="004D6CB4">
      <w:pPr>
        <w:numPr>
          <w:ilvl w:val="0"/>
          <w:numId w:val="88"/>
        </w:numPr>
        <w:tabs>
          <w:tab w:val="num" w:pos="567"/>
        </w:tabs>
        <w:spacing w:before="0" w:after="0" w:line="240" w:lineRule="auto"/>
        <w:ind w:left="0" w:firstLine="180"/>
        <w:jc w:val="left"/>
        <w:rPr>
          <w:rFonts w:ascii="Calibri" w:eastAsia="Times New Roman" w:hAnsi="Calibri" w:cs="Calibri"/>
          <w:szCs w:val="24"/>
          <w:lang w:val="en-GB"/>
        </w:rPr>
      </w:pPr>
      <w:r w:rsidRPr="003611CF">
        <w:rPr>
          <w:rFonts w:ascii="Calibri" w:eastAsia="Times New Roman" w:hAnsi="Calibri" w:cs="Calibri"/>
          <w:szCs w:val="24"/>
          <w:lang w:val="en-GB"/>
        </w:rPr>
        <w:t>Učešće u Radnoj grupi za izradu Pravilnika o registraciji vjerskih zajednica.</w:t>
      </w:r>
    </w:p>
    <w:p w:rsidR="003611CF" w:rsidRPr="003611CF" w:rsidRDefault="003611CF" w:rsidP="004D6CB4">
      <w:pPr>
        <w:numPr>
          <w:ilvl w:val="0"/>
          <w:numId w:val="88"/>
        </w:numPr>
        <w:tabs>
          <w:tab w:val="num" w:pos="567"/>
        </w:tabs>
        <w:spacing w:before="0" w:after="0" w:line="240" w:lineRule="auto"/>
        <w:ind w:left="0" w:firstLine="180"/>
        <w:jc w:val="left"/>
        <w:rPr>
          <w:rFonts w:ascii="Calibri" w:eastAsia="Times New Roman" w:hAnsi="Calibri" w:cs="Calibri"/>
          <w:szCs w:val="24"/>
          <w:lang w:val="en-GB"/>
        </w:rPr>
      </w:pPr>
      <w:r w:rsidRPr="003611CF">
        <w:rPr>
          <w:rFonts w:ascii="Calibri" w:eastAsia="Times New Roman" w:hAnsi="Calibri" w:cs="Calibri"/>
          <w:szCs w:val="24"/>
          <w:lang w:val="en-GB"/>
        </w:rPr>
        <w:t xml:space="preserve">Učešće u Radnoj grupi ispred Poreske uprave na sastancima sa predstavnicima vjerskih zajednica u Crnoj Gori u dijelu prijave i odjave zaposlenih, kao i uplate doprinosa po osnovu obaveznog socijalnog osiguranja za zaposlene i vjerske službenike. </w:t>
      </w:r>
    </w:p>
    <w:p w:rsidR="003611CF" w:rsidRPr="003611CF" w:rsidRDefault="003611CF" w:rsidP="004D6CB4">
      <w:pPr>
        <w:numPr>
          <w:ilvl w:val="0"/>
          <w:numId w:val="88"/>
        </w:numPr>
        <w:tabs>
          <w:tab w:val="num" w:pos="567"/>
        </w:tabs>
        <w:spacing w:before="0" w:after="0" w:line="240" w:lineRule="auto"/>
        <w:ind w:left="0" w:firstLine="180"/>
        <w:jc w:val="left"/>
        <w:rPr>
          <w:rFonts w:ascii="Calibri" w:eastAsia="Times New Roman" w:hAnsi="Calibri" w:cs="Calibri"/>
          <w:szCs w:val="24"/>
          <w:lang w:val="en-GB"/>
        </w:rPr>
      </w:pPr>
      <w:r w:rsidRPr="003611CF">
        <w:rPr>
          <w:rFonts w:ascii="Calibri" w:eastAsia="Times New Roman" w:hAnsi="Calibri" w:cs="Calibri"/>
          <w:szCs w:val="24"/>
          <w:lang w:val="en-GB"/>
        </w:rPr>
        <w:t>Sprovedena obuka za inspektore Poreske uprave, u dijelu registracije poreskih obveznika, obveznika doprinosa i osiguranika za obavezno socijalno osiguranje u Centralni registar (CROO).</w:t>
      </w:r>
    </w:p>
    <w:p w:rsidR="003611CF" w:rsidRPr="003611CF" w:rsidRDefault="003611CF" w:rsidP="004D6CB4">
      <w:pPr>
        <w:numPr>
          <w:ilvl w:val="0"/>
          <w:numId w:val="88"/>
        </w:numPr>
        <w:tabs>
          <w:tab w:val="num" w:pos="567"/>
        </w:tabs>
        <w:spacing w:before="0" w:after="0" w:line="240" w:lineRule="auto"/>
        <w:ind w:left="0" w:firstLine="180"/>
        <w:jc w:val="left"/>
        <w:rPr>
          <w:rFonts w:ascii="Calibri" w:eastAsia="Times New Roman" w:hAnsi="Calibri" w:cs="Calibri"/>
          <w:szCs w:val="24"/>
          <w:lang w:val="en-GB"/>
        </w:rPr>
      </w:pPr>
      <w:r w:rsidRPr="003611CF">
        <w:rPr>
          <w:rFonts w:ascii="Calibri" w:eastAsia="Times New Roman" w:hAnsi="Calibri" w:cs="Calibri"/>
          <w:szCs w:val="24"/>
          <w:lang w:val="en-GB"/>
        </w:rPr>
        <w:t>Izrada mjesečnog, kvartalnog i godišnjeg izvještaja o radu Odsjeka i Sektora za usluge i registraciju za 2019.godinu.</w:t>
      </w:r>
    </w:p>
    <w:p w:rsidR="003611CF" w:rsidRPr="003611CF" w:rsidRDefault="003611CF" w:rsidP="004D6CB4">
      <w:pPr>
        <w:numPr>
          <w:ilvl w:val="0"/>
          <w:numId w:val="88"/>
        </w:numPr>
        <w:tabs>
          <w:tab w:val="num" w:pos="567"/>
        </w:tabs>
        <w:spacing w:before="0" w:after="0" w:line="240" w:lineRule="auto"/>
        <w:ind w:left="0" w:firstLine="180"/>
        <w:jc w:val="left"/>
        <w:rPr>
          <w:rFonts w:ascii="Calibri" w:eastAsia="Times New Roman" w:hAnsi="Calibri" w:cs="Calibri"/>
          <w:szCs w:val="24"/>
          <w:lang w:val="hr-HR" w:eastAsia="x-none"/>
        </w:rPr>
      </w:pPr>
      <w:r w:rsidRPr="003611CF">
        <w:rPr>
          <w:rFonts w:ascii="Calibri" w:eastAsia="Times New Roman" w:hAnsi="Calibri" w:cs="Calibri"/>
          <w:szCs w:val="24"/>
          <w:lang w:val="hr-HR" w:eastAsia="x-none"/>
        </w:rPr>
        <w:t>Izrada polugodišnjeg i godišnjeg – kumulativnog Izvještaja o rješavanju upravnih stvari Sektora za usluge i registraciju za 2019.godinu.</w:t>
      </w:r>
    </w:p>
    <w:p w:rsidR="003611CF" w:rsidRPr="003611CF" w:rsidRDefault="003611CF" w:rsidP="004D6CB4">
      <w:pPr>
        <w:numPr>
          <w:ilvl w:val="0"/>
          <w:numId w:val="88"/>
        </w:numPr>
        <w:tabs>
          <w:tab w:val="left" w:pos="180"/>
          <w:tab w:val="left" w:pos="360"/>
          <w:tab w:val="num" w:pos="567"/>
        </w:tabs>
        <w:spacing w:before="0" w:after="0" w:line="240" w:lineRule="auto"/>
        <w:ind w:left="0" w:firstLine="180"/>
        <w:jc w:val="left"/>
        <w:rPr>
          <w:rFonts w:ascii="Calibri" w:eastAsia="Times New Roman" w:hAnsi="Calibri" w:cs="Calibri"/>
          <w:szCs w:val="24"/>
          <w:lang w:val="en-GB"/>
        </w:rPr>
      </w:pPr>
      <w:r w:rsidRPr="003611CF">
        <w:rPr>
          <w:rFonts w:ascii="Calibri" w:eastAsia="Times New Roman" w:hAnsi="Calibri" w:cs="Calibri"/>
          <w:szCs w:val="24"/>
          <w:lang w:val="en-GB"/>
        </w:rPr>
        <w:t>Priprema podataka za izradu Izvještaja o realizaciji poreske politike u 2019 godini iz nadležnosti Sektora za usluge i registraciju.</w:t>
      </w:r>
    </w:p>
    <w:p w:rsidR="003611CF" w:rsidRPr="003611CF" w:rsidRDefault="003611CF" w:rsidP="004D6CB4">
      <w:pPr>
        <w:numPr>
          <w:ilvl w:val="0"/>
          <w:numId w:val="88"/>
        </w:numPr>
        <w:tabs>
          <w:tab w:val="left" w:pos="180"/>
          <w:tab w:val="left" w:pos="360"/>
          <w:tab w:val="num" w:pos="567"/>
        </w:tabs>
        <w:spacing w:before="0" w:after="0" w:line="240" w:lineRule="auto"/>
        <w:ind w:left="0" w:firstLine="180"/>
        <w:jc w:val="left"/>
        <w:rPr>
          <w:rFonts w:ascii="Calibri" w:eastAsia="Times New Roman" w:hAnsi="Calibri" w:cs="Calibri"/>
          <w:szCs w:val="24"/>
          <w:lang w:val="hr-HR" w:eastAsia="x-none"/>
        </w:rPr>
      </w:pPr>
      <w:r w:rsidRPr="003611CF">
        <w:rPr>
          <w:rFonts w:ascii="Calibri" w:eastAsia="Times New Roman" w:hAnsi="Calibri" w:cs="Calibri"/>
          <w:szCs w:val="24"/>
          <w:lang w:val="hr-HR" w:eastAsia="x-none"/>
        </w:rPr>
        <w:t xml:space="preserve">Izrada Indikatora za mjerenje uspješnosti  Sektora za usluge i registraciju na mjesečnom nivou </w:t>
      </w:r>
    </w:p>
    <w:p w:rsidR="003611CF" w:rsidRPr="003611CF" w:rsidRDefault="003611CF" w:rsidP="004D6CB4">
      <w:pPr>
        <w:numPr>
          <w:ilvl w:val="0"/>
          <w:numId w:val="88"/>
        </w:numPr>
        <w:tabs>
          <w:tab w:val="num" w:pos="567"/>
        </w:tabs>
        <w:spacing w:before="0" w:after="0" w:line="240" w:lineRule="auto"/>
        <w:ind w:left="0" w:firstLine="180"/>
        <w:jc w:val="left"/>
        <w:rPr>
          <w:rFonts w:ascii="Calibri" w:eastAsia="Times New Roman" w:hAnsi="Calibri" w:cs="Calibri"/>
          <w:szCs w:val="24"/>
          <w:lang w:val="en-GB"/>
        </w:rPr>
      </w:pPr>
      <w:r w:rsidRPr="003611CF">
        <w:rPr>
          <w:rFonts w:ascii="Calibri" w:eastAsia="Times New Roman" w:hAnsi="Calibri" w:cs="Calibri"/>
          <w:szCs w:val="24"/>
          <w:lang w:val="en-GB" w:eastAsia="x-none"/>
        </w:rPr>
        <w:t>Urađena su četiri radna naloga za postupanje službenika područnih jedinica PU (podaci o radu filijala područnih jedinica koji se koristi za izradu kvartalnih izvještaja o radu).</w:t>
      </w:r>
    </w:p>
    <w:p w:rsidR="003611CF" w:rsidRPr="003611CF" w:rsidRDefault="003611CF" w:rsidP="003611CF">
      <w:pPr>
        <w:spacing w:before="0" w:after="0" w:line="240" w:lineRule="auto"/>
        <w:rPr>
          <w:rFonts w:ascii="Calibri" w:eastAsia="Times New Roman" w:hAnsi="Calibri" w:cs="Calibri"/>
          <w:szCs w:val="24"/>
          <w:lang w:val="en-GB"/>
        </w:rPr>
      </w:pPr>
    </w:p>
    <w:p w:rsidR="003611CF" w:rsidRPr="003611CF" w:rsidRDefault="003611CF" w:rsidP="003611CF">
      <w:pPr>
        <w:spacing w:before="0" w:after="0" w:line="240" w:lineRule="auto"/>
        <w:ind w:firstLine="585"/>
        <w:rPr>
          <w:rFonts w:ascii="Calibri" w:eastAsia="Times New Roman" w:hAnsi="Calibri" w:cs="Calibri"/>
          <w:szCs w:val="24"/>
          <w:lang w:val="hr-HR" w:eastAsia="x-none"/>
        </w:rPr>
      </w:pPr>
      <w:r w:rsidRPr="003611CF">
        <w:rPr>
          <w:rFonts w:ascii="Calibri" w:eastAsia="Times New Roman" w:hAnsi="Calibri" w:cs="Calibri"/>
          <w:szCs w:val="24"/>
          <w:lang w:val="hr-HR" w:eastAsia="x-none"/>
        </w:rPr>
        <w:t xml:space="preserve">Sa ministarstvima; osnovnim sudovima u Crnoj Gori; područnim organima za prekršaje u Crnoj Gori; Zaštitnikom imovinsko pravnih interesa; organima lokalne samouprave; javnim izvršiteljima i drugima postoji saradnja po pitanju dostavljanja podataka o poreskim obveznicima, obveznicima doprinosa i osiguranicima koji se nalaze u Centralnom registru obveznika i osiguranika (CROO).   </w:t>
      </w:r>
    </w:p>
    <w:p w:rsidR="003611CF" w:rsidRPr="003611CF" w:rsidRDefault="003611CF" w:rsidP="003611CF">
      <w:pPr>
        <w:spacing w:before="0" w:after="0" w:line="240" w:lineRule="auto"/>
        <w:ind w:firstLine="585"/>
        <w:rPr>
          <w:rFonts w:ascii="Calibri" w:eastAsia="Times New Roman" w:hAnsi="Calibri" w:cs="Calibri"/>
          <w:bCs/>
          <w:szCs w:val="24"/>
          <w:lang w:val="sl-SI"/>
        </w:rPr>
      </w:pPr>
    </w:p>
    <w:p w:rsidR="003611CF" w:rsidRPr="003611CF" w:rsidRDefault="003611CF" w:rsidP="003611CF">
      <w:pPr>
        <w:tabs>
          <w:tab w:val="center" w:pos="4536"/>
        </w:tabs>
        <w:spacing w:before="0" w:after="0" w:line="240" w:lineRule="auto"/>
        <w:jc w:val="center"/>
        <w:rPr>
          <w:rFonts w:ascii="Calibri" w:eastAsia="Times New Roman" w:hAnsi="Calibri" w:cs="Calibri"/>
          <w:bCs/>
          <w:szCs w:val="24"/>
          <w:lang w:val="sl-SI"/>
        </w:rPr>
      </w:pPr>
      <w:r w:rsidRPr="003611CF">
        <w:rPr>
          <w:rFonts w:ascii="Calibri" w:eastAsia="Times New Roman" w:hAnsi="Calibri" w:cs="Calibri"/>
          <w:bCs/>
          <w:szCs w:val="24"/>
          <w:lang w:val="sl-SI"/>
        </w:rPr>
        <w:t>PODACI O IZDATIM PORESKIM IDENTIFIKACIONIM KARTICAMA U PERIODU 01.01-30.12.2019. i 2020.GODINE - UPOREDNI PODACI</w:t>
      </w:r>
    </w:p>
    <w:tbl>
      <w:tblPr>
        <w:tblW w:w="0" w:type="auto"/>
        <w:jc w:val="center"/>
        <w:tblLook w:val="04A0" w:firstRow="1" w:lastRow="0" w:firstColumn="1" w:lastColumn="0" w:noHBand="0" w:noVBand="1"/>
      </w:tblPr>
      <w:tblGrid>
        <w:gridCol w:w="4819"/>
        <w:gridCol w:w="4819"/>
      </w:tblGrid>
      <w:tr w:rsidR="003611CF" w:rsidRPr="003611CF" w:rsidTr="003611CF">
        <w:trPr>
          <w:trHeight w:val="80"/>
          <w:jc w:val="center"/>
        </w:trPr>
        <w:tc>
          <w:tcPr>
            <w:tcW w:w="4927" w:type="dxa"/>
            <w:tcBorders>
              <w:bottom w:val="single" w:sz="12" w:space="0" w:color="FFFFFF"/>
            </w:tcBorders>
            <w:shd w:val="clear" w:color="auto" w:fill="348DA5"/>
          </w:tcPr>
          <w:p w:rsidR="003611CF" w:rsidRPr="003611CF" w:rsidRDefault="003611CF" w:rsidP="003611CF">
            <w:pPr>
              <w:tabs>
                <w:tab w:val="center" w:pos="0"/>
              </w:tabs>
              <w:spacing w:before="0" w:after="0" w:line="240" w:lineRule="auto"/>
              <w:jc w:val="center"/>
              <w:rPr>
                <w:rFonts w:ascii="Arial" w:eastAsia="Times New Roman" w:hAnsi="Arial" w:cs="Arial"/>
                <w:bCs/>
                <w:color w:val="FFFFFF"/>
                <w:sz w:val="20"/>
                <w:lang w:val="sl-SI"/>
              </w:rPr>
            </w:pPr>
            <w:r w:rsidRPr="003611CF">
              <w:rPr>
                <w:rFonts w:ascii="Arial" w:eastAsia="Times New Roman" w:hAnsi="Arial" w:cs="Arial"/>
                <w:bCs/>
                <w:color w:val="FFFFFF"/>
                <w:sz w:val="20"/>
                <w:lang w:val="sl-SI"/>
              </w:rPr>
              <w:t>01.01-31.12.2019.godina</w:t>
            </w:r>
          </w:p>
        </w:tc>
        <w:tc>
          <w:tcPr>
            <w:tcW w:w="4927" w:type="dxa"/>
            <w:tcBorders>
              <w:bottom w:val="single" w:sz="12" w:space="0" w:color="FFFFFF"/>
            </w:tcBorders>
            <w:shd w:val="clear" w:color="auto" w:fill="348DA5"/>
          </w:tcPr>
          <w:p w:rsidR="003611CF" w:rsidRPr="003611CF" w:rsidRDefault="003611CF" w:rsidP="003611CF">
            <w:pPr>
              <w:tabs>
                <w:tab w:val="center" w:pos="0"/>
              </w:tabs>
              <w:spacing w:before="0" w:after="0" w:line="240" w:lineRule="auto"/>
              <w:jc w:val="center"/>
              <w:rPr>
                <w:rFonts w:ascii="Arial" w:eastAsia="Times New Roman" w:hAnsi="Arial" w:cs="Arial"/>
                <w:bCs/>
                <w:color w:val="FFFFFF"/>
                <w:sz w:val="20"/>
                <w:lang w:val="sl-SI"/>
              </w:rPr>
            </w:pPr>
            <w:r w:rsidRPr="003611CF">
              <w:rPr>
                <w:rFonts w:ascii="Arial" w:eastAsia="Times New Roman" w:hAnsi="Arial" w:cs="Arial"/>
                <w:bCs/>
                <w:color w:val="FFFFFF"/>
                <w:sz w:val="20"/>
                <w:lang w:val="sl-SI"/>
              </w:rPr>
              <w:t>01.01-31.12.2020.godina</w:t>
            </w:r>
          </w:p>
        </w:tc>
      </w:tr>
      <w:tr w:rsidR="003611CF" w:rsidRPr="003611CF" w:rsidTr="003611CF">
        <w:trPr>
          <w:jc w:val="center"/>
        </w:trPr>
        <w:tc>
          <w:tcPr>
            <w:tcW w:w="4927" w:type="dxa"/>
            <w:shd w:val="clear" w:color="auto" w:fill="FDE9D9"/>
          </w:tcPr>
          <w:p w:rsidR="003611CF" w:rsidRPr="003611CF" w:rsidRDefault="003611CF" w:rsidP="003611CF">
            <w:pPr>
              <w:tabs>
                <w:tab w:val="center" w:pos="0"/>
              </w:tabs>
              <w:spacing w:before="0" w:after="0" w:line="240" w:lineRule="auto"/>
              <w:jc w:val="center"/>
              <w:rPr>
                <w:rFonts w:ascii="Arial" w:eastAsia="Times New Roman" w:hAnsi="Arial" w:cs="Arial"/>
                <w:b/>
                <w:bCs/>
                <w:color w:val="000000"/>
                <w:sz w:val="20"/>
                <w:lang w:val="sl-SI"/>
              </w:rPr>
            </w:pPr>
            <w:r w:rsidRPr="003611CF">
              <w:rPr>
                <w:rFonts w:ascii="Arial" w:eastAsia="Times New Roman" w:hAnsi="Arial" w:cs="Arial"/>
                <w:b/>
                <w:bCs/>
                <w:color w:val="000000"/>
                <w:sz w:val="20"/>
                <w:lang w:val="sl-SI"/>
              </w:rPr>
              <w:t>113</w:t>
            </w:r>
          </w:p>
        </w:tc>
        <w:tc>
          <w:tcPr>
            <w:tcW w:w="4927" w:type="dxa"/>
            <w:shd w:val="clear" w:color="auto" w:fill="FDE9D9"/>
          </w:tcPr>
          <w:p w:rsidR="003611CF" w:rsidRPr="003611CF" w:rsidRDefault="003611CF" w:rsidP="003611CF">
            <w:pPr>
              <w:tabs>
                <w:tab w:val="center" w:pos="0"/>
              </w:tabs>
              <w:spacing w:before="0" w:after="0" w:line="240" w:lineRule="auto"/>
              <w:jc w:val="center"/>
              <w:rPr>
                <w:rFonts w:ascii="Arial" w:eastAsia="Times New Roman" w:hAnsi="Arial" w:cs="Arial"/>
                <w:b/>
                <w:color w:val="000000"/>
                <w:sz w:val="20"/>
                <w:lang w:val="sl-SI"/>
              </w:rPr>
            </w:pPr>
            <w:r w:rsidRPr="003611CF">
              <w:rPr>
                <w:rFonts w:ascii="Arial" w:eastAsia="Times New Roman" w:hAnsi="Arial" w:cs="Arial"/>
                <w:b/>
                <w:color w:val="000000"/>
                <w:sz w:val="20"/>
                <w:lang w:val="sl-SI"/>
              </w:rPr>
              <w:t>87</w:t>
            </w:r>
          </w:p>
        </w:tc>
      </w:tr>
    </w:tbl>
    <w:p w:rsidR="003611CF" w:rsidRPr="003611CF" w:rsidRDefault="003611CF" w:rsidP="003611CF">
      <w:pPr>
        <w:spacing w:before="0" w:after="0" w:line="240" w:lineRule="auto"/>
        <w:rPr>
          <w:rFonts w:ascii="Arial" w:eastAsia="Times New Roman" w:hAnsi="Arial" w:cs="Arial"/>
          <w:bCs/>
          <w:sz w:val="22"/>
          <w:lang w:val="sl-SI"/>
        </w:rPr>
      </w:pPr>
    </w:p>
    <w:p w:rsidR="003611CF" w:rsidRPr="003611CF" w:rsidRDefault="003611CF" w:rsidP="003611CF">
      <w:pPr>
        <w:spacing w:before="0" w:line="240" w:lineRule="auto"/>
        <w:rPr>
          <w:rFonts w:ascii="Calibri" w:eastAsia="Times New Roman" w:hAnsi="Calibri" w:cs="Calibri"/>
          <w:b/>
          <w:szCs w:val="24"/>
          <w:lang w:val="en-GB"/>
        </w:rPr>
      </w:pPr>
      <w:r w:rsidRPr="003611CF">
        <w:rPr>
          <w:rFonts w:ascii="Calibri" w:eastAsia="Times New Roman" w:hAnsi="Calibri" w:cs="Calibri"/>
          <w:b/>
          <w:szCs w:val="24"/>
          <w:lang w:val="en-GB"/>
        </w:rPr>
        <w:t>ODSJEK ZA CENTRALNI REGISTAR PRIVREDNIH SUBJEKATA (CRPS)</w:t>
      </w:r>
    </w:p>
    <w:p w:rsidR="003611CF" w:rsidRPr="003611CF" w:rsidRDefault="003611CF" w:rsidP="003611CF">
      <w:pPr>
        <w:spacing w:before="0" w:after="0" w:line="240" w:lineRule="auto"/>
        <w:rPr>
          <w:rFonts w:ascii="Calibri" w:eastAsia="Times New Roman" w:hAnsi="Calibri" w:cs="Calibri"/>
          <w:iCs/>
          <w:szCs w:val="24"/>
          <w:lang w:val="en-GB"/>
        </w:rPr>
      </w:pPr>
      <w:r w:rsidRPr="003611CF">
        <w:rPr>
          <w:rFonts w:ascii="Calibri" w:eastAsia="Times New Roman" w:hAnsi="Calibri" w:cs="Calibri"/>
          <w:iCs/>
          <w:szCs w:val="24"/>
          <w:lang w:val="en-GB"/>
        </w:rPr>
        <w:tab/>
        <w:t>U skladu sa procedurama Centralnog registra privrednih subjekata i Uputstvom o radu centralnog registra, službenici Centralnog registra privrednih subjekata</w:t>
      </w:r>
      <w:r w:rsidRPr="003611CF">
        <w:rPr>
          <w:rFonts w:ascii="Calibri" w:eastAsia="Times New Roman" w:hAnsi="Calibri" w:cs="Calibri"/>
          <w:bCs/>
          <w:iCs/>
          <w:szCs w:val="24"/>
          <w:lang w:val="en-GB"/>
        </w:rPr>
        <w:t xml:space="preserve"> </w:t>
      </w:r>
      <w:r w:rsidRPr="003611CF">
        <w:rPr>
          <w:rFonts w:ascii="Calibri" w:eastAsia="Times New Roman" w:hAnsi="Calibri" w:cs="Calibri"/>
          <w:iCs/>
          <w:szCs w:val="24"/>
          <w:lang w:val="en-GB"/>
        </w:rPr>
        <w:t xml:space="preserve">su u </w:t>
      </w:r>
      <w:r>
        <w:rPr>
          <w:rFonts w:ascii="Calibri" w:eastAsia="Times New Roman" w:hAnsi="Calibri" w:cs="Calibri"/>
          <w:iCs/>
          <w:szCs w:val="24"/>
          <w:lang w:val="en-GB"/>
        </w:rPr>
        <w:t xml:space="preserve">izvještajnom </w:t>
      </w:r>
      <w:r w:rsidRPr="003611CF">
        <w:rPr>
          <w:rFonts w:ascii="Calibri" w:eastAsia="Times New Roman" w:hAnsi="Calibri" w:cs="Calibri"/>
          <w:iCs/>
          <w:szCs w:val="24"/>
          <w:lang w:val="en-GB"/>
        </w:rPr>
        <w:t>periodu obavili sljedeće planirane poslove:</w:t>
      </w:r>
    </w:p>
    <w:p w:rsidR="003611CF" w:rsidRPr="003611CF" w:rsidRDefault="003611CF" w:rsidP="004D6CB4">
      <w:pPr>
        <w:numPr>
          <w:ilvl w:val="0"/>
          <w:numId w:val="131"/>
        </w:numPr>
        <w:spacing w:before="0" w:after="0" w:line="240" w:lineRule="auto"/>
        <w:ind w:left="0" w:firstLine="360"/>
        <w:jc w:val="left"/>
        <w:rPr>
          <w:rFonts w:ascii="Calibri" w:eastAsia="Times New Roman" w:hAnsi="Calibri" w:cs="Calibri"/>
          <w:szCs w:val="24"/>
        </w:rPr>
      </w:pPr>
      <w:r w:rsidRPr="003611CF">
        <w:rPr>
          <w:rFonts w:ascii="Calibri" w:eastAsia="Times New Roman" w:hAnsi="Calibri" w:cs="Calibri"/>
          <w:bCs/>
          <w:szCs w:val="24"/>
          <w:lang w:val="hr-HR"/>
        </w:rPr>
        <w:t xml:space="preserve">Svakodnevne konsultacije sa strankama u terminu od 08:00 – 12:30, call centar u terminu od 07:00 do 15:00, kao i elektronska komunikacija sa strankama putem službenog mail-a. </w:t>
      </w:r>
      <w:r w:rsidRPr="003611CF">
        <w:rPr>
          <w:rFonts w:ascii="Calibri" w:eastAsia="Times New Roman" w:hAnsi="Calibri" w:cs="Calibri"/>
          <w:szCs w:val="24"/>
        </w:rPr>
        <w:t xml:space="preserve">Obrada zahtjeva državnih organa, slanje kompletnih registarskih spisa privrednih subjekata, dostava informacija o statusu društva. </w:t>
      </w:r>
    </w:p>
    <w:p w:rsidR="003611CF" w:rsidRPr="003611CF" w:rsidRDefault="003611CF" w:rsidP="004D6CB4">
      <w:pPr>
        <w:numPr>
          <w:ilvl w:val="0"/>
          <w:numId w:val="131"/>
        </w:numPr>
        <w:spacing w:before="0" w:after="0" w:line="240" w:lineRule="auto"/>
        <w:ind w:left="0" w:firstLine="360"/>
        <w:jc w:val="left"/>
        <w:rPr>
          <w:rFonts w:ascii="Calibri" w:eastAsia="Times New Roman" w:hAnsi="Calibri" w:cs="Calibri"/>
          <w:bCs/>
          <w:szCs w:val="24"/>
          <w:lang w:val="hr-HR"/>
        </w:rPr>
      </w:pPr>
      <w:r w:rsidRPr="003611CF">
        <w:rPr>
          <w:rFonts w:ascii="Calibri" w:eastAsia="Times New Roman" w:hAnsi="Calibri" w:cs="Calibri"/>
          <w:bCs/>
          <w:szCs w:val="24"/>
          <w:lang w:val="hr-HR"/>
        </w:rPr>
        <w:t>Obrada zahtjeva za dostavu podataka o licima u društvu (matični brojevi, adrese za prijem službene pošte, registarski ili matični broj društva)</w:t>
      </w:r>
    </w:p>
    <w:p w:rsidR="003611CF" w:rsidRPr="003611CF" w:rsidRDefault="003611CF" w:rsidP="004D6CB4">
      <w:pPr>
        <w:numPr>
          <w:ilvl w:val="0"/>
          <w:numId w:val="131"/>
        </w:numPr>
        <w:spacing w:before="0" w:after="0" w:line="240" w:lineRule="auto"/>
        <w:ind w:left="0" w:firstLine="360"/>
        <w:jc w:val="left"/>
        <w:rPr>
          <w:rFonts w:ascii="Calibri" w:eastAsia="Times New Roman" w:hAnsi="Calibri" w:cs="Calibri"/>
          <w:bCs/>
          <w:szCs w:val="24"/>
          <w:lang w:val="hr-HR"/>
        </w:rPr>
      </w:pPr>
      <w:r w:rsidRPr="003611CF">
        <w:rPr>
          <w:rFonts w:ascii="Calibri" w:eastAsia="Times New Roman" w:hAnsi="Calibri" w:cs="Calibri"/>
          <w:bCs/>
          <w:szCs w:val="24"/>
          <w:lang w:val="hr-HR"/>
        </w:rPr>
        <w:t>Izdavanje potvrda da fizička ili pravna lica ne postoje registrovana – upisana u jedinstvenoj informacionoj bazi podataka CRPS-a, kao i za preduzeća koja su likvidirana u ranijem periodu, te dostavljanje obavještenja o istim (potvrde za doživotne naknade,penzije..)</w:t>
      </w:r>
    </w:p>
    <w:p w:rsidR="003611CF" w:rsidRPr="003611CF" w:rsidRDefault="003611CF" w:rsidP="004D6CB4">
      <w:pPr>
        <w:numPr>
          <w:ilvl w:val="0"/>
          <w:numId w:val="131"/>
        </w:numPr>
        <w:spacing w:before="0" w:after="0" w:line="240" w:lineRule="auto"/>
        <w:ind w:left="0" w:firstLine="360"/>
        <w:jc w:val="left"/>
        <w:rPr>
          <w:rFonts w:ascii="Calibri" w:eastAsia="Times New Roman" w:hAnsi="Calibri" w:cs="Calibri"/>
          <w:bCs/>
          <w:szCs w:val="24"/>
          <w:lang w:val="hr-HR"/>
        </w:rPr>
      </w:pPr>
      <w:r w:rsidRPr="003611CF">
        <w:rPr>
          <w:rFonts w:ascii="Calibri" w:eastAsia="Times New Roman" w:hAnsi="Calibri" w:cs="Calibri"/>
          <w:bCs/>
          <w:szCs w:val="24"/>
          <w:lang w:val="hr-HR"/>
        </w:rPr>
        <w:t xml:space="preserve">Obrada zahtjeva javnih izvršitelja, notara, advokata o udjelima određenih fizičkih ili pravnih lica u privrednim subjektima registrovanim u Crnoj Gori. </w:t>
      </w:r>
    </w:p>
    <w:p w:rsidR="003611CF" w:rsidRPr="003611CF" w:rsidRDefault="003611CF" w:rsidP="004D6CB4">
      <w:pPr>
        <w:numPr>
          <w:ilvl w:val="0"/>
          <w:numId w:val="131"/>
        </w:numPr>
        <w:spacing w:before="0" w:after="0" w:line="240" w:lineRule="auto"/>
        <w:ind w:left="0" w:firstLine="360"/>
        <w:jc w:val="left"/>
        <w:rPr>
          <w:rFonts w:ascii="Calibri" w:eastAsia="Times New Roman" w:hAnsi="Calibri" w:cs="Calibri"/>
          <w:bCs/>
          <w:szCs w:val="24"/>
          <w:lang w:val="hr-HR"/>
        </w:rPr>
      </w:pPr>
      <w:r w:rsidRPr="003611CF">
        <w:rPr>
          <w:rFonts w:ascii="Calibri" w:eastAsia="Times New Roman" w:hAnsi="Calibri" w:cs="Calibri"/>
          <w:bCs/>
          <w:szCs w:val="24"/>
          <w:lang w:val="hr-HR"/>
        </w:rPr>
        <w:t xml:space="preserve">Zahtjevi za izdavanja potvrde o registrovanim šiframa djelatnosti, kao i druge potvrde u svrhu tenderske i druge dokumentacije. </w:t>
      </w:r>
    </w:p>
    <w:p w:rsidR="003611CF" w:rsidRPr="003611CF" w:rsidRDefault="003611CF" w:rsidP="004D6CB4">
      <w:pPr>
        <w:numPr>
          <w:ilvl w:val="0"/>
          <w:numId w:val="131"/>
        </w:numPr>
        <w:spacing w:before="0" w:after="0" w:line="240" w:lineRule="auto"/>
        <w:ind w:left="0" w:firstLine="360"/>
        <w:jc w:val="left"/>
        <w:rPr>
          <w:rFonts w:ascii="Calibri" w:eastAsia="Times New Roman" w:hAnsi="Calibri" w:cs="Calibri"/>
          <w:bCs/>
          <w:szCs w:val="24"/>
          <w:lang w:val="hr-HR"/>
        </w:rPr>
      </w:pPr>
      <w:r w:rsidRPr="003611CF">
        <w:rPr>
          <w:rFonts w:ascii="Calibri" w:eastAsia="Times New Roman" w:hAnsi="Calibri" w:cs="Calibri"/>
          <w:bCs/>
          <w:szCs w:val="24"/>
          <w:lang w:val="hr-HR"/>
        </w:rPr>
        <w:t xml:space="preserve">Zahtjevi za uvid i kopiranje registarskih spisa, </w:t>
      </w:r>
    </w:p>
    <w:p w:rsidR="003611CF" w:rsidRPr="003611CF" w:rsidRDefault="003611CF" w:rsidP="004D6CB4">
      <w:pPr>
        <w:numPr>
          <w:ilvl w:val="0"/>
          <w:numId w:val="131"/>
        </w:numPr>
        <w:spacing w:before="0" w:after="0" w:line="240" w:lineRule="auto"/>
        <w:ind w:left="0" w:firstLine="360"/>
        <w:jc w:val="left"/>
        <w:rPr>
          <w:rFonts w:ascii="Calibri" w:eastAsia="Times New Roman" w:hAnsi="Calibri" w:cs="Calibri"/>
          <w:bCs/>
          <w:szCs w:val="24"/>
          <w:lang w:val="hr-HR"/>
        </w:rPr>
      </w:pPr>
      <w:r w:rsidRPr="003611CF">
        <w:rPr>
          <w:rFonts w:ascii="Calibri" w:eastAsia="Times New Roman" w:hAnsi="Calibri" w:cs="Calibri"/>
          <w:bCs/>
          <w:szCs w:val="24"/>
          <w:lang w:val="hr-HR"/>
        </w:rPr>
        <w:lastRenderedPageBreak/>
        <w:t>Izdavanje potvrda da fizička ili pravna lica ne postoje registrovana – upisana u jedinstvenoj informacionoj bazi podataka CRPS-a, kao i za preduzeća koja su likvidirana u ranijem periodu, te dostavljanje obavještenja o istim (potvrde za doživotne naknade, penzije..)</w:t>
      </w:r>
    </w:p>
    <w:p w:rsidR="003611CF" w:rsidRPr="003611CF" w:rsidRDefault="003611CF" w:rsidP="004D6CB4">
      <w:pPr>
        <w:numPr>
          <w:ilvl w:val="0"/>
          <w:numId w:val="131"/>
        </w:numPr>
        <w:spacing w:before="0" w:after="0" w:line="240" w:lineRule="auto"/>
        <w:ind w:left="0" w:firstLine="360"/>
        <w:jc w:val="left"/>
        <w:rPr>
          <w:rFonts w:ascii="Calibri" w:eastAsia="Times New Roman" w:hAnsi="Calibri" w:cs="Calibri"/>
          <w:bCs/>
          <w:szCs w:val="24"/>
          <w:lang w:val="hr-HR"/>
        </w:rPr>
      </w:pPr>
      <w:r w:rsidRPr="003611CF">
        <w:rPr>
          <w:rFonts w:ascii="Calibri" w:eastAsia="Times New Roman" w:hAnsi="Calibri" w:cs="Calibri"/>
          <w:bCs/>
          <w:szCs w:val="24"/>
          <w:lang w:val="hr-HR"/>
        </w:rPr>
        <w:t>Evidencija fizičkih i pravnih lica  kroz jedinstvenu informacionu bazu podataka CRPS-a, evidencija da li su upisani – registrovani kao osnivači, izvršni direktori ili ovlaščeni zastupnici.</w:t>
      </w:r>
    </w:p>
    <w:p w:rsidR="003611CF" w:rsidRPr="003611CF" w:rsidRDefault="003611CF" w:rsidP="003611CF">
      <w:pPr>
        <w:spacing w:before="0" w:after="0" w:line="240" w:lineRule="auto"/>
        <w:rPr>
          <w:rFonts w:ascii="Calibri" w:eastAsia="Times New Roman" w:hAnsi="Calibri" w:cs="Calibri"/>
          <w:bCs/>
          <w:szCs w:val="24"/>
          <w:lang w:val="hr-HR"/>
        </w:rPr>
      </w:pPr>
    </w:p>
    <w:p w:rsidR="003611CF" w:rsidRPr="003611CF" w:rsidRDefault="003611CF" w:rsidP="003611CF">
      <w:pPr>
        <w:spacing w:before="0" w:after="0" w:line="240" w:lineRule="auto"/>
        <w:jc w:val="center"/>
        <w:rPr>
          <w:rFonts w:ascii="Calibri" w:eastAsia="Times New Roman" w:hAnsi="Calibri" w:cs="Calibri"/>
          <w:szCs w:val="24"/>
          <w:lang w:val="en-GB"/>
        </w:rPr>
      </w:pPr>
      <w:r w:rsidRPr="003611CF">
        <w:rPr>
          <w:rFonts w:ascii="Calibri" w:eastAsia="Times New Roman" w:hAnsi="Calibri" w:cs="Calibri"/>
          <w:szCs w:val="24"/>
          <w:lang w:val="en-GB"/>
        </w:rPr>
        <w:t>IZVJEŠTAJ O OBRADJENIM PRIJAVAMA (DOKUMENTIMA) PRIVREDNIH SUBJEKATA</w:t>
      </w:r>
    </w:p>
    <w:tbl>
      <w:tblPr>
        <w:tblW w:w="0" w:type="auto"/>
        <w:jc w:val="center"/>
        <w:tblLook w:val="04A0" w:firstRow="1" w:lastRow="0" w:firstColumn="1" w:lastColumn="0" w:noHBand="0" w:noVBand="1"/>
      </w:tblPr>
      <w:tblGrid>
        <w:gridCol w:w="2518"/>
        <w:gridCol w:w="3969"/>
        <w:gridCol w:w="2800"/>
      </w:tblGrid>
      <w:tr w:rsidR="003611CF" w:rsidRPr="003611CF" w:rsidTr="003611CF">
        <w:trPr>
          <w:jc w:val="center"/>
        </w:trPr>
        <w:tc>
          <w:tcPr>
            <w:tcW w:w="2518" w:type="dxa"/>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Times New Roman" w:hAnsi="Arial" w:cs="Arial"/>
                <w:bCs/>
                <w:color w:val="FFFFFF"/>
                <w:sz w:val="20"/>
                <w:szCs w:val="24"/>
                <w:lang w:val="en-GB"/>
              </w:rPr>
            </w:pPr>
            <w:r w:rsidRPr="003611CF">
              <w:rPr>
                <w:rFonts w:ascii="Arial" w:eastAsia="Times New Roman" w:hAnsi="Arial" w:cs="Arial"/>
                <w:bCs/>
                <w:color w:val="FFFFFF"/>
                <w:sz w:val="20"/>
                <w:szCs w:val="24"/>
                <w:lang w:val="en-GB"/>
              </w:rPr>
              <w:t>Registracija</w:t>
            </w:r>
          </w:p>
        </w:tc>
        <w:tc>
          <w:tcPr>
            <w:tcW w:w="3969" w:type="dxa"/>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Times New Roman" w:hAnsi="Arial" w:cs="Arial"/>
                <w:bCs/>
                <w:color w:val="FFFFFF"/>
                <w:sz w:val="20"/>
                <w:szCs w:val="24"/>
                <w:lang w:val="en-GB"/>
              </w:rPr>
            </w:pPr>
            <w:r w:rsidRPr="003611CF">
              <w:rPr>
                <w:rFonts w:ascii="Arial" w:eastAsia="Times New Roman" w:hAnsi="Arial" w:cs="Arial"/>
                <w:bCs/>
                <w:color w:val="FFFFFF"/>
                <w:sz w:val="20"/>
                <w:szCs w:val="24"/>
                <w:lang w:val="en-GB"/>
              </w:rPr>
              <w:t>Promjena/dopuna postojećih podataka</w:t>
            </w:r>
          </w:p>
        </w:tc>
        <w:tc>
          <w:tcPr>
            <w:tcW w:w="2800" w:type="dxa"/>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Times New Roman" w:hAnsi="Arial" w:cs="Arial"/>
                <w:bCs/>
                <w:color w:val="FFFFFF"/>
                <w:sz w:val="20"/>
                <w:szCs w:val="24"/>
                <w:lang w:val="en-GB"/>
              </w:rPr>
            </w:pPr>
            <w:r w:rsidRPr="003611CF">
              <w:rPr>
                <w:rFonts w:ascii="Arial" w:eastAsia="Times New Roman" w:hAnsi="Arial" w:cs="Arial"/>
                <w:bCs/>
                <w:color w:val="FFFFFF"/>
                <w:sz w:val="20"/>
                <w:szCs w:val="24"/>
                <w:lang w:val="en-GB"/>
              </w:rPr>
              <w:t>Prestanak registracije</w:t>
            </w:r>
          </w:p>
        </w:tc>
      </w:tr>
      <w:tr w:rsidR="003611CF" w:rsidRPr="003611CF" w:rsidTr="003611CF">
        <w:trPr>
          <w:jc w:val="center"/>
        </w:trPr>
        <w:tc>
          <w:tcPr>
            <w:tcW w:w="2518" w:type="dxa"/>
            <w:shd w:val="clear" w:color="auto" w:fill="FDE9D9"/>
          </w:tcPr>
          <w:p w:rsidR="003611CF" w:rsidRPr="003611CF" w:rsidRDefault="003611CF" w:rsidP="003611CF">
            <w:pPr>
              <w:spacing w:before="0" w:after="0" w:line="240" w:lineRule="auto"/>
              <w:jc w:val="center"/>
              <w:rPr>
                <w:rFonts w:ascii="Arial" w:eastAsia="Times New Roman" w:hAnsi="Arial" w:cs="Arial"/>
                <w:b/>
                <w:sz w:val="20"/>
                <w:lang w:val="en-GB"/>
              </w:rPr>
            </w:pPr>
            <w:r w:rsidRPr="003611CF">
              <w:rPr>
                <w:rFonts w:ascii="Arial" w:eastAsia="Times New Roman" w:hAnsi="Arial" w:cs="Arial"/>
                <w:b/>
                <w:sz w:val="20"/>
                <w:lang w:val="en-GB"/>
              </w:rPr>
              <w:t>4.253</w:t>
            </w:r>
          </w:p>
        </w:tc>
        <w:tc>
          <w:tcPr>
            <w:tcW w:w="3969" w:type="dxa"/>
            <w:shd w:val="clear" w:color="auto" w:fill="FDE9D9"/>
          </w:tcPr>
          <w:p w:rsidR="003611CF" w:rsidRPr="003611CF" w:rsidRDefault="003611CF" w:rsidP="003611CF">
            <w:pPr>
              <w:spacing w:before="0" w:after="0" w:line="240" w:lineRule="auto"/>
              <w:jc w:val="center"/>
              <w:rPr>
                <w:rFonts w:ascii="Arial" w:eastAsia="Times New Roman" w:hAnsi="Arial" w:cs="Arial"/>
                <w:b/>
                <w:sz w:val="20"/>
                <w:lang w:val="en-GB"/>
              </w:rPr>
            </w:pPr>
            <w:r w:rsidRPr="003611CF">
              <w:rPr>
                <w:rFonts w:ascii="Arial" w:eastAsia="Times New Roman" w:hAnsi="Arial" w:cs="Arial"/>
                <w:b/>
                <w:sz w:val="20"/>
                <w:lang w:val="en-GB"/>
              </w:rPr>
              <w:t>7.894</w:t>
            </w:r>
          </w:p>
        </w:tc>
        <w:tc>
          <w:tcPr>
            <w:tcW w:w="2800" w:type="dxa"/>
            <w:shd w:val="clear" w:color="auto" w:fill="FDE9D9"/>
          </w:tcPr>
          <w:p w:rsidR="003611CF" w:rsidRPr="003611CF" w:rsidRDefault="003611CF" w:rsidP="003611CF">
            <w:pPr>
              <w:spacing w:before="0" w:after="0" w:line="240" w:lineRule="auto"/>
              <w:jc w:val="center"/>
              <w:rPr>
                <w:rFonts w:ascii="Arial" w:eastAsia="Times New Roman" w:hAnsi="Arial" w:cs="Arial"/>
                <w:b/>
                <w:sz w:val="20"/>
                <w:lang w:val="en-GB"/>
              </w:rPr>
            </w:pPr>
            <w:r w:rsidRPr="003611CF">
              <w:rPr>
                <w:rFonts w:ascii="Arial" w:eastAsia="Times New Roman" w:hAnsi="Arial" w:cs="Arial"/>
                <w:b/>
                <w:sz w:val="20"/>
                <w:lang w:val="en-GB"/>
              </w:rPr>
              <w:t>2.561</w:t>
            </w:r>
          </w:p>
        </w:tc>
      </w:tr>
    </w:tbl>
    <w:p w:rsidR="003611CF" w:rsidRPr="003611CF" w:rsidRDefault="003611CF" w:rsidP="003611CF">
      <w:pPr>
        <w:spacing w:before="0" w:after="0" w:line="240" w:lineRule="auto"/>
        <w:rPr>
          <w:rFonts w:ascii="Arial" w:eastAsia="Times New Roman" w:hAnsi="Arial" w:cs="Arial"/>
          <w:sz w:val="22"/>
          <w:lang w:val="en-GB"/>
        </w:rPr>
      </w:pPr>
    </w:p>
    <w:p w:rsidR="003611CF" w:rsidRPr="003611CF" w:rsidRDefault="003611CF" w:rsidP="003611CF">
      <w:pPr>
        <w:spacing w:before="0" w:after="0" w:line="240" w:lineRule="auto"/>
        <w:rPr>
          <w:rFonts w:ascii="Arial" w:eastAsia="Times New Roman" w:hAnsi="Arial" w:cs="Arial"/>
          <w:sz w:val="22"/>
          <w:lang w:val="en-GB"/>
        </w:rPr>
      </w:pPr>
    </w:p>
    <w:p w:rsidR="003611CF" w:rsidRPr="003611CF" w:rsidRDefault="003611CF" w:rsidP="003611CF">
      <w:pPr>
        <w:spacing w:before="0" w:after="0" w:line="240" w:lineRule="auto"/>
        <w:jc w:val="center"/>
        <w:rPr>
          <w:rFonts w:ascii="Calibri" w:eastAsia="Times New Roman" w:hAnsi="Calibri" w:cs="Calibri"/>
          <w:b/>
          <w:szCs w:val="24"/>
          <w:lang w:val="en-GB"/>
        </w:rPr>
      </w:pPr>
      <w:r w:rsidRPr="003611CF">
        <w:rPr>
          <w:rFonts w:ascii="Calibri" w:eastAsia="Times New Roman" w:hAnsi="Calibri" w:cs="Calibri"/>
          <w:b/>
          <w:szCs w:val="24"/>
          <w:lang w:val="en-GB"/>
        </w:rPr>
        <w:t>SEKTOR ZA INFORMACIONU TEHNOLOGIJUU OBLASTI PORESKOG SISTEMA</w:t>
      </w:r>
    </w:p>
    <w:p w:rsidR="003611CF" w:rsidRPr="003611CF" w:rsidRDefault="003611CF" w:rsidP="003611CF">
      <w:pPr>
        <w:spacing w:before="0" w:after="0" w:line="240" w:lineRule="auto"/>
        <w:rPr>
          <w:rFonts w:ascii="Calibri" w:eastAsia="Times New Roman" w:hAnsi="Calibri" w:cs="Calibri"/>
          <w:b/>
          <w:szCs w:val="24"/>
          <w:lang w:val="en-GB"/>
        </w:rPr>
      </w:pPr>
    </w:p>
    <w:p w:rsidR="003611CF" w:rsidRPr="003611CF" w:rsidRDefault="003611CF" w:rsidP="003611CF">
      <w:pPr>
        <w:pBdr>
          <w:top w:val="single" w:sz="4" w:space="1" w:color="auto"/>
          <w:left w:val="single" w:sz="4" w:space="4" w:color="auto"/>
          <w:bottom w:val="single" w:sz="4" w:space="0" w:color="auto"/>
          <w:right w:val="single" w:sz="4" w:space="4" w:color="auto"/>
        </w:pBdr>
        <w:shd w:val="clear" w:color="auto" w:fill="F2F2F2"/>
        <w:spacing w:before="0" w:after="0" w:line="240" w:lineRule="auto"/>
        <w:rPr>
          <w:rFonts w:ascii="Calibri" w:eastAsia="Times New Roman" w:hAnsi="Calibri" w:cs="Calibri"/>
          <w:b/>
          <w:szCs w:val="24"/>
          <w:lang w:val="en-GB"/>
        </w:rPr>
      </w:pPr>
      <w:r w:rsidRPr="003611CF">
        <w:rPr>
          <w:rFonts w:ascii="Calibri" w:eastAsia="Times New Roman" w:hAnsi="Calibri" w:cs="Calibri"/>
          <w:b/>
          <w:szCs w:val="24"/>
          <w:lang w:val="en-GB"/>
        </w:rPr>
        <w:t>GENERALNO</w:t>
      </w:r>
    </w:p>
    <w:p w:rsidR="003611CF" w:rsidRPr="003611CF" w:rsidRDefault="003611CF" w:rsidP="004D6CB4">
      <w:pPr>
        <w:numPr>
          <w:ilvl w:val="0"/>
          <w:numId w:val="92"/>
        </w:numPr>
        <w:spacing w:before="0" w:after="0" w:line="240" w:lineRule="auto"/>
        <w:contextualSpacing/>
        <w:jc w:val="left"/>
        <w:rPr>
          <w:rFonts w:ascii="Calibri" w:eastAsia="Calibri" w:hAnsi="Calibri" w:cs="Calibri"/>
          <w:b/>
          <w:szCs w:val="24"/>
          <w:lang w:val="hr-HR" w:eastAsia="hr-HR"/>
        </w:rPr>
      </w:pPr>
      <w:r w:rsidRPr="003611CF">
        <w:rPr>
          <w:rFonts w:ascii="Calibri" w:eastAsia="Calibri" w:hAnsi="Calibri" w:cs="Calibri"/>
          <w:b/>
          <w:szCs w:val="24"/>
          <w:lang w:val="hr-HR" w:eastAsia="hr-HR"/>
        </w:rPr>
        <w:t>NORMATIVA</w:t>
      </w:r>
    </w:p>
    <w:p w:rsidR="003611CF" w:rsidRPr="003611CF" w:rsidRDefault="003611CF" w:rsidP="004D6CB4">
      <w:pPr>
        <w:numPr>
          <w:ilvl w:val="0"/>
          <w:numId w:val="94"/>
        </w:numPr>
        <w:spacing w:before="0" w:after="0" w:line="240" w:lineRule="auto"/>
        <w:ind w:left="851" w:hanging="425"/>
        <w:contextualSpacing/>
        <w:jc w:val="left"/>
        <w:rPr>
          <w:rFonts w:ascii="Calibri" w:eastAsia="Calibri" w:hAnsi="Calibri" w:cs="Calibri"/>
          <w:szCs w:val="24"/>
          <w:lang w:val="hr-HR" w:eastAsia="hr-HR"/>
        </w:rPr>
      </w:pPr>
      <w:r w:rsidRPr="003611CF">
        <w:rPr>
          <w:rFonts w:ascii="Calibri" w:eastAsia="Calibri" w:hAnsi="Calibri" w:cs="Calibri"/>
          <w:szCs w:val="24"/>
          <w:lang w:val="hr-HR" w:eastAsia="hr-HR"/>
        </w:rPr>
        <w:t>U skladu sa planom uređenja rada Sektora za IT, pokrenute su aktivnosti na usvajanju i implementaciji politika, pravila i procedura iz oblasti Bezbjednosti informacija i upravljanja radom IS-a PU. Ove aktivnosti se usklađuju sa drugim aktivnostima iz oblasti Informacione bezbjednosti.</w:t>
      </w:r>
    </w:p>
    <w:p w:rsidR="003611CF" w:rsidRPr="003611CF" w:rsidRDefault="003611CF" w:rsidP="004D6CB4">
      <w:pPr>
        <w:numPr>
          <w:ilvl w:val="0"/>
          <w:numId w:val="92"/>
        </w:numPr>
        <w:spacing w:before="0" w:after="0" w:line="240" w:lineRule="auto"/>
        <w:contextualSpacing/>
        <w:jc w:val="left"/>
        <w:rPr>
          <w:rFonts w:ascii="Calibri" w:eastAsia="Calibri" w:hAnsi="Calibri" w:cs="Calibri"/>
          <w:b/>
          <w:szCs w:val="24"/>
          <w:lang w:val="hr-HR" w:eastAsia="hr-HR"/>
        </w:rPr>
      </w:pPr>
      <w:r w:rsidRPr="003611CF">
        <w:rPr>
          <w:rFonts w:ascii="Calibri" w:eastAsia="Calibri" w:hAnsi="Calibri" w:cs="Calibri"/>
          <w:b/>
          <w:szCs w:val="24"/>
          <w:lang w:val="hr-HR" w:eastAsia="hr-HR"/>
        </w:rPr>
        <w:t>ORGANIZACIJA</w:t>
      </w:r>
    </w:p>
    <w:p w:rsidR="003611CF" w:rsidRPr="003611CF" w:rsidRDefault="003611CF" w:rsidP="004D6CB4">
      <w:pPr>
        <w:numPr>
          <w:ilvl w:val="0"/>
          <w:numId w:val="94"/>
        </w:numPr>
        <w:spacing w:before="0" w:after="0" w:line="240" w:lineRule="auto"/>
        <w:ind w:left="851" w:hanging="425"/>
        <w:contextualSpacing/>
        <w:jc w:val="left"/>
        <w:rPr>
          <w:rFonts w:ascii="Calibri" w:eastAsia="Calibri" w:hAnsi="Calibri" w:cs="Calibri"/>
          <w:szCs w:val="24"/>
          <w:lang w:val="hr-HR" w:eastAsia="hr-HR"/>
        </w:rPr>
      </w:pPr>
      <w:r w:rsidRPr="003611CF">
        <w:rPr>
          <w:rFonts w:ascii="Calibri" w:eastAsia="Calibri" w:hAnsi="Calibri" w:cs="Calibri"/>
          <w:szCs w:val="24"/>
          <w:lang w:val="hr-HR" w:eastAsia="hr-HR"/>
        </w:rPr>
        <w:t xml:space="preserve">Usvojena i  je nova organizaciona šema sa opisom poslova zaposlenih u Sektoru za IT. </w:t>
      </w:r>
    </w:p>
    <w:p w:rsidR="003611CF" w:rsidRPr="003611CF" w:rsidRDefault="003611CF" w:rsidP="003611CF">
      <w:pPr>
        <w:pBdr>
          <w:top w:val="single" w:sz="4" w:space="1" w:color="auto"/>
          <w:left w:val="single" w:sz="4" w:space="4" w:color="auto"/>
          <w:bottom w:val="single" w:sz="4" w:space="1" w:color="auto"/>
          <w:right w:val="single" w:sz="4" w:space="4" w:color="auto"/>
        </w:pBdr>
        <w:shd w:val="clear" w:color="auto" w:fill="F2F2F2"/>
        <w:spacing w:after="0" w:line="240" w:lineRule="auto"/>
        <w:rPr>
          <w:rFonts w:ascii="Calibri" w:eastAsia="Times New Roman" w:hAnsi="Calibri" w:cs="Calibri"/>
          <w:b/>
          <w:szCs w:val="24"/>
          <w:lang w:val="en-GB"/>
        </w:rPr>
      </w:pPr>
      <w:r w:rsidRPr="003611CF">
        <w:rPr>
          <w:rFonts w:ascii="Calibri" w:eastAsia="Times New Roman" w:hAnsi="Calibri" w:cs="Calibri"/>
          <w:b/>
          <w:szCs w:val="24"/>
          <w:lang w:val="en-GB"/>
        </w:rPr>
        <w:t>RARP</w:t>
      </w:r>
    </w:p>
    <w:p w:rsidR="003611CF" w:rsidRPr="003611CF" w:rsidRDefault="003611CF" w:rsidP="004D6CB4">
      <w:pPr>
        <w:numPr>
          <w:ilvl w:val="0"/>
          <w:numId w:val="92"/>
        </w:numPr>
        <w:spacing w:before="0" w:after="0" w:line="240" w:lineRule="auto"/>
        <w:contextualSpacing/>
        <w:jc w:val="left"/>
        <w:rPr>
          <w:rFonts w:ascii="Calibri" w:eastAsia="Times New Roman" w:hAnsi="Calibri" w:cs="Calibri"/>
          <w:b/>
          <w:szCs w:val="24"/>
          <w:lang w:val="hr-HR" w:eastAsia="hr-HR"/>
        </w:rPr>
      </w:pPr>
      <w:r w:rsidRPr="003611CF">
        <w:rPr>
          <w:rFonts w:ascii="Calibri" w:eastAsia="Times New Roman" w:hAnsi="Calibri" w:cs="Calibri"/>
          <w:b/>
          <w:szCs w:val="24"/>
          <w:lang w:val="hr-HR" w:eastAsia="hr-HR"/>
        </w:rPr>
        <w:t>IMPLEMENTACIJA PREPORUKA IT REVIZIJE</w:t>
      </w:r>
    </w:p>
    <w:p w:rsidR="003611CF" w:rsidRPr="003611CF" w:rsidRDefault="003611CF" w:rsidP="004D6CB4">
      <w:pPr>
        <w:numPr>
          <w:ilvl w:val="0"/>
          <w:numId w:val="94"/>
        </w:numPr>
        <w:spacing w:before="0" w:after="0" w:line="240" w:lineRule="auto"/>
        <w:ind w:left="851" w:hanging="425"/>
        <w:contextualSpacing/>
        <w:jc w:val="left"/>
        <w:rPr>
          <w:rFonts w:ascii="Calibri" w:eastAsia="Calibri" w:hAnsi="Calibri" w:cs="Calibri"/>
          <w:szCs w:val="24"/>
          <w:lang w:val="hr-HR" w:eastAsia="hr-HR"/>
        </w:rPr>
      </w:pPr>
      <w:r w:rsidRPr="003611CF">
        <w:rPr>
          <w:rFonts w:ascii="Calibri" w:eastAsia="Calibri" w:hAnsi="Calibri" w:cs="Calibri"/>
          <w:szCs w:val="24"/>
          <w:lang w:val="hr-HR" w:eastAsia="hr-HR"/>
        </w:rPr>
        <w:t xml:space="preserve">Na osnovu zaključaka Odbora za implementaciju RARP projekta, pokrenute su aktivnosti na obezbjeđivanju sredstava za angažovanje konsultantske firme na implementaciji preporuka iz izvještaja IT revizije. Za ovu potrebu Sektor za IT je pripremio ToR kojeg je poslao Projektnoj jedinici koji je dalje proslijeđen predstavnicima Svjetske banke na prihvatanje. Dogovoreno je da Svjetska banka dostavi komentare na bazi kojih bi se pripremila finalna verzija. </w:t>
      </w:r>
    </w:p>
    <w:p w:rsidR="003611CF" w:rsidRPr="003611CF" w:rsidRDefault="003611CF" w:rsidP="004D6CB4">
      <w:pPr>
        <w:numPr>
          <w:ilvl w:val="0"/>
          <w:numId w:val="92"/>
        </w:numPr>
        <w:spacing w:before="0" w:after="0" w:line="240" w:lineRule="auto"/>
        <w:contextualSpacing/>
        <w:jc w:val="left"/>
        <w:rPr>
          <w:rFonts w:ascii="Calibri" w:eastAsia="Times New Roman" w:hAnsi="Calibri" w:cs="Calibri"/>
          <w:b/>
          <w:szCs w:val="24"/>
          <w:lang w:val="hr-HR" w:eastAsia="hr-HR"/>
        </w:rPr>
      </w:pPr>
      <w:r w:rsidRPr="003611CF">
        <w:rPr>
          <w:rFonts w:ascii="Calibri" w:eastAsia="Times New Roman" w:hAnsi="Calibri" w:cs="Calibri"/>
          <w:b/>
          <w:szCs w:val="24"/>
          <w:lang w:val="hr-HR" w:eastAsia="hr-HR"/>
        </w:rPr>
        <w:t>BI/DWH</w:t>
      </w:r>
    </w:p>
    <w:p w:rsidR="003611CF" w:rsidRPr="003611CF" w:rsidRDefault="003611CF" w:rsidP="004D6CB4">
      <w:pPr>
        <w:numPr>
          <w:ilvl w:val="0"/>
          <w:numId w:val="94"/>
        </w:numPr>
        <w:spacing w:before="0" w:after="0" w:line="240" w:lineRule="auto"/>
        <w:ind w:left="851" w:hanging="425"/>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U skladu sa usvojenim planom i programom, priperemljena je tehnička i funkcionalna specifikacija za tendersku dokumentaciju, kojom će se obezbijediti BI/DWH platforma i aplikativno rješenje. Postignut je dogovor sa angažovanim konsultantom u vezi pripreme navedene dokumentacije.</w:t>
      </w:r>
    </w:p>
    <w:p w:rsidR="003611CF" w:rsidRPr="003611CF" w:rsidRDefault="003611CF" w:rsidP="004D6CB4">
      <w:pPr>
        <w:numPr>
          <w:ilvl w:val="0"/>
          <w:numId w:val="92"/>
        </w:numPr>
        <w:spacing w:before="0" w:after="0" w:line="240" w:lineRule="auto"/>
        <w:contextualSpacing/>
        <w:jc w:val="left"/>
        <w:rPr>
          <w:rFonts w:ascii="Calibri" w:eastAsia="Times New Roman" w:hAnsi="Calibri" w:cs="Calibri"/>
          <w:b/>
          <w:szCs w:val="24"/>
          <w:lang w:val="hr-HR" w:eastAsia="hr-HR"/>
        </w:rPr>
      </w:pPr>
      <w:r w:rsidRPr="003611CF">
        <w:rPr>
          <w:rFonts w:ascii="Calibri" w:eastAsia="Times New Roman" w:hAnsi="Calibri" w:cs="Calibri"/>
          <w:b/>
          <w:szCs w:val="24"/>
          <w:lang w:val="hr-HR" w:eastAsia="hr-HR"/>
        </w:rPr>
        <w:t>eFISKALIZACIJA</w:t>
      </w:r>
    </w:p>
    <w:p w:rsidR="003611CF" w:rsidRPr="003611CF" w:rsidRDefault="003611CF" w:rsidP="004D6CB4">
      <w:pPr>
        <w:numPr>
          <w:ilvl w:val="0"/>
          <w:numId w:val="94"/>
        </w:numPr>
        <w:spacing w:before="0" w:after="0" w:line="240" w:lineRule="auto"/>
        <w:ind w:left="851" w:hanging="425"/>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Radna grupa za implementaciju sistema elektronske fiskalizacije uradila je izmjene i dopune tenderske dokumentacije nakon čega je sproveden i okončan  tenderski postupak i izabran najpovoljniji ponuđač</w:t>
      </w:r>
    </w:p>
    <w:p w:rsidR="003611CF" w:rsidRPr="003611CF" w:rsidRDefault="003611CF" w:rsidP="004D6CB4">
      <w:pPr>
        <w:numPr>
          <w:ilvl w:val="0"/>
          <w:numId w:val="94"/>
        </w:numPr>
        <w:spacing w:before="0" w:after="0" w:line="240" w:lineRule="auto"/>
        <w:ind w:left="851" w:hanging="425"/>
        <w:contextualSpacing/>
        <w:jc w:val="left"/>
        <w:rPr>
          <w:rFonts w:ascii="Calibri" w:eastAsia="Calibri" w:hAnsi="Calibri" w:cs="Calibri"/>
          <w:szCs w:val="24"/>
          <w:lang w:val="hr-HR" w:eastAsia="hr-HR"/>
        </w:rPr>
      </w:pPr>
      <w:r w:rsidRPr="003611CF">
        <w:rPr>
          <w:rFonts w:ascii="Calibri" w:eastAsia="Calibri" w:hAnsi="Calibri" w:cs="Calibri"/>
          <w:szCs w:val="24"/>
          <w:lang w:val="hr-HR" w:eastAsia="hr-HR"/>
        </w:rPr>
        <w:t xml:space="preserve">U skladu sa započetim aktivnostima okončan je  postupak izbora konsultanta na projektu elektronske fiskalizacije.. </w:t>
      </w:r>
    </w:p>
    <w:p w:rsidR="003611CF" w:rsidRPr="003611CF" w:rsidRDefault="003611CF" w:rsidP="004D6CB4">
      <w:pPr>
        <w:numPr>
          <w:ilvl w:val="0"/>
          <w:numId w:val="92"/>
        </w:numPr>
        <w:spacing w:before="0" w:after="0" w:line="240" w:lineRule="auto"/>
        <w:contextualSpacing/>
        <w:jc w:val="left"/>
        <w:rPr>
          <w:rFonts w:ascii="Calibri" w:eastAsia="Times New Roman" w:hAnsi="Calibri" w:cs="Calibri"/>
          <w:b/>
          <w:szCs w:val="24"/>
          <w:lang w:val="hr-HR" w:eastAsia="hr-HR"/>
        </w:rPr>
      </w:pPr>
      <w:r w:rsidRPr="003611CF">
        <w:rPr>
          <w:rFonts w:ascii="Calibri" w:eastAsia="Times New Roman" w:hAnsi="Calibri" w:cs="Calibri"/>
          <w:b/>
          <w:szCs w:val="24"/>
          <w:lang w:val="hr-HR" w:eastAsia="hr-HR"/>
        </w:rPr>
        <w:t>TEHNIČKO INFRASTRUKTURNA ARHITEKTURA SISTEMA</w:t>
      </w:r>
    </w:p>
    <w:p w:rsidR="003611CF" w:rsidRPr="003611CF" w:rsidRDefault="003611CF" w:rsidP="004D6CB4">
      <w:pPr>
        <w:numPr>
          <w:ilvl w:val="0"/>
          <w:numId w:val="94"/>
        </w:numPr>
        <w:spacing w:before="0" w:after="0" w:line="240" w:lineRule="auto"/>
        <w:ind w:left="851" w:hanging="425"/>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 xml:space="preserve">U skladu sa potpisanim ugovorom sa konsultantskom firmom ”Teched” pripremljena je draft verzija Enterprise arhitecture infrastrukture novog sistema. Paralelno je pripremljen i aplikativni lendscape. Sektor za IT je od početka izrade ovog dokumenta bio maksimalno uključen kako bi se obezbijedila jedinstvena infrastrukturna platforma za sve segmente novog sistema. Imajući u vidu vanredno stanje sa corona virusom, u periodu pripreme, održana su tri video conference call-a sa konsultantskom firmom ”Teched”, a tiče se izrade arhitekture infrastrukture novog sistema. </w:t>
      </w:r>
    </w:p>
    <w:p w:rsidR="003611CF" w:rsidRPr="003611CF" w:rsidRDefault="003611CF" w:rsidP="004D6CB4">
      <w:pPr>
        <w:numPr>
          <w:ilvl w:val="0"/>
          <w:numId w:val="92"/>
        </w:numPr>
        <w:spacing w:before="0" w:after="0" w:line="240" w:lineRule="auto"/>
        <w:contextualSpacing/>
        <w:jc w:val="left"/>
        <w:rPr>
          <w:rFonts w:ascii="Calibri" w:eastAsia="Times New Roman" w:hAnsi="Calibri" w:cs="Calibri"/>
          <w:b/>
          <w:szCs w:val="24"/>
          <w:lang w:val="hr-HR" w:eastAsia="hr-HR"/>
        </w:rPr>
      </w:pPr>
      <w:r w:rsidRPr="003611CF">
        <w:rPr>
          <w:rFonts w:ascii="Calibri" w:eastAsia="Times New Roman" w:hAnsi="Calibri" w:cs="Calibri"/>
          <w:b/>
          <w:szCs w:val="24"/>
          <w:lang w:val="hr-HR" w:eastAsia="hr-HR"/>
        </w:rPr>
        <w:lastRenderedPageBreak/>
        <w:t>ČIŠĆENJE PODATAKA</w:t>
      </w:r>
    </w:p>
    <w:p w:rsidR="003611CF" w:rsidRPr="003611CF" w:rsidRDefault="003611CF" w:rsidP="004D6CB4">
      <w:pPr>
        <w:numPr>
          <w:ilvl w:val="0"/>
          <w:numId w:val="94"/>
        </w:numPr>
        <w:spacing w:before="0" w:after="0" w:line="240" w:lineRule="auto"/>
        <w:ind w:left="851" w:hanging="425"/>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Aktivnosti na čišćenju podataka su realizovane tokom čitave godine u kontinuitetu</w:t>
      </w:r>
    </w:p>
    <w:p w:rsidR="003611CF" w:rsidRPr="003611CF" w:rsidRDefault="003611CF" w:rsidP="004D6CB4">
      <w:pPr>
        <w:numPr>
          <w:ilvl w:val="0"/>
          <w:numId w:val="99"/>
        </w:numPr>
        <w:spacing w:before="0" w:after="0" w:line="240" w:lineRule="auto"/>
        <w:contextualSpacing/>
        <w:jc w:val="left"/>
        <w:rPr>
          <w:rFonts w:ascii="Calibri" w:eastAsia="Calibri" w:hAnsi="Calibri" w:cs="Calibri"/>
          <w:szCs w:val="24"/>
          <w:lang w:val="hr-HR" w:eastAsia="hr-HR"/>
        </w:rPr>
      </w:pPr>
      <w:r w:rsidRPr="003611CF">
        <w:rPr>
          <w:rFonts w:ascii="Calibri" w:eastAsia="Calibri" w:hAnsi="Calibri" w:cs="Calibri"/>
          <w:szCs w:val="24"/>
          <w:lang w:val="hr-HR" w:eastAsia="hr-HR"/>
        </w:rPr>
        <w:t>Izrada dokumenta Funkcionalnih zahtjeva – Postojeće i buduće stanje.</w:t>
      </w:r>
    </w:p>
    <w:p w:rsidR="003611CF" w:rsidRPr="003611CF" w:rsidRDefault="003611CF" w:rsidP="003611CF">
      <w:pPr>
        <w:pBdr>
          <w:top w:val="single" w:sz="4" w:space="1" w:color="auto"/>
          <w:left w:val="single" w:sz="4" w:space="4" w:color="auto"/>
          <w:bottom w:val="single" w:sz="4" w:space="1" w:color="auto"/>
          <w:right w:val="single" w:sz="4" w:space="4" w:color="auto"/>
        </w:pBdr>
        <w:shd w:val="clear" w:color="auto" w:fill="F2F2F2"/>
        <w:spacing w:after="0" w:line="240" w:lineRule="auto"/>
        <w:rPr>
          <w:rFonts w:ascii="Calibri" w:eastAsia="Times New Roman" w:hAnsi="Calibri" w:cs="Calibri"/>
          <w:b/>
          <w:szCs w:val="24"/>
          <w:lang w:val="en-GB"/>
        </w:rPr>
      </w:pPr>
      <w:r w:rsidRPr="003611CF">
        <w:rPr>
          <w:rFonts w:ascii="Calibri" w:eastAsia="Times New Roman" w:hAnsi="Calibri" w:cs="Calibri"/>
          <w:b/>
          <w:szCs w:val="24"/>
          <w:lang w:val="en-GB"/>
        </w:rPr>
        <w:t>ODSJEK ZA ODRŽAVANJE I RAZVOJ SOFTVERA</w:t>
      </w:r>
    </w:p>
    <w:p w:rsidR="003611CF" w:rsidRPr="003611CF" w:rsidRDefault="003611CF" w:rsidP="004D6CB4">
      <w:pPr>
        <w:numPr>
          <w:ilvl w:val="0"/>
          <w:numId w:val="92"/>
        </w:numPr>
        <w:spacing w:before="0" w:after="0" w:line="240" w:lineRule="auto"/>
        <w:contextualSpacing/>
        <w:jc w:val="left"/>
        <w:rPr>
          <w:rFonts w:ascii="Calibri" w:eastAsia="Times New Roman" w:hAnsi="Calibri" w:cs="Calibri"/>
          <w:b/>
          <w:szCs w:val="24"/>
          <w:lang w:val="hr-HR" w:eastAsia="hr-HR"/>
        </w:rPr>
      </w:pPr>
      <w:r w:rsidRPr="003611CF">
        <w:rPr>
          <w:rFonts w:ascii="Calibri" w:eastAsia="Times New Roman" w:hAnsi="Calibri" w:cs="Calibri"/>
          <w:b/>
          <w:szCs w:val="24"/>
          <w:lang w:val="hr-HR" w:eastAsia="hr-HR"/>
        </w:rPr>
        <w:t>RAZVOJ I UNAPREĐENJE APLIKATIVNIH RJEŠENJA</w:t>
      </w:r>
    </w:p>
    <w:p w:rsidR="003611CF" w:rsidRPr="003611CF" w:rsidRDefault="003611CF" w:rsidP="004D6CB4">
      <w:pPr>
        <w:numPr>
          <w:ilvl w:val="1"/>
          <w:numId w:val="94"/>
        </w:numPr>
        <w:spacing w:before="0" w:after="0" w:line="240" w:lineRule="auto"/>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U kontinuitetu se realizuju aktivnosti u vezi sa  održavanjem i unapređenjem rada softverskih rješenja koja se koriste u CRPS-u.</w:t>
      </w:r>
      <w:r w:rsidRPr="003611CF" w:rsidDel="005158E3">
        <w:rPr>
          <w:rFonts w:ascii="Calibri" w:eastAsia="Times New Roman" w:hAnsi="Calibri" w:cs="Calibri"/>
          <w:szCs w:val="24"/>
          <w:lang w:val="hr-HR" w:eastAsia="hr-HR"/>
        </w:rPr>
        <w:t xml:space="preserve"> </w:t>
      </w:r>
    </w:p>
    <w:p w:rsidR="003611CF" w:rsidRPr="003611CF" w:rsidRDefault="003611CF" w:rsidP="004D6CB4">
      <w:pPr>
        <w:numPr>
          <w:ilvl w:val="1"/>
          <w:numId w:val="94"/>
        </w:numPr>
        <w:spacing w:before="0" w:after="0" w:line="240" w:lineRule="auto"/>
        <w:contextualSpacing/>
        <w:jc w:val="left"/>
        <w:rPr>
          <w:rFonts w:ascii="Calibri" w:eastAsia="Times New Roman" w:hAnsi="Calibri" w:cs="Calibri"/>
          <w:szCs w:val="24"/>
          <w:lang w:val="hr-HR" w:eastAsia="hr-HR"/>
        </w:rPr>
      </w:pPr>
      <w:r w:rsidRPr="003611CF">
        <w:rPr>
          <w:rFonts w:ascii="Calibri" w:eastAsia="Times New Roman" w:hAnsi="Calibri" w:cs="Calibri"/>
          <w:b/>
          <w:szCs w:val="24"/>
          <w:lang w:val="hr-HR" w:eastAsia="hr-HR"/>
        </w:rPr>
        <w:t>CRPS</w:t>
      </w:r>
      <w:r w:rsidRPr="003611CF">
        <w:rPr>
          <w:rFonts w:ascii="Calibri" w:eastAsia="Times New Roman" w:hAnsi="Calibri" w:cs="Calibri"/>
          <w:szCs w:val="24"/>
          <w:lang w:val="hr-HR" w:eastAsia="hr-HR"/>
        </w:rPr>
        <w:t xml:space="preserve"> – prilagođenje aplikacije novom Zakonu o privrednim društvima (ZOPD).  .</w:t>
      </w:r>
    </w:p>
    <w:p w:rsidR="003611CF" w:rsidRPr="003611CF" w:rsidRDefault="003611CF" w:rsidP="004D6CB4">
      <w:pPr>
        <w:numPr>
          <w:ilvl w:val="0"/>
          <w:numId w:val="93"/>
        </w:numPr>
        <w:spacing w:before="0" w:after="0" w:line="240" w:lineRule="auto"/>
        <w:contextualSpacing/>
        <w:jc w:val="left"/>
        <w:rPr>
          <w:rFonts w:ascii="Calibri" w:eastAsia="Times New Roman" w:hAnsi="Calibri" w:cs="Calibri"/>
          <w:szCs w:val="24"/>
          <w:lang w:val="hr-HR" w:eastAsia="hr-HR"/>
        </w:rPr>
      </w:pPr>
      <w:r w:rsidRPr="003611CF">
        <w:rPr>
          <w:rFonts w:ascii="Calibri" w:eastAsia="Times New Roman" w:hAnsi="Calibri" w:cs="Calibri"/>
          <w:b/>
          <w:szCs w:val="24"/>
          <w:lang w:val="hr-HR" w:eastAsia="hr-HR"/>
        </w:rPr>
        <w:t>UCG3</w:t>
      </w:r>
      <w:r w:rsidRPr="003611CF">
        <w:rPr>
          <w:rFonts w:ascii="Calibri" w:eastAsia="Times New Roman" w:hAnsi="Calibri" w:cs="Calibri"/>
          <w:szCs w:val="24"/>
          <w:lang w:val="hr-HR" w:eastAsia="hr-HR"/>
        </w:rPr>
        <w:t xml:space="preserve"> – Nastavljene aktivnosti na završetku aplikacije za povraćaj PDV-a.</w:t>
      </w:r>
    </w:p>
    <w:p w:rsidR="003611CF" w:rsidRPr="003611CF" w:rsidRDefault="003611CF" w:rsidP="004D6CB4">
      <w:pPr>
        <w:numPr>
          <w:ilvl w:val="0"/>
          <w:numId w:val="93"/>
        </w:numPr>
        <w:autoSpaceDE w:val="0"/>
        <w:autoSpaceDN w:val="0"/>
        <w:adjustRightInd w:val="0"/>
        <w:spacing w:before="0" w:after="0" w:line="240" w:lineRule="auto"/>
        <w:jc w:val="left"/>
        <w:rPr>
          <w:rFonts w:ascii="Calibri" w:eastAsia="Times New Roman" w:hAnsi="Calibri" w:cs="Calibri"/>
          <w:szCs w:val="24"/>
          <w:lang w:val="en-GB"/>
        </w:rPr>
      </w:pPr>
      <w:r w:rsidRPr="003611CF">
        <w:rPr>
          <w:rFonts w:ascii="Calibri" w:eastAsia="Times New Roman" w:hAnsi="Calibri" w:cs="Calibri"/>
          <w:b/>
          <w:szCs w:val="24"/>
          <w:lang w:val="en-GB"/>
        </w:rPr>
        <w:t xml:space="preserve">UCG 2 </w:t>
      </w:r>
      <w:r w:rsidRPr="003611CF">
        <w:rPr>
          <w:rFonts w:ascii="Calibri" w:eastAsia="Times New Roman" w:hAnsi="Calibri" w:cs="Calibri"/>
          <w:szCs w:val="24"/>
          <w:lang w:val="en-GB"/>
        </w:rPr>
        <w:t>– Urađena aplikativna rješenja koja omogućavaju realizaciju Odlaganja plaćanja poreskih obaveza shodno Uredbi o uslovima za odlaganje naplate dospjelih poreskih i neporeskih potraživanja.</w:t>
      </w:r>
    </w:p>
    <w:p w:rsidR="003611CF" w:rsidRPr="003611CF" w:rsidRDefault="003611CF" w:rsidP="004D6CB4">
      <w:pPr>
        <w:numPr>
          <w:ilvl w:val="0"/>
          <w:numId w:val="93"/>
        </w:numPr>
        <w:autoSpaceDE w:val="0"/>
        <w:autoSpaceDN w:val="0"/>
        <w:adjustRightInd w:val="0"/>
        <w:spacing w:before="0" w:after="0" w:line="240" w:lineRule="auto"/>
        <w:jc w:val="left"/>
        <w:rPr>
          <w:rFonts w:ascii="Calibri" w:eastAsia="Times New Roman" w:hAnsi="Calibri" w:cs="Calibri"/>
          <w:szCs w:val="24"/>
          <w:lang w:val="en-GB"/>
        </w:rPr>
      </w:pPr>
      <w:r w:rsidRPr="003611CF">
        <w:rPr>
          <w:rFonts w:ascii="Calibri" w:eastAsia="Times New Roman" w:hAnsi="Calibri" w:cs="Calibri"/>
          <w:b/>
          <w:szCs w:val="24"/>
          <w:lang w:val="en-GB"/>
        </w:rPr>
        <w:t xml:space="preserve">DJP – </w:t>
      </w:r>
      <w:r w:rsidRPr="003611CF">
        <w:rPr>
          <w:rFonts w:ascii="Calibri" w:eastAsia="Times New Roman" w:hAnsi="Calibri" w:cs="Calibri"/>
          <w:szCs w:val="24"/>
          <w:lang w:val="en-GB"/>
        </w:rPr>
        <w:t>Monitoring sistema</w:t>
      </w:r>
    </w:p>
    <w:p w:rsidR="003611CF" w:rsidRPr="003611CF" w:rsidRDefault="003611CF" w:rsidP="004D6CB4">
      <w:pPr>
        <w:numPr>
          <w:ilvl w:val="0"/>
          <w:numId w:val="94"/>
        </w:numPr>
        <w:spacing w:before="0" w:after="0" w:line="240" w:lineRule="auto"/>
        <w:ind w:left="851" w:hanging="425"/>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Rješavanje problema i bug-ova u okviru UCG aplikativnog sistema:</w:t>
      </w:r>
    </w:p>
    <w:p w:rsidR="003611CF" w:rsidRPr="003611CF" w:rsidRDefault="003611CF" w:rsidP="004D6CB4">
      <w:pPr>
        <w:numPr>
          <w:ilvl w:val="0"/>
          <w:numId w:val="93"/>
        </w:numPr>
        <w:spacing w:before="0" w:after="0" w:line="240" w:lineRule="auto"/>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 xml:space="preserve">podnošenje GPPFL, izmijenjih prijava za 2019. godinu. </w:t>
      </w:r>
    </w:p>
    <w:p w:rsidR="003611CF" w:rsidRPr="003611CF" w:rsidRDefault="003611CF" w:rsidP="004D6CB4">
      <w:pPr>
        <w:numPr>
          <w:ilvl w:val="0"/>
          <w:numId w:val="93"/>
        </w:numPr>
        <w:spacing w:before="0" w:after="0" w:line="240" w:lineRule="auto"/>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rad na ostalim zahtjevima.</w:t>
      </w:r>
    </w:p>
    <w:p w:rsidR="003611CF" w:rsidRPr="003611CF" w:rsidRDefault="003611CF" w:rsidP="004D6CB4">
      <w:pPr>
        <w:numPr>
          <w:ilvl w:val="0"/>
          <w:numId w:val="94"/>
        </w:numPr>
        <w:spacing w:before="0" w:after="0" w:line="240" w:lineRule="auto"/>
        <w:ind w:left="851" w:hanging="425"/>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Izrada informativnog kalkulatora za obračun zarada na web portalu PU, za što je dostavljena specifikacija izvođaču.</w:t>
      </w:r>
    </w:p>
    <w:p w:rsidR="003611CF" w:rsidRPr="003611CF" w:rsidRDefault="003611CF" w:rsidP="004D6CB4">
      <w:pPr>
        <w:numPr>
          <w:ilvl w:val="0"/>
          <w:numId w:val="94"/>
        </w:numPr>
        <w:spacing w:before="0" w:after="0" w:line="240" w:lineRule="auto"/>
        <w:ind w:left="851" w:hanging="425"/>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Rješavanje problema i bug-ova u okviru programa za Inspekcijski nadzor.</w:t>
      </w:r>
    </w:p>
    <w:p w:rsidR="003611CF" w:rsidRPr="003611CF" w:rsidRDefault="003611CF" w:rsidP="004D6CB4">
      <w:pPr>
        <w:numPr>
          <w:ilvl w:val="0"/>
          <w:numId w:val="94"/>
        </w:numPr>
        <w:spacing w:before="0" w:after="0" w:line="240" w:lineRule="auto"/>
        <w:ind w:left="851" w:hanging="425"/>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Rješavanje problema i bug-ova u okviru DJP sistema.</w:t>
      </w:r>
    </w:p>
    <w:p w:rsidR="003611CF" w:rsidRPr="003611CF" w:rsidRDefault="003611CF" w:rsidP="004D6CB4">
      <w:pPr>
        <w:numPr>
          <w:ilvl w:val="0"/>
          <w:numId w:val="94"/>
        </w:numPr>
        <w:spacing w:before="0" w:after="0" w:line="240" w:lineRule="auto"/>
        <w:ind w:left="851" w:hanging="425"/>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U skladu sa zahtjevom DRI   pripremljeni izvještaji.</w:t>
      </w:r>
    </w:p>
    <w:p w:rsidR="003611CF" w:rsidRPr="003611CF" w:rsidRDefault="003611CF" w:rsidP="004D6CB4">
      <w:pPr>
        <w:numPr>
          <w:ilvl w:val="0"/>
          <w:numId w:val="94"/>
        </w:numPr>
        <w:spacing w:before="0" w:after="0" w:line="240" w:lineRule="auto"/>
        <w:ind w:left="851" w:hanging="425"/>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Aktivnosti na ažuriranju perioda važenja svih šifarnika u oba sistema.</w:t>
      </w:r>
    </w:p>
    <w:p w:rsidR="003611CF" w:rsidRPr="003611CF" w:rsidRDefault="003611CF" w:rsidP="004D6CB4">
      <w:pPr>
        <w:numPr>
          <w:ilvl w:val="0"/>
          <w:numId w:val="94"/>
        </w:numPr>
        <w:spacing w:before="0" w:after="0" w:line="240" w:lineRule="auto"/>
        <w:ind w:left="851" w:hanging="425"/>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Rad na mnogobrojnim izvještajima i obradi podataka u skladu sa zahtjevima internih i eksternih korisnika.</w:t>
      </w:r>
    </w:p>
    <w:p w:rsidR="003611CF" w:rsidRPr="003611CF" w:rsidRDefault="003611CF" w:rsidP="004D6CB4">
      <w:pPr>
        <w:numPr>
          <w:ilvl w:val="0"/>
          <w:numId w:val="94"/>
        </w:numPr>
        <w:spacing w:before="0" w:after="0" w:line="240" w:lineRule="auto"/>
        <w:ind w:left="851" w:hanging="425"/>
        <w:contextualSpacing/>
        <w:jc w:val="left"/>
        <w:rPr>
          <w:rFonts w:ascii="Calibri" w:eastAsia="Times New Roman" w:hAnsi="Calibri" w:cs="Calibri"/>
          <w:szCs w:val="24"/>
        </w:rPr>
      </w:pPr>
      <w:r w:rsidRPr="003611CF">
        <w:rPr>
          <w:rFonts w:ascii="Calibri" w:eastAsia="Times New Roman" w:hAnsi="Calibri" w:cs="Calibri"/>
          <w:szCs w:val="24"/>
          <w:lang w:val="en-GB" w:eastAsia="hr-BA"/>
        </w:rPr>
        <w:t>Realizovan je veliki broj zahtjeva koji se odnose na ad hok izvještavanje (menadžment, PJ, MF, MMF, Svjetska banka,DRI, MANS, FPIO, Monstat, ZZZ, ostale eksterne institucije…).</w:t>
      </w:r>
    </w:p>
    <w:p w:rsidR="003611CF" w:rsidRPr="003611CF" w:rsidRDefault="003611CF" w:rsidP="004D6CB4">
      <w:pPr>
        <w:numPr>
          <w:ilvl w:val="0"/>
          <w:numId w:val="94"/>
        </w:numPr>
        <w:spacing w:before="0" w:after="0" w:line="240" w:lineRule="auto"/>
        <w:ind w:left="851" w:hanging="425"/>
        <w:jc w:val="left"/>
        <w:rPr>
          <w:rFonts w:ascii="Calibri" w:eastAsia="Times New Roman" w:hAnsi="Calibri" w:cs="Calibri"/>
          <w:szCs w:val="24"/>
          <w:lang w:val="en-GB"/>
        </w:rPr>
      </w:pPr>
      <w:r w:rsidRPr="003611CF">
        <w:rPr>
          <w:rFonts w:ascii="Calibri" w:eastAsia="Times New Roman" w:hAnsi="Calibri" w:cs="Calibri"/>
          <w:szCs w:val="24"/>
          <w:lang w:val="en-GB"/>
        </w:rPr>
        <w:t>Pripremljeni podaci za nepodnosioce prijava, povraćaj PDV-a, VPO, zone, dobit, reprogram (izmirenju obaveza, efektima i za praćenje reprograma), promet nepokretnosti, strance, dug…</w:t>
      </w:r>
    </w:p>
    <w:p w:rsidR="003611CF" w:rsidRPr="003611CF" w:rsidRDefault="003611CF" w:rsidP="004D6CB4">
      <w:pPr>
        <w:numPr>
          <w:ilvl w:val="0"/>
          <w:numId w:val="94"/>
        </w:numPr>
        <w:spacing w:before="0" w:after="0" w:line="240" w:lineRule="auto"/>
        <w:ind w:left="851" w:hanging="425"/>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Ispravka bug-ova koji se odnose na raskid reprograma u UCG sistemu i sređivanje analitičkih kartica u  UCG sistemu.</w:t>
      </w:r>
    </w:p>
    <w:p w:rsidR="003611CF" w:rsidRPr="003611CF" w:rsidRDefault="003611CF" w:rsidP="004D6CB4">
      <w:pPr>
        <w:numPr>
          <w:ilvl w:val="0"/>
          <w:numId w:val="94"/>
        </w:numPr>
        <w:spacing w:before="0" w:after="0" w:line="240" w:lineRule="auto"/>
        <w:ind w:left="851" w:hanging="425"/>
        <w:jc w:val="left"/>
        <w:rPr>
          <w:rFonts w:ascii="Calibri" w:eastAsia="Times New Roman" w:hAnsi="Calibri" w:cs="Calibri"/>
          <w:szCs w:val="24"/>
          <w:lang w:val="en-GB"/>
        </w:rPr>
      </w:pPr>
      <w:r w:rsidRPr="003611CF">
        <w:rPr>
          <w:rFonts w:ascii="Calibri" w:eastAsia="Times New Roman" w:hAnsi="Calibri" w:cs="Calibri"/>
          <w:szCs w:val="24"/>
          <w:lang w:val="en-GB"/>
        </w:rPr>
        <w:t>Pripremljen i realizovan tender za nabavku Oracle licence</w:t>
      </w:r>
    </w:p>
    <w:p w:rsidR="003611CF" w:rsidRPr="003611CF" w:rsidRDefault="003611CF" w:rsidP="004D6CB4">
      <w:pPr>
        <w:numPr>
          <w:ilvl w:val="0"/>
          <w:numId w:val="94"/>
        </w:numPr>
        <w:spacing w:before="0" w:after="0" w:line="240" w:lineRule="auto"/>
        <w:ind w:left="851" w:hanging="425"/>
        <w:jc w:val="left"/>
        <w:rPr>
          <w:rFonts w:ascii="Calibri" w:eastAsia="Times New Roman" w:hAnsi="Calibri" w:cs="Calibri"/>
          <w:szCs w:val="24"/>
          <w:lang w:val="en-GB"/>
        </w:rPr>
      </w:pPr>
      <w:r w:rsidRPr="003611CF">
        <w:rPr>
          <w:rFonts w:ascii="Calibri" w:eastAsia="Times New Roman" w:hAnsi="Calibri" w:cs="Calibri"/>
          <w:szCs w:val="24"/>
          <w:lang w:val="en-GB"/>
        </w:rPr>
        <w:t xml:space="preserve">Pripremljen i relizovan tender za održavanje CRPS sistema </w:t>
      </w:r>
    </w:p>
    <w:p w:rsidR="003611CF" w:rsidRPr="003611CF" w:rsidRDefault="003611CF" w:rsidP="004D6CB4">
      <w:pPr>
        <w:numPr>
          <w:ilvl w:val="0"/>
          <w:numId w:val="94"/>
        </w:numPr>
        <w:spacing w:before="0" w:after="0" w:line="240" w:lineRule="auto"/>
        <w:ind w:left="851" w:hanging="425"/>
        <w:jc w:val="left"/>
        <w:rPr>
          <w:rFonts w:ascii="Calibri" w:eastAsia="Times New Roman" w:hAnsi="Calibri" w:cs="Calibri"/>
          <w:szCs w:val="24"/>
          <w:lang w:val="it-IT"/>
        </w:rPr>
      </w:pPr>
      <w:r w:rsidRPr="003611CF">
        <w:rPr>
          <w:rFonts w:ascii="Calibri" w:eastAsia="Times New Roman" w:hAnsi="Calibri" w:cs="Calibri"/>
          <w:szCs w:val="24"/>
          <w:lang w:val="en-GB"/>
        </w:rPr>
        <w:t xml:space="preserve">Pripremljen i realizovan tender za unapređenje CRPS sistema. </w:t>
      </w:r>
      <w:r w:rsidRPr="003611CF">
        <w:rPr>
          <w:rFonts w:ascii="Calibri" w:eastAsia="Times New Roman" w:hAnsi="Calibri" w:cs="Calibri"/>
          <w:szCs w:val="24"/>
          <w:lang w:val="it-IT"/>
        </w:rPr>
        <w:t>-</w:t>
      </w:r>
    </w:p>
    <w:p w:rsidR="003611CF" w:rsidRPr="003611CF" w:rsidRDefault="003611CF" w:rsidP="003611CF">
      <w:pPr>
        <w:spacing w:before="0" w:after="0" w:line="240" w:lineRule="auto"/>
        <w:ind w:left="1080"/>
        <w:rPr>
          <w:rFonts w:ascii="Calibri" w:eastAsia="Times New Roman" w:hAnsi="Calibri" w:cs="Calibri"/>
          <w:szCs w:val="24"/>
          <w:lang w:val="it-IT"/>
        </w:rPr>
      </w:pPr>
      <w:r w:rsidRPr="003611CF">
        <w:rPr>
          <w:rFonts w:ascii="Calibri" w:eastAsia="Times New Roman" w:hAnsi="Calibri" w:cs="Calibri"/>
          <w:szCs w:val="24"/>
          <w:lang w:val="it-IT"/>
        </w:rPr>
        <w:t>-Online izdavanje povtrda iz evidencije CRPS-a</w:t>
      </w:r>
    </w:p>
    <w:p w:rsidR="003611CF" w:rsidRPr="003611CF" w:rsidRDefault="003611CF" w:rsidP="003611CF">
      <w:pPr>
        <w:spacing w:before="0" w:after="0" w:line="240" w:lineRule="auto"/>
        <w:ind w:left="1080"/>
        <w:rPr>
          <w:rFonts w:ascii="Calibri" w:eastAsia="Times New Roman" w:hAnsi="Calibri" w:cs="Calibri"/>
          <w:szCs w:val="24"/>
          <w:lang w:val="it-IT"/>
        </w:rPr>
      </w:pPr>
      <w:r w:rsidRPr="003611CF">
        <w:rPr>
          <w:rFonts w:ascii="Calibri" w:eastAsia="Times New Roman" w:hAnsi="Calibri" w:cs="Calibri"/>
          <w:szCs w:val="24"/>
          <w:lang w:val="it-IT"/>
        </w:rPr>
        <w:t>-Online RSV (registar stvarnih vlasnika)</w:t>
      </w:r>
    </w:p>
    <w:p w:rsidR="003611CF" w:rsidRPr="003611CF" w:rsidRDefault="003611CF" w:rsidP="004D6CB4">
      <w:pPr>
        <w:numPr>
          <w:ilvl w:val="0"/>
          <w:numId w:val="96"/>
        </w:numPr>
        <w:spacing w:before="0" w:after="0" w:line="240" w:lineRule="auto"/>
        <w:contextualSpacing/>
        <w:jc w:val="left"/>
        <w:rPr>
          <w:rFonts w:ascii="Calibri" w:eastAsia="Times New Roman" w:hAnsi="Calibri" w:cs="Calibri"/>
          <w:szCs w:val="24"/>
          <w:lang w:val="en-US"/>
        </w:rPr>
      </w:pPr>
      <w:r w:rsidRPr="003611CF">
        <w:rPr>
          <w:rFonts w:ascii="Calibri" w:eastAsia="Times New Roman" w:hAnsi="Calibri" w:cs="Calibri"/>
          <w:szCs w:val="24"/>
          <w:lang w:val="en-US"/>
        </w:rPr>
        <w:t>IT sektor je nosilac  realizacije informatičkog rješenja za I i II paket mjera Vlade CG,</w:t>
      </w:r>
    </w:p>
    <w:p w:rsidR="003611CF" w:rsidRPr="003611CF" w:rsidRDefault="003611CF" w:rsidP="004D6CB4">
      <w:pPr>
        <w:numPr>
          <w:ilvl w:val="0"/>
          <w:numId w:val="96"/>
        </w:numPr>
        <w:spacing w:before="0" w:after="0" w:line="240" w:lineRule="auto"/>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 xml:space="preserve">Izrada funkcija za subvencije koje je propisala  Vlada Crne Gore </w:t>
      </w:r>
    </w:p>
    <w:p w:rsidR="003611CF" w:rsidRPr="003611CF" w:rsidRDefault="003611CF" w:rsidP="004D6CB4">
      <w:pPr>
        <w:numPr>
          <w:ilvl w:val="0"/>
          <w:numId w:val="96"/>
        </w:numPr>
        <w:spacing w:before="0" w:after="0" w:line="240" w:lineRule="auto"/>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Redovno postavljanje i održavanje novih verzija coda na produkcionom, testnom i virtuelnom okruženju okruženju (build I patch).</w:t>
      </w:r>
    </w:p>
    <w:p w:rsidR="003611CF" w:rsidRPr="003611CF" w:rsidRDefault="003611CF" w:rsidP="004D6CB4">
      <w:pPr>
        <w:numPr>
          <w:ilvl w:val="0"/>
          <w:numId w:val="96"/>
        </w:numPr>
        <w:spacing w:before="0" w:after="0" w:line="240" w:lineRule="auto"/>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Sinhronizacija baza produkcionog, testnog i razvojnih okruženja.</w:t>
      </w:r>
    </w:p>
    <w:p w:rsidR="003611CF" w:rsidRPr="003611CF" w:rsidRDefault="003611CF" w:rsidP="004D6CB4">
      <w:pPr>
        <w:numPr>
          <w:ilvl w:val="0"/>
          <w:numId w:val="96"/>
        </w:numPr>
        <w:spacing w:before="0" w:after="0" w:line="240" w:lineRule="auto"/>
        <w:contextualSpacing/>
        <w:jc w:val="left"/>
        <w:rPr>
          <w:rFonts w:ascii="Calibri" w:eastAsia="Times New Roman" w:hAnsi="Calibri" w:cs="Calibri"/>
          <w:szCs w:val="24"/>
          <w:lang w:val="hr-HR" w:eastAsia="hr-HR"/>
        </w:rPr>
      </w:pPr>
      <w:r w:rsidRPr="003611CF">
        <w:rPr>
          <w:rFonts w:ascii="Calibri" w:eastAsia="Times New Roman" w:hAnsi="Calibri" w:cs="Calibri"/>
          <w:bCs/>
          <w:szCs w:val="24"/>
          <w:lang w:val="en-GB" w:eastAsia="hr-HR"/>
        </w:rPr>
        <w:t>Omogućen pristup Glavnom gradu Podgorica web servisu EKFL</w:t>
      </w:r>
    </w:p>
    <w:p w:rsidR="003611CF" w:rsidRPr="003611CF" w:rsidRDefault="003611CF" w:rsidP="004D6CB4">
      <w:pPr>
        <w:numPr>
          <w:ilvl w:val="0"/>
          <w:numId w:val="96"/>
        </w:numPr>
        <w:spacing w:before="0" w:after="0" w:line="240" w:lineRule="auto"/>
        <w:contextualSpacing/>
        <w:jc w:val="left"/>
        <w:rPr>
          <w:rFonts w:ascii="Calibri" w:eastAsia="Times New Roman" w:hAnsi="Calibri" w:cs="Calibri"/>
          <w:szCs w:val="24"/>
          <w:lang w:val="hr-HR" w:eastAsia="hr-HR"/>
        </w:rPr>
      </w:pPr>
      <w:r w:rsidRPr="003611CF">
        <w:rPr>
          <w:rFonts w:ascii="Calibri" w:eastAsia="Times New Roman" w:hAnsi="Calibri" w:cs="Calibri"/>
          <w:bCs/>
          <w:szCs w:val="24"/>
          <w:lang w:val="en-GB" w:eastAsia="hr-HR"/>
        </w:rPr>
        <w:t>Urađena sinhronizacija baza SA i SB okruženja za potrebe završnog računa</w:t>
      </w:r>
    </w:p>
    <w:p w:rsidR="003611CF" w:rsidRPr="003611CF" w:rsidRDefault="003611CF" w:rsidP="004D6CB4">
      <w:pPr>
        <w:numPr>
          <w:ilvl w:val="0"/>
          <w:numId w:val="96"/>
        </w:numPr>
        <w:spacing w:before="0" w:after="0" w:line="240" w:lineRule="auto"/>
        <w:contextualSpacing/>
        <w:jc w:val="left"/>
        <w:rPr>
          <w:rFonts w:ascii="Calibri" w:eastAsia="Times New Roman" w:hAnsi="Calibri" w:cs="Calibri"/>
          <w:szCs w:val="24"/>
          <w:lang w:val="en-US" w:eastAsia="hr-HR"/>
        </w:rPr>
      </w:pPr>
      <w:r w:rsidRPr="003611CF">
        <w:rPr>
          <w:rFonts w:ascii="Calibri" w:eastAsia="Times New Roman" w:hAnsi="Calibri" w:cs="Calibri"/>
          <w:bCs/>
          <w:szCs w:val="24"/>
          <w:lang w:val="en-GB" w:eastAsia="hr-HR"/>
        </w:rPr>
        <w:t>Urađena sinhronizacija baza SA i SB okruženja za potrebe razvoja softverskog rješanja za knjiženje odloženih obavez</w:t>
      </w:r>
    </w:p>
    <w:p w:rsidR="003611CF" w:rsidRPr="003611CF" w:rsidRDefault="003611CF" w:rsidP="003611CF">
      <w:pPr>
        <w:pBdr>
          <w:top w:val="single" w:sz="4" w:space="1" w:color="auto"/>
          <w:left w:val="single" w:sz="4" w:space="4" w:color="auto"/>
          <w:bottom w:val="single" w:sz="4" w:space="1" w:color="auto"/>
          <w:right w:val="single" w:sz="4" w:space="4" w:color="auto"/>
        </w:pBdr>
        <w:shd w:val="clear" w:color="auto" w:fill="F2F2F2"/>
        <w:spacing w:after="0" w:line="240" w:lineRule="auto"/>
        <w:rPr>
          <w:rFonts w:ascii="Calibri" w:eastAsia="Times New Roman" w:hAnsi="Calibri" w:cs="Calibri"/>
          <w:b/>
          <w:szCs w:val="24"/>
          <w:lang w:val="en-GB"/>
        </w:rPr>
      </w:pPr>
      <w:r w:rsidRPr="003611CF">
        <w:rPr>
          <w:rFonts w:ascii="Calibri" w:eastAsia="Times New Roman" w:hAnsi="Calibri" w:cs="Calibri"/>
          <w:b/>
          <w:szCs w:val="24"/>
          <w:lang w:val="en-GB"/>
        </w:rPr>
        <w:t>ODSJEK ZA RAZVOJ I ODRŽAVANJE ICT INFRASTRUKTURE</w:t>
      </w:r>
    </w:p>
    <w:p w:rsidR="003611CF" w:rsidRPr="003611CF" w:rsidRDefault="003611CF" w:rsidP="003611CF">
      <w:pPr>
        <w:spacing w:before="0" w:after="0" w:line="240" w:lineRule="auto"/>
        <w:rPr>
          <w:rFonts w:ascii="Calibri" w:eastAsia="Times New Roman" w:hAnsi="Calibri" w:cs="Calibri"/>
          <w:bCs/>
          <w:szCs w:val="24"/>
          <w:lang w:val="hr-HR" w:eastAsia="hr-HR"/>
        </w:rPr>
      </w:pPr>
      <w:r w:rsidRPr="003611CF">
        <w:rPr>
          <w:rFonts w:ascii="Calibri" w:eastAsia="Times New Roman" w:hAnsi="Calibri" w:cs="Calibri"/>
          <w:bCs/>
          <w:szCs w:val="24"/>
          <w:lang w:val="hr-HR" w:eastAsia="hr-HR"/>
        </w:rPr>
        <w:tab/>
        <w:t>Realizacija svih aktivnosti službenika Odsjeka koje se odnose na projekat E-fiskalizacije.</w:t>
      </w:r>
    </w:p>
    <w:p w:rsidR="003611CF" w:rsidRPr="003611CF" w:rsidRDefault="003611CF" w:rsidP="004D6CB4">
      <w:pPr>
        <w:numPr>
          <w:ilvl w:val="0"/>
          <w:numId w:val="92"/>
        </w:numPr>
        <w:spacing w:before="0" w:after="0" w:line="240" w:lineRule="auto"/>
        <w:contextualSpacing/>
        <w:jc w:val="left"/>
        <w:rPr>
          <w:rFonts w:ascii="Calibri" w:eastAsia="Times New Roman" w:hAnsi="Calibri" w:cs="Calibri"/>
          <w:szCs w:val="24"/>
          <w:lang w:val="hr-HR" w:eastAsia="hr-HR"/>
        </w:rPr>
      </w:pPr>
      <w:r w:rsidRPr="003611CF">
        <w:rPr>
          <w:rFonts w:ascii="Calibri" w:eastAsia="Times New Roman" w:hAnsi="Calibri" w:cs="Calibri"/>
          <w:b/>
          <w:szCs w:val="24"/>
          <w:lang w:val="hr-HR" w:eastAsia="hr-HR"/>
        </w:rPr>
        <w:t>KORISNIČKA OPREMA</w:t>
      </w:r>
    </w:p>
    <w:p w:rsidR="003611CF" w:rsidRPr="003611CF" w:rsidRDefault="003611CF" w:rsidP="004D6CB4">
      <w:pPr>
        <w:numPr>
          <w:ilvl w:val="0"/>
          <w:numId w:val="97"/>
        </w:numPr>
        <w:spacing w:before="0" w:after="0" w:line="240" w:lineRule="auto"/>
        <w:contextualSpacing/>
        <w:jc w:val="left"/>
        <w:rPr>
          <w:rFonts w:ascii="Calibri" w:eastAsia="Times New Roman" w:hAnsi="Calibri" w:cs="Calibri"/>
          <w:bCs/>
          <w:szCs w:val="24"/>
          <w:lang w:val="hr-HR" w:eastAsia="hr-HR"/>
        </w:rPr>
      </w:pPr>
      <w:r w:rsidRPr="003611CF">
        <w:rPr>
          <w:rFonts w:ascii="Calibri" w:eastAsia="Times New Roman" w:hAnsi="Calibri" w:cs="Calibri"/>
          <w:bCs/>
          <w:szCs w:val="24"/>
          <w:lang w:val="hr-HR" w:eastAsia="hr-HR"/>
        </w:rPr>
        <w:lastRenderedPageBreak/>
        <w:t>Instalacija računarske opreme;</w:t>
      </w:r>
    </w:p>
    <w:p w:rsidR="003611CF" w:rsidRPr="003611CF" w:rsidRDefault="003611CF" w:rsidP="004D6CB4">
      <w:pPr>
        <w:numPr>
          <w:ilvl w:val="3"/>
          <w:numId w:val="97"/>
        </w:numPr>
        <w:spacing w:before="0" w:after="0" w:line="240" w:lineRule="auto"/>
        <w:ind w:left="993"/>
        <w:contextualSpacing/>
        <w:jc w:val="left"/>
        <w:rPr>
          <w:rFonts w:ascii="Calibri" w:eastAsia="Times New Roman" w:hAnsi="Calibri" w:cs="Calibri"/>
          <w:bCs/>
          <w:szCs w:val="24"/>
          <w:lang w:val="hr-HR" w:eastAsia="hr-HR"/>
        </w:rPr>
      </w:pPr>
      <w:r w:rsidRPr="003611CF">
        <w:rPr>
          <w:rFonts w:ascii="Calibri" w:eastAsia="Times New Roman" w:hAnsi="Calibri" w:cs="Calibri"/>
          <w:bCs/>
          <w:szCs w:val="24"/>
          <w:lang w:val="hr-HR" w:eastAsia="hr-HR"/>
        </w:rPr>
        <w:t xml:space="preserve">Realizovane aktivnosti na instalaciji računarske opreme, dobijene po tenderu Uprave za imovinu za 2019.godinu.Tenderom je između ostalog izvršena nabavka 45 računara. </w:t>
      </w:r>
    </w:p>
    <w:p w:rsidR="003611CF" w:rsidRPr="003611CF" w:rsidRDefault="003611CF" w:rsidP="004D6CB4">
      <w:pPr>
        <w:numPr>
          <w:ilvl w:val="0"/>
          <w:numId w:val="97"/>
        </w:numPr>
        <w:spacing w:before="0" w:after="0" w:line="240" w:lineRule="auto"/>
        <w:contextualSpacing/>
        <w:jc w:val="left"/>
        <w:rPr>
          <w:rFonts w:ascii="Calibri" w:eastAsia="Times New Roman" w:hAnsi="Calibri" w:cs="Calibri"/>
          <w:bCs/>
          <w:szCs w:val="24"/>
          <w:lang w:val="hr-HR" w:eastAsia="hr-HR"/>
        </w:rPr>
      </w:pPr>
      <w:r w:rsidRPr="003611CF">
        <w:rPr>
          <w:rFonts w:ascii="Calibri" w:eastAsia="Times New Roman" w:hAnsi="Calibri" w:cs="Calibri"/>
          <w:bCs/>
          <w:szCs w:val="24"/>
          <w:lang w:val="hr-HR" w:eastAsia="hr-HR"/>
        </w:rPr>
        <w:t>Podrška internim korisnicima i PJ (premještanje opreme, deinstalacija računara,..)</w:t>
      </w:r>
    </w:p>
    <w:p w:rsidR="003611CF" w:rsidRPr="003611CF" w:rsidRDefault="003611CF" w:rsidP="004D6CB4">
      <w:pPr>
        <w:numPr>
          <w:ilvl w:val="0"/>
          <w:numId w:val="97"/>
        </w:numPr>
        <w:spacing w:before="0" w:after="0" w:line="240" w:lineRule="auto"/>
        <w:contextualSpacing/>
        <w:jc w:val="left"/>
        <w:rPr>
          <w:rFonts w:ascii="Calibri" w:eastAsia="Times New Roman" w:hAnsi="Calibri" w:cs="Calibri"/>
          <w:bCs/>
          <w:szCs w:val="24"/>
          <w:lang w:val="hr-HR" w:eastAsia="hr-HR"/>
        </w:rPr>
      </w:pPr>
      <w:r w:rsidRPr="003611CF">
        <w:rPr>
          <w:rFonts w:ascii="Calibri" w:eastAsia="Times New Roman" w:hAnsi="Calibri" w:cs="Calibri"/>
          <w:bCs/>
          <w:szCs w:val="24"/>
          <w:lang w:val="hr-HR" w:eastAsia="hr-HR"/>
        </w:rPr>
        <w:t>Popis ICT opreme</w:t>
      </w:r>
    </w:p>
    <w:p w:rsidR="003611CF" w:rsidRPr="003611CF" w:rsidRDefault="003611CF" w:rsidP="004D6CB4">
      <w:pPr>
        <w:numPr>
          <w:ilvl w:val="1"/>
          <w:numId w:val="93"/>
        </w:numPr>
        <w:spacing w:before="0" w:after="0" w:line="240" w:lineRule="auto"/>
        <w:contextualSpacing/>
        <w:jc w:val="left"/>
        <w:rPr>
          <w:rFonts w:ascii="Calibri" w:eastAsia="Times New Roman" w:hAnsi="Calibri" w:cs="Calibri"/>
          <w:bCs/>
          <w:szCs w:val="24"/>
          <w:lang w:val="hr-HR" w:eastAsia="hr-HR"/>
        </w:rPr>
      </w:pPr>
      <w:r w:rsidRPr="003611CF">
        <w:rPr>
          <w:rFonts w:ascii="Calibri" w:eastAsia="Times New Roman" w:hAnsi="Calibri" w:cs="Calibri"/>
          <w:bCs/>
          <w:szCs w:val="24"/>
          <w:lang w:val="hr-HR" w:eastAsia="hr-HR"/>
        </w:rPr>
        <w:t>Popisana  (pripremljena  tabela) svih radnih stanica – personalnih računara i laptop-ova, sa podacima o organizacionim jedinicama, zaduženoj osobi, datumu starosti, operativnom sistemu; Izvršen je obilazak svih filijala i ekspozitura. Formiran dokument.</w:t>
      </w:r>
    </w:p>
    <w:p w:rsidR="003611CF" w:rsidRPr="003611CF" w:rsidRDefault="003611CF" w:rsidP="004D6CB4">
      <w:pPr>
        <w:numPr>
          <w:ilvl w:val="0"/>
          <w:numId w:val="93"/>
        </w:numPr>
        <w:spacing w:before="0" w:after="0" w:line="240" w:lineRule="auto"/>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Konsolidacija LAN i WAN mreže</w:t>
      </w:r>
    </w:p>
    <w:p w:rsidR="003611CF" w:rsidRPr="003611CF" w:rsidRDefault="003611CF" w:rsidP="004D6CB4">
      <w:pPr>
        <w:numPr>
          <w:ilvl w:val="0"/>
          <w:numId w:val="93"/>
        </w:numPr>
        <w:spacing w:before="0" w:after="0" w:line="240" w:lineRule="auto"/>
        <w:contextualSpacing/>
        <w:jc w:val="left"/>
        <w:rPr>
          <w:rFonts w:ascii="Calibri" w:eastAsia="Times New Roman" w:hAnsi="Calibri" w:cs="Calibri"/>
          <w:bCs/>
          <w:szCs w:val="24"/>
          <w:lang w:val="hr-HR" w:eastAsia="hr-HR"/>
        </w:rPr>
      </w:pPr>
      <w:r w:rsidRPr="003611CF">
        <w:rPr>
          <w:rFonts w:ascii="Calibri" w:eastAsia="Times New Roman" w:hAnsi="Calibri" w:cs="Calibri"/>
          <w:bCs/>
          <w:szCs w:val="24"/>
          <w:lang w:val="hr-HR" w:eastAsia="hr-HR"/>
        </w:rPr>
        <w:t>Rekonstrukcija LAN mreža</w:t>
      </w:r>
    </w:p>
    <w:p w:rsidR="003611CF" w:rsidRPr="003611CF" w:rsidRDefault="003611CF" w:rsidP="004D6CB4">
      <w:pPr>
        <w:numPr>
          <w:ilvl w:val="0"/>
          <w:numId w:val="94"/>
        </w:numPr>
        <w:spacing w:before="0" w:after="0" w:line="240" w:lineRule="auto"/>
        <w:ind w:left="709" w:hanging="218"/>
        <w:contextualSpacing/>
        <w:jc w:val="left"/>
        <w:rPr>
          <w:rFonts w:ascii="Calibri" w:eastAsia="Times New Roman" w:hAnsi="Calibri" w:cs="Calibri"/>
          <w:bCs/>
          <w:szCs w:val="24"/>
          <w:lang w:val="hr-HR" w:eastAsia="hr-HR"/>
        </w:rPr>
      </w:pPr>
      <w:r w:rsidRPr="003611CF">
        <w:rPr>
          <w:rFonts w:ascii="Calibri" w:eastAsia="Times New Roman" w:hAnsi="Calibri" w:cs="Calibri"/>
          <w:bCs/>
          <w:szCs w:val="24"/>
          <w:lang w:val="hr-HR" w:eastAsia="hr-HR"/>
        </w:rPr>
        <w:t>U cilju sređivanja postojećeg stanja LAN i WAN mreže Informacionog sistema PU, urađeno:</w:t>
      </w:r>
    </w:p>
    <w:p w:rsidR="003611CF" w:rsidRPr="003611CF" w:rsidRDefault="003611CF" w:rsidP="004D6CB4">
      <w:pPr>
        <w:numPr>
          <w:ilvl w:val="0"/>
          <w:numId w:val="93"/>
        </w:numPr>
        <w:spacing w:before="0" w:after="0" w:line="240" w:lineRule="auto"/>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Napravljen okvirni plan aktivnosti konsolidacije za centralu i filijale;</w:t>
      </w:r>
    </w:p>
    <w:p w:rsidR="003611CF" w:rsidRPr="003611CF" w:rsidRDefault="003611CF" w:rsidP="004D6CB4">
      <w:pPr>
        <w:numPr>
          <w:ilvl w:val="0"/>
          <w:numId w:val="93"/>
        </w:numPr>
        <w:spacing w:before="0" w:after="0" w:line="240" w:lineRule="auto"/>
        <w:contextualSpacing/>
        <w:jc w:val="left"/>
        <w:rPr>
          <w:rFonts w:ascii="Calibri" w:eastAsia="Calibri" w:hAnsi="Calibri" w:cs="Calibri"/>
          <w:szCs w:val="24"/>
          <w:lang w:val="hr-HR" w:eastAsia="hr-HR"/>
        </w:rPr>
      </w:pPr>
      <w:r w:rsidRPr="003611CF">
        <w:rPr>
          <w:rFonts w:ascii="Calibri" w:eastAsia="Times New Roman" w:hAnsi="Calibri" w:cs="Calibri"/>
          <w:szCs w:val="24"/>
          <w:lang w:val="hr-HR" w:eastAsia="hr-HR"/>
        </w:rPr>
        <w:t>Pripremljeni pojedinačni projekti LAN mreža po udaljenim lokacijama, kao i WAN mreže.</w:t>
      </w:r>
    </w:p>
    <w:p w:rsidR="003611CF" w:rsidRPr="003611CF" w:rsidRDefault="003611CF" w:rsidP="004D6CB4">
      <w:pPr>
        <w:numPr>
          <w:ilvl w:val="0"/>
          <w:numId w:val="93"/>
        </w:numPr>
        <w:spacing w:before="0" w:after="0" w:line="240" w:lineRule="auto"/>
        <w:contextualSpacing/>
        <w:jc w:val="left"/>
        <w:rPr>
          <w:rFonts w:ascii="Calibri" w:eastAsia="Times New Roman" w:hAnsi="Calibri" w:cs="Calibri"/>
          <w:bCs/>
          <w:szCs w:val="24"/>
          <w:lang w:val="hr-HR" w:eastAsia="hr-HR"/>
        </w:rPr>
      </w:pPr>
      <w:r w:rsidRPr="003611CF">
        <w:rPr>
          <w:rFonts w:ascii="Calibri" w:eastAsia="Times New Roman" w:hAnsi="Calibri" w:cs="Calibri"/>
          <w:bCs/>
          <w:szCs w:val="24"/>
          <w:lang w:val="hr-HR" w:eastAsia="hr-HR"/>
        </w:rPr>
        <w:t xml:space="preserve">Službenici Odsjeka organizovali su obilazak područnih jedinica i ekspozitura Poreske uprave, i nakon urađene analize stanja LAN mreže, kao i računarske opreme utvrdili  da je najurgentnije postavljanja nove instalacije LAN mreže u područnim jedinicama Nikšić, Herceg Novi i Pljevlja, što je i realizovano. </w:t>
      </w:r>
    </w:p>
    <w:p w:rsidR="003611CF" w:rsidRPr="003611CF" w:rsidRDefault="003611CF" w:rsidP="004D6CB4">
      <w:pPr>
        <w:numPr>
          <w:ilvl w:val="0"/>
          <w:numId w:val="109"/>
        </w:numPr>
        <w:spacing w:before="0" w:after="0" w:line="240" w:lineRule="auto"/>
        <w:contextualSpacing/>
        <w:jc w:val="left"/>
        <w:rPr>
          <w:rFonts w:ascii="Calibri" w:eastAsia="Times New Roman" w:hAnsi="Calibri" w:cs="Calibri"/>
          <w:b/>
          <w:szCs w:val="24"/>
          <w:lang w:val="hr-HR" w:eastAsia="hr-HR"/>
        </w:rPr>
      </w:pPr>
      <w:r w:rsidRPr="003611CF">
        <w:rPr>
          <w:rFonts w:ascii="Calibri" w:eastAsia="Times New Roman" w:hAnsi="Calibri" w:cs="Calibri"/>
          <w:b/>
          <w:szCs w:val="24"/>
          <w:lang w:val="hr-HR" w:eastAsia="hr-HR"/>
        </w:rPr>
        <w:t>SISTEMSKA INFRASTRUKTURA</w:t>
      </w:r>
    </w:p>
    <w:p w:rsidR="003611CF" w:rsidRPr="003611CF" w:rsidRDefault="003611CF" w:rsidP="004D6CB4">
      <w:pPr>
        <w:numPr>
          <w:ilvl w:val="0"/>
          <w:numId w:val="98"/>
        </w:numPr>
        <w:spacing w:before="0" w:after="0" w:line="240" w:lineRule="auto"/>
        <w:contextualSpacing/>
        <w:jc w:val="left"/>
        <w:rPr>
          <w:rFonts w:ascii="Calibri" w:eastAsia="Times New Roman" w:hAnsi="Calibri" w:cs="Calibri"/>
          <w:bCs/>
          <w:szCs w:val="24"/>
          <w:lang w:val="hr-HR" w:eastAsia="hr-HR"/>
        </w:rPr>
      </w:pPr>
      <w:r w:rsidRPr="003611CF">
        <w:rPr>
          <w:rFonts w:ascii="Calibri" w:eastAsia="Times New Roman" w:hAnsi="Calibri" w:cs="Calibri"/>
          <w:bCs/>
          <w:szCs w:val="24"/>
          <w:lang w:val="hr-HR" w:eastAsia="hr-HR"/>
        </w:rPr>
        <w:t>Rješavanje problema na Windovs 10 OS sa klijentskom aplikacijom za stari sistem</w:t>
      </w:r>
    </w:p>
    <w:p w:rsidR="003611CF" w:rsidRPr="003611CF" w:rsidRDefault="003611CF" w:rsidP="004D6CB4">
      <w:pPr>
        <w:numPr>
          <w:ilvl w:val="0"/>
          <w:numId w:val="98"/>
        </w:numPr>
        <w:spacing w:before="0" w:after="0" w:line="240" w:lineRule="auto"/>
        <w:contextualSpacing/>
        <w:jc w:val="left"/>
        <w:rPr>
          <w:rFonts w:ascii="Calibri" w:eastAsia="Times New Roman" w:hAnsi="Calibri" w:cs="Calibri"/>
          <w:bCs/>
          <w:szCs w:val="24"/>
          <w:lang w:val="hr-HR" w:eastAsia="hr-HR"/>
        </w:rPr>
      </w:pPr>
      <w:r w:rsidRPr="003611CF">
        <w:rPr>
          <w:rFonts w:ascii="Calibri" w:eastAsia="Times New Roman" w:hAnsi="Calibri" w:cs="Calibri"/>
          <w:bCs/>
          <w:szCs w:val="24"/>
          <w:lang w:val="hr-HR" w:eastAsia="hr-HR"/>
        </w:rPr>
        <w:t xml:space="preserve">Rješavanje problema na većem broju računarske opreme, personalnih računara i štampača, kao i više servera, </w:t>
      </w:r>
    </w:p>
    <w:p w:rsidR="003611CF" w:rsidRPr="003611CF" w:rsidRDefault="003611CF" w:rsidP="004D6CB4">
      <w:pPr>
        <w:numPr>
          <w:ilvl w:val="0"/>
          <w:numId w:val="98"/>
        </w:numPr>
        <w:spacing w:before="0" w:after="0" w:line="240" w:lineRule="auto"/>
        <w:contextualSpacing/>
        <w:jc w:val="left"/>
        <w:rPr>
          <w:rFonts w:ascii="Calibri" w:eastAsia="Times New Roman" w:hAnsi="Calibri" w:cs="Calibri"/>
          <w:bCs/>
          <w:szCs w:val="24"/>
          <w:lang w:val="hr-HR" w:eastAsia="hr-HR"/>
        </w:rPr>
      </w:pPr>
      <w:r w:rsidRPr="003611CF">
        <w:rPr>
          <w:rFonts w:ascii="Calibri" w:eastAsia="Times New Roman" w:hAnsi="Calibri" w:cs="Calibri"/>
          <w:bCs/>
          <w:szCs w:val="24"/>
          <w:lang w:val="hr-HR" w:eastAsia="hr-HR"/>
        </w:rPr>
        <w:t>Izvršen obilazak udaljenih lokacija filijala i ekspozitura</w:t>
      </w:r>
    </w:p>
    <w:p w:rsidR="003611CF" w:rsidRPr="003611CF" w:rsidRDefault="003611CF" w:rsidP="004D6CB4">
      <w:pPr>
        <w:numPr>
          <w:ilvl w:val="0"/>
          <w:numId w:val="98"/>
        </w:numPr>
        <w:spacing w:before="0" w:after="0" w:line="240" w:lineRule="auto"/>
        <w:contextualSpacing/>
        <w:jc w:val="left"/>
        <w:rPr>
          <w:rFonts w:ascii="Calibri" w:eastAsia="Times New Roman" w:hAnsi="Calibri" w:cs="Calibri"/>
          <w:bCs/>
          <w:szCs w:val="24"/>
          <w:lang w:val="hr-HR" w:eastAsia="hr-HR"/>
        </w:rPr>
      </w:pPr>
      <w:r w:rsidRPr="003611CF">
        <w:rPr>
          <w:rFonts w:ascii="Calibri" w:eastAsia="Times New Roman" w:hAnsi="Calibri" w:cs="Calibri"/>
          <w:bCs/>
          <w:szCs w:val="24"/>
          <w:lang w:val="hr-HR" w:eastAsia="hr-HR"/>
        </w:rPr>
        <w:t xml:space="preserve">Priprememljen  nalog za postupanje u kojem je  detaljno dato uputstvo za korišćenje šifri za pristupanje IT sistemima Poreske uprave, sa naglaskom na ličnoj odgovornosti za korišćenje istih“. </w:t>
      </w:r>
    </w:p>
    <w:p w:rsidR="003611CF" w:rsidRPr="003611CF" w:rsidRDefault="003611CF" w:rsidP="004D6CB4">
      <w:pPr>
        <w:numPr>
          <w:ilvl w:val="0"/>
          <w:numId w:val="98"/>
        </w:numPr>
        <w:spacing w:before="0" w:after="0" w:line="240" w:lineRule="auto"/>
        <w:contextualSpacing/>
        <w:jc w:val="left"/>
        <w:rPr>
          <w:rFonts w:ascii="Calibri" w:eastAsia="Times New Roman" w:hAnsi="Calibri" w:cs="Calibri"/>
          <w:szCs w:val="24"/>
          <w:lang w:val="hr-HR" w:eastAsia="hr-HR"/>
        </w:rPr>
      </w:pPr>
      <w:r w:rsidRPr="003611CF">
        <w:rPr>
          <w:rFonts w:ascii="Calibri" w:eastAsia="Times New Roman" w:hAnsi="Calibri" w:cs="Calibri"/>
          <w:bCs/>
          <w:szCs w:val="24"/>
          <w:lang w:val="hr-HR" w:eastAsia="hr-HR"/>
        </w:rPr>
        <w:t>U skladu sa Planom javnih nabavki pripremljena tehnička specifikacija i raspisani tenderi za:</w:t>
      </w:r>
    </w:p>
    <w:p w:rsidR="003611CF" w:rsidRPr="003611CF" w:rsidRDefault="003611CF" w:rsidP="004D6CB4">
      <w:pPr>
        <w:numPr>
          <w:ilvl w:val="0"/>
          <w:numId w:val="98"/>
        </w:numPr>
        <w:spacing w:before="0" w:after="0" w:line="240" w:lineRule="auto"/>
        <w:contextualSpacing/>
        <w:jc w:val="left"/>
        <w:rPr>
          <w:rFonts w:ascii="Calibri" w:eastAsia="Times New Roman" w:hAnsi="Calibri" w:cs="Calibri"/>
          <w:bCs/>
          <w:szCs w:val="24"/>
          <w:lang w:val="hr-HR" w:eastAsia="hr-HR"/>
        </w:rPr>
      </w:pPr>
      <w:r w:rsidRPr="003611CF">
        <w:rPr>
          <w:rFonts w:ascii="Calibri" w:eastAsia="Times New Roman" w:hAnsi="Calibri" w:cs="Calibri"/>
          <w:bCs/>
          <w:szCs w:val="24"/>
          <w:lang w:val="hr-HR" w:eastAsia="hr-HR"/>
        </w:rPr>
        <w:t>Pripremljena tenderska dokumentacija za nabavku usluga – obnova licenci za antivirusni software.</w:t>
      </w:r>
    </w:p>
    <w:p w:rsidR="003611CF" w:rsidRPr="003611CF" w:rsidRDefault="003611CF" w:rsidP="004D6CB4">
      <w:pPr>
        <w:numPr>
          <w:ilvl w:val="0"/>
          <w:numId w:val="98"/>
        </w:numPr>
        <w:spacing w:before="0" w:after="0" w:line="240" w:lineRule="auto"/>
        <w:contextualSpacing/>
        <w:jc w:val="left"/>
        <w:rPr>
          <w:rFonts w:ascii="Calibri" w:eastAsia="Times New Roman" w:hAnsi="Calibri" w:cs="Calibri"/>
          <w:bCs/>
          <w:szCs w:val="24"/>
          <w:lang w:val="hr-HR" w:eastAsia="hr-HR"/>
        </w:rPr>
      </w:pPr>
      <w:r w:rsidRPr="003611CF">
        <w:rPr>
          <w:rFonts w:ascii="Calibri" w:eastAsia="Times New Roman" w:hAnsi="Calibri" w:cs="Calibri"/>
          <w:bCs/>
          <w:szCs w:val="24"/>
          <w:lang w:val="hr-HR" w:eastAsia="hr-HR"/>
        </w:rPr>
        <w:t>Tenderski postupak Objedinjena nabavka kompjutera i kompjuterske opreme za 2020. godinu.</w:t>
      </w:r>
    </w:p>
    <w:p w:rsidR="003611CF" w:rsidRPr="003611CF" w:rsidRDefault="003611CF" w:rsidP="004D6CB4">
      <w:pPr>
        <w:numPr>
          <w:ilvl w:val="0"/>
          <w:numId w:val="156"/>
        </w:numPr>
        <w:spacing w:before="0" w:after="0" w:line="240" w:lineRule="auto"/>
        <w:ind w:left="1418" w:hanging="284"/>
        <w:contextualSpacing/>
        <w:jc w:val="left"/>
        <w:rPr>
          <w:rFonts w:ascii="Calibri" w:eastAsia="Times New Roman" w:hAnsi="Calibri" w:cs="Calibri"/>
          <w:bCs/>
          <w:szCs w:val="24"/>
          <w:lang w:val="hr-HR" w:eastAsia="hr-HR"/>
        </w:rPr>
      </w:pPr>
      <w:r w:rsidRPr="003611CF">
        <w:rPr>
          <w:rFonts w:ascii="Calibri" w:eastAsia="Times New Roman" w:hAnsi="Calibri" w:cs="Calibri"/>
          <w:bCs/>
          <w:szCs w:val="24"/>
          <w:lang w:val="hr-HR" w:eastAsia="hr-HR"/>
        </w:rPr>
        <w:t xml:space="preserve">Službi za javne nabavake je dostavljena  tehnička specifikiaciju za potrebne tonere, fotokonduktore, koji su nam potrebni za funkcionisanje štampača. </w:t>
      </w:r>
    </w:p>
    <w:p w:rsidR="003611CF" w:rsidRPr="003611CF" w:rsidRDefault="003611CF" w:rsidP="004D6CB4">
      <w:pPr>
        <w:numPr>
          <w:ilvl w:val="0"/>
          <w:numId w:val="98"/>
        </w:numPr>
        <w:spacing w:before="0" w:after="0" w:line="240" w:lineRule="auto"/>
        <w:contextualSpacing/>
        <w:jc w:val="left"/>
        <w:rPr>
          <w:rFonts w:ascii="Calibri" w:eastAsia="Times New Roman" w:hAnsi="Calibri" w:cs="Calibri"/>
          <w:bCs/>
          <w:szCs w:val="24"/>
          <w:lang w:val="hr-HR" w:eastAsia="hr-HR"/>
        </w:rPr>
      </w:pPr>
      <w:r w:rsidRPr="003611CF">
        <w:rPr>
          <w:rFonts w:ascii="Calibri" w:eastAsia="Times New Roman" w:hAnsi="Calibri" w:cs="Calibri"/>
          <w:bCs/>
          <w:szCs w:val="24"/>
          <w:lang w:val="hr-HR" w:eastAsia="hr-HR"/>
        </w:rPr>
        <w:t>Pripremljena  tehnička specifikaciju za održavanje sistema za upravljanje štampe, raspisan i realizovan tender.</w:t>
      </w:r>
    </w:p>
    <w:p w:rsidR="003611CF" w:rsidRPr="003611CF" w:rsidRDefault="003611CF" w:rsidP="004D6CB4">
      <w:pPr>
        <w:numPr>
          <w:ilvl w:val="0"/>
          <w:numId w:val="98"/>
        </w:numPr>
        <w:spacing w:before="0" w:after="0" w:line="240" w:lineRule="auto"/>
        <w:contextualSpacing/>
        <w:jc w:val="left"/>
        <w:rPr>
          <w:rFonts w:ascii="Calibri" w:eastAsia="Times New Roman" w:hAnsi="Calibri" w:cs="Calibri"/>
          <w:bCs/>
          <w:szCs w:val="24"/>
          <w:lang w:val="hr-HR" w:eastAsia="hr-HR"/>
        </w:rPr>
      </w:pPr>
      <w:r w:rsidRPr="003611CF">
        <w:rPr>
          <w:rFonts w:ascii="Calibri" w:eastAsia="Times New Roman" w:hAnsi="Calibri" w:cs="Calibri"/>
          <w:bCs/>
          <w:szCs w:val="24"/>
          <w:lang w:val="hr-HR" w:eastAsia="hr-HR"/>
        </w:rPr>
        <w:t>Pripremljena tehnička specifikaciju za servisiranje opreme u DC koja je van garantnog roka, raspisan i realizovan tender.</w:t>
      </w:r>
    </w:p>
    <w:p w:rsidR="003611CF" w:rsidRPr="003611CF" w:rsidRDefault="003611CF" w:rsidP="004D6CB4">
      <w:pPr>
        <w:numPr>
          <w:ilvl w:val="0"/>
          <w:numId w:val="98"/>
        </w:numPr>
        <w:spacing w:before="0" w:after="0" w:line="240" w:lineRule="auto"/>
        <w:contextualSpacing/>
        <w:jc w:val="left"/>
        <w:rPr>
          <w:rFonts w:ascii="Calibri" w:eastAsia="Times New Roman" w:hAnsi="Calibri" w:cs="Calibri"/>
          <w:bCs/>
          <w:szCs w:val="24"/>
          <w:lang w:val="hr-HR" w:eastAsia="hr-HR"/>
        </w:rPr>
      </w:pPr>
      <w:r w:rsidRPr="003611CF">
        <w:rPr>
          <w:rFonts w:ascii="Calibri" w:eastAsia="Times New Roman" w:hAnsi="Calibri" w:cs="Calibri"/>
          <w:bCs/>
          <w:szCs w:val="24"/>
          <w:lang w:val="hr-HR" w:eastAsia="hr-HR"/>
        </w:rPr>
        <w:t>Pripremljena tehnička specifikaciju za servisiranje računara i prateće opreme, raspisan i realizovan tender.</w:t>
      </w:r>
    </w:p>
    <w:p w:rsidR="003611CF" w:rsidRPr="003611CF" w:rsidRDefault="003611CF" w:rsidP="004D6CB4">
      <w:pPr>
        <w:numPr>
          <w:ilvl w:val="0"/>
          <w:numId w:val="98"/>
        </w:numPr>
        <w:spacing w:before="0" w:after="0" w:line="240" w:lineRule="auto"/>
        <w:contextualSpacing/>
        <w:jc w:val="left"/>
        <w:rPr>
          <w:rFonts w:ascii="Calibri" w:eastAsia="Times New Roman" w:hAnsi="Calibri" w:cs="Calibri"/>
          <w:bCs/>
          <w:szCs w:val="24"/>
          <w:lang w:val="hr-HR" w:eastAsia="hr-HR"/>
        </w:rPr>
      </w:pPr>
      <w:r w:rsidRPr="003611CF">
        <w:rPr>
          <w:rFonts w:ascii="Calibri" w:eastAsia="Times New Roman" w:hAnsi="Calibri" w:cs="Calibri"/>
          <w:bCs/>
          <w:szCs w:val="24"/>
          <w:lang w:val="hr-HR" w:eastAsia="hr-HR"/>
        </w:rPr>
        <w:t>Pripremljena tehnička specifikaciju za održavanje data centra, raspisan i realizovan tender.</w:t>
      </w:r>
    </w:p>
    <w:p w:rsidR="003611CF" w:rsidRPr="003611CF" w:rsidRDefault="003611CF" w:rsidP="004D6CB4">
      <w:pPr>
        <w:numPr>
          <w:ilvl w:val="0"/>
          <w:numId w:val="92"/>
        </w:numPr>
        <w:spacing w:before="0" w:after="0" w:line="240" w:lineRule="auto"/>
        <w:contextualSpacing/>
        <w:jc w:val="left"/>
        <w:rPr>
          <w:rFonts w:ascii="Calibri" w:eastAsia="Times New Roman" w:hAnsi="Calibri" w:cs="Calibri"/>
          <w:b/>
          <w:szCs w:val="24"/>
          <w:lang w:val="hr-HR" w:eastAsia="hr-HR"/>
        </w:rPr>
      </w:pPr>
      <w:r w:rsidRPr="003611CF">
        <w:rPr>
          <w:rFonts w:ascii="Calibri" w:eastAsia="Times New Roman" w:hAnsi="Calibri" w:cs="Calibri"/>
          <w:b/>
          <w:szCs w:val="24"/>
          <w:lang w:val="hr-HR" w:eastAsia="hr-HR"/>
        </w:rPr>
        <w:t>OSTALO</w:t>
      </w:r>
    </w:p>
    <w:p w:rsidR="003611CF" w:rsidRPr="003611CF" w:rsidRDefault="003611CF" w:rsidP="004D6CB4">
      <w:pPr>
        <w:numPr>
          <w:ilvl w:val="0"/>
          <w:numId w:val="94"/>
        </w:numPr>
        <w:spacing w:before="0" w:after="0" w:line="240" w:lineRule="auto"/>
        <w:ind w:left="851" w:hanging="425"/>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Izrada Procedura za rad HelpDesk (rad sa internim korisnicima).</w:t>
      </w:r>
    </w:p>
    <w:p w:rsidR="003611CF" w:rsidRPr="003611CF" w:rsidRDefault="003611CF" w:rsidP="004D6CB4">
      <w:pPr>
        <w:numPr>
          <w:ilvl w:val="0"/>
          <w:numId w:val="95"/>
        </w:numPr>
        <w:spacing w:before="0" w:after="0" w:line="240" w:lineRule="auto"/>
        <w:ind w:left="709" w:hanging="207"/>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 xml:space="preserve">Rješavanje većeg broja problema sa serverima </w:t>
      </w:r>
      <w:r w:rsidRPr="003611CF">
        <w:rPr>
          <w:rFonts w:ascii="Calibri" w:eastAsia="Times New Roman" w:hAnsi="Calibri" w:cs="Calibri"/>
          <w:bCs/>
          <w:szCs w:val="24"/>
          <w:lang w:val="hr-HR" w:eastAsia="hr-HR"/>
        </w:rPr>
        <w:t>BL 460c G7</w:t>
      </w:r>
      <w:r w:rsidRPr="003611CF">
        <w:rPr>
          <w:rFonts w:ascii="Calibri" w:eastAsia="Times New Roman" w:hAnsi="Calibri" w:cs="Calibri"/>
          <w:szCs w:val="24"/>
          <w:lang w:val="hr-HR" w:eastAsia="hr-HR"/>
        </w:rPr>
        <w:t xml:space="preserve">, na kome je dolazilo do  do oštećenja mezzanin kartica - NC C373m, hard diskova . Predmetni  serveri se nalazi u  data centru  i služe za potrebe virtuelnog okruženja. </w:t>
      </w:r>
    </w:p>
    <w:p w:rsidR="003611CF" w:rsidRPr="003611CF" w:rsidRDefault="003611CF" w:rsidP="004D6CB4">
      <w:pPr>
        <w:numPr>
          <w:ilvl w:val="0"/>
          <w:numId w:val="95"/>
        </w:numPr>
        <w:spacing w:before="0" w:after="0" w:line="240" w:lineRule="auto"/>
        <w:ind w:left="709" w:hanging="207"/>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 xml:space="preserve">Rješavanje problema sa radom korisnika, bilo udaljenim putem korišćenjem Remote desktop connection ili odlaskom na lokaciju. </w:t>
      </w:r>
    </w:p>
    <w:p w:rsidR="003611CF" w:rsidRPr="003611CF" w:rsidRDefault="003611CF" w:rsidP="003611CF">
      <w:pPr>
        <w:pBdr>
          <w:top w:val="single" w:sz="4" w:space="1" w:color="auto"/>
          <w:left w:val="single" w:sz="4" w:space="4" w:color="auto"/>
          <w:bottom w:val="single" w:sz="4" w:space="1" w:color="auto"/>
          <w:right w:val="single" w:sz="4" w:space="4" w:color="auto"/>
        </w:pBdr>
        <w:shd w:val="clear" w:color="auto" w:fill="F2F2F2"/>
        <w:spacing w:after="0" w:line="240" w:lineRule="auto"/>
        <w:rPr>
          <w:rFonts w:ascii="Calibri" w:eastAsia="Times New Roman" w:hAnsi="Calibri" w:cs="Calibri"/>
          <w:b/>
          <w:szCs w:val="24"/>
          <w:lang w:val="en-GB"/>
        </w:rPr>
      </w:pPr>
      <w:r w:rsidRPr="003611CF">
        <w:rPr>
          <w:rFonts w:ascii="Calibri" w:eastAsia="Times New Roman" w:hAnsi="Calibri" w:cs="Calibri"/>
          <w:b/>
          <w:szCs w:val="24"/>
          <w:lang w:val="en-GB"/>
        </w:rPr>
        <w:lastRenderedPageBreak/>
        <w:t>ODSJEK ZA ELEKTRONSKE PRIJAVE</w:t>
      </w:r>
    </w:p>
    <w:p w:rsidR="003611CF" w:rsidRPr="003611CF" w:rsidRDefault="003611CF" w:rsidP="003611CF">
      <w:pPr>
        <w:spacing w:before="0" w:after="0" w:line="240" w:lineRule="auto"/>
        <w:ind w:firstLine="360"/>
        <w:rPr>
          <w:rFonts w:ascii="Calibri" w:eastAsia="Times New Roman" w:hAnsi="Calibri" w:cs="Calibri"/>
          <w:b/>
          <w:szCs w:val="24"/>
          <w:lang w:val="en-GB"/>
        </w:rPr>
      </w:pPr>
      <w:r w:rsidRPr="003611CF">
        <w:rPr>
          <w:rFonts w:ascii="Calibri" w:eastAsia="Times New Roman" w:hAnsi="Calibri" w:cs="Calibri"/>
          <w:b/>
          <w:szCs w:val="24"/>
          <w:lang w:val="en-GB"/>
        </w:rPr>
        <w:t>I    APLIKACIJA ZA POVRAĆAJ PDV KREDITA</w:t>
      </w:r>
    </w:p>
    <w:p w:rsidR="003611CF" w:rsidRPr="003611CF" w:rsidRDefault="003611CF" w:rsidP="004D6CB4">
      <w:pPr>
        <w:numPr>
          <w:ilvl w:val="0"/>
          <w:numId w:val="101"/>
        </w:numPr>
        <w:spacing w:before="0" w:after="0" w:line="240" w:lineRule="auto"/>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 xml:space="preserve">Nove  funkcionalnosti: </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Osnov za obračun</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Statusi specifikacija</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Detalji isplate</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Rješenje ‘’Van snage’’</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 xml:space="preserve">Privremena Rješenja </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 xml:space="preserve">Sintetički izvještaj </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Analitički izvještaj</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Presipanje podataka u DJP</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 xml:space="preserve">Konačna Rješenja </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Presipanje podataka iz DJP-a u Taxis</w:t>
      </w:r>
    </w:p>
    <w:p w:rsidR="003611CF" w:rsidRPr="003611CF" w:rsidRDefault="003611CF" w:rsidP="004D6CB4">
      <w:pPr>
        <w:numPr>
          <w:ilvl w:val="0"/>
          <w:numId w:val="101"/>
        </w:numPr>
        <w:spacing w:before="0" w:after="0" w:line="240" w:lineRule="auto"/>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Ispravljeni bug-ovi</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Datum dospijeća na formi specifikacije</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Prilaganje novog zapisnika</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Nema prijave u kojoj nema iskazanog pdv kredita</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 xml:space="preserve">Dodati novi računi </w:t>
      </w:r>
    </w:p>
    <w:p w:rsidR="003611CF" w:rsidRPr="003611CF" w:rsidRDefault="003611CF" w:rsidP="003611CF">
      <w:pPr>
        <w:spacing w:before="0" w:after="0" w:line="240" w:lineRule="auto"/>
        <w:ind w:left="360"/>
        <w:rPr>
          <w:rFonts w:ascii="Calibri" w:eastAsia="Times New Roman" w:hAnsi="Calibri" w:cs="Calibri"/>
          <w:b/>
          <w:szCs w:val="24"/>
          <w:lang w:val="en-GB"/>
        </w:rPr>
      </w:pPr>
      <w:r w:rsidRPr="003611CF">
        <w:rPr>
          <w:rFonts w:ascii="Calibri" w:eastAsia="Times New Roman" w:hAnsi="Calibri" w:cs="Calibri"/>
          <w:b/>
          <w:szCs w:val="24"/>
          <w:lang w:val="en-GB"/>
        </w:rPr>
        <w:t>II   SVEŠTENICI I VJERSKE ORGANIZACIJE</w:t>
      </w:r>
    </w:p>
    <w:p w:rsidR="003611CF" w:rsidRPr="003611CF" w:rsidRDefault="003611CF" w:rsidP="004D6CB4">
      <w:pPr>
        <w:numPr>
          <w:ilvl w:val="0"/>
          <w:numId w:val="102"/>
        </w:numPr>
        <w:spacing w:before="0" w:after="0" w:line="240" w:lineRule="auto"/>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Vjerske organizacije</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Obrada zaduženja za IV kvartal 2019.</w:t>
      </w:r>
      <w:r>
        <w:rPr>
          <w:rFonts w:ascii="Calibri" w:eastAsia="Times New Roman" w:hAnsi="Calibri" w:cs="Calibri"/>
          <w:szCs w:val="24"/>
          <w:lang w:val="en-GB" w:eastAsia="hr-HR"/>
        </w:rPr>
        <w:t xml:space="preserve"> </w:t>
      </w:r>
      <w:r w:rsidRPr="003611CF">
        <w:rPr>
          <w:rFonts w:ascii="Calibri" w:eastAsia="Times New Roman" w:hAnsi="Calibri" w:cs="Calibri"/>
          <w:szCs w:val="24"/>
          <w:lang w:val="en-GB" w:eastAsia="hr-HR"/>
        </w:rPr>
        <w:t>godine za 10 vjerskih organizacija  i  I i II  kvartal 2020.</w:t>
      </w:r>
      <w:r>
        <w:rPr>
          <w:rFonts w:ascii="Calibri" w:eastAsia="Times New Roman" w:hAnsi="Calibri" w:cs="Calibri"/>
          <w:szCs w:val="24"/>
          <w:lang w:val="en-GB" w:eastAsia="hr-HR"/>
        </w:rPr>
        <w:t xml:space="preserve"> </w:t>
      </w:r>
      <w:r w:rsidRPr="003611CF">
        <w:rPr>
          <w:rFonts w:ascii="Calibri" w:eastAsia="Times New Roman" w:hAnsi="Calibri" w:cs="Calibri"/>
          <w:szCs w:val="24"/>
          <w:lang w:val="en-GB" w:eastAsia="hr-HR"/>
        </w:rPr>
        <w:t xml:space="preserve">godine za 11 vjerskih organizacija </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 xml:space="preserve">Obrada 36  kvartalnih zaduženja za MCP </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 xml:space="preserve">Obrada izmijenjenih kvrartalnih zaduženja za Mešihat islamske zajednice u CG </w:t>
      </w:r>
    </w:p>
    <w:p w:rsidR="003611CF" w:rsidRPr="003611CF" w:rsidRDefault="003611CF" w:rsidP="004D6CB4">
      <w:pPr>
        <w:numPr>
          <w:ilvl w:val="0"/>
          <w:numId w:val="102"/>
        </w:numPr>
        <w:spacing w:before="0" w:after="0" w:line="240" w:lineRule="auto"/>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Svještenici</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Definisanje specifikacije za postupak obrade nedostajućih obračuna doprinosa PIO za sveštenike MCP-a</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Priprema tabelarnog pregleda zaduženja po svešteniku MCP-a</w:t>
      </w:r>
    </w:p>
    <w:p w:rsidR="003611CF" w:rsidRPr="003611CF" w:rsidRDefault="003611CF" w:rsidP="003611CF">
      <w:pPr>
        <w:spacing w:before="0" w:after="0" w:line="240" w:lineRule="auto"/>
        <w:ind w:left="360"/>
        <w:rPr>
          <w:rFonts w:ascii="Calibri" w:eastAsia="Times New Roman" w:hAnsi="Calibri" w:cs="Calibri"/>
          <w:szCs w:val="24"/>
          <w:lang w:val="en-GB" w:eastAsia="hr-HR"/>
        </w:rPr>
      </w:pPr>
      <w:r w:rsidRPr="003611CF">
        <w:rPr>
          <w:rFonts w:ascii="Calibri" w:eastAsia="Times New Roman" w:hAnsi="Calibri" w:cs="Calibri"/>
          <w:b/>
          <w:szCs w:val="24"/>
          <w:lang w:val="en-GB" w:eastAsia="hr-HR"/>
        </w:rPr>
        <w:t>III FINANSIJSKI ISKAZI ZA 2020.GODINU</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Definisanje specifikacije za izradu programskog rješenja za nove obrasce Finansijskih iskaza pravnih lica i Konsolidovane finansijske iskaze.</w:t>
      </w:r>
    </w:p>
    <w:p w:rsidR="003611CF" w:rsidRPr="003611CF" w:rsidRDefault="003611CF" w:rsidP="004D6CB4">
      <w:pPr>
        <w:numPr>
          <w:ilvl w:val="0"/>
          <w:numId w:val="107"/>
        </w:numPr>
        <w:spacing w:before="0" w:after="0" w:line="240" w:lineRule="auto"/>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Uspostavljanje  veze sa  Prijavom  poreza na dobit i kontrole tačnosti iskazane dobiti /gubitka</w:t>
      </w:r>
    </w:p>
    <w:p w:rsidR="003611CF" w:rsidRPr="003611CF" w:rsidRDefault="003611CF" w:rsidP="004D6CB4">
      <w:pPr>
        <w:numPr>
          <w:ilvl w:val="0"/>
          <w:numId w:val="107"/>
        </w:numPr>
        <w:spacing w:before="0" w:after="0" w:line="240" w:lineRule="auto"/>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Uspostavljanje provjere ispravnosti međuzbirova prilikom uvoza podataka</w:t>
      </w:r>
    </w:p>
    <w:p w:rsidR="003611CF" w:rsidRPr="003611CF" w:rsidRDefault="003611CF" w:rsidP="004D6CB4">
      <w:pPr>
        <w:numPr>
          <w:ilvl w:val="0"/>
          <w:numId w:val="107"/>
        </w:numPr>
        <w:spacing w:before="0" w:after="0" w:line="240" w:lineRule="auto"/>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Uspostavljanje kontrola prilikom popunjavanja podataka u kolonama za prethodne godine</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Priprema testnih scenarija i višestruko testiranje kako programa za 2020.godinu, tako i programa za 2019. godinu</w:t>
      </w:r>
    </w:p>
    <w:p w:rsidR="003611CF" w:rsidRPr="003611CF" w:rsidRDefault="003611CF" w:rsidP="003611CF">
      <w:pPr>
        <w:spacing w:before="0" w:after="0" w:line="240" w:lineRule="auto"/>
        <w:ind w:firstLine="360"/>
        <w:rPr>
          <w:rFonts w:ascii="Calibri" w:eastAsia="Times New Roman" w:hAnsi="Calibri" w:cs="Calibri"/>
          <w:b/>
          <w:szCs w:val="24"/>
          <w:lang w:val="en-GB"/>
        </w:rPr>
      </w:pPr>
      <w:r w:rsidRPr="003611CF">
        <w:rPr>
          <w:rFonts w:ascii="Calibri" w:eastAsia="Times New Roman" w:hAnsi="Calibri" w:cs="Calibri"/>
          <w:b/>
          <w:szCs w:val="24"/>
          <w:lang w:val="en-GB"/>
        </w:rPr>
        <w:t>IV IZVJEŠTAJI ZA PDV PRIJAVE</w:t>
      </w:r>
    </w:p>
    <w:p w:rsidR="003611CF" w:rsidRPr="003611CF" w:rsidRDefault="003611CF" w:rsidP="004D6CB4">
      <w:pPr>
        <w:numPr>
          <w:ilvl w:val="0"/>
          <w:numId w:val="103"/>
        </w:numPr>
        <w:spacing w:before="0" w:after="0" w:line="240" w:lineRule="auto"/>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Nepodnosioci pdv prijava</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Testirane Liste nepodnosilaca pdv prijava na mjesečnom nivou  za  period 12/2019, 11/2020</w:t>
      </w:r>
    </w:p>
    <w:p w:rsidR="003611CF" w:rsidRPr="003611CF" w:rsidRDefault="003611CF" w:rsidP="004D6CB4">
      <w:pPr>
        <w:numPr>
          <w:ilvl w:val="0"/>
          <w:numId w:val="103"/>
        </w:numPr>
        <w:spacing w:before="0" w:after="0" w:line="240" w:lineRule="auto"/>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Neplatiše pdv zaduženja</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 xml:space="preserve">Testirane Liste pdv obveznika koji su kroz pdv prijave  na mjesečnom nivou  za  period  12/2019, 11/2020 iskazali zaduženje, a na dan izrade izvještaja imaju dug </w:t>
      </w:r>
    </w:p>
    <w:p w:rsidR="003611CF" w:rsidRPr="003611CF" w:rsidRDefault="003611CF" w:rsidP="003611CF">
      <w:pPr>
        <w:spacing w:before="0" w:after="0" w:line="240" w:lineRule="auto"/>
        <w:ind w:firstLine="360"/>
        <w:rPr>
          <w:rFonts w:ascii="Calibri" w:eastAsia="Times New Roman" w:hAnsi="Calibri" w:cs="Calibri"/>
          <w:b/>
          <w:szCs w:val="24"/>
          <w:lang w:val="en-GB"/>
        </w:rPr>
      </w:pPr>
      <w:r w:rsidRPr="003611CF">
        <w:rPr>
          <w:rFonts w:ascii="Calibri" w:eastAsia="Times New Roman" w:hAnsi="Calibri" w:cs="Calibri"/>
          <w:b/>
          <w:szCs w:val="24"/>
          <w:lang w:val="en-GB"/>
        </w:rPr>
        <w:t>V  PROJEKAT IRMS</w:t>
      </w:r>
    </w:p>
    <w:p w:rsidR="003611CF" w:rsidRPr="003611CF" w:rsidRDefault="003611CF" w:rsidP="004D6CB4">
      <w:pPr>
        <w:numPr>
          <w:ilvl w:val="0"/>
          <w:numId w:val="104"/>
        </w:numPr>
        <w:spacing w:before="0" w:after="0" w:line="240" w:lineRule="auto"/>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 xml:space="preserve">FRD </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Rad sa konsultantom AARC-a i priprema primjedbi na dostavljeni Izvještaj</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Studijska posjeta Finskoj  - registracija, obrada prijava i poresko računovodstvo</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lastRenderedPageBreak/>
        <w:t>Priprema TO-BE stanja- FRD dokumenta</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 xml:space="preserve">Analiza Izvještaja KPMG-a </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Priprema nove verzije TO –BE stanja sa ispravljenim djelovima, a na osnovu prihvaćenih primjedbi KPMG-a</w:t>
      </w:r>
    </w:p>
    <w:p w:rsidR="003611CF" w:rsidRPr="003611CF" w:rsidRDefault="003611CF" w:rsidP="004D6CB4">
      <w:pPr>
        <w:numPr>
          <w:ilvl w:val="0"/>
          <w:numId w:val="104"/>
        </w:numPr>
        <w:spacing w:before="0" w:after="0" w:line="240" w:lineRule="auto"/>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 xml:space="preserve">Čišćenje podataka  </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Analiza  šifarnika</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Odredjivanje  odgovornih lica</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 xml:space="preserve">Priprema konačnih šifarnika  </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Priprema i testiranje izvještaja za transakcione podatke koje treba čistiti</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 xml:space="preserve">Koordinacija rada radnih timova za čišćenje podataka i priprema zapisnika sa održanih sastanaka   </w:t>
      </w:r>
    </w:p>
    <w:p w:rsidR="003611CF" w:rsidRPr="003611CF" w:rsidRDefault="003611CF" w:rsidP="003611CF">
      <w:pPr>
        <w:spacing w:before="0" w:after="0" w:line="240" w:lineRule="auto"/>
        <w:ind w:left="360"/>
        <w:rPr>
          <w:rFonts w:ascii="Calibri" w:eastAsia="Times New Roman" w:hAnsi="Calibri" w:cs="Calibri"/>
          <w:b/>
          <w:szCs w:val="24"/>
          <w:lang w:val="en-GB" w:eastAsia="hr-HR"/>
        </w:rPr>
      </w:pPr>
      <w:r w:rsidRPr="003611CF">
        <w:rPr>
          <w:rFonts w:ascii="Calibri" w:eastAsia="Times New Roman" w:hAnsi="Calibri" w:cs="Calibri"/>
          <w:b/>
          <w:szCs w:val="24"/>
          <w:lang w:val="en-GB" w:eastAsia="hr-HR"/>
        </w:rPr>
        <w:t>VI SUBVENCIJE – COVID19</w:t>
      </w:r>
    </w:p>
    <w:p w:rsidR="003611CF" w:rsidRPr="003611CF" w:rsidRDefault="003611CF" w:rsidP="004D6CB4">
      <w:pPr>
        <w:numPr>
          <w:ilvl w:val="0"/>
          <w:numId w:val="108"/>
        </w:numPr>
        <w:spacing w:before="0" w:after="0" w:line="240" w:lineRule="auto"/>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 xml:space="preserve">Učešće u pripremi specifikacije za izradu programskog rješenja za podnošenje Zahtjeva za subvencije </w:t>
      </w:r>
    </w:p>
    <w:p w:rsidR="003611CF" w:rsidRPr="003611CF" w:rsidRDefault="003611CF" w:rsidP="004D6CB4">
      <w:pPr>
        <w:numPr>
          <w:ilvl w:val="0"/>
          <w:numId w:val="108"/>
        </w:numPr>
        <w:spacing w:before="0" w:after="0" w:line="240" w:lineRule="auto"/>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Testiranje programskog rješenja</w:t>
      </w:r>
    </w:p>
    <w:p w:rsidR="003611CF" w:rsidRPr="003611CF" w:rsidRDefault="003611CF" w:rsidP="004D6CB4">
      <w:pPr>
        <w:numPr>
          <w:ilvl w:val="0"/>
          <w:numId w:val="108"/>
        </w:numPr>
        <w:spacing w:before="0" w:after="0" w:line="240" w:lineRule="auto"/>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Tehnička podrška podnosiocima Zahtjeva za subvencije putem mail-a i telefona</w:t>
      </w:r>
    </w:p>
    <w:p w:rsidR="003611CF" w:rsidRPr="003611CF" w:rsidRDefault="003611CF" w:rsidP="004D6CB4">
      <w:pPr>
        <w:numPr>
          <w:ilvl w:val="0"/>
          <w:numId w:val="108"/>
        </w:numPr>
        <w:spacing w:before="0" w:after="0" w:line="240" w:lineRule="auto"/>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Podrška Ministarstvu ekonomije u dijelu provjere podataka koji su u nadležnosti Poreske uprave</w:t>
      </w:r>
    </w:p>
    <w:p w:rsidR="003611CF" w:rsidRPr="003611CF" w:rsidRDefault="003611CF" w:rsidP="003611CF">
      <w:pPr>
        <w:spacing w:before="0" w:after="0" w:line="240" w:lineRule="auto"/>
        <w:ind w:firstLine="360"/>
        <w:rPr>
          <w:rFonts w:ascii="Calibri" w:eastAsia="Times New Roman" w:hAnsi="Calibri" w:cs="Calibri"/>
          <w:b/>
          <w:szCs w:val="24"/>
          <w:lang w:val="en-GB"/>
        </w:rPr>
      </w:pPr>
      <w:r w:rsidRPr="003611CF">
        <w:rPr>
          <w:rFonts w:ascii="Calibri" w:eastAsia="Times New Roman" w:hAnsi="Calibri" w:cs="Calibri"/>
          <w:b/>
          <w:szCs w:val="24"/>
          <w:lang w:val="en-GB"/>
        </w:rPr>
        <w:t>VII ELEKTRONSKE PRIJAVE</w:t>
      </w:r>
    </w:p>
    <w:p w:rsidR="003611CF" w:rsidRPr="003611CF" w:rsidRDefault="003611CF" w:rsidP="004D6CB4">
      <w:pPr>
        <w:numPr>
          <w:ilvl w:val="0"/>
          <w:numId w:val="105"/>
        </w:numPr>
        <w:spacing w:before="0" w:after="0" w:line="240" w:lineRule="auto"/>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PDV (od 01.01 – 31.12.2020)</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267.340  ukupno</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234.962 eprijava (88%)</w:t>
      </w:r>
    </w:p>
    <w:p w:rsidR="003611CF" w:rsidRPr="003611CF" w:rsidRDefault="003611CF" w:rsidP="004D6CB4">
      <w:pPr>
        <w:numPr>
          <w:ilvl w:val="0"/>
          <w:numId w:val="105"/>
        </w:numPr>
        <w:spacing w:before="0" w:after="0" w:line="240" w:lineRule="auto"/>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PD prijava za 2019.godinu)</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26.816 ukupno</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26.652 eprijava (99,38%)</w:t>
      </w:r>
    </w:p>
    <w:p w:rsidR="003611CF" w:rsidRPr="003611CF" w:rsidRDefault="003611CF" w:rsidP="004D6CB4">
      <w:pPr>
        <w:numPr>
          <w:ilvl w:val="0"/>
          <w:numId w:val="105"/>
        </w:numPr>
        <w:spacing w:before="0" w:after="0" w:line="240" w:lineRule="auto"/>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Finansijski iskazi za 2019.godinu</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26.578 (elektronski 100%)</w:t>
      </w:r>
    </w:p>
    <w:p w:rsidR="003611CF" w:rsidRPr="003611CF" w:rsidRDefault="003611CF" w:rsidP="004D6CB4">
      <w:pPr>
        <w:numPr>
          <w:ilvl w:val="0"/>
          <w:numId w:val="105"/>
        </w:numPr>
        <w:spacing w:before="0" w:after="0" w:line="240" w:lineRule="auto"/>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 xml:space="preserve">IOPPD </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311.684</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305.386 eprijava (98%)</w:t>
      </w:r>
    </w:p>
    <w:p w:rsidR="003611CF" w:rsidRPr="003611CF" w:rsidRDefault="003611CF" w:rsidP="004D6CB4">
      <w:pPr>
        <w:numPr>
          <w:ilvl w:val="0"/>
          <w:numId w:val="105"/>
        </w:numPr>
        <w:spacing w:before="0" w:after="0" w:line="240" w:lineRule="auto"/>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 xml:space="preserve">GPPFL </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8.753 ukupno</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1.548 eprijava (18%)</w:t>
      </w:r>
    </w:p>
    <w:p w:rsidR="003611CF" w:rsidRPr="003611CF" w:rsidRDefault="003611CF" w:rsidP="003611CF">
      <w:pPr>
        <w:spacing w:before="0" w:after="0" w:line="240" w:lineRule="auto"/>
        <w:ind w:firstLine="360"/>
        <w:rPr>
          <w:rFonts w:ascii="Calibri" w:eastAsia="Times New Roman" w:hAnsi="Calibri" w:cs="Calibri"/>
          <w:b/>
          <w:szCs w:val="24"/>
          <w:lang w:val="en-GB"/>
        </w:rPr>
      </w:pPr>
      <w:r w:rsidRPr="003611CF">
        <w:rPr>
          <w:rFonts w:ascii="Calibri" w:eastAsia="Times New Roman" w:hAnsi="Calibri" w:cs="Calibri"/>
          <w:b/>
          <w:szCs w:val="24"/>
          <w:lang w:val="en-GB"/>
        </w:rPr>
        <w:t>VIII STRUČNA I TEHNIČKA PODRŠKA</w:t>
      </w:r>
    </w:p>
    <w:p w:rsidR="003611CF" w:rsidRPr="003611CF" w:rsidRDefault="003611CF" w:rsidP="004D6CB4">
      <w:pPr>
        <w:numPr>
          <w:ilvl w:val="0"/>
          <w:numId w:val="106"/>
        </w:numPr>
        <w:spacing w:before="0" w:after="0" w:line="240" w:lineRule="auto"/>
        <w:jc w:val="left"/>
        <w:rPr>
          <w:rFonts w:ascii="Calibri" w:eastAsia="Times New Roman" w:hAnsi="Calibri" w:cs="Calibri"/>
          <w:szCs w:val="24"/>
          <w:lang w:val="en-GB"/>
        </w:rPr>
      </w:pPr>
      <w:r w:rsidRPr="003611CF">
        <w:rPr>
          <w:rFonts w:ascii="Calibri" w:eastAsia="Times New Roman" w:hAnsi="Calibri" w:cs="Calibri"/>
          <w:szCs w:val="24"/>
          <w:lang w:val="en-GB"/>
        </w:rPr>
        <w:t>Telefonski kontakt</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14.001</w:t>
      </w:r>
    </w:p>
    <w:p w:rsidR="003611CF" w:rsidRPr="003611CF" w:rsidRDefault="003611CF" w:rsidP="004D6CB4">
      <w:pPr>
        <w:numPr>
          <w:ilvl w:val="0"/>
          <w:numId w:val="106"/>
        </w:numPr>
        <w:spacing w:before="0" w:after="0" w:line="240" w:lineRule="auto"/>
        <w:jc w:val="left"/>
        <w:rPr>
          <w:rFonts w:ascii="Calibri" w:eastAsia="Times New Roman" w:hAnsi="Calibri" w:cs="Calibri"/>
          <w:szCs w:val="24"/>
          <w:lang w:val="en-GB"/>
        </w:rPr>
      </w:pPr>
      <w:r w:rsidRPr="003611CF">
        <w:rPr>
          <w:rFonts w:ascii="Calibri" w:eastAsia="Times New Roman" w:hAnsi="Calibri" w:cs="Calibri"/>
          <w:szCs w:val="24"/>
          <w:lang w:val="en-GB"/>
        </w:rPr>
        <w:t>Elektronska pošta</w:t>
      </w:r>
    </w:p>
    <w:p w:rsidR="003611CF" w:rsidRPr="003611CF" w:rsidRDefault="003611CF" w:rsidP="004D6CB4">
      <w:pPr>
        <w:numPr>
          <w:ilvl w:val="0"/>
          <w:numId w:val="100"/>
        </w:numPr>
        <w:spacing w:before="0" w:after="0" w:line="240" w:lineRule="auto"/>
        <w:ind w:left="993" w:hanging="284"/>
        <w:contextualSpacing/>
        <w:jc w:val="left"/>
        <w:rPr>
          <w:rFonts w:ascii="Calibri" w:eastAsia="Times New Roman" w:hAnsi="Calibri" w:cs="Calibri"/>
          <w:szCs w:val="24"/>
          <w:lang w:val="en-GB" w:eastAsia="hr-HR"/>
        </w:rPr>
      </w:pPr>
      <w:r w:rsidRPr="003611CF">
        <w:rPr>
          <w:rFonts w:ascii="Calibri" w:eastAsia="Times New Roman" w:hAnsi="Calibri" w:cs="Calibri"/>
          <w:szCs w:val="24"/>
          <w:lang w:val="en-GB" w:eastAsia="hr-HR"/>
        </w:rPr>
        <w:t>6.085</w:t>
      </w:r>
    </w:p>
    <w:p w:rsidR="003611CF" w:rsidRPr="003611CF" w:rsidRDefault="003611CF" w:rsidP="003611CF">
      <w:pPr>
        <w:spacing w:before="0" w:after="0" w:line="240" w:lineRule="auto"/>
        <w:ind w:left="360"/>
        <w:rPr>
          <w:rFonts w:ascii="Calibri" w:eastAsia="Times New Roman" w:hAnsi="Calibri" w:cs="Calibri"/>
          <w:szCs w:val="24"/>
          <w:lang w:val="en-GB" w:eastAsia="hr-HR"/>
        </w:rPr>
      </w:pPr>
      <w:r w:rsidRPr="003611CF">
        <w:rPr>
          <w:rFonts w:ascii="Calibri" w:eastAsia="Times New Roman" w:hAnsi="Calibri" w:cs="Calibri"/>
          <w:b/>
          <w:szCs w:val="24"/>
          <w:lang w:val="en-GB" w:eastAsia="hr-HR"/>
        </w:rPr>
        <w:t xml:space="preserve">Napomena: </w:t>
      </w:r>
      <w:r w:rsidRPr="003611CF">
        <w:rPr>
          <w:rFonts w:ascii="Calibri" w:eastAsia="Times New Roman" w:hAnsi="Calibri" w:cs="Calibri"/>
          <w:szCs w:val="24"/>
          <w:lang w:val="en-GB" w:eastAsia="hr-HR"/>
        </w:rPr>
        <w:t xml:space="preserve">Značajan procenat poziva i mail-ova u 2020.godini odnosi se na Program za subvncije – Covid 19 </w:t>
      </w:r>
    </w:p>
    <w:p w:rsidR="003611CF" w:rsidRPr="003611CF" w:rsidRDefault="003611CF" w:rsidP="003611CF">
      <w:pPr>
        <w:pBdr>
          <w:top w:val="single" w:sz="4" w:space="1" w:color="auto"/>
          <w:left w:val="single" w:sz="4" w:space="4" w:color="auto"/>
          <w:bottom w:val="single" w:sz="4" w:space="1" w:color="auto"/>
          <w:right w:val="single" w:sz="4" w:space="4" w:color="auto"/>
        </w:pBdr>
        <w:shd w:val="clear" w:color="auto" w:fill="F2F2F2"/>
        <w:spacing w:after="0" w:line="240" w:lineRule="auto"/>
        <w:rPr>
          <w:rFonts w:ascii="Calibri" w:eastAsia="Times New Roman" w:hAnsi="Calibri" w:cs="Calibri"/>
          <w:b/>
          <w:szCs w:val="24"/>
          <w:lang w:val="en-GB"/>
        </w:rPr>
      </w:pPr>
      <w:r w:rsidRPr="003611CF">
        <w:rPr>
          <w:rFonts w:ascii="Calibri" w:eastAsia="Times New Roman" w:hAnsi="Calibri" w:cs="Calibri"/>
          <w:b/>
          <w:szCs w:val="24"/>
          <w:lang w:val="en-GB"/>
        </w:rPr>
        <w:t>INFORMACIONA BEZBJEDNOST</w:t>
      </w:r>
    </w:p>
    <w:p w:rsidR="003611CF" w:rsidRPr="003611CF" w:rsidRDefault="003611CF" w:rsidP="003611CF">
      <w:pPr>
        <w:spacing w:before="0" w:after="0" w:line="240" w:lineRule="auto"/>
        <w:rPr>
          <w:rFonts w:ascii="Calibri" w:eastAsia="Times New Roman" w:hAnsi="Calibri" w:cs="Calibri"/>
          <w:iCs/>
          <w:szCs w:val="24"/>
          <w:lang w:val="hr-HR" w:eastAsia="hr-HR"/>
        </w:rPr>
      </w:pPr>
      <w:r w:rsidRPr="003611CF">
        <w:rPr>
          <w:rFonts w:ascii="Calibri" w:eastAsia="Times New Roman" w:hAnsi="Calibri" w:cs="Calibri"/>
          <w:iCs/>
          <w:szCs w:val="24"/>
          <w:lang w:val="hr-HR" w:eastAsia="hr-HR"/>
        </w:rPr>
        <w:tab/>
        <w:t xml:space="preserve">Sektor za IT je, iz oblasti informacione bezbjednosti, je aktivnost zmijenio polise za korisničke naloge na AD-u (UCG3, mISIA, i pristup računarima). </w:t>
      </w:r>
    </w:p>
    <w:p w:rsidR="003611CF" w:rsidRPr="003611CF" w:rsidRDefault="003611CF" w:rsidP="004D6CB4">
      <w:pPr>
        <w:numPr>
          <w:ilvl w:val="0"/>
          <w:numId w:val="94"/>
        </w:numPr>
        <w:spacing w:before="0" w:after="0" w:line="240" w:lineRule="auto"/>
        <w:contextualSpacing/>
        <w:jc w:val="left"/>
        <w:rPr>
          <w:rFonts w:ascii="Calibri" w:eastAsia="Calibri" w:hAnsi="Calibri" w:cs="Calibri"/>
          <w:szCs w:val="24"/>
          <w:lang w:val="hr-HR" w:eastAsia="hr-HR"/>
        </w:rPr>
      </w:pPr>
      <w:r w:rsidRPr="003611CF">
        <w:rPr>
          <w:rFonts w:ascii="Calibri" w:eastAsia="Calibri" w:hAnsi="Calibri" w:cs="Calibri"/>
          <w:szCs w:val="24"/>
          <w:lang w:val="hr-HR" w:eastAsia="hr-HR"/>
        </w:rPr>
        <w:t xml:space="preserve">U skladu sa definisanim radnim zadacima, a u cilju sprječavanja neovlaštenog pristupa IS-u Poreske uprave sa javne mreže (Internet), vrši se svakodnevni monitoring mrežnog saobraćaja, i kontrola pristupa publikovanim serverima i servisima u DMZ zoni. Analizom predmetnog mrežnog saobraćaja konstatovano je povećanje broja pokušaja neovlaštenog pristupa. </w:t>
      </w:r>
    </w:p>
    <w:p w:rsidR="003611CF" w:rsidRPr="003611CF" w:rsidRDefault="003611CF" w:rsidP="004D6CB4">
      <w:pPr>
        <w:numPr>
          <w:ilvl w:val="0"/>
          <w:numId w:val="94"/>
        </w:numPr>
        <w:spacing w:before="0" w:after="0" w:line="240" w:lineRule="auto"/>
        <w:contextualSpacing/>
        <w:jc w:val="left"/>
        <w:rPr>
          <w:rFonts w:ascii="Calibri" w:eastAsia="Calibri" w:hAnsi="Calibri" w:cs="Calibri"/>
          <w:szCs w:val="24"/>
          <w:lang w:val="hr-HR" w:eastAsia="hr-HR"/>
        </w:rPr>
      </w:pPr>
      <w:r w:rsidRPr="003611CF">
        <w:rPr>
          <w:rFonts w:ascii="Calibri" w:eastAsia="Calibri" w:hAnsi="Calibri" w:cs="Calibri"/>
          <w:szCs w:val="24"/>
          <w:lang w:val="hr-HR" w:eastAsia="hr-HR"/>
        </w:rPr>
        <w:lastRenderedPageBreak/>
        <w:t>Z</w:t>
      </w:r>
      <w:r w:rsidRPr="003611CF">
        <w:rPr>
          <w:rFonts w:ascii="Calibri" w:eastAsia="Times New Roman" w:hAnsi="Calibri" w:cs="Calibri"/>
          <w:szCs w:val="24"/>
          <w:lang w:val="hr-HR" w:eastAsia="hr-HR"/>
        </w:rPr>
        <w:t>a period od 19.04.2020 do 19.05.2020, ukupan broj cyber napada 1703, od čega je 865 cyber napada koji pio opasnosti po sistem spadaju u nivo visoke opasnosti,  679 napada spadaju u novo kritične opasnosti i 159 napada koji spadaju u nivo srednje opasnosti. Svi navedeni pokušaji, uspješno su odbijeni, a kao dodatna mjera sigurnosti izvršeno je blokiranje kompletnog saobraćaja sa IP adresa sa kojih su vršeni napadi, i u konačnom onemogućavanje pristupa</w:t>
      </w:r>
      <w:r w:rsidRPr="003611CF">
        <w:rPr>
          <w:rFonts w:ascii="Calibri" w:eastAsia="Calibri" w:hAnsi="Calibri" w:cs="Calibri"/>
          <w:szCs w:val="24"/>
          <w:lang w:val="hr-HR" w:eastAsia="hr-HR"/>
        </w:rPr>
        <w:t xml:space="preserve"> publikovanim servisima Poreske uprave sa istih. Uz ovaj izvještaj dostavljen i kompletan izvještaj o predmetnoj analizi.</w:t>
      </w:r>
    </w:p>
    <w:p w:rsidR="003611CF" w:rsidRPr="003611CF" w:rsidRDefault="003611CF" w:rsidP="003611CF">
      <w:pPr>
        <w:spacing w:before="0" w:after="0" w:line="240" w:lineRule="auto"/>
        <w:rPr>
          <w:rFonts w:ascii="Calibri" w:eastAsia="Calibri" w:hAnsi="Calibri" w:cs="Calibri"/>
          <w:szCs w:val="24"/>
          <w:lang w:val="hr-HR" w:eastAsia="hr-HR"/>
        </w:rPr>
      </w:pPr>
      <w:r w:rsidRPr="003611CF">
        <w:rPr>
          <w:rFonts w:ascii="Calibri" w:eastAsia="Calibri" w:hAnsi="Calibri" w:cs="Calibri"/>
          <w:szCs w:val="24"/>
          <w:lang w:val="hr-HR" w:eastAsia="hr-HR"/>
        </w:rPr>
        <w:tab/>
        <w:t xml:space="preserve">U prethodnom periodu, a u cilju sagledavanja bezbjedonosnih propusta, izvršena analiza rada servisa na produkcionim Portalima i aplikativnim serverima UCG i Taxis aplikacija Poreske uprave. </w:t>
      </w:r>
    </w:p>
    <w:p w:rsidR="003611CF" w:rsidRPr="003611CF" w:rsidRDefault="003611CF" w:rsidP="003611CF">
      <w:pPr>
        <w:spacing w:before="0" w:after="0" w:line="240" w:lineRule="auto"/>
        <w:rPr>
          <w:rFonts w:ascii="Calibri" w:eastAsia="Calibri" w:hAnsi="Calibri" w:cs="Calibri"/>
          <w:szCs w:val="24"/>
          <w:lang w:val="hr-HR" w:eastAsia="hr-HR"/>
        </w:rPr>
      </w:pPr>
    </w:p>
    <w:p w:rsidR="003611CF" w:rsidRPr="003611CF" w:rsidRDefault="003611CF" w:rsidP="003611CF">
      <w:pPr>
        <w:spacing w:before="0" w:line="240" w:lineRule="auto"/>
        <w:ind w:firstLine="708"/>
        <w:jc w:val="center"/>
        <w:rPr>
          <w:rFonts w:ascii="Calibri" w:eastAsia="Times New Roman" w:hAnsi="Calibri" w:cs="Calibri"/>
          <w:b/>
          <w:szCs w:val="24"/>
          <w:lang w:val="en-GB"/>
        </w:rPr>
      </w:pPr>
      <w:r w:rsidRPr="003611CF">
        <w:rPr>
          <w:rFonts w:ascii="Calibri" w:eastAsia="Times New Roman" w:hAnsi="Calibri" w:cs="Calibri"/>
          <w:b/>
          <w:szCs w:val="24"/>
          <w:lang w:val="en-GB"/>
        </w:rPr>
        <w:t>SEKTOR ZA LJUDSKE RESURSE</w:t>
      </w:r>
    </w:p>
    <w:p w:rsidR="003611CF" w:rsidRPr="003611CF" w:rsidRDefault="003611CF" w:rsidP="003611CF">
      <w:pPr>
        <w:spacing w:before="0" w:after="0" w:line="240" w:lineRule="auto"/>
        <w:rPr>
          <w:rFonts w:ascii="Calibri" w:eastAsia="Times New Roman" w:hAnsi="Calibri" w:cs="Calibri"/>
          <w:szCs w:val="24"/>
          <w:lang w:val="en-GB" w:eastAsia="hr-HR"/>
        </w:rPr>
      </w:pPr>
      <w:r w:rsidRPr="003611CF">
        <w:rPr>
          <w:rFonts w:ascii="Calibri" w:eastAsia="Times New Roman" w:hAnsi="Calibri" w:cs="Calibri"/>
          <w:color w:val="000000"/>
          <w:szCs w:val="24"/>
          <w:lang w:val="en-GB"/>
        </w:rPr>
        <w:tab/>
        <w:t xml:space="preserve">Izrada Strategije razvoja ljudskih resursa Poreske uprave </w:t>
      </w:r>
      <w:r w:rsidRPr="003611CF">
        <w:rPr>
          <w:rFonts w:ascii="Calibri" w:eastAsia="Times New Roman" w:hAnsi="Calibri" w:cs="Calibri"/>
          <w:szCs w:val="24"/>
          <w:lang w:val="en-GB" w:eastAsia="hr-HR"/>
        </w:rPr>
        <w:t>Urađen je nacrt Strategije upravljanja ljudskim resursima Poreske uprave kao i akcioni planovi, isti će biti usvojeni u I kvartalu 2021. godine, čija će realizacija početi u II kvartalu 2021. godine.</w:t>
      </w:r>
    </w:p>
    <w:p w:rsidR="003611CF" w:rsidRPr="003611CF" w:rsidRDefault="003611CF" w:rsidP="003611CF">
      <w:pPr>
        <w:spacing w:before="0" w:after="0" w:line="240" w:lineRule="auto"/>
        <w:rPr>
          <w:rFonts w:ascii="Calibri" w:eastAsia="Times New Roman" w:hAnsi="Calibri" w:cs="Calibri"/>
          <w:color w:val="000000"/>
          <w:szCs w:val="24"/>
          <w:lang w:val="en-GB" w:eastAsia="hr-HR"/>
        </w:rPr>
      </w:pPr>
      <w:r w:rsidRPr="003611CF">
        <w:rPr>
          <w:rFonts w:ascii="Calibri" w:eastAsia="Times New Roman" w:hAnsi="Calibri" w:cs="Calibri"/>
          <w:color w:val="000000"/>
          <w:szCs w:val="24"/>
          <w:lang w:val="en-GB"/>
        </w:rPr>
        <w:tab/>
        <w:t xml:space="preserve">Izrada Kadrovskog plana - </w:t>
      </w:r>
      <w:r w:rsidRPr="003611CF">
        <w:rPr>
          <w:rFonts w:ascii="Calibri" w:eastAsia="Times New Roman" w:hAnsi="Calibri" w:cs="Calibri"/>
          <w:color w:val="000000"/>
          <w:szCs w:val="24"/>
          <w:lang w:val="en-GB" w:eastAsia="hr-HR"/>
        </w:rPr>
        <w:t xml:space="preserve">Poreska uprava je početkom 2020. godine, dostavila Upravi za kadrove i Ministarstvu finansija Kadrovski plan za 2020. godinu, sa projekcijom za naredne dvije godine. Vlada Crne Gore je, na sjedinici održanoj 13. februara 2020. godine, donijela                               Kadrovski plan organa državne uprave, Generalnog sekretarijata Vlade Crne Gore i Kabineta Predsjednika Vlade Crne Gore za 2020. godinu.  </w:t>
      </w:r>
    </w:p>
    <w:p w:rsidR="003611CF" w:rsidRPr="003611CF" w:rsidRDefault="003611CF" w:rsidP="003611CF">
      <w:pPr>
        <w:spacing w:before="0" w:after="0" w:line="240" w:lineRule="auto"/>
        <w:rPr>
          <w:rFonts w:ascii="Calibri" w:eastAsia="Times New Roman" w:hAnsi="Calibri" w:cs="Calibri"/>
          <w:color w:val="000000"/>
          <w:szCs w:val="24"/>
          <w:lang w:val="en-GB" w:eastAsia="hr-HR"/>
        </w:rPr>
      </w:pPr>
      <w:r w:rsidRPr="003611CF">
        <w:rPr>
          <w:rFonts w:ascii="Calibri" w:eastAsia="Times New Roman" w:hAnsi="Calibri" w:cs="Calibri"/>
          <w:color w:val="000000"/>
          <w:szCs w:val="24"/>
          <w:lang w:val="en-GB"/>
        </w:rPr>
        <w:tab/>
        <w:t xml:space="preserve">Analiza popunjenosti radnih mjesta i usklađivanje potreba za prijemom novih lica u radni odnos u skladu s raspoloživim finansijskim sredstvima - </w:t>
      </w:r>
      <w:r w:rsidRPr="003611CF">
        <w:rPr>
          <w:rFonts w:ascii="Calibri" w:eastAsia="Times New Roman" w:hAnsi="Calibri" w:cs="Calibri"/>
          <w:color w:val="000000"/>
          <w:szCs w:val="24"/>
          <w:lang w:val="en-GB" w:eastAsia="hr-HR"/>
        </w:rPr>
        <w:t>Nakon donošenja Kadrovskog plana za 2020. godinu, i nakon sprovedene analize popunjenosti radnih mjesta i potreba za novim zapošljavanjem, Ministarstvu finansija poslat Zahtjev za davanje saglasnosti za pokretanje postupka popune određenog broja radnih mjesta u skladu sa raspoloživim finansijskim sredstvima.</w:t>
      </w:r>
    </w:p>
    <w:p w:rsidR="003611CF" w:rsidRPr="003611CF" w:rsidRDefault="003611CF" w:rsidP="003611CF">
      <w:pPr>
        <w:spacing w:before="0" w:after="0" w:line="240" w:lineRule="auto"/>
        <w:rPr>
          <w:rFonts w:ascii="Calibri" w:eastAsia="Times New Roman" w:hAnsi="Calibri" w:cs="Calibri"/>
          <w:color w:val="000000"/>
          <w:szCs w:val="24"/>
          <w:lang w:val="en-GB" w:eastAsia="hr-HR"/>
        </w:rPr>
      </w:pPr>
      <w:r w:rsidRPr="003611CF">
        <w:rPr>
          <w:rFonts w:ascii="Calibri" w:eastAsia="Times New Roman" w:hAnsi="Calibri" w:cs="Calibri"/>
          <w:color w:val="000000"/>
          <w:szCs w:val="24"/>
          <w:lang w:val="en-GB"/>
        </w:rPr>
        <w:tab/>
        <w:t xml:space="preserve">Analiza odliva kadrova - Za dvanaest mjeseci 2020. godine </w:t>
      </w:r>
      <w:r w:rsidRPr="003611CF">
        <w:rPr>
          <w:rFonts w:ascii="Calibri" w:eastAsia="Times New Roman" w:hAnsi="Calibri" w:cs="Calibri"/>
          <w:color w:val="000000"/>
          <w:szCs w:val="24"/>
          <w:lang w:val="en-GB" w:eastAsia="hr-HR"/>
        </w:rPr>
        <w:t>u Poreskoj upravi prestao radni odnos po različitim osnovama za 33 zaposlenih koji su bili u radnom odnosu na neodređeno i određeno vrijeme (otkaz - 6 službenika, ispunjenje uslova za starosnu penziju - 4 službenika, odlazak u penziju po sili zakona - 9 službenika, usled smrti - 6 službenika, sporazumni prestanak radnog odnosa 1, prestanak radnog odnosa na određeno vrijeme - 6 pripravnika i 1 zaposleni)</w:t>
      </w:r>
    </w:p>
    <w:p w:rsidR="003611CF" w:rsidRPr="003611CF" w:rsidRDefault="003611CF" w:rsidP="003611CF">
      <w:pPr>
        <w:spacing w:before="0" w:after="0" w:line="240" w:lineRule="auto"/>
        <w:rPr>
          <w:rFonts w:ascii="Calibri" w:eastAsia="Times New Roman" w:hAnsi="Calibri" w:cs="Calibri"/>
          <w:color w:val="000000"/>
          <w:szCs w:val="24"/>
          <w:lang w:val="en-GB" w:eastAsia="hr-HR"/>
        </w:rPr>
      </w:pPr>
      <w:r w:rsidRPr="003611CF">
        <w:rPr>
          <w:rFonts w:ascii="Calibri" w:eastAsia="Times New Roman" w:hAnsi="Calibri" w:cs="Calibri"/>
          <w:color w:val="000000"/>
          <w:szCs w:val="24"/>
          <w:lang w:val="en-GB"/>
        </w:rPr>
        <w:tab/>
        <w:t>Analiza starosne strukture zaposlenih i analiza odsustva sa posla zaposlenih - Kontinuirana aktivnost.</w:t>
      </w:r>
    </w:p>
    <w:p w:rsidR="003611CF" w:rsidRPr="003611CF" w:rsidRDefault="003611CF" w:rsidP="003611CF">
      <w:pPr>
        <w:spacing w:before="0" w:after="0" w:line="240" w:lineRule="auto"/>
        <w:rPr>
          <w:rFonts w:ascii="Calibri" w:eastAsia="Times New Roman" w:hAnsi="Calibri" w:cs="Calibri"/>
          <w:szCs w:val="24"/>
          <w:lang w:val="en-GB" w:eastAsia="hr-HR"/>
        </w:rPr>
      </w:pPr>
      <w:r w:rsidRPr="003611CF">
        <w:rPr>
          <w:rFonts w:ascii="Calibri" w:eastAsia="Times New Roman" w:hAnsi="Calibri" w:cs="Calibri"/>
          <w:color w:val="000000"/>
          <w:szCs w:val="24"/>
          <w:lang w:val="en-GB"/>
        </w:rPr>
        <w:tab/>
        <w:t xml:space="preserve">Praćenje ralizacije postupka zapošljavanja za popunu radnih mjesta na osnovu internih i javnih oglasa u skladu sa Kadrovskim planom - Krajem 2019. i tokom dvanaest mjeseci 2020. godine </w:t>
      </w:r>
      <w:r w:rsidRPr="003611CF">
        <w:rPr>
          <w:rFonts w:ascii="Calibri" w:eastAsia="Times New Roman" w:hAnsi="Calibri" w:cs="Calibri"/>
          <w:szCs w:val="24"/>
          <w:lang w:val="en-GB" w:eastAsia="hr-HR"/>
        </w:rPr>
        <w:t>i nakon donošenja Kadrovskog plana i sprovedene analize popunjenosti radnih mjesta i potreba za novim zapošljavanjem, pokrenut je postupak za popunu 121 radnog mjesta, i to na osnovu internih oglasa za 30 radnih mjesta, a na osnovu javnih oglasa za 91 radno mjesto, od čega za 30 pripravnika.</w:t>
      </w:r>
    </w:p>
    <w:p w:rsidR="003611CF" w:rsidRPr="003611CF" w:rsidRDefault="003611CF" w:rsidP="003611CF">
      <w:pPr>
        <w:spacing w:before="0" w:after="0" w:line="240" w:lineRule="auto"/>
        <w:rPr>
          <w:rFonts w:ascii="Calibri" w:eastAsia="Times New Roman" w:hAnsi="Calibri" w:cs="Calibri"/>
          <w:color w:val="000000"/>
          <w:szCs w:val="24"/>
          <w:lang w:val="en-GB"/>
        </w:rPr>
      </w:pPr>
      <w:r w:rsidRPr="003611CF">
        <w:rPr>
          <w:rFonts w:ascii="Calibri" w:eastAsia="Times New Roman" w:hAnsi="Calibri" w:cs="Calibri"/>
          <w:color w:val="000000"/>
          <w:szCs w:val="24"/>
          <w:lang w:val="en-GB"/>
        </w:rPr>
        <w:tab/>
        <w:t xml:space="preserve">Tokom dvanaest mjeseci 2020. godine, kontinuirano su sprovođene obuke u zemlji, inostranstvu, kao i njihova realizacija – Tokom izvještajnog perioda preko </w:t>
      </w:r>
      <w:r w:rsidRPr="003611CF">
        <w:rPr>
          <w:rFonts w:ascii="Calibri" w:eastAsia="Times New Roman" w:hAnsi="Calibri" w:cs="Calibri"/>
          <w:color w:val="000000"/>
          <w:szCs w:val="24"/>
          <w:lang w:val="en-GB" w:eastAsia="hr-HR"/>
        </w:rPr>
        <w:t>programa Fiscalis jedan službenik pohađao obuku, preko programa CEF dva službenika</w:t>
      </w:r>
      <w:r w:rsidRPr="003611CF">
        <w:rPr>
          <w:rFonts w:ascii="Calibri" w:eastAsia="Times New Roman" w:hAnsi="Calibri" w:cs="Calibri"/>
          <w:szCs w:val="24"/>
          <w:lang w:val="en-GB" w:eastAsia="hr-HR"/>
        </w:rPr>
        <w:t>, kroz projekat „Reforma poreske administracije“ organizovane su tri studijske posjete (Finska - 10 službenika, Hrvatska - 6 službenika i Španija - 3 službenika).</w:t>
      </w:r>
      <w:r w:rsidRPr="003611CF">
        <w:rPr>
          <w:rFonts w:ascii="Calibri" w:eastAsia="Times New Roman" w:hAnsi="Calibri" w:cs="Calibri"/>
          <w:color w:val="000000"/>
          <w:szCs w:val="24"/>
          <w:lang w:val="en-GB"/>
        </w:rPr>
        <w:t xml:space="preserve"> </w:t>
      </w:r>
    </w:p>
    <w:p w:rsidR="003611CF" w:rsidRPr="003611CF" w:rsidRDefault="003611CF" w:rsidP="003611CF">
      <w:pPr>
        <w:spacing w:before="0" w:after="0" w:line="240" w:lineRule="auto"/>
        <w:rPr>
          <w:rFonts w:ascii="Calibri" w:eastAsia="Times New Roman" w:hAnsi="Calibri" w:cs="Calibri"/>
          <w:color w:val="000000"/>
          <w:szCs w:val="24"/>
          <w:lang w:val="en-GB" w:eastAsia="hr-HR"/>
        </w:rPr>
      </w:pPr>
      <w:r w:rsidRPr="003611CF">
        <w:rPr>
          <w:rFonts w:ascii="Calibri" w:eastAsia="Times New Roman" w:hAnsi="Calibri" w:cs="Calibri"/>
          <w:color w:val="000000"/>
          <w:szCs w:val="24"/>
          <w:lang w:val="en-GB" w:eastAsia="hr-HR"/>
        </w:rPr>
        <w:tab/>
        <w:t>U Upravi za kadrove shodno Planu stručnog usavršavanja su održane četiri obuke za 10 službenika.</w:t>
      </w:r>
    </w:p>
    <w:p w:rsidR="003611CF" w:rsidRPr="003611CF" w:rsidRDefault="003611CF" w:rsidP="003611CF">
      <w:pPr>
        <w:spacing w:before="0" w:after="0" w:line="240" w:lineRule="auto"/>
        <w:rPr>
          <w:rFonts w:ascii="Calibri" w:eastAsia="Times New Roman" w:hAnsi="Calibri" w:cs="Calibri"/>
          <w:color w:val="000000"/>
          <w:szCs w:val="24"/>
          <w:lang w:val="en-GB" w:eastAsia="hr-HR"/>
        </w:rPr>
      </w:pPr>
      <w:r w:rsidRPr="003611CF">
        <w:rPr>
          <w:rFonts w:ascii="Calibri" w:eastAsia="Times New Roman" w:hAnsi="Calibri" w:cs="Calibri"/>
          <w:color w:val="000000"/>
          <w:szCs w:val="24"/>
          <w:lang w:val="en-GB" w:eastAsia="hr-HR"/>
        </w:rPr>
        <w:tab/>
        <w:t>U saradnji sa Privrednom komorom Crne Gore organizovano je 5 (pet) obuka i na njima je učestvovalo 25 (dvadeset i pet) službenika Poreske uprave Crne Gore.</w:t>
      </w:r>
    </w:p>
    <w:p w:rsidR="003611CF" w:rsidRPr="003611CF" w:rsidRDefault="003611CF" w:rsidP="003611CF">
      <w:pPr>
        <w:spacing w:before="0" w:after="0" w:line="240" w:lineRule="auto"/>
        <w:rPr>
          <w:rFonts w:ascii="Calibri" w:eastAsia="Times New Roman" w:hAnsi="Calibri" w:cs="Calibri"/>
          <w:color w:val="000000"/>
          <w:szCs w:val="24"/>
          <w:lang w:val="en-GB" w:eastAsia="hr-HR"/>
        </w:rPr>
      </w:pPr>
      <w:r w:rsidRPr="003611CF">
        <w:rPr>
          <w:rFonts w:ascii="Calibri" w:eastAsia="Times New Roman" w:hAnsi="Calibri" w:cs="Calibri"/>
          <w:color w:val="000000"/>
          <w:szCs w:val="24"/>
          <w:lang w:val="en-GB" w:eastAsia="hr-HR"/>
        </w:rPr>
        <w:tab/>
        <w:t>U samoj Centrali Poreske uprave organizovano je 6 (šest) obuka za 21 poreskog inspektora.</w:t>
      </w:r>
    </w:p>
    <w:p w:rsidR="003611CF" w:rsidRPr="003611CF" w:rsidRDefault="003611CF" w:rsidP="003611CF">
      <w:pPr>
        <w:spacing w:before="0" w:after="0" w:line="240" w:lineRule="auto"/>
        <w:rPr>
          <w:rFonts w:ascii="Calibri" w:eastAsia="Times New Roman" w:hAnsi="Calibri" w:cs="Calibri"/>
          <w:color w:val="000000"/>
          <w:szCs w:val="24"/>
          <w:lang w:val="en-GB" w:eastAsia="hr-HR"/>
        </w:rPr>
      </w:pPr>
      <w:r w:rsidRPr="003611CF">
        <w:rPr>
          <w:rFonts w:ascii="Calibri" w:eastAsia="Times New Roman" w:hAnsi="Calibri" w:cs="Calibri"/>
          <w:color w:val="000000"/>
          <w:szCs w:val="24"/>
          <w:lang w:val="en-GB" w:eastAsia="hr-HR"/>
        </w:rPr>
        <w:lastRenderedPageBreak/>
        <w:tab/>
        <w:t xml:space="preserve">Četiri službenika Poreske uprave su bili učesnici programa obuke „Forenzički računovođa“, u organizaciji Instituta sertifikovanih računovođa Crne Gore, dok su četiri službenika biliučesnici naprednog kursa računovodstva. </w:t>
      </w:r>
    </w:p>
    <w:p w:rsidR="003611CF" w:rsidRPr="003611CF" w:rsidRDefault="003611CF" w:rsidP="003611CF">
      <w:pPr>
        <w:spacing w:before="0" w:after="0" w:line="240" w:lineRule="auto"/>
        <w:rPr>
          <w:rFonts w:ascii="Calibri" w:eastAsia="Times New Roman" w:hAnsi="Calibri" w:cs="Calibri"/>
          <w:szCs w:val="24"/>
          <w:lang w:val="en-GB"/>
        </w:rPr>
      </w:pPr>
    </w:p>
    <w:p w:rsidR="003611CF" w:rsidRPr="003611CF" w:rsidRDefault="003611CF" w:rsidP="003611CF">
      <w:pPr>
        <w:spacing w:before="0" w:after="0" w:line="240" w:lineRule="auto"/>
        <w:ind w:firstLine="708"/>
        <w:jc w:val="center"/>
        <w:rPr>
          <w:rFonts w:ascii="Calibri" w:eastAsia="Times New Roman" w:hAnsi="Calibri" w:cs="Calibri"/>
          <w:b/>
          <w:szCs w:val="24"/>
          <w:lang w:val="hr-HR"/>
        </w:rPr>
      </w:pPr>
      <w:r w:rsidRPr="003611CF">
        <w:rPr>
          <w:rFonts w:ascii="Calibri" w:eastAsia="Times New Roman" w:hAnsi="Calibri" w:cs="Calibri"/>
          <w:b/>
          <w:szCs w:val="24"/>
          <w:lang w:val="hr-HR"/>
        </w:rPr>
        <w:t>SEKTOR ZA OPERATIVU U OBLASTI NAPLATE</w:t>
      </w:r>
    </w:p>
    <w:p w:rsidR="003611CF" w:rsidRPr="003611CF" w:rsidRDefault="003611CF" w:rsidP="003611CF">
      <w:pPr>
        <w:spacing w:before="240" w:after="0" w:line="240" w:lineRule="auto"/>
        <w:ind w:firstLine="708"/>
        <w:rPr>
          <w:rFonts w:ascii="Calibri" w:eastAsia="Times New Roman" w:hAnsi="Calibri" w:cs="Calibri"/>
          <w:bCs/>
          <w:iCs/>
          <w:szCs w:val="24"/>
          <w:lang w:val="en-GB"/>
        </w:rPr>
      </w:pPr>
      <w:r w:rsidRPr="003611CF">
        <w:rPr>
          <w:rFonts w:ascii="Calibri" w:eastAsia="Times New Roman" w:hAnsi="Calibri" w:cs="Calibri"/>
          <w:bCs/>
          <w:iCs/>
          <w:szCs w:val="24"/>
          <w:lang w:val="en-GB"/>
        </w:rPr>
        <w:t xml:space="preserve">Izvještaj o radu Sektora za operativu u oblasti naplate za 2020.godinu sačinjen je na osnovu podataka o planiranim i ostvarenim aktivnostima odsjeka koji pripadaju ovom Sektoru i </w:t>
      </w:r>
      <w:r w:rsidRPr="003611CF">
        <w:rPr>
          <w:rFonts w:ascii="Calibri" w:eastAsia="Times New Roman" w:hAnsi="Calibri" w:cs="Calibri"/>
          <w:bCs/>
          <w:szCs w:val="24"/>
          <w:lang w:val="en-GB"/>
        </w:rPr>
        <w:t xml:space="preserve">Filijalama za utvrđivanje i naplatu poreskih obaveza </w:t>
      </w:r>
      <w:r w:rsidRPr="003611CF">
        <w:rPr>
          <w:rFonts w:ascii="Calibri" w:eastAsia="Times New Roman" w:hAnsi="Calibri" w:cs="Calibri"/>
          <w:bCs/>
          <w:iCs/>
          <w:szCs w:val="24"/>
          <w:lang w:val="en-GB"/>
        </w:rPr>
        <w:t>- područnih jedinica Poreske uprave.</w:t>
      </w:r>
    </w:p>
    <w:p w:rsidR="003611CF" w:rsidRPr="003611CF" w:rsidRDefault="003611CF" w:rsidP="00BC2293">
      <w:pPr>
        <w:spacing w:before="0" w:after="0" w:line="240" w:lineRule="auto"/>
        <w:rPr>
          <w:rFonts w:ascii="Calibri" w:eastAsia="Times New Roman" w:hAnsi="Calibri" w:cs="Calibri"/>
          <w:bCs/>
          <w:iCs/>
          <w:szCs w:val="24"/>
          <w:lang w:val="en-GB"/>
        </w:rPr>
      </w:pPr>
    </w:p>
    <w:p w:rsidR="003611CF" w:rsidRPr="003611CF" w:rsidRDefault="003611CF" w:rsidP="00BC2293">
      <w:pPr>
        <w:spacing w:before="0" w:line="240" w:lineRule="auto"/>
        <w:rPr>
          <w:rFonts w:ascii="Calibri" w:eastAsia="Times New Roman" w:hAnsi="Calibri" w:cs="Calibri"/>
          <w:b/>
          <w:bCs/>
          <w:iCs/>
          <w:szCs w:val="24"/>
          <w:lang w:val="en-GB"/>
        </w:rPr>
      </w:pPr>
      <w:r w:rsidRPr="003611CF">
        <w:rPr>
          <w:rFonts w:ascii="Calibri" w:eastAsia="Times New Roman" w:hAnsi="Calibri" w:cs="Calibri"/>
          <w:b/>
          <w:iCs/>
          <w:szCs w:val="24"/>
          <w:lang w:val="en-GB"/>
        </w:rPr>
        <w:t>ODSJEK ZA UTVRĐIVANJE I NAPLATU PORESKIH OBAVEZA</w:t>
      </w:r>
    </w:p>
    <w:p w:rsidR="003611CF" w:rsidRPr="003611CF" w:rsidRDefault="003611CF" w:rsidP="00BC2293">
      <w:pPr>
        <w:spacing w:before="0" w:after="0" w:line="240" w:lineRule="auto"/>
        <w:rPr>
          <w:rFonts w:ascii="Calibri" w:eastAsia="Times New Roman" w:hAnsi="Calibri" w:cs="Calibri"/>
          <w:b/>
          <w:szCs w:val="24"/>
          <w:lang w:val="en-GB"/>
        </w:rPr>
      </w:pPr>
      <w:r w:rsidRPr="003611CF">
        <w:rPr>
          <w:rFonts w:ascii="Calibri" w:eastAsia="Times New Roman" w:hAnsi="Calibri" w:cs="Calibri"/>
          <w:iCs/>
          <w:szCs w:val="24"/>
          <w:lang w:val="en-GB"/>
        </w:rPr>
        <w:tab/>
        <w:t>Poslovi službenika Odsjeka za utvrđivanje i naplatu poreskih obaveza u izvještajnom periodu, odnosili su se na:   </w:t>
      </w:r>
      <w:r w:rsidRPr="003611CF">
        <w:rPr>
          <w:rFonts w:ascii="Calibri" w:eastAsia="Times New Roman" w:hAnsi="Calibri" w:cs="Calibri"/>
          <w:szCs w:val="24"/>
          <w:lang w:val="en-GB"/>
        </w:rPr>
        <w:t>naplatu evidentiranih poreskih obaveza; radne posjete područnim jedinicama - Filijalama za utvrđivanje i naplatu poreskih obaveza o čemu su sačinjavani izvještaji i dostavljeni nadležnim; pružanje uputstava i smjernica područnim jedinicama za naplatu tekućih poreskih obaveza i poreskog duga; izradu  obrazaca zahtjeva, rješenja za reprogram poreskog potraživanja i odloženo plaćanje dospjelih a neizmirenih poreskih obaveza i obavještenja; aktivnosti telefonskog obavještavanja o stanju duga i nepodnešenim poreskim prijavama; sačinjavanje i dostavljanje odgovora pisanim i putem e-maila poreskim obveznicima i područnim jedinicama; sačinavanje naloga i instrukcija područnim jedinicama u dijelu pojašnjenja poreskih propisa, utvrđivanja zastare poreskih potraživanja i reprograma poreskog potraživanja; praćenje učinaka sprovodjenja naplate u područnim jedinicama.</w:t>
      </w:r>
    </w:p>
    <w:p w:rsidR="003611CF" w:rsidRPr="003611CF" w:rsidRDefault="003611CF" w:rsidP="003611CF">
      <w:pPr>
        <w:spacing w:before="0" w:after="0" w:line="240" w:lineRule="auto"/>
        <w:ind w:firstLine="720"/>
        <w:rPr>
          <w:rFonts w:ascii="Calibri" w:eastAsia="Times New Roman" w:hAnsi="Calibri" w:cs="Calibri"/>
          <w:szCs w:val="24"/>
          <w:lang w:val="en-GB"/>
        </w:rPr>
      </w:pPr>
      <w:r w:rsidRPr="003611CF">
        <w:rPr>
          <w:rFonts w:ascii="Calibri" w:eastAsia="Times New Roman" w:hAnsi="Calibri" w:cs="Calibri"/>
          <w:szCs w:val="24"/>
          <w:lang w:val="en-GB"/>
        </w:rPr>
        <w:t xml:space="preserve">U skladu sa Planom rada Poreske uprave i Sektora za operativu u oblasti naplate u Odsjeku za utvrđivanje i naplatu poreskih obaveza sačinjavaju se </w:t>
      </w:r>
      <w:r w:rsidRPr="003611CF">
        <w:rPr>
          <w:rFonts w:ascii="Calibri" w:eastAsia="Times New Roman" w:hAnsi="Calibri" w:cs="Calibri"/>
          <w:bCs/>
          <w:iCs/>
          <w:szCs w:val="24"/>
          <w:lang w:val="en-GB"/>
        </w:rPr>
        <w:t xml:space="preserve">na osnovu podataka područnih jedinica i uvida u analitičke račune poreskih obveznika </w:t>
      </w:r>
      <w:r w:rsidRPr="003611CF">
        <w:rPr>
          <w:rFonts w:ascii="Calibri" w:eastAsia="Times New Roman" w:hAnsi="Calibri" w:cs="Calibri"/>
          <w:szCs w:val="24"/>
          <w:lang w:val="en-GB"/>
        </w:rPr>
        <w:t>izvještaji: o preduzetim mjerama naplate; koncesionim naknadama; podnijetim zahtjevima za povraćaj PDV-a i donijetim rješenjima;  povraćaju više plaćenih doprinosa za obavezno socijalno osiguranje; o reprogramu opština i njihovih javnih preduzeća i javnih ustanova (Ugovor o reprogramu poreskih potraživanja), o naplaćenim iznosima od blokada žiro računa za prethodni mjesec, stanje poreskog duga i nepodnesene prijave u postupku dobrovoljne likvidacije i dr.</w:t>
      </w:r>
    </w:p>
    <w:p w:rsidR="003611CF" w:rsidRPr="003611CF" w:rsidRDefault="003611CF" w:rsidP="003611CF">
      <w:pPr>
        <w:spacing w:before="0" w:after="0" w:line="240" w:lineRule="auto"/>
        <w:rPr>
          <w:rFonts w:ascii="Calibri" w:eastAsia="Times New Roman" w:hAnsi="Calibri" w:cs="Calibri"/>
          <w:szCs w:val="24"/>
          <w:lang w:val="en-GB"/>
        </w:rPr>
      </w:pP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Na osnovu Izvještaja područnih jedinica o mjerama prinudne naplate sačinjeni su tabelarni pregledi:</w:t>
      </w:r>
    </w:p>
    <w:p w:rsidR="003611CF" w:rsidRPr="003611CF" w:rsidRDefault="003611CF" w:rsidP="003611CF">
      <w:pPr>
        <w:spacing w:before="0" w:after="0" w:line="240" w:lineRule="auto"/>
        <w:rPr>
          <w:rFonts w:ascii="Calibri" w:eastAsia="Times New Roman" w:hAnsi="Calibri" w:cs="Calibri"/>
          <w:szCs w:val="24"/>
          <w:lang w:val="en-GB"/>
        </w:rPr>
      </w:pPr>
    </w:p>
    <w:p w:rsidR="003611CF" w:rsidRPr="003611CF" w:rsidRDefault="003611CF" w:rsidP="004D6CB4">
      <w:pPr>
        <w:numPr>
          <w:ilvl w:val="0"/>
          <w:numId w:val="112"/>
        </w:numPr>
        <w:spacing w:before="0" w:after="0" w:line="240" w:lineRule="auto"/>
        <w:ind w:left="426" w:hanging="77"/>
        <w:jc w:val="left"/>
        <w:rPr>
          <w:rFonts w:ascii="Calibri" w:eastAsia="Times New Roman" w:hAnsi="Calibri" w:cs="Calibri"/>
          <w:szCs w:val="24"/>
          <w:lang w:val="en-GB"/>
        </w:rPr>
      </w:pPr>
      <w:r w:rsidRPr="003611CF">
        <w:rPr>
          <w:rFonts w:ascii="Calibri" w:eastAsia="Times New Roman" w:hAnsi="Calibri" w:cs="Calibri"/>
          <w:szCs w:val="24"/>
          <w:lang w:val="en-GB"/>
        </w:rPr>
        <w:t>Pregled Rješenja o prinudnoj naplati - blokada žiro računa po područnim jedinicama /uporedni pregled 2019-2020/</w:t>
      </w:r>
    </w:p>
    <w:tbl>
      <w:tblPr>
        <w:tblW w:w="0" w:type="auto"/>
        <w:jc w:val="center"/>
        <w:tblLook w:val="04A0" w:firstRow="1" w:lastRow="0" w:firstColumn="1" w:lastColumn="0" w:noHBand="0" w:noVBand="1"/>
      </w:tblPr>
      <w:tblGrid>
        <w:gridCol w:w="1809"/>
        <w:gridCol w:w="1763"/>
        <w:gridCol w:w="1858"/>
        <w:gridCol w:w="1858"/>
        <w:gridCol w:w="1858"/>
      </w:tblGrid>
      <w:tr w:rsidR="003611CF" w:rsidRPr="003611CF" w:rsidTr="003611CF">
        <w:trPr>
          <w:jc w:val="center"/>
        </w:trPr>
        <w:tc>
          <w:tcPr>
            <w:tcW w:w="1809" w:type="dxa"/>
            <w:vMerge w:val="restart"/>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Calibri" w:hAnsi="Arial" w:cs="Arial"/>
                <w:bCs/>
                <w:color w:val="FFFFFF"/>
                <w:sz w:val="20"/>
                <w:szCs w:val="20"/>
                <w:lang w:val="en-GB" w:eastAsia="en-GB"/>
              </w:rPr>
            </w:pPr>
            <w:r w:rsidRPr="003611CF">
              <w:rPr>
                <w:rFonts w:ascii="Arial" w:eastAsia="Calibri" w:hAnsi="Arial" w:cs="Arial"/>
                <w:bCs/>
                <w:color w:val="FFFFFF"/>
                <w:sz w:val="20"/>
                <w:szCs w:val="20"/>
                <w:lang w:val="en-GB" w:eastAsia="en-GB"/>
              </w:rPr>
              <w:t>Područna jedinica</w:t>
            </w:r>
          </w:p>
        </w:tc>
        <w:tc>
          <w:tcPr>
            <w:tcW w:w="3621" w:type="dxa"/>
            <w:gridSpan w:val="2"/>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Calibri" w:hAnsi="Arial" w:cs="Arial"/>
                <w:bCs/>
                <w:color w:val="FFFFFF"/>
                <w:sz w:val="20"/>
                <w:szCs w:val="20"/>
                <w:lang w:val="en-GB" w:eastAsia="en-GB"/>
              </w:rPr>
            </w:pPr>
            <w:r w:rsidRPr="003611CF">
              <w:rPr>
                <w:rFonts w:ascii="Arial" w:eastAsia="Calibri" w:hAnsi="Arial" w:cs="Arial"/>
                <w:bCs/>
                <w:color w:val="FFFFFF"/>
                <w:sz w:val="20"/>
                <w:szCs w:val="20"/>
                <w:lang w:val="en-GB" w:eastAsia="en-GB"/>
              </w:rPr>
              <w:t>2019. godina /januar-decembar/</w:t>
            </w:r>
          </w:p>
        </w:tc>
        <w:tc>
          <w:tcPr>
            <w:tcW w:w="3716" w:type="dxa"/>
            <w:gridSpan w:val="2"/>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Calibri" w:hAnsi="Arial" w:cs="Arial"/>
                <w:bCs/>
                <w:color w:val="FFFFFF"/>
                <w:sz w:val="20"/>
                <w:szCs w:val="20"/>
                <w:lang w:val="en-GB" w:eastAsia="en-GB"/>
              </w:rPr>
            </w:pPr>
            <w:r w:rsidRPr="003611CF">
              <w:rPr>
                <w:rFonts w:ascii="Arial" w:eastAsia="Calibri" w:hAnsi="Arial" w:cs="Arial"/>
                <w:bCs/>
                <w:color w:val="FFFFFF"/>
                <w:sz w:val="20"/>
                <w:szCs w:val="20"/>
                <w:lang w:val="en-GB" w:eastAsia="en-GB"/>
              </w:rPr>
              <w:t>2020. godina /januar- decembar/</w:t>
            </w:r>
          </w:p>
        </w:tc>
      </w:tr>
      <w:tr w:rsidR="003611CF" w:rsidRPr="003611CF" w:rsidTr="003611CF">
        <w:trPr>
          <w:trHeight w:val="50"/>
          <w:jc w:val="center"/>
        </w:trPr>
        <w:tc>
          <w:tcPr>
            <w:tcW w:w="1809" w:type="dxa"/>
            <w:vMerge/>
            <w:shd w:val="clear" w:color="auto" w:fill="FDE9D9"/>
          </w:tcPr>
          <w:p w:rsidR="003611CF" w:rsidRPr="003611CF" w:rsidRDefault="003611CF" w:rsidP="003611CF">
            <w:pPr>
              <w:spacing w:before="0" w:after="0" w:line="240" w:lineRule="auto"/>
              <w:jc w:val="center"/>
              <w:rPr>
                <w:rFonts w:ascii="Arial" w:eastAsia="Calibri" w:hAnsi="Arial" w:cs="Arial"/>
                <w:b/>
                <w:bCs/>
                <w:color w:val="000000"/>
                <w:sz w:val="20"/>
                <w:szCs w:val="20"/>
                <w:lang w:val="en-GB" w:eastAsia="en-GB"/>
              </w:rPr>
            </w:pPr>
          </w:p>
        </w:tc>
        <w:tc>
          <w:tcPr>
            <w:tcW w:w="1763" w:type="dxa"/>
            <w:shd w:val="clear" w:color="auto" w:fill="FDE9D9"/>
          </w:tcPr>
          <w:p w:rsidR="003611CF" w:rsidRPr="003611CF" w:rsidRDefault="003611CF" w:rsidP="003611CF">
            <w:pPr>
              <w:spacing w:before="0" w:after="0" w:line="240" w:lineRule="auto"/>
              <w:jc w:val="center"/>
              <w:rPr>
                <w:rFonts w:ascii="Arial" w:eastAsia="Calibri" w:hAnsi="Arial" w:cs="Arial"/>
                <w:b/>
                <w:color w:val="000000"/>
                <w:sz w:val="20"/>
                <w:szCs w:val="20"/>
                <w:lang w:val="en-GB" w:eastAsia="en-GB"/>
              </w:rPr>
            </w:pPr>
            <w:r w:rsidRPr="003611CF">
              <w:rPr>
                <w:rFonts w:ascii="Arial" w:eastAsia="Calibri" w:hAnsi="Arial" w:cs="Arial"/>
                <w:b/>
                <w:color w:val="000000"/>
                <w:sz w:val="20"/>
                <w:szCs w:val="20"/>
                <w:lang w:val="en-GB" w:eastAsia="en-GB"/>
              </w:rPr>
              <w:t>broj</w:t>
            </w:r>
          </w:p>
        </w:tc>
        <w:tc>
          <w:tcPr>
            <w:tcW w:w="1858" w:type="dxa"/>
            <w:shd w:val="clear" w:color="auto" w:fill="FDE9D9"/>
          </w:tcPr>
          <w:p w:rsidR="003611CF" w:rsidRPr="003611CF" w:rsidRDefault="003611CF" w:rsidP="003611CF">
            <w:pPr>
              <w:spacing w:before="0" w:after="0" w:line="240" w:lineRule="auto"/>
              <w:jc w:val="center"/>
              <w:rPr>
                <w:rFonts w:ascii="Arial" w:eastAsia="Calibri" w:hAnsi="Arial" w:cs="Arial"/>
                <w:b/>
                <w:color w:val="000000"/>
                <w:sz w:val="20"/>
                <w:szCs w:val="20"/>
                <w:lang w:val="en-GB" w:eastAsia="en-GB"/>
              </w:rPr>
            </w:pPr>
            <w:r w:rsidRPr="003611CF">
              <w:rPr>
                <w:rFonts w:ascii="Arial" w:eastAsia="Calibri" w:hAnsi="Arial" w:cs="Arial"/>
                <w:b/>
                <w:color w:val="000000"/>
                <w:sz w:val="20"/>
                <w:szCs w:val="20"/>
                <w:lang w:val="en-GB" w:eastAsia="en-GB"/>
              </w:rPr>
              <w:t>iznos</w:t>
            </w:r>
          </w:p>
        </w:tc>
        <w:tc>
          <w:tcPr>
            <w:tcW w:w="1858" w:type="dxa"/>
            <w:shd w:val="clear" w:color="auto" w:fill="FDE9D9"/>
          </w:tcPr>
          <w:p w:rsidR="003611CF" w:rsidRPr="003611CF" w:rsidRDefault="003611CF" w:rsidP="003611CF">
            <w:pPr>
              <w:spacing w:before="0" w:after="0" w:line="240" w:lineRule="auto"/>
              <w:jc w:val="center"/>
              <w:rPr>
                <w:rFonts w:ascii="Arial" w:eastAsia="Calibri" w:hAnsi="Arial" w:cs="Arial"/>
                <w:b/>
                <w:color w:val="000000"/>
                <w:sz w:val="20"/>
                <w:szCs w:val="20"/>
                <w:lang w:val="en-GB" w:eastAsia="en-GB"/>
              </w:rPr>
            </w:pPr>
            <w:r w:rsidRPr="003611CF">
              <w:rPr>
                <w:rFonts w:ascii="Arial" w:eastAsia="Calibri" w:hAnsi="Arial" w:cs="Arial"/>
                <w:b/>
                <w:color w:val="000000"/>
                <w:sz w:val="20"/>
                <w:szCs w:val="20"/>
                <w:lang w:val="en-GB" w:eastAsia="en-GB"/>
              </w:rPr>
              <w:t>broj</w:t>
            </w:r>
          </w:p>
        </w:tc>
        <w:tc>
          <w:tcPr>
            <w:tcW w:w="1858" w:type="dxa"/>
            <w:shd w:val="clear" w:color="auto" w:fill="FDE9D9"/>
          </w:tcPr>
          <w:p w:rsidR="003611CF" w:rsidRPr="003611CF" w:rsidRDefault="003611CF" w:rsidP="003611CF">
            <w:pPr>
              <w:spacing w:before="0" w:after="0" w:line="240" w:lineRule="auto"/>
              <w:jc w:val="center"/>
              <w:rPr>
                <w:rFonts w:ascii="Arial" w:eastAsia="Calibri" w:hAnsi="Arial" w:cs="Arial"/>
                <w:b/>
                <w:color w:val="000000"/>
                <w:sz w:val="20"/>
                <w:szCs w:val="20"/>
                <w:lang w:val="en-GB" w:eastAsia="en-GB"/>
              </w:rPr>
            </w:pPr>
            <w:r w:rsidRPr="003611CF">
              <w:rPr>
                <w:rFonts w:ascii="Arial" w:eastAsia="Calibri" w:hAnsi="Arial" w:cs="Arial"/>
                <w:b/>
                <w:color w:val="000000"/>
                <w:sz w:val="20"/>
                <w:szCs w:val="20"/>
                <w:lang w:val="en-GB" w:eastAsia="en-GB"/>
              </w:rPr>
              <w:t>iznos</w:t>
            </w:r>
          </w:p>
        </w:tc>
      </w:tr>
      <w:tr w:rsidR="003611CF" w:rsidRPr="003611CF" w:rsidTr="003611CF">
        <w:trPr>
          <w:jc w:val="center"/>
        </w:trPr>
        <w:tc>
          <w:tcPr>
            <w:tcW w:w="1809" w:type="dxa"/>
            <w:shd w:val="clear" w:color="auto" w:fill="FEF4EC"/>
          </w:tcPr>
          <w:p w:rsidR="003611CF" w:rsidRPr="003611CF" w:rsidRDefault="003611CF" w:rsidP="003611CF">
            <w:pPr>
              <w:spacing w:before="0" w:after="0" w:line="240" w:lineRule="auto"/>
              <w:jc w:val="left"/>
              <w:rPr>
                <w:rFonts w:ascii="Arial" w:eastAsia="Calibri" w:hAnsi="Arial" w:cs="Arial"/>
                <w:bCs/>
                <w:color w:val="000000"/>
                <w:sz w:val="20"/>
                <w:szCs w:val="20"/>
                <w:lang w:val="en-GB" w:eastAsia="en-GB"/>
              </w:rPr>
            </w:pPr>
            <w:r w:rsidRPr="003611CF">
              <w:rPr>
                <w:rFonts w:ascii="Arial" w:eastAsia="Calibri" w:hAnsi="Arial" w:cs="Arial"/>
                <w:bCs/>
                <w:color w:val="000000"/>
                <w:sz w:val="20"/>
                <w:szCs w:val="20"/>
                <w:lang w:val="en-GB" w:eastAsia="en-GB"/>
              </w:rPr>
              <w:t>Podgorica</w:t>
            </w:r>
          </w:p>
        </w:tc>
        <w:tc>
          <w:tcPr>
            <w:tcW w:w="1763"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3.264</w:t>
            </w:r>
          </w:p>
        </w:tc>
        <w:tc>
          <w:tcPr>
            <w:tcW w:w="1858"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20.558.598,37</w:t>
            </w:r>
          </w:p>
        </w:tc>
        <w:tc>
          <w:tcPr>
            <w:tcW w:w="1858"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1.997</w:t>
            </w:r>
          </w:p>
        </w:tc>
        <w:tc>
          <w:tcPr>
            <w:tcW w:w="1858"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21.565.658,40</w:t>
            </w:r>
          </w:p>
        </w:tc>
      </w:tr>
      <w:tr w:rsidR="003611CF" w:rsidRPr="003611CF" w:rsidTr="003611CF">
        <w:trPr>
          <w:jc w:val="center"/>
        </w:trPr>
        <w:tc>
          <w:tcPr>
            <w:tcW w:w="1809" w:type="dxa"/>
            <w:shd w:val="clear" w:color="auto" w:fill="FDE9D9"/>
          </w:tcPr>
          <w:p w:rsidR="003611CF" w:rsidRPr="003611CF" w:rsidRDefault="003611CF" w:rsidP="003611CF">
            <w:pPr>
              <w:spacing w:before="0" w:after="0" w:line="240" w:lineRule="auto"/>
              <w:jc w:val="left"/>
              <w:rPr>
                <w:rFonts w:ascii="Arial" w:eastAsia="Calibri" w:hAnsi="Arial" w:cs="Arial"/>
                <w:bCs/>
                <w:color w:val="000000"/>
                <w:sz w:val="20"/>
                <w:szCs w:val="20"/>
                <w:lang w:val="en-GB" w:eastAsia="en-GB"/>
              </w:rPr>
            </w:pPr>
            <w:r w:rsidRPr="003611CF">
              <w:rPr>
                <w:rFonts w:ascii="Arial" w:eastAsia="Calibri" w:hAnsi="Arial" w:cs="Arial"/>
                <w:bCs/>
                <w:color w:val="000000"/>
                <w:sz w:val="20"/>
                <w:szCs w:val="20"/>
                <w:lang w:val="en-GB" w:eastAsia="en-GB"/>
              </w:rPr>
              <w:t>Nikšić</w:t>
            </w:r>
          </w:p>
        </w:tc>
        <w:tc>
          <w:tcPr>
            <w:tcW w:w="1763"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760</w:t>
            </w:r>
          </w:p>
        </w:tc>
        <w:tc>
          <w:tcPr>
            <w:tcW w:w="1858"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2.479.231,21</w:t>
            </w:r>
          </w:p>
        </w:tc>
        <w:tc>
          <w:tcPr>
            <w:tcW w:w="1858"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427</w:t>
            </w:r>
          </w:p>
        </w:tc>
        <w:tc>
          <w:tcPr>
            <w:tcW w:w="1858"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2.536.219,65</w:t>
            </w:r>
          </w:p>
        </w:tc>
      </w:tr>
      <w:tr w:rsidR="003611CF" w:rsidRPr="003611CF" w:rsidTr="003611CF">
        <w:trPr>
          <w:jc w:val="center"/>
        </w:trPr>
        <w:tc>
          <w:tcPr>
            <w:tcW w:w="1809" w:type="dxa"/>
            <w:shd w:val="clear" w:color="auto" w:fill="FEF4EC"/>
          </w:tcPr>
          <w:p w:rsidR="003611CF" w:rsidRPr="003611CF" w:rsidRDefault="003611CF" w:rsidP="003611CF">
            <w:pPr>
              <w:spacing w:before="0" w:after="0" w:line="240" w:lineRule="auto"/>
              <w:jc w:val="left"/>
              <w:rPr>
                <w:rFonts w:ascii="Arial" w:eastAsia="Calibri" w:hAnsi="Arial" w:cs="Arial"/>
                <w:bCs/>
                <w:color w:val="000000"/>
                <w:sz w:val="20"/>
                <w:szCs w:val="20"/>
                <w:lang w:val="en-GB" w:eastAsia="en-GB"/>
              </w:rPr>
            </w:pPr>
            <w:r w:rsidRPr="003611CF">
              <w:rPr>
                <w:rFonts w:ascii="Arial" w:eastAsia="Calibri" w:hAnsi="Arial" w:cs="Arial"/>
                <w:bCs/>
                <w:color w:val="000000"/>
                <w:sz w:val="20"/>
                <w:szCs w:val="20"/>
                <w:lang w:val="en-GB" w:eastAsia="en-GB"/>
              </w:rPr>
              <w:t>Budva</w:t>
            </w:r>
          </w:p>
        </w:tc>
        <w:tc>
          <w:tcPr>
            <w:tcW w:w="1763"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887</w:t>
            </w:r>
          </w:p>
        </w:tc>
        <w:tc>
          <w:tcPr>
            <w:tcW w:w="1858"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7.738.182,24</w:t>
            </w:r>
          </w:p>
        </w:tc>
        <w:tc>
          <w:tcPr>
            <w:tcW w:w="1858"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528</w:t>
            </w:r>
          </w:p>
        </w:tc>
        <w:tc>
          <w:tcPr>
            <w:tcW w:w="1858"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2.843.842,63</w:t>
            </w:r>
          </w:p>
        </w:tc>
      </w:tr>
      <w:tr w:rsidR="003611CF" w:rsidRPr="003611CF" w:rsidTr="003611CF">
        <w:trPr>
          <w:jc w:val="center"/>
        </w:trPr>
        <w:tc>
          <w:tcPr>
            <w:tcW w:w="1809" w:type="dxa"/>
            <w:shd w:val="clear" w:color="auto" w:fill="FDE9D9"/>
          </w:tcPr>
          <w:p w:rsidR="003611CF" w:rsidRPr="003611CF" w:rsidRDefault="003611CF" w:rsidP="003611CF">
            <w:pPr>
              <w:spacing w:before="0" w:after="0" w:line="240" w:lineRule="auto"/>
              <w:jc w:val="left"/>
              <w:rPr>
                <w:rFonts w:ascii="Arial" w:eastAsia="Calibri" w:hAnsi="Arial" w:cs="Arial"/>
                <w:bCs/>
                <w:color w:val="000000"/>
                <w:sz w:val="20"/>
                <w:szCs w:val="20"/>
                <w:lang w:val="en-GB" w:eastAsia="en-GB"/>
              </w:rPr>
            </w:pPr>
            <w:r w:rsidRPr="003611CF">
              <w:rPr>
                <w:rFonts w:ascii="Arial" w:eastAsia="Calibri" w:hAnsi="Arial" w:cs="Arial"/>
                <w:bCs/>
                <w:color w:val="000000"/>
                <w:sz w:val="20"/>
                <w:szCs w:val="20"/>
                <w:lang w:val="en-GB" w:eastAsia="en-GB"/>
              </w:rPr>
              <w:t>Kotor</w:t>
            </w:r>
          </w:p>
        </w:tc>
        <w:tc>
          <w:tcPr>
            <w:tcW w:w="1763"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724</w:t>
            </w:r>
          </w:p>
        </w:tc>
        <w:tc>
          <w:tcPr>
            <w:tcW w:w="1858"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2.446.670,44</w:t>
            </w:r>
          </w:p>
        </w:tc>
        <w:tc>
          <w:tcPr>
            <w:tcW w:w="1858"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415</w:t>
            </w:r>
          </w:p>
        </w:tc>
        <w:tc>
          <w:tcPr>
            <w:tcW w:w="1858"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1.513.626,53</w:t>
            </w:r>
          </w:p>
        </w:tc>
      </w:tr>
      <w:tr w:rsidR="003611CF" w:rsidRPr="003611CF" w:rsidTr="003611CF">
        <w:trPr>
          <w:jc w:val="center"/>
        </w:trPr>
        <w:tc>
          <w:tcPr>
            <w:tcW w:w="1809" w:type="dxa"/>
            <w:shd w:val="clear" w:color="auto" w:fill="FEF4EC"/>
          </w:tcPr>
          <w:p w:rsidR="003611CF" w:rsidRPr="003611CF" w:rsidRDefault="003611CF" w:rsidP="003611CF">
            <w:pPr>
              <w:spacing w:before="0" w:after="0" w:line="240" w:lineRule="auto"/>
              <w:jc w:val="left"/>
              <w:rPr>
                <w:rFonts w:ascii="Arial" w:eastAsia="Calibri" w:hAnsi="Arial" w:cs="Arial"/>
                <w:bCs/>
                <w:color w:val="000000"/>
                <w:sz w:val="20"/>
                <w:szCs w:val="20"/>
                <w:lang w:val="en-GB" w:eastAsia="en-GB"/>
              </w:rPr>
            </w:pPr>
            <w:r w:rsidRPr="003611CF">
              <w:rPr>
                <w:rFonts w:ascii="Arial" w:eastAsia="Calibri" w:hAnsi="Arial" w:cs="Arial"/>
                <w:bCs/>
                <w:color w:val="000000"/>
                <w:sz w:val="20"/>
                <w:szCs w:val="20"/>
                <w:lang w:val="en-GB" w:eastAsia="en-GB"/>
              </w:rPr>
              <w:t>Bar</w:t>
            </w:r>
          </w:p>
        </w:tc>
        <w:tc>
          <w:tcPr>
            <w:tcW w:w="1763"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1.071</w:t>
            </w:r>
          </w:p>
        </w:tc>
        <w:tc>
          <w:tcPr>
            <w:tcW w:w="1858"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3.747.338,63</w:t>
            </w:r>
          </w:p>
        </w:tc>
        <w:tc>
          <w:tcPr>
            <w:tcW w:w="1858"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675</w:t>
            </w:r>
          </w:p>
        </w:tc>
        <w:tc>
          <w:tcPr>
            <w:tcW w:w="1858"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3.798.164,76</w:t>
            </w:r>
          </w:p>
        </w:tc>
      </w:tr>
      <w:tr w:rsidR="003611CF" w:rsidRPr="003611CF" w:rsidTr="003611CF">
        <w:trPr>
          <w:jc w:val="center"/>
        </w:trPr>
        <w:tc>
          <w:tcPr>
            <w:tcW w:w="1809" w:type="dxa"/>
            <w:shd w:val="clear" w:color="auto" w:fill="FDE9D9"/>
          </w:tcPr>
          <w:p w:rsidR="003611CF" w:rsidRPr="003611CF" w:rsidRDefault="003611CF" w:rsidP="003611CF">
            <w:pPr>
              <w:spacing w:before="0" w:after="0" w:line="240" w:lineRule="auto"/>
              <w:jc w:val="left"/>
              <w:rPr>
                <w:rFonts w:ascii="Arial" w:eastAsia="Calibri" w:hAnsi="Arial" w:cs="Arial"/>
                <w:bCs/>
                <w:color w:val="000000"/>
                <w:sz w:val="20"/>
                <w:szCs w:val="20"/>
                <w:lang w:val="en-GB" w:eastAsia="en-GB"/>
              </w:rPr>
            </w:pPr>
            <w:r w:rsidRPr="003611CF">
              <w:rPr>
                <w:rFonts w:ascii="Arial" w:eastAsia="Calibri" w:hAnsi="Arial" w:cs="Arial"/>
                <w:bCs/>
                <w:color w:val="000000"/>
                <w:sz w:val="20"/>
                <w:szCs w:val="20"/>
                <w:lang w:val="en-GB" w:eastAsia="en-GB"/>
              </w:rPr>
              <w:t>Herceg Novi</w:t>
            </w:r>
          </w:p>
        </w:tc>
        <w:tc>
          <w:tcPr>
            <w:tcW w:w="1763"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202</w:t>
            </w:r>
          </w:p>
        </w:tc>
        <w:tc>
          <w:tcPr>
            <w:tcW w:w="1858"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5.936.551,38</w:t>
            </w:r>
          </w:p>
        </w:tc>
        <w:tc>
          <w:tcPr>
            <w:tcW w:w="1858"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23</w:t>
            </w:r>
          </w:p>
        </w:tc>
        <w:tc>
          <w:tcPr>
            <w:tcW w:w="1858"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1.484.974,27</w:t>
            </w:r>
          </w:p>
        </w:tc>
      </w:tr>
      <w:tr w:rsidR="003611CF" w:rsidRPr="003611CF" w:rsidTr="003611CF">
        <w:trPr>
          <w:jc w:val="center"/>
        </w:trPr>
        <w:tc>
          <w:tcPr>
            <w:tcW w:w="1809" w:type="dxa"/>
            <w:shd w:val="clear" w:color="auto" w:fill="FEF4EC"/>
          </w:tcPr>
          <w:p w:rsidR="003611CF" w:rsidRPr="003611CF" w:rsidRDefault="003611CF" w:rsidP="003611CF">
            <w:pPr>
              <w:spacing w:before="0" w:after="0" w:line="240" w:lineRule="auto"/>
              <w:jc w:val="left"/>
              <w:rPr>
                <w:rFonts w:ascii="Arial" w:eastAsia="Calibri" w:hAnsi="Arial" w:cs="Arial"/>
                <w:bCs/>
                <w:color w:val="000000"/>
                <w:sz w:val="20"/>
                <w:szCs w:val="20"/>
                <w:lang w:val="en-GB" w:eastAsia="en-GB"/>
              </w:rPr>
            </w:pPr>
            <w:r w:rsidRPr="003611CF">
              <w:rPr>
                <w:rFonts w:ascii="Arial" w:eastAsia="Calibri" w:hAnsi="Arial" w:cs="Arial"/>
                <w:bCs/>
                <w:color w:val="000000"/>
                <w:sz w:val="20"/>
                <w:szCs w:val="20"/>
                <w:lang w:val="en-GB" w:eastAsia="en-GB"/>
              </w:rPr>
              <w:t>Bijelo Polje</w:t>
            </w:r>
          </w:p>
        </w:tc>
        <w:tc>
          <w:tcPr>
            <w:tcW w:w="1763"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159</w:t>
            </w:r>
          </w:p>
        </w:tc>
        <w:tc>
          <w:tcPr>
            <w:tcW w:w="1858"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1.020.051,44</w:t>
            </w:r>
          </w:p>
        </w:tc>
        <w:tc>
          <w:tcPr>
            <w:tcW w:w="1858"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70</w:t>
            </w:r>
          </w:p>
        </w:tc>
        <w:tc>
          <w:tcPr>
            <w:tcW w:w="1858"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288.152,53</w:t>
            </w:r>
          </w:p>
        </w:tc>
      </w:tr>
      <w:tr w:rsidR="003611CF" w:rsidRPr="003611CF" w:rsidTr="003611CF">
        <w:trPr>
          <w:jc w:val="center"/>
        </w:trPr>
        <w:tc>
          <w:tcPr>
            <w:tcW w:w="1809" w:type="dxa"/>
            <w:shd w:val="clear" w:color="auto" w:fill="FDE9D9"/>
          </w:tcPr>
          <w:p w:rsidR="003611CF" w:rsidRPr="003611CF" w:rsidRDefault="003611CF" w:rsidP="003611CF">
            <w:pPr>
              <w:spacing w:before="0" w:after="0" w:line="240" w:lineRule="auto"/>
              <w:jc w:val="left"/>
              <w:rPr>
                <w:rFonts w:ascii="Arial" w:eastAsia="Calibri" w:hAnsi="Arial" w:cs="Arial"/>
                <w:bCs/>
                <w:color w:val="000000"/>
                <w:sz w:val="20"/>
                <w:szCs w:val="20"/>
                <w:lang w:val="en-GB" w:eastAsia="en-GB"/>
              </w:rPr>
            </w:pPr>
            <w:r w:rsidRPr="003611CF">
              <w:rPr>
                <w:rFonts w:ascii="Arial" w:eastAsia="Calibri" w:hAnsi="Arial" w:cs="Arial"/>
                <w:bCs/>
                <w:color w:val="000000"/>
                <w:sz w:val="20"/>
                <w:szCs w:val="20"/>
                <w:lang w:val="en-GB" w:eastAsia="en-GB"/>
              </w:rPr>
              <w:t>Pljevlja</w:t>
            </w:r>
          </w:p>
        </w:tc>
        <w:tc>
          <w:tcPr>
            <w:tcW w:w="1763"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260</w:t>
            </w:r>
          </w:p>
        </w:tc>
        <w:tc>
          <w:tcPr>
            <w:tcW w:w="1858"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16.649.342,01</w:t>
            </w:r>
          </w:p>
        </w:tc>
        <w:tc>
          <w:tcPr>
            <w:tcW w:w="1858"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103</w:t>
            </w:r>
          </w:p>
        </w:tc>
        <w:tc>
          <w:tcPr>
            <w:tcW w:w="1858"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8.429.458,41</w:t>
            </w:r>
          </w:p>
        </w:tc>
      </w:tr>
      <w:tr w:rsidR="003611CF" w:rsidRPr="003611CF" w:rsidTr="003611CF">
        <w:trPr>
          <w:jc w:val="center"/>
        </w:trPr>
        <w:tc>
          <w:tcPr>
            <w:tcW w:w="1809" w:type="dxa"/>
            <w:shd w:val="clear" w:color="auto" w:fill="FEF4EC"/>
          </w:tcPr>
          <w:p w:rsidR="003611CF" w:rsidRPr="003611CF" w:rsidRDefault="003611CF" w:rsidP="003611CF">
            <w:pPr>
              <w:spacing w:before="0" w:after="0" w:line="240" w:lineRule="auto"/>
              <w:jc w:val="left"/>
              <w:rPr>
                <w:rFonts w:ascii="Arial" w:eastAsia="Calibri" w:hAnsi="Arial" w:cs="Arial"/>
                <w:bCs/>
                <w:color w:val="000000"/>
                <w:sz w:val="20"/>
                <w:szCs w:val="20"/>
                <w:lang w:val="en-GB" w:eastAsia="en-GB"/>
              </w:rPr>
            </w:pPr>
            <w:r w:rsidRPr="003611CF">
              <w:rPr>
                <w:rFonts w:ascii="Arial" w:eastAsia="Calibri" w:hAnsi="Arial" w:cs="Arial"/>
                <w:bCs/>
                <w:color w:val="000000"/>
                <w:sz w:val="20"/>
                <w:szCs w:val="20"/>
                <w:lang w:val="en-GB" w:eastAsia="en-GB"/>
              </w:rPr>
              <w:t>Berane</w:t>
            </w:r>
          </w:p>
        </w:tc>
        <w:tc>
          <w:tcPr>
            <w:tcW w:w="1763"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711</w:t>
            </w:r>
          </w:p>
        </w:tc>
        <w:tc>
          <w:tcPr>
            <w:tcW w:w="1858"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4.246.339,38</w:t>
            </w:r>
          </w:p>
        </w:tc>
        <w:tc>
          <w:tcPr>
            <w:tcW w:w="1858"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349</w:t>
            </w:r>
          </w:p>
        </w:tc>
        <w:tc>
          <w:tcPr>
            <w:tcW w:w="1858"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1.657.857,01</w:t>
            </w:r>
          </w:p>
        </w:tc>
      </w:tr>
      <w:tr w:rsidR="003611CF" w:rsidRPr="003611CF" w:rsidTr="003611CF">
        <w:trPr>
          <w:jc w:val="center"/>
        </w:trPr>
        <w:tc>
          <w:tcPr>
            <w:tcW w:w="1809" w:type="dxa"/>
            <w:shd w:val="clear" w:color="auto" w:fill="FDE9D9"/>
          </w:tcPr>
          <w:p w:rsidR="003611CF" w:rsidRPr="003611CF" w:rsidRDefault="003611CF" w:rsidP="003611CF">
            <w:pPr>
              <w:spacing w:before="0" w:after="0" w:line="240" w:lineRule="auto"/>
              <w:jc w:val="left"/>
              <w:rPr>
                <w:rFonts w:ascii="Arial" w:eastAsia="Calibri" w:hAnsi="Arial" w:cs="Arial"/>
                <w:b/>
                <w:bCs/>
                <w:color w:val="000000"/>
                <w:sz w:val="20"/>
                <w:szCs w:val="20"/>
                <w:lang w:val="en-GB" w:eastAsia="en-GB"/>
              </w:rPr>
            </w:pPr>
            <w:r w:rsidRPr="003611CF">
              <w:rPr>
                <w:rFonts w:ascii="Arial" w:eastAsia="Calibri" w:hAnsi="Arial" w:cs="Arial"/>
                <w:b/>
                <w:bCs/>
                <w:color w:val="000000"/>
                <w:sz w:val="20"/>
                <w:szCs w:val="20"/>
                <w:lang w:val="en-GB" w:eastAsia="en-GB"/>
              </w:rPr>
              <w:t>Ukupno</w:t>
            </w:r>
          </w:p>
        </w:tc>
        <w:tc>
          <w:tcPr>
            <w:tcW w:w="1763"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b/>
                <w:bCs/>
                <w:sz w:val="20"/>
                <w:lang w:val="en-GB"/>
              </w:rPr>
            </w:pPr>
            <w:r w:rsidRPr="003611CF">
              <w:rPr>
                <w:rFonts w:ascii="Arial" w:eastAsia="Times New Roman" w:hAnsi="Arial" w:cs="Arial"/>
                <w:b/>
                <w:bCs/>
                <w:sz w:val="20"/>
                <w:lang w:val="en-GB"/>
              </w:rPr>
              <w:t>8.038</w:t>
            </w:r>
          </w:p>
        </w:tc>
        <w:tc>
          <w:tcPr>
            <w:tcW w:w="1858"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b/>
                <w:bCs/>
                <w:sz w:val="20"/>
                <w:lang w:val="en-GB"/>
              </w:rPr>
            </w:pPr>
            <w:r w:rsidRPr="003611CF">
              <w:rPr>
                <w:rFonts w:ascii="Arial" w:eastAsia="Times New Roman" w:hAnsi="Arial" w:cs="Arial"/>
                <w:b/>
                <w:bCs/>
                <w:sz w:val="20"/>
                <w:lang w:val="en-GB"/>
              </w:rPr>
              <w:t>64.822.305,10</w:t>
            </w:r>
          </w:p>
        </w:tc>
        <w:tc>
          <w:tcPr>
            <w:tcW w:w="1858"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b/>
                <w:bCs/>
                <w:sz w:val="20"/>
                <w:lang w:val="en-GB"/>
              </w:rPr>
            </w:pPr>
            <w:r w:rsidRPr="003611CF">
              <w:rPr>
                <w:rFonts w:ascii="Arial" w:eastAsia="Times New Roman" w:hAnsi="Arial" w:cs="Arial"/>
                <w:b/>
                <w:bCs/>
                <w:sz w:val="20"/>
                <w:lang w:val="en-GB"/>
              </w:rPr>
              <w:t>4.587</w:t>
            </w:r>
          </w:p>
        </w:tc>
        <w:tc>
          <w:tcPr>
            <w:tcW w:w="1858"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b/>
                <w:bCs/>
                <w:sz w:val="20"/>
                <w:lang w:val="en-GB"/>
              </w:rPr>
            </w:pPr>
            <w:r w:rsidRPr="003611CF">
              <w:rPr>
                <w:rFonts w:ascii="Arial" w:eastAsia="Times New Roman" w:hAnsi="Arial" w:cs="Arial"/>
                <w:b/>
                <w:bCs/>
                <w:sz w:val="20"/>
                <w:lang w:val="en-GB"/>
              </w:rPr>
              <w:t>44.117.954,19</w:t>
            </w:r>
          </w:p>
        </w:tc>
      </w:tr>
    </w:tbl>
    <w:p w:rsidR="003611CF" w:rsidRPr="003611CF" w:rsidRDefault="003611CF" w:rsidP="003611CF">
      <w:pPr>
        <w:spacing w:before="0" w:after="0" w:line="240" w:lineRule="auto"/>
        <w:rPr>
          <w:rFonts w:ascii="Arial" w:eastAsia="Times New Roman" w:hAnsi="Arial" w:cs="Arial"/>
          <w:sz w:val="22"/>
          <w:lang w:val="en-GB"/>
        </w:rPr>
      </w:pPr>
    </w:p>
    <w:p w:rsidR="003611CF" w:rsidRPr="003611CF" w:rsidRDefault="003611CF" w:rsidP="003611CF">
      <w:pPr>
        <w:spacing w:before="0" w:after="0" w:line="240" w:lineRule="auto"/>
        <w:ind w:firstLine="426"/>
        <w:rPr>
          <w:rFonts w:ascii="Calibri" w:eastAsia="Times New Roman" w:hAnsi="Calibri" w:cs="Calibri"/>
          <w:szCs w:val="24"/>
          <w:lang w:val="en-GB"/>
        </w:rPr>
      </w:pPr>
      <w:r w:rsidRPr="003611CF">
        <w:rPr>
          <w:rFonts w:ascii="Calibri" w:eastAsia="Times New Roman" w:hAnsi="Calibri" w:cs="Calibri"/>
          <w:szCs w:val="24"/>
          <w:lang w:val="en-GB"/>
        </w:rPr>
        <w:t>2. Pregled Rješenja o obezbjeđenju poreskog potraživanja putem zaloge - hipoteke po područnim jedinicama /uporedni pregled 2019-2020/</w:t>
      </w:r>
    </w:p>
    <w:tbl>
      <w:tblPr>
        <w:tblW w:w="0" w:type="auto"/>
        <w:jc w:val="center"/>
        <w:tblLook w:val="04A0" w:firstRow="1" w:lastRow="0" w:firstColumn="1" w:lastColumn="0" w:noHBand="0" w:noVBand="1"/>
      </w:tblPr>
      <w:tblGrid>
        <w:gridCol w:w="1857"/>
        <w:gridCol w:w="1857"/>
        <w:gridCol w:w="1858"/>
        <w:gridCol w:w="1858"/>
        <w:gridCol w:w="1858"/>
      </w:tblGrid>
      <w:tr w:rsidR="003611CF" w:rsidRPr="003611CF" w:rsidTr="003611CF">
        <w:trPr>
          <w:jc w:val="center"/>
        </w:trPr>
        <w:tc>
          <w:tcPr>
            <w:tcW w:w="1857" w:type="dxa"/>
            <w:vMerge w:val="restart"/>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Calibri" w:hAnsi="Arial" w:cs="Arial"/>
                <w:bCs/>
                <w:color w:val="FFFFFF"/>
                <w:sz w:val="20"/>
                <w:szCs w:val="20"/>
                <w:lang w:val="en-GB" w:eastAsia="en-GB"/>
              </w:rPr>
            </w:pPr>
            <w:r w:rsidRPr="003611CF">
              <w:rPr>
                <w:rFonts w:ascii="Arial" w:eastAsia="Calibri" w:hAnsi="Arial" w:cs="Arial"/>
                <w:bCs/>
                <w:color w:val="FFFFFF"/>
                <w:sz w:val="20"/>
                <w:szCs w:val="20"/>
                <w:lang w:val="en-GB" w:eastAsia="en-GB"/>
              </w:rPr>
              <w:lastRenderedPageBreak/>
              <w:t>Područna jedinica</w:t>
            </w:r>
          </w:p>
        </w:tc>
        <w:tc>
          <w:tcPr>
            <w:tcW w:w="3715" w:type="dxa"/>
            <w:gridSpan w:val="2"/>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Calibri" w:hAnsi="Arial" w:cs="Arial"/>
                <w:bCs/>
                <w:color w:val="FFFFFF"/>
                <w:sz w:val="20"/>
                <w:szCs w:val="20"/>
                <w:lang w:val="en-GB" w:eastAsia="en-GB"/>
              </w:rPr>
            </w:pPr>
            <w:r w:rsidRPr="003611CF">
              <w:rPr>
                <w:rFonts w:ascii="Arial" w:eastAsia="Calibri" w:hAnsi="Arial" w:cs="Arial"/>
                <w:bCs/>
                <w:color w:val="FFFFFF"/>
                <w:sz w:val="20"/>
                <w:szCs w:val="20"/>
                <w:lang w:val="en-GB" w:eastAsia="en-GB"/>
              </w:rPr>
              <w:t>2019. godina /januar-decembar/</w:t>
            </w:r>
          </w:p>
        </w:tc>
        <w:tc>
          <w:tcPr>
            <w:tcW w:w="3716" w:type="dxa"/>
            <w:gridSpan w:val="2"/>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Calibri" w:hAnsi="Arial" w:cs="Arial"/>
                <w:bCs/>
                <w:color w:val="FFFFFF"/>
                <w:sz w:val="20"/>
                <w:szCs w:val="20"/>
                <w:lang w:val="en-GB" w:eastAsia="en-GB"/>
              </w:rPr>
            </w:pPr>
            <w:r w:rsidRPr="003611CF">
              <w:rPr>
                <w:rFonts w:ascii="Arial" w:eastAsia="Calibri" w:hAnsi="Arial" w:cs="Arial"/>
                <w:bCs/>
                <w:color w:val="FFFFFF"/>
                <w:sz w:val="20"/>
                <w:szCs w:val="20"/>
                <w:lang w:val="en-GB" w:eastAsia="en-GB"/>
              </w:rPr>
              <w:t>2020. godina /januar-decembar/</w:t>
            </w:r>
          </w:p>
        </w:tc>
      </w:tr>
      <w:tr w:rsidR="003611CF" w:rsidRPr="003611CF" w:rsidTr="003611CF">
        <w:trPr>
          <w:jc w:val="center"/>
        </w:trPr>
        <w:tc>
          <w:tcPr>
            <w:tcW w:w="1857" w:type="dxa"/>
            <w:vMerge/>
            <w:shd w:val="clear" w:color="auto" w:fill="FDE9D9"/>
          </w:tcPr>
          <w:p w:rsidR="003611CF" w:rsidRPr="003611CF" w:rsidRDefault="003611CF" w:rsidP="003611CF">
            <w:pPr>
              <w:spacing w:before="0" w:after="0" w:line="240" w:lineRule="auto"/>
              <w:jc w:val="left"/>
              <w:rPr>
                <w:rFonts w:ascii="Arial" w:eastAsia="Calibri" w:hAnsi="Arial" w:cs="Arial"/>
                <w:b/>
                <w:bCs/>
                <w:color w:val="000000"/>
                <w:sz w:val="20"/>
                <w:szCs w:val="20"/>
                <w:lang w:val="en-GB"/>
              </w:rPr>
            </w:pPr>
          </w:p>
        </w:tc>
        <w:tc>
          <w:tcPr>
            <w:tcW w:w="1857" w:type="dxa"/>
            <w:shd w:val="clear" w:color="auto" w:fill="FDE9D9"/>
          </w:tcPr>
          <w:p w:rsidR="003611CF" w:rsidRPr="003611CF" w:rsidRDefault="003611CF" w:rsidP="003611CF">
            <w:pPr>
              <w:spacing w:before="0" w:after="0" w:line="240" w:lineRule="auto"/>
              <w:jc w:val="center"/>
              <w:rPr>
                <w:rFonts w:ascii="Arial" w:eastAsia="Calibri" w:hAnsi="Arial" w:cs="Arial"/>
                <w:b/>
                <w:color w:val="000000"/>
                <w:sz w:val="20"/>
                <w:szCs w:val="20"/>
                <w:lang w:val="en-GB"/>
              </w:rPr>
            </w:pPr>
            <w:r w:rsidRPr="003611CF">
              <w:rPr>
                <w:rFonts w:ascii="Arial" w:eastAsia="Calibri" w:hAnsi="Arial" w:cs="Arial"/>
                <w:b/>
                <w:color w:val="000000"/>
                <w:sz w:val="20"/>
                <w:szCs w:val="20"/>
                <w:lang w:val="en-GB"/>
              </w:rPr>
              <w:t>broj</w:t>
            </w:r>
          </w:p>
        </w:tc>
        <w:tc>
          <w:tcPr>
            <w:tcW w:w="1858" w:type="dxa"/>
            <w:shd w:val="clear" w:color="auto" w:fill="FDE9D9"/>
          </w:tcPr>
          <w:p w:rsidR="003611CF" w:rsidRPr="003611CF" w:rsidRDefault="003611CF" w:rsidP="003611CF">
            <w:pPr>
              <w:spacing w:before="0" w:after="0" w:line="240" w:lineRule="auto"/>
              <w:jc w:val="center"/>
              <w:rPr>
                <w:rFonts w:ascii="Arial" w:eastAsia="Calibri" w:hAnsi="Arial" w:cs="Arial"/>
                <w:b/>
                <w:color w:val="000000"/>
                <w:sz w:val="20"/>
                <w:szCs w:val="20"/>
                <w:lang w:val="en-GB"/>
              </w:rPr>
            </w:pPr>
            <w:r w:rsidRPr="003611CF">
              <w:rPr>
                <w:rFonts w:ascii="Arial" w:eastAsia="Calibri" w:hAnsi="Arial" w:cs="Arial"/>
                <w:b/>
                <w:color w:val="000000"/>
                <w:sz w:val="20"/>
                <w:szCs w:val="20"/>
                <w:lang w:val="en-GB"/>
              </w:rPr>
              <w:t>iznos</w:t>
            </w:r>
          </w:p>
        </w:tc>
        <w:tc>
          <w:tcPr>
            <w:tcW w:w="1858" w:type="dxa"/>
            <w:shd w:val="clear" w:color="auto" w:fill="FDE9D9"/>
          </w:tcPr>
          <w:p w:rsidR="003611CF" w:rsidRPr="003611CF" w:rsidRDefault="003611CF" w:rsidP="003611CF">
            <w:pPr>
              <w:spacing w:before="0" w:after="0" w:line="240" w:lineRule="auto"/>
              <w:jc w:val="center"/>
              <w:rPr>
                <w:rFonts w:ascii="Arial" w:eastAsia="Calibri" w:hAnsi="Arial" w:cs="Arial"/>
                <w:b/>
                <w:color w:val="000000"/>
                <w:sz w:val="20"/>
                <w:szCs w:val="20"/>
                <w:lang w:val="en-GB"/>
              </w:rPr>
            </w:pPr>
            <w:r w:rsidRPr="003611CF">
              <w:rPr>
                <w:rFonts w:ascii="Arial" w:eastAsia="Calibri" w:hAnsi="Arial" w:cs="Arial"/>
                <w:b/>
                <w:color w:val="000000"/>
                <w:sz w:val="20"/>
                <w:szCs w:val="20"/>
                <w:lang w:val="en-GB"/>
              </w:rPr>
              <w:t>broj</w:t>
            </w:r>
          </w:p>
        </w:tc>
        <w:tc>
          <w:tcPr>
            <w:tcW w:w="1858" w:type="dxa"/>
            <w:shd w:val="clear" w:color="auto" w:fill="FDE9D9"/>
          </w:tcPr>
          <w:p w:rsidR="003611CF" w:rsidRPr="003611CF" w:rsidRDefault="003611CF" w:rsidP="003611CF">
            <w:pPr>
              <w:spacing w:before="0" w:after="0" w:line="240" w:lineRule="auto"/>
              <w:jc w:val="center"/>
              <w:rPr>
                <w:rFonts w:ascii="Arial" w:eastAsia="Calibri" w:hAnsi="Arial" w:cs="Arial"/>
                <w:b/>
                <w:color w:val="000000"/>
                <w:sz w:val="20"/>
                <w:szCs w:val="20"/>
                <w:lang w:val="en-GB"/>
              </w:rPr>
            </w:pPr>
            <w:r w:rsidRPr="003611CF">
              <w:rPr>
                <w:rFonts w:ascii="Arial" w:eastAsia="Calibri" w:hAnsi="Arial" w:cs="Arial"/>
                <w:b/>
                <w:color w:val="000000"/>
                <w:sz w:val="20"/>
                <w:szCs w:val="20"/>
                <w:lang w:val="en-GB"/>
              </w:rPr>
              <w:t>iznos</w:t>
            </w:r>
          </w:p>
        </w:tc>
      </w:tr>
      <w:tr w:rsidR="003611CF" w:rsidRPr="003611CF" w:rsidTr="003611CF">
        <w:trPr>
          <w:jc w:val="center"/>
        </w:trPr>
        <w:tc>
          <w:tcPr>
            <w:tcW w:w="1857" w:type="dxa"/>
            <w:shd w:val="clear" w:color="auto" w:fill="FEF4EC"/>
          </w:tcPr>
          <w:p w:rsidR="003611CF" w:rsidRPr="003611CF" w:rsidRDefault="003611CF" w:rsidP="003611CF">
            <w:pPr>
              <w:spacing w:before="0" w:after="0" w:line="240" w:lineRule="auto"/>
              <w:jc w:val="left"/>
              <w:rPr>
                <w:rFonts w:ascii="Arial" w:eastAsia="Calibri" w:hAnsi="Arial" w:cs="Arial"/>
                <w:bCs/>
                <w:color w:val="000000"/>
                <w:sz w:val="20"/>
                <w:szCs w:val="20"/>
                <w:lang w:val="en-GB" w:eastAsia="en-GB"/>
              </w:rPr>
            </w:pPr>
            <w:r w:rsidRPr="003611CF">
              <w:rPr>
                <w:rFonts w:ascii="Arial" w:eastAsia="Calibri" w:hAnsi="Arial" w:cs="Arial"/>
                <w:bCs/>
                <w:color w:val="000000"/>
                <w:sz w:val="20"/>
                <w:szCs w:val="20"/>
                <w:lang w:val="en-GB" w:eastAsia="en-GB"/>
              </w:rPr>
              <w:t>Podgorica</w:t>
            </w:r>
          </w:p>
        </w:tc>
        <w:tc>
          <w:tcPr>
            <w:tcW w:w="1857"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109</w:t>
            </w:r>
          </w:p>
        </w:tc>
        <w:tc>
          <w:tcPr>
            <w:tcW w:w="1858"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4.058.262,35</w:t>
            </w:r>
          </w:p>
        </w:tc>
        <w:tc>
          <w:tcPr>
            <w:tcW w:w="1858"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44</w:t>
            </w:r>
          </w:p>
        </w:tc>
        <w:tc>
          <w:tcPr>
            <w:tcW w:w="1858"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3.234.066,85</w:t>
            </w:r>
          </w:p>
        </w:tc>
      </w:tr>
      <w:tr w:rsidR="003611CF" w:rsidRPr="003611CF" w:rsidTr="003611CF">
        <w:trPr>
          <w:jc w:val="center"/>
        </w:trPr>
        <w:tc>
          <w:tcPr>
            <w:tcW w:w="1857" w:type="dxa"/>
            <w:shd w:val="clear" w:color="auto" w:fill="FDE9D9"/>
          </w:tcPr>
          <w:p w:rsidR="003611CF" w:rsidRPr="003611CF" w:rsidRDefault="003611CF" w:rsidP="003611CF">
            <w:pPr>
              <w:spacing w:before="0" w:after="0" w:line="240" w:lineRule="auto"/>
              <w:jc w:val="left"/>
              <w:rPr>
                <w:rFonts w:ascii="Arial" w:eastAsia="Calibri" w:hAnsi="Arial" w:cs="Arial"/>
                <w:bCs/>
                <w:color w:val="000000"/>
                <w:sz w:val="20"/>
                <w:szCs w:val="20"/>
                <w:lang w:val="en-GB" w:eastAsia="en-GB"/>
              </w:rPr>
            </w:pPr>
            <w:r w:rsidRPr="003611CF">
              <w:rPr>
                <w:rFonts w:ascii="Arial" w:eastAsia="Calibri" w:hAnsi="Arial" w:cs="Arial"/>
                <w:bCs/>
                <w:color w:val="000000"/>
                <w:sz w:val="20"/>
                <w:szCs w:val="20"/>
                <w:lang w:val="en-GB" w:eastAsia="en-GB"/>
              </w:rPr>
              <w:t>Nikšić</w:t>
            </w:r>
          </w:p>
        </w:tc>
        <w:tc>
          <w:tcPr>
            <w:tcW w:w="1857"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46</w:t>
            </w:r>
          </w:p>
        </w:tc>
        <w:tc>
          <w:tcPr>
            <w:tcW w:w="1858"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436.919,13</w:t>
            </w:r>
          </w:p>
        </w:tc>
        <w:tc>
          <w:tcPr>
            <w:tcW w:w="1858"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57</w:t>
            </w:r>
          </w:p>
        </w:tc>
        <w:tc>
          <w:tcPr>
            <w:tcW w:w="1858"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533.378,54</w:t>
            </w:r>
          </w:p>
        </w:tc>
      </w:tr>
      <w:tr w:rsidR="003611CF" w:rsidRPr="003611CF" w:rsidTr="003611CF">
        <w:trPr>
          <w:jc w:val="center"/>
        </w:trPr>
        <w:tc>
          <w:tcPr>
            <w:tcW w:w="1857" w:type="dxa"/>
            <w:shd w:val="clear" w:color="auto" w:fill="FEF4EC"/>
          </w:tcPr>
          <w:p w:rsidR="003611CF" w:rsidRPr="003611CF" w:rsidRDefault="003611CF" w:rsidP="003611CF">
            <w:pPr>
              <w:spacing w:before="0" w:after="0" w:line="240" w:lineRule="auto"/>
              <w:jc w:val="left"/>
              <w:rPr>
                <w:rFonts w:ascii="Arial" w:eastAsia="Calibri" w:hAnsi="Arial" w:cs="Arial"/>
                <w:bCs/>
                <w:color w:val="000000"/>
                <w:sz w:val="20"/>
                <w:szCs w:val="20"/>
                <w:lang w:val="en-GB" w:eastAsia="en-GB"/>
              </w:rPr>
            </w:pPr>
            <w:r w:rsidRPr="003611CF">
              <w:rPr>
                <w:rFonts w:ascii="Arial" w:eastAsia="Calibri" w:hAnsi="Arial" w:cs="Arial"/>
                <w:bCs/>
                <w:color w:val="000000"/>
                <w:sz w:val="20"/>
                <w:szCs w:val="20"/>
                <w:lang w:val="en-GB" w:eastAsia="en-GB"/>
              </w:rPr>
              <w:t>Budva</w:t>
            </w:r>
          </w:p>
        </w:tc>
        <w:tc>
          <w:tcPr>
            <w:tcW w:w="1857"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119</w:t>
            </w:r>
          </w:p>
        </w:tc>
        <w:tc>
          <w:tcPr>
            <w:tcW w:w="1858"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1.168.110,56</w:t>
            </w:r>
          </w:p>
        </w:tc>
        <w:tc>
          <w:tcPr>
            <w:tcW w:w="1858"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77</w:t>
            </w:r>
          </w:p>
        </w:tc>
        <w:tc>
          <w:tcPr>
            <w:tcW w:w="1858"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1.787.434,30</w:t>
            </w:r>
          </w:p>
        </w:tc>
      </w:tr>
      <w:tr w:rsidR="003611CF" w:rsidRPr="003611CF" w:rsidTr="003611CF">
        <w:trPr>
          <w:jc w:val="center"/>
        </w:trPr>
        <w:tc>
          <w:tcPr>
            <w:tcW w:w="1857" w:type="dxa"/>
            <w:shd w:val="clear" w:color="auto" w:fill="FDE9D9"/>
          </w:tcPr>
          <w:p w:rsidR="003611CF" w:rsidRPr="003611CF" w:rsidRDefault="003611CF" w:rsidP="003611CF">
            <w:pPr>
              <w:spacing w:before="0" w:after="0" w:line="240" w:lineRule="auto"/>
              <w:jc w:val="left"/>
              <w:rPr>
                <w:rFonts w:ascii="Arial" w:eastAsia="Calibri" w:hAnsi="Arial" w:cs="Arial"/>
                <w:bCs/>
                <w:color w:val="000000"/>
                <w:sz w:val="20"/>
                <w:szCs w:val="20"/>
                <w:lang w:val="en-GB" w:eastAsia="en-GB"/>
              </w:rPr>
            </w:pPr>
            <w:r w:rsidRPr="003611CF">
              <w:rPr>
                <w:rFonts w:ascii="Arial" w:eastAsia="Calibri" w:hAnsi="Arial" w:cs="Arial"/>
                <w:bCs/>
                <w:color w:val="000000"/>
                <w:sz w:val="20"/>
                <w:szCs w:val="20"/>
                <w:lang w:val="en-GB" w:eastAsia="en-GB"/>
              </w:rPr>
              <w:t>Kotor</w:t>
            </w:r>
          </w:p>
        </w:tc>
        <w:tc>
          <w:tcPr>
            <w:tcW w:w="1857"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76</w:t>
            </w:r>
          </w:p>
        </w:tc>
        <w:tc>
          <w:tcPr>
            <w:tcW w:w="1858"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371.156,93</w:t>
            </w:r>
          </w:p>
        </w:tc>
        <w:tc>
          <w:tcPr>
            <w:tcW w:w="1858"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100</w:t>
            </w:r>
          </w:p>
        </w:tc>
        <w:tc>
          <w:tcPr>
            <w:tcW w:w="1858"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322.604,17</w:t>
            </w:r>
          </w:p>
        </w:tc>
      </w:tr>
      <w:tr w:rsidR="003611CF" w:rsidRPr="003611CF" w:rsidTr="003611CF">
        <w:trPr>
          <w:jc w:val="center"/>
        </w:trPr>
        <w:tc>
          <w:tcPr>
            <w:tcW w:w="1857" w:type="dxa"/>
            <w:shd w:val="clear" w:color="auto" w:fill="FEF4EC"/>
          </w:tcPr>
          <w:p w:rsidR="003611CF" w:rsidRPr="003611CF" w:rsidRDefault="003611CF" w:rsidP="003611CF">
            <w:pPr>
              <w:spacing w:before="0" w:after="0" w:line="240" w:lineRule="auto"/>
              <w:jc w:val="left"/>
              <w:rPr>
                <w:rFonts w:ascii="Arial" w:eastAsia="Calibri" w:hAnsi="Arial" w:cs="Arial"/>
                <w:bCs/>
                <w:color w:val="000000"/>
                <w:sz w:val="20"/>
                <w:szCs w:val="20"/>
                <w:lang w:val="en-GB" w:eastAsia="en-GB"/>
              </w:rPr>
            </w:pPr>
            <w:r w:rsidRPr="003611CF">
              <w:rPr>
                <w:rFonts w:ascii="Arial" w:eastAsia="Calibri" w:hAnsi="Arial" w:cs="Arial"/>
                <w:bCs/>
                <w:color w:val="000000"/>
                <w:sz w:val="20"/>
                <w:szCs w:val="20"/>
                <w:lang w:val="en-GB" w:eastAsia="en-GB"/>
              </w:rPr>
              <w:t>Bar</w:t>
            </w:r>
          </w:p>
        </w:tc>
        <w:tc>
          <w:tcPr>
            <w:tcW w:w="1857"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87</w:t>
            </w:r>
          </w:p>
        </w:tc>
        <w:tc>
          <w:tcPr>
            <w:tcW w:w="1858"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3.009.195,45</w:t>
            </w:r>
          </w:p>
        </w:tc>
        <w:tc>
          <w:tcPr>
            <w:tcW w:w="1858"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90</w:t>
            </w:r>
          </w:p>
        </w:tc>
        <w:tc>
          <w:tcPr>
            <w:tcW w:w="1858"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1.168.142,07</w:t>
            </w:r>
          </w:p>
        </w:tc>
      </w:tr>
      <w:tr w:rsidR="003611CF" w:rsidRPr="003611CF" w:rsidTr="003611CF">
        <w:trPr>
          <w:jc w:val="center"/>
        </w:trPr>
        <w:tc>
          <w:tcPr>
            <w:tcW w:w="1857" w:type="dxa"/>
            <w:shd w:val="clear" w:color="auto" w:fill="FDE9D9"/>
          </w:tcPr>
          <w:p w:rsidR="003611CF" w:rsidRPr="003611CF" w:rsidRDefault="003611CF" w:rsidP="003611CF">
            <w:pPr>
              <w:spacing w:before="0" w:after="0" w:line="240" w:lineRule="auto"/>
              <w:jc w:val="left"/>
              <w:rPr>
                <w:rFonts w:ascii="Arial" w:eastAsia="Calibri" w:hAnsi="Arial" w:cs="Arial"/>
                <w:bCs/>
                <w:color w:val="000000"/>
                <w:sz w:val="20"/>
                <w:szCs w:val="20"/>
                <w:lang w:val="en-GB" w:eastAsia="en-GB"/>
              </w:rPr>
            </w:pPr>
            <w:r w:rsidRPr="003611CF">
              <w:rPr>
                <w:rFonts w:ascii="Arial" w:eastAsia="Calibri" w:hAnsi="Arial" w:cs="Arial"/>
                <w:bCs/>
                <w:color w:val="000000"/>
                <w:sz w:val="20"/>
                <w:szCs w:val="20"/>
                <w:lang w:val="en-GB" w:eastAsia="en-GB"/>
              </w:rPr>
              <w:t>Herceg Novi</w:t>
            </w:r>
          </w:p>
        </w:tc>
        <w:tc>
          <w:tcPr>
            <w:tcW w:w="1857"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56</w:t>
            </w:r>
          </w:p>
        </w:tc>
        <w:tc>
          <w:tcPr>
            <w:tcW w:w="1858"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116.456,54</w:t>
            </w:r>
          </w:p>
        </w:tc>
        <w:tc>
          <w:tcPr>
            <w:tcW w:w="1858"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34</w:t>
            </w:r>
          </w:p>
        </w:tc>
        <w:tc>
          <w:tcPr>
            <w:tcW w:w="1858"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610.724,63</w:t>
            </w:r>
          </w:p>
        </w:tc>
      </w:tr>
      <w:tr w:rsidR="003611CF" w:rsidRPr="003611CF" w:rsidTr="003611CF">
        <w:trPr>
          <w:jc w:val="center"/>
        </w:trPr>
        <w:tc>
          <w:tcPr>
            <w:tcW w:w="1857" w:type="dxa"/>
            <w:shd w:val="clear" w:color="auto" w:fill="FEF4EC"/>
          </w:tcPr>
          <w:p w:rsidR="003611CF" w:rsidRPr="003611CF" w:rsidRDefault="003611CF" w:rsidP="003611CF">
            <w:pPr>
              <w:spacing w:before="0" w:after="0" w:line="240" w:lineRule="auto"/>
              <w:jc w:val="left"/>
              <w:rPr>
                <w:rFonts w:ascii="Arial" w:eastAsia="Calibri" w:hAnsi="Arial" w:cs="Arial"/>
                <w:bCs/>
                <w:color w:val="000000"/>
                <w:sz w:val="20"/>
                <w:szCs w:val="20"/>
                <w:lang w:val="en-GB" w:eastAsia="en-GB"/>
              </w:rPr>
            </w:pPr>
            <w:r w:rsidRPr="003611CF">
              <w:rPr>
                <w:rFonts w:ascii="Arial" w:eastAsia="Calibri" w:hAnsi="Arial" w:cs="Arial"/>
                <w:bCs/>
                <w:color w:val="000000"/>
                <w:sz w:val="20"/>
                <w:szCs w:val="20"/>
                <w:lang w:val="en-GB" w:eastAsia="en-GB"/>
              </w:rPr>
              <w:t>Bijelo Polje</w:t>
            </w:r>
          </w:p>
        </w:tc>
        <w:tc>
          <w:tcPr>
            <w:tcW w:w="1857"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27</w:t>
            </w:r>
          </w:p>
        </w:tc>
        <w:tc>
          <w:tcPr>
            <w:tcW w:w="1858"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110.945,16</w:t>
            </w:r>
          </w:p>
        </w:tc>
        <w:tc>
          <w:tcPr>
            <w:tcW w:w="1858"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29</w:t>
            </w:r>
          </w:p>
        </w:tc>
        <w:tc>
          <w:tcPr>
            <w:tcW w:w="1858"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22.134,73</w:t>
            </w:r>
          </w:p>
        </w:tc>
      </w:tr>
      <w:tr w:rsidR="003611CF" w:rsidRPr="003611CF" w:rsidTr="003611CF">
        <w:trPr>
          <w:jc w:val="center"/>
        </w:trPr>
        <w:tc>
          <w:tcPr>
            <w:tcW w:w="1857" w:type="dxa"/>
            <w:shd w:val="clear" w:color="auto" w:fill="FDE9D9"/>
          </w:tcPr>
          <w:p w:rsidR="003611CF" w:rsidRPr="003611CF" w:rsidRDefault="003611CF" w:rsidP="003611CF">
            <w:pPr>
              <w:spacing w:before="0" w:after="0" w:line="240" w:lineRule="auto"/>
              <w:jc w:val="left"/>
              <w:rPr>
                <w:rFonts w:ascii="Arial" w:eastAsia="Calibri" w:hAnsi="Arial" w:cs="Arial"/>
                <w:bCs/>
                <w:color w:val="000000"/>
                <w:sz w:val="20"/>
                <w:szCs w:val="20"/>
                <w:lang w:val="en-GB" w:eastAsia="en-GB"/>
              </w:rPr>
            </w:pPr>
            <w:r w:rsidRPr="003611CF">
              <w:rPr>
                <w:rFonts w:ascii="Arial" w:eastAsia="Calibri" w:hAnsi="Arial" w:cs="Arial"/>
                <w:bCs/>
                <w:color w:val="000000"/>
                <w:sz w:val="20"/>
                <w:szCs w:val="20"/>
                <w:lang w:val="en-GB" w:eastAsia="en-GB"/>
              </w:rPr>
              <w:t>Pljevlja</w:t>
            </w:r>
          </w:p>
        </w:tc>
        <w:tc>
          <w:tcPr>
            <w:tcW w:w="1857"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18</w:t>
            </w:r>
          </w:p>
        </w:tc>
        <w:tc>
          <w:tcPr>
            <w:tcW w:w="1858"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1.264.701,32</w:t>
            </w:r>
          </w:p>
        </w:tc>
        <w:tc>
          <w:tcPr>
            <w:tcW w:w="1858"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10</w:t>
            </w:r>
          </w:p>
        </w:tc>
        <w:tc>
          <w:tcPr>
            <w:tcW w:w="1858"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178.744,23</w:t>
            </w:r>
          </w:p>
        </w:tc>
      </w:tr>
      <w:tr w:rsidR="003611CF" w:rsidRPr="003611CF" w:rsidTr="003611CF">
        <w:trPr>
          <w:jc w:val="center"/>
        </w:trPr>
        <w:tc>
          <w:tcPr>
            <w:tcW w:w="1857" w:type="dxa"/>
            <w:shd w:val="clear" w:color="auto" w:fill="FEF4EC"/>
          </w:tcPr>
          <w:p w:rsidR="003611CF" w:rsidRPr="003611CF" w:rsidRDefault="003611CF" w:rsidP="003611CF">
            <w:pPr>
              <w:spacing w:before="0" w:after="0" w:line="240" w:lineRule="auto"/>
              <w:jc w:val="left"/>
              <w:rPr>
                <w:rFonts w:ascii="Arial" w:eastAsia="Calibri" w:hAnsi="Arial" w:cs="Arial"/>
                <w:bCs/>
                <w:color w:val="000000"/>
                <w:sz w:val="20"/>
                <w:szCs w:val="20"/>
                <w:lang w:val="en-GB" w:eastAsia="en-GB"/>
              </w:rPr>
            </w:pPr>
            <w:r w:rsidRPr="003611CF">
              <w:rPr>
                <w:rFonts w:ascii="Arial" w:eastAsia="Calibri" w:hAnsi="Arial" w:cs="Arial"/>
                <w:bCs/>
                <w:color w:val="000000"/>
                <w:sz w:val="20"/>
                <w:szCs w:val="20"/>
                <w:lang w:val="en-GB" w:eastAsia="en-GB"/>
              </w:rPr>
              <w:t>Berane</w:t>
            </w:r>
          </w:p>
        </w:tc>
        <w:tc>
          <w:tcPr>
            <w:tcW w:w="1857"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6</w:t>
            </w:r>
          </w:p>
        </w:tc>
        <w:tc>
          <w:tcPr>
            <w:tcW w:w="1858"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581.575,86</w:t>
            </w:r>
          </w:p>
        </w:tc>
        <w:tc>
          <w:tcPr>
            <w:tcW w:w="1858"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3</w:t>
            </w:r>
          </w:p>
        </w:tc>
        <w:tc>
          <w:tcPr>
            <w:tcW w:w="1858"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396.788,82</w:t>
            </w:r>
          </w:p>
        </w:tc>
      </w:tr>
      <w:tr w:rsidR="003611CF" w:rsidRPr="003611CF" w:rsidTr="003611CF">
        <w:trPr>
          <w:jc w:val="center"/>
        </w:trPr>
        <w:tc>
          <w:tcPr>
            <w:tcW w:w="1857" w:type="dxa"/>
            <w:shd w:val="clear" w:color="auto" w:fill="FDE9D9"/>
          </w:tcPr>
          <w:p w:rsidR="003611CF" w:rsidRPr="003611CF" w:rsidRDefault="003611CF" w:rsidP="003611CF">
            <w:pPr>
              <w:spacing w:before="0" w:after="0" w:line="240" w:lineRule="auto"/>
              <w:jc w:val="left"/>
              <w:rPr>
                <w:rFonts w:ascii="Arial" w:eastAsia="Calibri" w:hAnsi="Arial" w:cs="Arial"/>
                <w:b/>
                <w:bCs/>
                <w:color w:val="000000"/>
                <w:sz w:val="20"/>
                <w:szCs w:val="20"/>
                <w:lang w:val="en-GB" w:eastAsia="en-GB"/>
              </w:rPr>
            </w:pPr>
            <w:r w:rsidRPr="003611CF">
              <w:rPr>
                <w:rFonts w:ascii="Arial" w:eastAsia="Calibri" w:hAnsi="Arial" w:cs="Arial"/>
                <w:b/>
                <w:bCs/>
                <w:color w:val="000000"/>
                <w:sz w:val="20"/>
                <w:szCs w:val="20"/>
                <w:lang w:val="en-GB" w:eastAsia="en-GB"/>
              </w:rPr>
              <w:t>Ukupno</w:t>
            </w:r>
          </w:p>
        </w:tc>
        <w:tc>
          <w:tcPr>
            <w:tcW w:w="1857"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b/>
                <w:bCs/>
                <w:sz w:val="20"/>
                <w:lang w:val="en-GB"/>
              </w:rPr>
            </w:pPr>
            <w:r w:rsidRPr="003611CF">
              <w:rPr>
                <w:rFonts w:ascii="Arial" w:eastAsia="Times New Roman" w:hAnsi="Arial" w:cs="Arial"/>
                <w:b/>
                <w:bCs/>
                <w:sz w:val="20"/>
                <w:lang w:val="en-GB"/>
              </w:rPr>
              <w:t>544</w:t>
            </w:r>
          </w:p>
        </w:tc>
        <w:tc>
          <w:tcPr>
            <w:tcW w:w="1858"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b/>
                <w:bCs/>
                <w:sz w:val="20"/>
                <w:lang w:val="en-GB"/>
              </w:rPr>
            </w:pPr>
            <w:r w:rsidRPr="003611CF">
              <w:rPr>
                <w:rFonts w:ascii="Arial" w:eastAsia="Times New Roman" w:hAnsi="Arial" w:cs="Arial"/>
                <w:b/>
                <w:bCs/>
                <w:sz w:val="20"/>
                <w:lang w:val="en-GB"/>
              </w:rPr>
              <w:t>11.117.323,30</w:t>
            </w:r>
          </w:p>
        </w:tc>
        <w:tc>
          <w:tcPr>
            <w:tcW w:w="1858"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b/>
                <w:bCs/>
                <w:sz w:val="20"/>
                <w:lang w:val="en-GB"/>
              </w:rPr>
            </w:pPr>
            <w:r w:rsidRPr="003611CF">
              <w:rPr>
                <w:rFonts w:ascii="Arial" w:eastAsia="Times New Roman" w:hAnsi="Arial" w:cs="Arial"/>
                <w:b/>
                <w:bCs/>
                <w:sz w:val="20"/>
                <w:lang w:val="en-GB"/>
              </w:rPr>
              <w:t>444</w:t>
            </w:r>
          </w:p>
        </w:tc>
        <w:tc>
          <w:tcPr>
            <w:tcW w:w="1858"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b/>
                <w:bCs/>
                <w:sz w:val="20"/>
                <w:lang w:val="en-GB"/>
              </w:rPr>
            </w:pPr>
            <w:r w:rsidRPr="003611CF">
              <w:rPr>
                <w:rFonts w:ascii="Arial" w:eastAsia="Times New Roman" w:hAnsi="Arial" w:cs="Arial"/>
                <w:b/>
                <w:bCs/>
                <w:sz w:val="20"/>
                <w:lang w:val="en-GB"/>
              </w:rPr>
              <w:t>8.254.018,34</w:t>
            </w:r>
          </w:p>
        </w:tc>
      </w:tr>
    </w:tbl>
    <w:p w:rsidR="003611CF" w:rsidRPr="003611CF" w:rsidRDefault="003611CF" w:rsidP="003611CF">
      <w:pPr>
        <w:spacing w:before="0" w:after="0" w:line="240" w:lineRule="auto"/>
        <w:ind w:firstLine="426"/>
        <w:rPr>
          <w:rFonts w:ascii="Arial" w:eastAsia="Times New Roman" w:hAnsi="Arial" w:cs="Arial"/>
          <w:sz w:val="22"/>
          <w:lang w:val="en-GB"/>
        </w:rPr>
      </w:pPr>
    </w:p>
    <w:p w:rsidR="003611CF" w:rsidRPr="003611CF" w:rsidRDefault="003611CF" w:rsidP="003611CF">
      <w:pPr>
        <w:spacing w:before="0" w:after="0" w:line="240" w:lineRule="auto"/>
        <w:ind w:firstLine="720"/>
        <w:rPr>
          <w:rFonts w:ascii="Calibri" w:eastAsia="Times New Roman" w:hAnsi="Calibri" w:cs="Calibri"/>
          <w:szCs w:val="24"/>
          <w:lang w:val="en-GB"/>
        </w:rPr>
      </w:pPr>
      <w:r w:rsidRPr="003611CF">
        <w:rPr>
          <w:rFonts w:ascii="Calibri" w:eastAsia="Times New Roman" w:hAnsi="Calibri" w:cs="Calibri"/>
          <w:szCs w:val="24"/>
          <w:lang w:val="en-GB"/>
        </w:rPr>
        <w:t xml:space="preserve">U Odsijeku za utvrđivanje i naplatu poreskih obaveza sačinjavaju se Izvještaji o koncesionim naknadama. </w:t>
      </w:r>
    </w:p>
    <w:p w:rsidR="003611CF" w:rsidRPr="003611CF" w:rsidRDefault="003611CF" w:rsidP="003611CF">
      <w:pPr>
        <w:autoSpaceDE w:val="0"/>
        <w:autoSpaceDN w:val="0"/>
        <w:adjustRightInd w:val="0"/>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 xml:space="preserve">Sektor za operativu u oblasti naplate u Odsjeku za utvrđivanje i naplatu poreskih obaveza od strane nadležnih organa dostavljana su rješenja po osnovu koncesionih naknada. Na osnovu istih evidentirana je obaveza u poreskom knjigovodstvu. Službenici Odsijeka za naplatu bili su u obavezi da Rješenja evidentiraju i da iste dostavljaju nadležnim područnim jedinicama, koje su u obavezi da u slučaju neizmirenja dospjelih poreskih obaveza po osnovu koncesionih naknada, preduzimaju mjere prinudne naplate. </w:t>
      </w:r>
    </w:p>
    <w:p w:rsidR="003611CF" w:rsidRPr="003611CF" w:rsidRDefault="003611CF" w:rsidP="003611CF">
      <w:pPr>
        <w:autoSpaceDE w:val="0"/>
        <w:autoSpaceDN w:val="0"/>
        <w:adjustRightInd w:val="0"/>
        <w:spacing w:before="0" w:after="0" w:line="240" w:lineRule="auto"/>
        <w:rPr>
          <w:rFonts w:ascii="Calibri" w:eastAsia="Times New Roman" w:hAnsi="Calibri" w:cs="Calibri"/>
          <w:szCs w:val="24"/>
          <w:lang w:val="en-GB"/>
        </w:rPr>
      </w:pPr>
      <w:r w:rsidRPr="003611CF">
        <w:rPr>
          <w:rFonts w:ascii="Calibri" w:eastAsia="Times New Roman" w:hAnsi="Calibri" w:cs="Calibri"/>
          <w:b/>
          <w:szCs w:val="24"/>
          <w:lang w:val="en-GB"/>
        </w:rPr>
        <w:tab/>
      </w:r>
      <w:r w:rsidRPr="003611CF">
        <w:rPr>
          <w:rFonts w:ascii="Calibri" w:eastAsia="Times New Roman" w:hAnsi="Calibri" w:cs="Calibri"/>
          <w:szCs w:val="24"/>
          <w:lang w:val="en-GB"/>
        </w:rPr>
        <w:t>U Odsjeku za utvrđivanje i naplatu poreskih obaveza u izvještajnom periodu dostavljana su rješenja od naležnih organa po osnovu koncesionih naknada i to:</w:t>
      </w:r>
    </w:p>
    <w:p w:rsidR="003611CF" w:rsidRPr="003611CF" w:rsidRDefault="003611CF" w:rsidP="004D6CB4">
      <w:pPr>
        <w:numPr>
          <w:ilvl w:val="0"/>
          <w:numId w:val="132"/>
        </w:numPr>
        <w:autoSpaceDE w:val="0"/>
        <w:autoSpaceDN w:val="0"/>
        <w:adjustRightInd w:val="0"/>
        <w:spacing w:before="0" w:after="0" w:line="240" w:lineRule="auto"/>
        <w:ind w:left="0" w:firstLine="360"/>
        <w:jc w:val="left"/>
        <w:rPr>
          <w:rFonts w:ascii="Calibri" w:eastAsia="Times New Roman" w:hAnsi="Calibri" w:cs="Calibri"/>
          <w:bCs/>
          <w:szCs w:val="24"/>
          <w:lang w:val="en-GB"/>
        </w:rPr>
      </w:pPr>
      <w:r w:rsidRPr="003611CF">
        <w:rPr>
          <w:rFonts w:ascii="Calibri" w:eastAsia="Times New Roman" w:hAnsi="Calibri" w:cs="Calibri"/>
          <w:szCs w:val="24"/>
          <w:lang w:val="en-GB"/>
        </w:rPr>
        <w:t xml:space="preserve">Od Uprave za šume dostavljeno je </w:t>
      </w:r>
      <w:r w:rsidRPr="003611CF">
        <w:rPr>
          <w:rFonts w:ascii="Calibri" w:eastAsia="Times New Roman" w:hAnsi="Calibri" w:cs="Calibri"/>
          <w:bCs/>
          <w:szCs w:val="24"/>
          <w:lang w:val="en-GB"/>
        </w:rPr>
        <w:t>228</w:t>
      </w:r>
      <w:r w:rsidRPr="003611CF">
        <w:rPr>
          <w:rFonts w:ascii="Calibri" w:eastAsia="Times New Roman" w:hAnsi="Calibri" w:cs="Calibri"/>
          <w:szCs w:val="24"/>
          <w:lang w:val="en-GB"/>
        </w:rPr>
        <w:t xml:space="preserve"> rješenja po kojima je izvršeno evidentiranje obaveza u poreskom knjigovodstvu u iznosu od </w:t>
      </w:r>
      <w:r w:rsidRPr="003611CF">
        <w:rPr>
          <w:rFonts w:ascii="Calibri" w:eastAsia="Times New Roman" w:hAnsi="Calibri" w:cs="Calibri"/>
          <w:bCs/>
          <w:szCs w:val="24"/>
          <w:lang w:val="en-GB"/>
        </w:rPr>
        <w:t>5.411.714,06€, naplaćeno je 6.320.972,31€.</w:t>
      </w:r>
    </w:p>
    <w:p w:rsidR="003611CF" w:rsidRPr="003611CF" w:rsidRDefault="003611CF" w:rsidP="004D6CB4">
      <w:pPr>
        <w:numPr>
          <w:ilvl w:val="0"/>
          <w:numId w:val="132"/>
        </w:numPr>
        <w:spacing w:before="0" w:after="0" w:line="240" w:lineRule="auto"/>
        <w:ind w:left="0" w:firstLine="360"/>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 xml:space="preserve">Od Uprave za vode dostavljeno je 58 konačnih rješenja  po osnovu naknada za korišćenje voda, 43 konačnih rješenja po osnovu naknada za zaštitu  voda od zagađenja; 8 konačnih rješenja po osnovu naknada za izvađeni material iz vodotoka </w:t>
      </w:r>
    </w:p>
    <w:p w:rsidR="003611CF" w:rsidRPr="003611CF" w:rsidRDefault="003611CF" w:rsidP="004D6CB4">
      <w:pPr>
        <w:numPr>
          <w:ilvl w:val="0"/>
          <w:numId w:val="132"/>
        </w:numPr>
        <w:spacing w:before="0" w:after="0" w:line="240" w:lineRule="auto"/>
        <w:ind w:left="0" w:firstLine="360"/>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 xml:space="preserve">Odrađeno 17 ručnih naloga za naknade za vode na osnovu dostavljenih rješenja, i ista su proslijeđena područnim jedinicama. </w:t>
      </w:r>
    </w:p>
    <w:p w:rsidR="003611CF" w:rsidRPr="003611CF" w:rsidRDefault="003611CF" w:rsidP="004D6CB4">
      <w:pPr>
        <w:numPr>
          <w:ilvl w:val="0"/>
          <w:numId w:val="132"/>
        </w:numPr>
        <w:spacing w:before="0" w:after="0" w:line="240" w:lineRule="auto"/>
        <w:ind w:left="0" w:firstLine="360"/>
        <w:jc w:val="left"/>
        <w:rPr>
          <w:rFonts w:ascii="Calibri" w:eastAsia="Calibri" w:hAnsi="Calibri" w:cs="Calibri"/>
          <w:szCs w:val="24"/>
          <w:lang w:val="hr-HR"/>
        </w:rPr>
      </w:pPr>
      <w:r w:rsidRPr="003611CF">
        <w:rPr>
          <w:rFonts w:ascii="Calibri" w:eastAsia="Calibri" w:hAnsi="Calibri" w:cs="Calibri"/>
          <w:szCs w:val="24"/>
          <w:lang w:val="hr-HR"/>
        </w:rPr>
        <w:t xml:space="preserve">Od Uprave za vode dostavljeno je 52 privremenih rješenja po osnovu naknada za korišćenje voda, 30 privremenih rješenja po osnovu naknada za zaštitu voda od zagađivanja. Odrađeno 16 ručnih naloga za naknade za vode na osnovu dostavljenih rješenja, i ista su proslijeđena područnim jedinicama. </w:t>
      </w:r>
    </w:p>
    <w:p w:rsidR="003611CF" w:rsidRPr="003611CF" w:rsidRDefault="003611CF" w:rsidP="004D6CB4">
      <w:pPr>
        <w:numPr>
          <w:ilvl w:val="0"/>
          <w:numId w:val="132"/>
        </w:numPr>
        <w:spacing w:before="0" w:after="0" w:line="240" w:lineRule="auto"/>
        <w:ind w:left="0" w:firstLine="360"/>
        <w:jc w:val="left"/>
        <w:rPr>
          <w:rFonts w:ascii="Calibri" w:eastAsia="Calibri" w:hAnsi="Calibri" w:cs="Calibri"/>
          <w:szCs w:val="24"/>
          <w:lang w:val="hr-HR"/>
        </w:rPr>
      </w:pPr>
      <w:r w:rsidRPr="003611CF">
        <w:rPr>
          <w:rFonts w:ascii="Calibri" w:eastAsia="Calibri" w:hAnsi="Calibri" w:cs="Calibri"/>
          <w:szCs w:val="24"/>
          <w:lang w:val="hr-HR"/>
        </w:rPr>
        <w:t>Od Uprave za vode dostavljena su 2 privremena rješenja po osnovu naknada za izvađeni materijal iz vodotoka.</w:t>
      </w:r>
    </w:p>
    <w:p w:rsidR="003611CF" w:rsidRPr="003611CF" w:rsidRDefault="003611CF" w:rsidP="004D6CB4">
      <w:pPr>
        <w:numPr>
          <w:ilvl w:val="0"/>
          <w:numId w:val="132"/>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Od Ministarstva ekonomije dostavljeno je 168 rješenja po osnovu koncesionih naknada za eksploataciju vodnog energetskog potencijala u energetskom objektu male hidroelektrane;</w:t>
      </w:r>
    </w:p>
    <w:p w:rsidR="003611CF" w:rsidRPr="003611CF" w:rsidRDefault="003611CF" w:rsidP="004D6CB4">
      <w:pPr>
        <w:numPr>
          <w:ilvl w:val="0"/>
          <w:numId w:val="132"/>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Odrađeno je 171 ručnih naloga za zaduženje po osnovu naknade za eksploataciju  vodnog energetskog potencijala, kao i prosleđivanje rješenja Ministarstva ekonomije o naknadama  područnim jedinicama.</w:t>
      </w:r>
    </w:p>
    <w:p w:rsidR="003611CF" w:rsidRPr="003611CF" w:rsidRDefault="003611CF" w:rsidP="004D6CB4">
      <w:pPr>
        <w:numPr>
          <w:ilvl w:val="0"/>
          <w:numId w:val="132"/>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Od Uprave za ugljovodonike dostavljena su 3 rješenja po osnovu naknade za površinu.</w:t>
      </w:r>
    </w:p>
    <w:p w:rsidR="003611CF" w:rsidRPr="003611CF" w:rsidRDefault="003611CF" w:rsidP="004D6CB4">
      <w:pPr>
        <w:numPr>
          <w:ilvl w:val="0"/>
          <w:numId w:val="132"/>
        </w:numPr>
        <w:spacing w:before="0" w:after="0" w:line="240" w:lineRule="auto"/>
        <w:ind w:left="0" w:firstLine="360"/>
        <w:jc w:val="left"/>
        <w:rPr>
          <w:rFonts w:ascii="Calibri" w:eastAsia="Calibri" w:hAnsi="Calibri" w:cs="Calibri"/>
          <w:szCs w:val="24"/>
          <w:lang w:val="hr-HR"/>
        </w:rPr>
      </w:pPr>
      <w:r w:rsidRPr="003611CF">
        <w:rPr>
          <w:rFonts w:ascii="Calibri" w:eastAsia="Calibri" w:hAnsi="Calibri" w:cs="Calibri"/>
          <w:szCs w:val="24"/>
          <w:lang w:val="hr-HR"/>
        </w:rPr>
        <w:t xml:space="preserve">Ministarstvo ekonomije dostavilo je </w:t>
      </w:r>
      <w:r w:rsidRPr="003611CF">
        <w:rPr>
          <w:rFonts w:ascii="Calibri" w:eastAsia="Calibri" w:hAnsi="Calibri" w:cs="Calibri"/>
          <w:bCs/>
          <w:szCs w:val="24"/>
          <w:lang w:val="hr-HR"/>
        </w:rPr>
        <w:t xml:space="preserve"> 52</w:t>
      </w:r>
      <w:r w:rsidRPr="003611CF">
        <w:rPr>
          <w:rFonts w:ascii="Calibri" w:eastAsia="Calibri" w:hAnsi="Calibri" w:cs="Calibri"/>
          <w:szCs w:val="24"/>
          <w:lang w:val="hr-HR"/>
        </w:rPr>
        <w:t xml:space="preserve">  ugovora,  </w:t>
      </w:r>
      <w:r w:rsidRPr="003611CF">
        <w:rPr>
          <w:rFonts w:ascii="Calibri" w:eastAsia="Calibri" w:hAnsi="Calibri" w:cs="Calibri"/>
          <w:bCs/>
          <w:szCs w:val="24"/>
          <w:lang w:val="hr-HR"/>
        </w:rPr>
        <w:t xml:space="preserve">24 </w:t>
      </w:r>
      <w:r w:rsidRPr="003611CF">
        <w:rPr>
          <w:rFonts w:ascii="Calibri" w:eastAsia="Calibri" w:hAnsi="Calibri" w:cs="Calibri"/>
          <w:szCs w:val="24"/>
          <w:lang w:val="hr-HR"/>
        </w:rPr>
        <w:t>Aneks ugovora i 92</w:t>
      </w:r>
      <w:r w:rsidRPr="003611CF">
        <w:rPr>
          <w:rFonts w:ascii="Calibri" w:eastAsia="Calibri" w:hAnsi="Calibri" w:cs="Calibri"/>
          <w:bCs/>
          <w:szCs w:val="24"/>
          <w:lang w:val="hr-HR"/>
        </w:rPr>
        <w:t xml:space="preserve"> </w:t>
      </w:r>
      <w:r w:rsidRPr="003611CF">
        <w:rPr>
          <w:rFonts w:ascii="Calibri" w:eastAsia="Calibri" w:hAnsi="Calibri" w:cs="Calibri"/>
          <w:szCs w:val="24"/>
          <w:lang w:val="hr-HR"/>
        </w:rPr>
        <w:t xml:space="preserve">rješenja. Odrađene su specifikacije za  storniranje zaduženja za fiksni i promjenljivi dio koncesione naknade u iznosu od </w:t>
      </w:r>
      <w:r w:rsidRPr="003611CF">
        <w:rPr>
          <w:rFonts w:ascii="Calibri" w:eastAsia="Calibri" w:hAnsi="Calibri" w:cs="Calibri"/>
          <w:bCs/>
          <w:szCs w:val="24"/>
          <w:lang w:val="hr-HR"/>
        </w:rPr>
        <w:t>150.358,27€. Odrađena su zaduženja po osnovu promjenljivog dijela koncesione naknade za korišćenje mineralnih sirovina za 2019.godinu i fiksni dio za 2020. godinu na iznos od 3.884.383,85€.</w:t>
      </w:r>
    </w:p>
    <w:p w:rsidR="003611CF" w:rsidRPr="003611CF" w:rsidRDefault="003611CF" w:rsidP="004D6CB4">
      <w:pPr>
        <w:numPr>
          <w:ilvl w:val="0"/>
          <w:numId w:val="132"/>
        </w:numPr>
        <w:spacing w:before="0" w:after="0" w:line="240" w:lineRule="auto"/>
        <w:ind w:left="0" w:firstLine="360"/>
        <w:jc w:val="left"/>
        <w:rPr>
          <w:rFonts w:ascii="Calibri" w:eastAsia="Calibri" w:hAnsi="Calibri" w:cs="Calibri"/>
          <w:szCs w:val="24"/>
          <w:lang w:val="hr-HR"/>
        </w:rPr>
      </w:pPr>
      <w:r w:rsidRPr="003611CF">
        <w:rPr>
          <w:rFonts w:ascii="Calibri" w:eastAsia="Calibri" w:hAnsi="Calibri" w:cs="Calibri"/>
          <w:szCs w:val="24"/>
          <w:lang w:val="hr-HR"/>
        </w:rPr>
        <w:t xml:space="preserve">Lučka Uprava dostavila je </w:t>
      </w:r>
      <w:r w:rsidRPr="003611CF">
        <w:rPr>
          <w:rFonts w:ascii="Calibri" w:eastAsia="Calibri" w:hAnsi="Calibri" w:cs="Calibri"/>
          <w:bCs/>
          <w:szCs w:val="24"/>
          <w:lang w:val="hr-HR"/>
        </w:rPr>
        <w:t>4</w:t>
      </w:r>
      <w:r w:rsidRPr="003611CF">
        <w:rPr>
          <w:rFonts w:ascii="Calibri" w:eastAsia="Calibri" w:hAnsi="Calibri" w:cs="Calibri"/>
          <w:szCs w:val="24"/>
          <w:lang w:val="hr-HR"/>
        </w:rPr>
        <w:t xml:space="preserve"> ugovora  i </w:t>
      </w:r>
      <w:r w:rsidRPr="003611CF">
        <w:rPr>
          <w:rFonts w:ascii="Calibri" w:eastAsia="Calibri" w:hAnsi="Calibri" w:cs="Calibri"/>
          <w:bCs/>
          <w:szCs w:val="24"/>
          <w:lang w:val="hr-HR"/>
        </w:rPr>
        <w:t>16</w:t>
      </w:r>
      <w:r w:rsidRPr="003611CF">
        <w:rPr>
          <w:rFonts w:ascii="Calibri" w:eastAsia="Calibri" w:hAnsi="Calibri" w:cs="Calibri"/>
          <w:szCs w:val="24"/>
          <w:lang w:val="hr-HR"/>
        </w:rPr>
        <w:t xml:space="preserve"> rješenja po osnovu  koncesione naknade za korišćenja koncesionog područja. Odrađene specifikacije za zaduženje na iznos od 1.337.126,25</w:t>
      </w:r>
      <w:r w:rsidRPr="003611CF">
        <w:rPr>
          <w:rFonts w:ascii="Calibri" w:eastAsia="Calibri" w:hAnsi="Calibri" w:cs="Calibri"/>
          <w:bCs/>
          <w:szCs w:val="24"/>
          <w:lang w:val="hr-HR"/>
        </w:rPr>
        <w:t xml:space="preserve">€  i </w:t>
      </w:r>
      <w:r w:rsidRPr="003611CF">
        <w:rPr>
          <w:rFonts w:ascii="Calibri" w:eastAsia="Calibri" w:hAnsi="Calibri" w:cs="Calibri"/>
          <w:szCs w:val="24"/>
          <w:lang w:val="hr-HR"/>
        </w:rPr>
        <w:t>naplaćeno  1.251.230,30€.</w:t>
      </w:r>
    </w:p>
    <w:p w:rsidR="003611CF" w:rsidRPr="003611CF" w:rsidRDefault="003611CF" w:rsidP="004D6CB4">
      <w:pPr>
        <w:numPr>
          <w:ilvl w:val="0"/>
          <w:numId w:val="132"/>
        </w:numPr>
        <w:spacing w:before="0" w:after="0" w:line="240" w:lineRule="auto"/>
        <w:ind w:left="0" w:firstLine="360"/>
        <w:jc w:val="left"/>
        <w:rPr>
          <w:rFonts w:ascii="Calibri" w:eastAsia="Calibri" w:hAnsi="Calibri" w:cs="Calibri"/>
          <w:szCs w:val="24"/>
          <w:lang w:val="hr-HR"/>
        </w:rPr>
      </w:pPr>
      <w:r w:rsidRPr="003611CF">
        <w:rPr>
          <w:rFonts w:ascii="Calibri" w:eastAsia="Calibri" w:hAnsi="Calibri" w:cs="Calibri"/>
          <w:szCs w:val="24"/>
          <w:lang w:val="hr-HR"/>
        </w:rPr>
        <w:t>Uprava za igre na sreću Podgorica, dostavila je ugovore, aneks ugovore i odjave o koncesionoj naknadi za posebne igre na sreću i to: kladionice 2579</w:t>
      </w:r>
      <w:r w:rsidRPr="003611CF">
        <w:rPr>
          <w:rFonts w:ascii="Calibri" w:eastAsia="Calibri" w:hAnsi="Calibri" w:cs="Calibri"/>
          <w:bCs/>
          <w:szCs w:val="24"/>
          <w:lang w:val="hr-HR"/>
        </w:rPr>
        <w:t>,</w:t>
      </w:r>
      <w:r w:rsidRPr="003611CF">
        <w:rPr>
          <w:rFonts w:ascii="Calibri" w:eastAsia="Calibri" w:hAnsi="Calibri" w:cs="Calibri"/>
          <w:szCs w:val="24"/>
          <w:lang w:val="hr-HR"/>
        </w:rPr>
        <w:t xml:space="preserve"> automate </w:t>
      </w:r>
      <w:r w:rsidRPr="003611CF">
        <w:rPr>
          <w:rFonts w:ascii="Calibri" w:eastAsia="Calibri" w:hAnsi="Calibri" w:cs="Calibri"/>
          <w:bCs/>
          <w:szCs w:val="24"/>
          <w:lang w:val="hr-HR"/>
        </w:rPr>
        <w:t>1919.</w:t>
      </w:r>
      <w:r w:rsidRPr="003611CF">
        <w:rPr>
          <w:rFonts w:ascii="Calibri" w:eastAsia="Calibri" w:hAnsi="Calibri" w:cs="Calibri"/>
          <w:szCs w:val="24"/>
          <w:lang w:val="hr-HR"/>
        </w:rPr>
        <w:t xml:space="preserve"> Za kazina </w:t>
      </w:r>
      <w:r w:rsidRPr="003611CF">
        <w:rPr>
          <w:rFonts w:ascii="Calibri" w:eastAsia="Calibri" w:hAnsi="Calibri" w:cs="Calibri"/>
          <w:szCs w:val="24"/>
          <w:lang w:val="hr-HR"/>
        </w:rPr>
        <w:lastRenderedPageBreak/>
        <w:t xml:space="preserve">dostavljeno je </w:t>
      </w:r>
      <w:r w:rsidRPr="003611CF">
        <w:rPr>
          <w:rFonts w:ascii="Calibri" w:eastAsia="Calibri" w:hAnsi="Calibri" w:cs="Calibri"/>
          <w:bCs/>
          <w:szCs w:val="24"/>
          <w:lang w:val="hr-HR"/>
        </w:rPr>
        <w:t>5</w:t>
      </w:r>
      <w:r w:rsidRPr="003611CF">
        <w:rPr>
          <w:rFonts w:ascii="Calibri" w:eastAsia="Calibri" w:hAnsi="Calibri" w:cs="Calibri"/>
          <w:szCs w:val="24"/>
          <w:lang w:val="hr-HR"/>
        </w:rPr>
        <w:t xml:space="preserve"> ugovora, i 50 izvještaja po osnovu varijabilne koncesione naknade. U izvještajnom periodu odrađena su i rješenja za automate 89,  kladionice 62, klađenje putem interneta i drugih telekomunikacionih sredstava 60 i za kazina 20.Po svim rješenjima rađene su specifikacije za storno zaduženje. Rješenja o umanjenom obračunu koncesione naknade za mart , april i maj, odrađena su zbog novonastale situacije covida 19. </w:t>
      </w:r>
    </w:p>
    <w:p w:rsidR="003611CF" w:rsidRPr="003611CF" w:rsidRDefault="003611CF" w:rsidP="004D6CB4">
      <w:pPr>
        <w:numPr>
          <w:ilvl w:val="0"/>
          <w:numId w:val="132"/>
        </w:numPr>
        <w:spacing w:before="0" w:after="0" w:line="240" w:lineRule="auto"/>
        <w:ind w:left="0" w:firstLine="360"/>
        <w:jc w:val="left"/>
        <w:rPr>
          <w:rFonts w:ascii="Calibri" w:eastAsia="Calibri" w:hAnsi="Calibri" w:cs="Calibri"/>
          <w:bCs/>
          <w:szCs w:val="24"/>
          <w:lang w:val="hr-HR"/>
        </w:rPr>
      </w:pPr>
      <w:r w:rsidRPr="003611CF">
        <w:rPr>
          <w:rFonts w:ascii="Calibri" w:eastAsia="Calibri" w:hAnsi="Calibri" w:cs="Calibri"/>
          <w:szCs w:val="24"/>
          <w:lang w:val="hr-HR"/>
        </w:rPr>
        <w:t xml:space="preserve">Za lutrijske igre na sreću dostavljaju se tabelarni izvještaji za 4 poreskih obveznika mjesečno. Odrađeno </w:t>
      </w:r>
      <w:r w:rsidRPr="003611CF">
        <w:rPr>
          <w:rFonts w:ascii="Calibri" w:eastAsia="Calibri" w:hAnsi="Calibri" w:cs="Calibri"/>
          <w:bCs/>
          <w:szCs w:val="24"/>
          <w:lang w:val="hr-HR"/>
        </w:rPr>
        <w:t>40</w:t>
      </w:r>
      <w:r w:rsidRPr="003611CF">
        <w:rPr>
          <w:rFonts w:ascii="Calibri" w:eastAsia="Calibri" w:hAnsi="Calibri" w:cs="Calibri"/>
          <w:szCs w:val="24"/>
          <w:lang w:val="hr-HR"/>
        </w:rPr>
        <w:t xml:space="preserve"> specifikacija o zaduženju na iznos od </w:t>
      </w:r>
      <w:r w:rsidRPr="003611CF">
        <w:rPr>
          <w:rFonts w:ascii="Calibri" w:eastAsia="Calibri" w:hAnsi="Calibri" w:cs="Calibri"/>
          <w:bCs/>
          <w:szCs w:val="24"/>
          <w:lang w:val="hr-HR"/>
        </w:rPr>
        <w:t>34.197,19€</w:t>
      </w:r>
      <w:r w:rsidRPr="003611CF">
        <w:rPr>
          <w:rFonts w:ascii="Calibri" w:eastAsia="Calibri" w:hAnsi="Calibri" w:cs="Calibri"/>
          <w:szCs w:val="24"/>
          <w:lang w:val="hr-HR"/>
        </w:rPr>
        <w:t xml:space="preserve"> i za isti period naplaćeno je </w:t>
      </w:r>
      <w:r w:rsidRPr="003611CF">
        <w:rPr>
          <w:rFonts w:ascii="Calibri" w:eastAsia="Calibri" w:hAnsi="Calibri" w:cs="Calibri"/>
          <w:bCs/>
          <w:szCs w:val="24"/>
          <w:lang w:val="hr-HR"/>
        </w:rPr>
        <w:t xml:space="preserve">38.076,16€. </w:t>
      </w:r>
    </w:p>
    <w:p w:rsidR="003611CF" w:rsidRPr="003611CF" w:rsidRDefault="003611CF" w:rsidP="004D6CB4">
      <w:pPr>
        <w:numPr>
          <w:ilvl w:val="0"/>
          <w:numId w:val="132"/>
        </w:numPr>
        <w:spacing w:before="0" w:after="0" w:line="240" w:lineRule="auto"/>
        <w:ind w:left="0" w:firstLine="360"/>
        <w:jc w:val="left"/>
        <w:rPr>
          <w:rFonts w:ascii="Calibri" w:eastAsia="Calibri" w:hAnsi="Calibri" w:cs="Calibri"/>
          <w:szCs w:val="24"/>
          <w:lang w:val="hr-HR"/>
        </w:rPr>
      </w:pPr>
      <w:r w:rsidRPr="003611CF">
        <w:rPr>
          <w:rFonts w:ascii="Calibri" w:eastAsia="Calibri" w:hAnsi="Calibri" w:cs="Calibri"/>
          <w:szCs w:val="24"/>
          <w:lang w:val="hr-HR"/>
        </w:rPr>
        <w:t xml:space="preserve">Za nagradne igre na sreću dostavljeno je </w:t>
      </w:r>
      <w:r w:rsidRPr="003611CF">
        <w:rPr>
          <w:rFonts w:ascii="Calibri" w:eastAsia="Calibri" w:hAnsi="Calibri" w:cs="Calibri"/>
          <w:bCs/>
          <w:szCs w:val="24"/>
          <w:lang w:val="hr-HR"/>
        </w:rPr>
        <w:t>54</w:t>
      </w:r>
      <w:r w:rsidRPr="003611CF">
        <w:rPr>
          <w:rFonts w:ascii="Calibri" w:eastAsia="Calibri" w:hAnsi="Calibri" w:cs="Calibri"/>
          <w:szCs w:val="24"/>
          <w:lang w:val="hr-HR"/>
        </w:rPr>
        <w:t xml:space="preserve"> rješenja i odrađen isti broj specifikacija za zaduženje sve obaveze izmirene u iznosu od 26.735,10€.</w:t>
      </w:r>
    </w:p>
    <w:p w:rsidR="003611CF" w:rsidRPr="003611CF" w:rsidRDefault="003611CF" w:rsidP="004D6CB4">
      <w:pPr>
        <w:numPr>
          <w:ilvl w:val="0"/>
          <w:numId w:val="132"/>
        </w:numPr>
        <w:spacing w:before="0" w:after="0" w:line="240" w:lineRule="auto"/>
        <w:ind w:left="0" w:firstLine="360"/>
        <w:jc w:val="left"/>
        <w:rPr>
          <w:rFonts w:ascii="Calibri" w:eastAsia="Calibri" w:hAnsi="Calibri" w:cs="Calibri"/>
          <w:bCs/>
          <w:szCs w:val="24"/>
          <w:lang w:val="hr-HR"/>
        </w:rPr>
      </w:pPr>
      <w:r w:rsidRPr="003611CF">
        <w:rPr>
          <w:rFonts w:ascii="Calibri" w:eastAsia="Calibri" w:hAnsi="Calibri" w:cs="Calibri"/>
          <w:bCs/>
          <w:szCs w:val="24"/>
          <w:lang w:val="hr-HR"/>
        </w:rPr>
        <w:t>Za period januar - decembar 2020. godine</w:t>
      </w:r>
      <w:r w:rsidRPr="003611CF">
        <w:rPr>
          <w:rFonts w:ascii="Calibri" w:eastAsia="Calibri" w:hAnsi="Calibri" w:cs="Calibri"/>
          <w:szCs w:val="24"/>
          <w:lang w:val="hr-HR"/>
        </w:rPr>
        <w:t xml:space="preserve"> zaduženo je </w:t>
      </w:r>
      <w:r w:rsidRPr="003611CF">
        <w:rPr>
          <w:rFonts w:ascii="Calibri" w:eastAsia="Calibri" w:hAnsi="Calibri" w:cs="Calibri"/>
          <w:bCs/>
          <w:szCs w:val="24"/>
          <w:lang w:val="hr-HR"/>
        </w:rPr>
        <w:t>19</w:t>
      </w:r>
      <w:r w:rsidRPr="003611CF">
        <w:rPr>
          <w:rFonts w:ascii="Calibri" w:eastAsia="Calibri" w:hAnsi="Calibri" w:cs="Calibri"/>
          <w:szCs w:val="24"/>
          <w:lang w:val="hr-HR"/>
        </w:rPr>
        <w:t xml:space="preserve"> pravnih lica koja obavljaju kladioničarske igre na </w:t>
      </w:r>
      <w:r w:rsidRPr="003611CF">
        <w:rPr>
          <w:rFonts w:ascii="Calibri" w:eastAsia="Calibri" w:hAnsi="Calibri" w:cs="Calibri"/>
          <w:bCs/>
          <w:szCs w:val="24"/>
          <w:lang w:val="hr-HR"/>
        </w:rPr>
        <w:t>1.255 /</w:t>
      </w:r>
      <w:r w:rsidRPr="003611CF">
        <w:rPr>
          <w:rFonts w:ascii="Calibri" w:eastAsia="Calibri" w:hAnsi="Calibri" w:cs="Calibri"/>
          <w:szCs w:val="24"/>
          <w:lang w:val="hr-HR"/>
        </w:rPr>
        <w:t xml:space="preserve">prosjek/ lokacija u Crnoj Gori,  </w:t>
      </w:r>
      <w:r w:rsidRPr="003611CF">
        <w:rPr>
          <w:rFonts w:ascii="Calibri" w:eastAsia="Calibri" w:hAnsi="Calibri" w:cs="Calibri"/>
          <w:bCs/>
          <w:szCs w:val="24"/>
          <w:lang w:val="hr-HR"/>
        </w:rPr>
        <w:t xml:space="preserve">25 </w:t>
      </w:r>
      <w:r w:rsidRPr="003611CF">
        <w:rPr>
          <w:rFonts w:ascii="Calibri" w:eastAsia="Calibri" w:hAnsi="Calibri" w:cs="Calibri"/>
          <w:szCs w:val="24"/>
          <w:lang w:val="hr-HR"/>
        </w:rPr>
        <w:t xml:space="preserve">pravnih lica koja obavljaju /prosječno/ igre na sreću na automatima na </w:t>
      </w:r>
      <w:r w:rsidRPr="003611CF">
        <w:rPr>
          <w:rFonts w:ascii="Calibri" w:eastAsia="Calibri" w:hAnsi="Calibri" w:cs="Calibri"/>
          <w:bCs/>
          <w:szCs w:val="24"/>
          <w:lang w:val="hr-HR"/>
        </w:rPr>
        <w:t>230</w:t>
      </w:r>
      <w:r w:rsidRPr="003611CF">
        <w:rPr>
          <w:rFonts w:ascii="Calibri" w:eastAsia="Calibri" w:hAnsi="Calibri" w:cs="Calibri"/>
          <w:szCs w:val="24"/>
          <w:lang w:val="hr-HR"/>
        </w:rPr>
        <w:t xml:space="preserve"> lokaciji u Crnoj Gori na </w:t>
      </w:r>
      <w:r w:rsidRPr="003611CF">
        <w:rPr>
          <w:rFonts w:ascii="Calibri" w:eastAsia="Calibri" w:hAnsi="Calibri" w:cs="Calibri"/>
          <w:bCs/>
          <w:szCs w:val="24"/>
          <w:lang w:val="hr-HR"/>
        </w:rPr>
        <w:t>2.294</w:t>
      </w:r>
      <w:r w:rsidRPr="003611CF">
        <w:rPr>
          <w:rFonts w:ascii="Calibri" w:eastAsia="Calibri" w:hAnsi="Calibri" w:cs="Calibri"/>
          <w:szCs w:val="24"/>
          <w:lang w:val="hr-HR"/>
        </w:rPr>
        <w:t xml:space="preserve"> aparata odnosno igračkih mjesta.</w:t>
      </w:r>
    </w:p>
    <w:p w:rsidR="003611CF" w:rsidRPr="003611CF" w:rsidRDefault="003611CF" w:rsidP="004D6CB4">
      <w:pPr>
        <w:numPr>
          <w:ilvl w:val="0"/>
          <w:numId w:val="132"/>
        </w:numPr>
        <w:spacing w:before="0" w:after="0" w:line="240" w:lineRule="auto"/>
        <w:ind w:left="0" w:firstLine="360"/>
        <w:jc w:val="left"/>
        <w:rPr>
          <w:rFonts w:ascii="Calibri" w:eastAsia="Calibri" w:hAnsi="Calibri" w:cs="Calibri"/>
          <w:bCs/>
          <w:szCs w:val="24"/>
          <w:lang w:val="hr-HR"/>
        </w:rPr>
      </w:pPr>
      <w:r w:rsidRPr="003611CF">
        <w:rPr>
          <w:rFonts w:ascii="Calibri" w:eastAsia="Calibri" w:hAnsi="Calibri" w:cs="Calibri"/>
          <w:szCs w:val="24"/>
          <w:lang w:val="hr-HR"/>
        </w:rPr>
        <w:t xml:space="preserve">Putem terminala za klađenje djelatnost obavlja </w:t>
      </w:r>
      <w:r w:rsidRPr="003611CF">
        <w:rPr>
          <w:rFonts w:ascii="Calibri" w:eastAsia="Calibri" w:hAnsi="Calibri" w:cs="Calibri"/>
          <w:bCs/>
          <w:szCs w:val="24"/>
          <w:lang w:val="hr-HR"/>
        </w:rPr>
        <w:t>15</w:t>
      </w:r>
      <w:r w:rsidRPr="003611CF">
        <w:rPr>
          <w:rFonts w:ascii="Calibri" w:eastAsia="Calibri" w:hAnsi="Calibri" w:cs="Calibri"/>
          <w:szCs w:val="24"/>
          <w:lang w:val="hr-HR"/>
        </w:rPr>
        <w:t xml:space="preserve"> pravnih lica na </w:t>
      </w:r>
      <w:r w:rsidRPr="003611CF">
        <w:rPr>
          <w:rFonts w:ascii="Calibri" w:eastAsia="Calibri" w:hAnsi="Calibri" w:cs="Calibri"/>
          <w:bCs/>
          <w:szCs w:val="24"/>
          <w:lang w:val="hr-HR"/>
        </w:rPr>
        <w:t>20</w:t>
      </w:r>
      <w:r w:rsidRPr="003611CF">
        <w:rPr>
          <w:rFonts w:ascii="Calibri" w:eastAsia="Calibri" w:hAnsi="Calibri" w:cs="Calibri"/>
          <w:szCs w:val="24"/>
          <w:lang w:val="hr-HR"/>
        </w:rPr>
        <w:t xml:space="preserve"> lokacija u Crnoj Gori. Klađenje putem interneta i drugih telekomunukacionih sredstava 10  pravnih lica. </w:t>
      </w:r>
    </w:p>
    <w:p w:rsidR="003611CF" w:rsidRPr="003611CF" w:rsidRDefault="003611CF" w:rsidP="004D6CB4">
      <w:pPr>
        <w:numPr>
          <w:ilvl w:val="0"/>
          <w:numId w:val="132"/>
        </w:numPr>
        <w:spacing w:before="0" w:after="0" w:line="240" w:lineRule="auto"/>
        <w:ind w:left="0" w:firstLine="360"/>
        <w:jc w:val="left"/>
        <w:rPr>
          <w:rFonts w:ascii="Calibri" w:eastAsia="Calibri" w:hAnsi="Calibri" w:cs="Calibri"/>
          <w:bCs/>
          <w:szCs w:val="24"/>
          <w:lang w:val="hr-HR"/>
        </w:rPr>
      </w:pPr>
      <w:r w:rsidRPr="003611CF">
        <w:rPr>
          <w:rFonts w:ascii="Calibri" w:eastAsia="Calibri" w:hAnsi="Calibri" w:cs="Calibri"/>
          <w:szCs w:val="24"/>
          <w:lang w:val="hr-HR"/>
        </w:rPr>
        <w:t xml:space="preserve">Za period </w:t>
      </w:r>
      <w:r w:rsidRPr="003611CF">
        <w:rPr>
          <w:rFonts w:ascii="Calibri" w:eastAsia="Calibri" w:hAnsi="Calibri" w:cs="Calibri"/>
          <w:bCs/>
          <w:szCs w:val="24"/>
          <w:lang w:val="hr-HR"/>
        </w:rPr>
        <w:t>01.01.2020</w:t>
      </w:r>
      <w:r w:rsidRPr="003611CF">
        <w:rPr>
          <w:rFonts w:ascii="Calibri" w:eastAsia="Calibri" w:hAnsi="Calibri" w:cs="Calibri"/>
          <w:szCs w:val="24"/>
          <w:lang w:val="hr-HR"/>
        </w:rPr>
        <w:t xml:space="preserve">. godine do </w:t>
      </w:r>
      <w:r w:rsidRPr="003611CF">
        <w:rPr>
          <w:rFonts w:ascii="Calibri" w:eastAsia="Calibri" w:hAnsi="Calibri" w:cs="Calibri"/>
          <w:bCs/>
          <w:szCs w:val="24"/>
          <w:lang w:val="hr-HR"/>
        </w:rPr>
        <w:t>31.12.2020</w:t>
      </w:r>
      <w:r w:rsidRPr="003611CF">
        <w:rPr>
          <w:rFonts w:ascii="Calibri" w:eastAsia="Calibri" w:hAnsi="Calibri" w:cs="Calibri"/>
          <w:szCs w:val="24"/>
          <w:lang w:val="hr-HR"/>
        </w:rPr>
        <w:t xml:space="preserve">.godine zaduženi su u iznosu od </w:t>
      </w:r>
      <w:r w:rsidRPr="003611CF">
        <w:rPr>
          <w:rFonts w:ascii="Calibri" w:eastAsia="Calibri" w:hAnsi="Calibri" w:cs="Calibri"/>
          <w:bCs/>
          <w:szCs w:val="24"/>
          <w:lang w:val="hr-HR"/>
        </w:rPr>
        <w:t xml:space="preserve">11.980.159,58€. </w:t>
      </w:r>
    </w:p>
    <w:p w:rsidR="003611CF" w:rsidRPr="003611CF" w:rsidRDefault="003611CF" w:rsidP="003611CF">
      <w:pPr>
        <w:spacing w:before="0" w:after="0" w:line="240" w:lineRule="auto"/>
        <w:ind w:left="360"/>
        <w:rPr>
          <w:rFonts w:ascii="Calibri" w:eastAsia="Calibri" w:hAnsi="Calibri" w:cs="Calibri"/>
          <w:bCs/>
          <w:szCs w:val="24"/>
          <w:lang w:val="hr-HR"/>
        </w:rPr>
      </w:pP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U izvještajnom periodu u Odsjeku za utvrđivanje i naplatu poreskih obaveza obrađeno je 2.592 specifikacije i to:</w:t>
      </w:r>
    </w:p>
    <w:tbl>
      <w:tblPr>
        <w:tblW w:w="0" w:type="auto"/>
        <w:jc w:val="center"/>
        <w:tblLook w:val="04A0" w:firstRow="1" w:lastRow="0" w:firstColumn="1" w:lastColumn="0" w:noHBand="0" w:noVBand="1"/>
      </w:tblPr>
      <w:tblGrid>
        <w:gridCol w:w="4644"/>
        <w:gridCol w:w="4644"/>
      </w:tblGrid>
      <w:tr w:rsidR="003611CF" w:rsidRPr="003611CF" w:rsidTr="003611CF">
        <w:trPr>
          <w:jc w:val="center"/>
        </w:trPr>
        <w:tc>
          <w:tcPr>
            <w:tcW w:w="4644" w:type="dxa"/>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Calibri" w:hAnsi="Arial" w:cs="Arial"/>
                <w:bCs/>
                <w:color w:val="FFFFFF"/>
                <w:sz w:val="20"/>
                <w:lang w:val="en-GB" w:eastAsia="en-GB"/>
              </w:rPr>
            </w:pPr>
            <w:r w:rsidRPr="003611CF">
              <w:rPr>
                <w:rFonts w:ascii="Arial" w:eastAsia="Calibri" w:hAnsi="Arial" w:cs="Arial"/>
                <w:bCs/>
                <w:color w:val="FFFFFF"/>
                <w:sz w:val="20"/>
                <w:lang w:val="en-GB" w:eastAsia="en-GB"/>
              </w:rPr>
              <w:t>Specifikacija</w:t>
            </w:r>
          </w:p>
        </w:tc>
        <w:tc>
          <w:tcPr>
            <w:tcW w:w="4644" w:type="dxa"/>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Calibri" w:hAnsi="Arial" w:cs="Arial"/>
                <w:bCs/>
                <w:color w:val="FFFFFF"/>
                <w:sz w:val="20"/>
                <w:lang w:val="en-GB" w:eastAsia="en-GB"/>
              </w:rPr>
            </w:pPr>
            <w:r w:rsidRPr="003611CF">
              <w:rPr>
                <w:rFonts w:ascii="Arial" w:eastAsia="Calibri" w:hAnsi="Arial" w:cs="Arial"/>
                <w:bCs/>
                <w:color w:val="FFFFFF"/>
                <w:sz w:val="20"/>
                <w:lang w:val="en-GB" w:eastAsia="en-GB"/>
              </w:rPr>
              <w:t>Broj specifikacije</w:t>
            </w:r>
          </w:p>
        </w:tc>
      </w:tr>
      <w:tr w:rsidR="003611CF" w:rsidRPr="003611CF" w:rsidTr="003611CF">
        <w:trPr>
          <w:jc w:val="center"/>
        </w:trPr>
        <w:tc>
          <w:tcPr>
            <w:tcW w:w="4644" w:type="dxa"/>
            <w:shd w:val="clear" w:color="auto" w:fill="FDE9D9"/>
          </w:tcPr>
          <w:p w:rsidR="003611CF" w:rsidRPr="003611CF" w:rsidRDefault="003611CF" w:rsidP="003611CF">
            <w:pPr>
              <w:spacing w:before="0" w:after="0" w:line="240" w:lineRule="auto"/>
              <w:jc w:val="left"/>
              <w:rPr>
                <w:rFonts w:ascii="Arial" w:eastAsia="Calibri" w:hAnsi="Arial" w:cs="Arial"/>
                <w:bCs/>
                <w:color w:val="000000"/>
                <w:sz w:val="20"/>
                <w:lang w:val="en-GB" w:eastAsia="en-GB"/>
              </w:rPr>
            </w:pPr>
            <w:r w:rsidRPr="003611CF">
              <w:rPr>
                <w:rFonts w:ascii="Arial" w:eastAsia="Calibri" w:hAnsi="Arial" w:cs="Arial"/>
                <w:bCs/>
                <w:color w:val="000000"/>
                <w:sz w:val="20"/>
                <w:lang w:val="en-GB" w:eastAsia="en-GB"/>
              </w:rPr>
              <w:t>povraćaja PDV-a (SP1)</w:t>
            </w:r>
          </w:p>
        </w:tc>
        <w:tc>
          <w:tcPr>
            <w:tcW w:w="4644" w:type="dxa"/>
            <w:shd w:val="clear" w:color="auto" w:fill="FDE9D9"/>
            <w:vAlign w:val="center"/>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1.202</w:t>
            </w:r>
          </w:p>
        </w:tc>
      </w:tr>
      <w:tr w:rsidR="003611CF" w:rsidRPr="003611CF" w:rsidTr="003611CF">
        <w:trPr>
          <w:jc w:val="center"/>
        </w:trPr>
        <w:tc>
          <w:tcPr>
            <w:tcW w:w="4644" w:type="dxa"/>
            <w:shd w:val="clear" w:color="auto" w:fill="FEF4EC"/>
          </w:tcPr>
          <w:p w:rsidR="003611CF" w:rsidRPr="003611CF" w:rsidRDefault="003611CF" w:rsidP="003611CF">
            <w:pPr>
              <w:spacing w:before="0" w:after="0" w:line="240" w:lineRule="auto"/>
              <w:jc w:val="left"/>
              <w:rPr>
                <w:rFonts w:ascii="Arial" w:eastAsia="Calibri" w:hAnsi="Arial" w:cs="Arial"/>
                <w:bCs/>
                <w:color w:val="000000"/>
                <w:sz w:val="20"/>
                <w:lang w:val="en-GB" w:eastAsia="en-GB"/>
              </w:rPr>
            </w:pPr>
            <w:r w:rsidRPr="003611CF">
              <w:rPr>
                <w:rFonts w:ascii="Arial" w:eastAsia="Calibri" w:hAnsi="Arial" w:cs="Arial"/>
                <w:bCs/>
                <w:color w:val="000000"/>
                <w:sz w:val="20"/>
                <w:lang w:val="en-GB" w:eastAsia="en-GB"/>
              </w:rPr>
              <w:t>preusmjera u starom sistemu (SP3)</w:t>
            </w:r>
          </w:p>
        </w:tc>
        <w:tc>
          <w:tcPr>
            <w:tcW w:w="4644" w:type="dxa"/>
            <w:shd w:val="clear" w:color="auto" w:fill="FEF4EC"/>
            <w:vAlign w:val="center"/>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1.111</w:t>
            </w:r>
          </w:p>
        </w:tc>
      </w:tr>
      <w:tr w:rsidR="003611CF" w:rsidRPr="003611CF" w:rsidTr="003611CF">
        <w:trPr>
          <w:jc w:val="center"/>
        </w:trPr>
        <w:tc>
          <w:tcPr>
            <w:tcW w:w="4644" w:type="dxa"/>
            <w:shd w:val="clear" w:color="auto" w:fill="FDE9D9"/>
          </w:tcPr>
          <w:p w:rsidR="003611CF" w:rsidRPr="003611CF" w:rsidRDefault="003611CF" w:rsidP="003611CF">
            <w:pPr>
              <w:spacing w:before="0" w:after="0" w:line="240" w:lineRule="auto"/>
              <w:jc w:val="left"/>
              <w:rPr>
                <w:rFonts w:ascii="Arial" w:eastAsia="Calibri" w:hAnsi="Arial" w:cs="Arial"/>
                <w:bCs/>
                <w:color w:val="000000"/>
                <w:sz w:val="20"/>
                <w:lang w:val="en-GB" w:eastAsia="en-GB"/>
              </w:rPr>
            </w:pPr>
            <w:r w:rsidRPr="003611CF">
              <w:rPr>
                <w:rFonts w:ascii="Arial" w:eastAsia="Calibri" w:hAnsi="Arial" w:cs="Arial"/>
                <w:bCs/>
                <w:color w:val="000000"/>
                <w:sz w:val="20"/>
                <w:lang w:val="en-GB" w:eastAsia="en-GB"/>
              </w:rPr>
              <w:t>preusmjer Upravi carina (SP4)</w:t>
            </w:r>
          </w:p>
        </w:tc>
        <w:tc>
          <w:tcPr>
            <w:tcW w:w="4644" w:type="dxa"/>
            <w:shd w:val="clear" w:color="auto" w:fill="FDE9D9"/>
            <w:vAlign w:val="center"/>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28</w:t>
            </w:r>
          </w:p>
        </w:tc>
      </w:tr>
      <w:tr w:rsidR="003611CF" w:rsidRPr="003611CF" w:rsidTr="003611CF">
        <w:trPr>
          <w:jc w:val="center"/>
        </w:trPr>
        <w:tc>
          <w:tcPr>
            <w:tcW w:w="4644" w:type="dxa"/>
            <w:shd w:val="clear" w:color="auto" w:fill="FEF4EC"/>
          </w:tcPr>
          <w:p w:rsidR="003611CF" w:rsidRPr="003611CF" w:rsidRDefault="003611CF" w:rsidP="003611CF">
            <w:pPr>
              <w:spacing w:before="0" w:after="0" w:line="240" w:lineRule="auto"/>
              <w:jc w:val="left"/>
              <w:rPr>
                <w:rFonts w:ascii="Arial" w:eastAsia="Calibri" w:hAnsi="Arial" w:cs="Arial"/>
                <w:bCs/>
                <w:color w:val="000000"/>
                <w:sz w:val="20"/>
                <w:lang w:val="en-GB" w:eastAsia="en-GB"/>
              </w:rPr>
            </w:pPr>
            <w:r w:rsidRPr="003611CF">
              <w:rPr>
                <w:rFonts w:ascii="Arial" w:eastAsia="Calibri" w:hAnsi="Arial" w:cs="Arial"/>
                <w:bCs/>
                <w:color w:val="000000"/>
                <w:sz w:val="20"/>
                <w:lang w:val="en-GB" w:eastAsia="en-GB"/>
              </w:rPr>
              <w:t>pogresno ili više uplaćena sredstva (SP2 i SP8)</w:t>
            </w:r>
          </w:p>
        </w:tc>
        <w:tc>
          <w:tcPr>
            <w:tcW w:w="4644" w:type="dxa"/>
            <w:shd w:val="clear" w:color="auto" w:fill="FEF4EC"/>
            <w:vAlign w:val="center"/>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155</w:t>
            </w:r>
          </w:p>
        </w:tc>
      </w:tr>
      <w:tr w:rsidR="003611CF" w:rsidRPr="003611CF" w:rsidTr="003611CF">
        <w:trPr>
          <w:jc w:val="center"/>
        </w:trPr>
        <w:tc>
          <w:tcPr>
            <w:tcW w:w="4644" w:type="dxa"/>
            <w:shd w:val="clear" w:color="auto" w:fill="FDE9D9"/>
          </w:tcPr>
          <w:p w:rsidR="003611CF" w:rsidRPr="003611CF" w:rsidRDefault="003611CF" w:rsidP="003611CF">
            <w:pPr>
              <w:spacing w:before="0" w:after="0" w:line="240" w:lineRule="auto"/>
              <w:jc w:val="left"/>
              <w:rPr>
                <w:rFonts w:ascii="Arial" w:eastAsia="Calibri" w:hAnsi="Arial" w:cs="Arial"/>
                <w:bCs/>
                <w:color w:val="000000"/>
                <w:sz w:val="20"/>
                <w:lang w:val="en-GB" w:eastAsia="en-GB"/>
              </w:rPr>
            </w:pPr>
            <w:r w:rsidRPr="003611CF">
              <w:rPr>
                <w:rFonts w:ascii="Arial" w:eastAsia="Calibri" w:hAnsi="Arial" w:cs="Arial"/>
                <w:bCs/>
                <w:color w:val="000000"/>
                <w:sz w:val="20"/>
                <w:lang w:val="en-GB" w:eastAsia="en-GB"/>
              </w:rPr>
              <w:t>ručni nalozi sa PIB-a NA PIB</w:t>
            </w:r>
          </w:p>
        </w:tc>
        <w:tc>
          <w:tcPr>
            <w:tcW w:w="4644" w:type="dxa"/>
            <w:shd w:val="clear" w:color="auto" w:fill="FDE9D9"/>
            <w:vAlign w:val="center"/>
          </w:tcPr>
          <w:p w:rsidR="003611CF" w:rsidRPr="003611CF" w:rsidRDefault="003611CF" w:rsidP="003611CF">
            <w:pPr>
              <w:spacing w:before="0" w:after="0" w:line="240" w:lineRule="auto"/>
              <w:jc w:val="center"/>
              <w:rPr>
                <w:rFonts w:ascii="Arial" w:eastAsia="Times New Roman" w:hAnsi="Arial" w:cs="Arial"/>
                <w:sz w:val="20"/>
                <w:lang w:val="en-GB"/>
              </w:rPr>
            </w:pPr>
            <w:r w:rsidRPr="003611CF">
              <w:rPr>
                <w:rFonts w:ascii="Arial" w:eastAsia="Times New Roman" w:hAnsi="Arial" w:cs="Arial"/>
                <w:sz w:val="20"/>
                <w:lang w:val="en-GB"/>
              </w:rPr>
              <w:t>96</w:t>
            </w:r>
          </w:p>
        </w:tc>
      </w:tr>
      <w:tr w:rsidR="003611CF" w:rsidRPr="003611CF" w:rsidTr="003611CF">
        <w:trPr>
          <w:jc w:val="center"/>
        </w:trPr>
        <w:tc>
          <w:tcPr>
            <w:tcW w:w="4644" w:type="dxa"/>
            <w:shd w:val="clear" w:color="auto" w:fill="FEF4EC"/>
          </w:tcPr>
          <w:p w:rsidR="003611CF" w:rsidRPr="003611CF" w:rsidRDefault="003611CF" w:rsidP="003611CF">
            <w:pPr>
              <w:spacing w:before="0" w:after="0" w:line="240" w:lineRule="auto"/>
              <w:jc w:val="left"/>
              <w:rPr>
                <w:rFonts w:ascii="Arial" w:eastAsia="Calibri" w:hAnsi="Arial" w:cs="Arial"/>
                <w:b/>
                <w:bCs/>
                <w:color w:val="000000"/>
                <w:sz w:val="20"/>
                <w:lang w:val="en-GB" w:eastAsia="en-GB"/>
              </w:rPr>
            </w:pPr>
            <w:r w:rsidRPr="003611CF">
              <w:rPr>
                <w:rFonts w:ascii="Arial" w:eastAsia="Calibri" w:hAnsi="Arial" w:cs="Arial"/>
                <w:b/>
                <w:bCs/>
                <w:color w:val="000000"/>
                <w:sz w:val="20"/>
                <w:lang w:val="en-GB" w:eastAsia="en-GB"/>
              </w:rPr>
              <w:t>Ukupno</w:t>
            </w:r>
          </w:p>
        </w:tc>
        <w:tc>
          <w:tcPr>
            <w:tcW w:w="4644" w:type="dxa"/>
            <w:shd w:val="clear" w:color="auto" w:fill="FEF4EC"/>
            <w:vAlign w:val="center"/>
          </w:tcPr>
          <w:p w:rsidR="003611CF" w:rsidRPr="003611CF" w:rsidRDefault="003611CF" w:rsidP="003611CF">
            <w:pPr>
              <w:spacing w:before="0" w:after="0" w:line="240" w:lineRule="auto"/>
              <w:jc w:val="center"/>
              <w:rPr>
                <w:rFonts w:ascii="Arial" w:eastAsia="Times New Roman" w:hAnsi="Arial" w:cs="Arial"/>
                <w:b/>
                <w:bCs/>
                <w:sz w:val="20"/>
                <w:lang w:val="en-GB"/>
              </w:rPr>
            </w:pPr>
            <w:r w:rsidRPr="003611CF">
              <w:rPr>
                <w:rFonts w:ascii="Arial" w:eastAsia="Times New Roman" w:hAnsi="Arial" w:cs="Arial"/>
                <w:b/>
                <w:bCs/>
                <w:sz w:val="20"/>
                <w:lang w:val="en-GB"/>
              </w:rPr>
              <w:t>2.592</w:t>
            </w:r>
          </w:p>
        </w:tc>
      </w:tr>
    </w:tbl>
    <w:p w:rsidR="003611CF" w:rsidRPr="003611CF" w:rsidRDefault="003611CF" w:rsidP="003611CF">
      <w:pPr>
        <w:spacing w:before="0" w:after="0" w:line="240" w:lineRule="auto"/>
        <w:rPr>
          <w:rFonts w:ascii="Arial" w:eastAsia="Times New Roman" w:hAnsi="Arial" w:cs="Arial"/>
          <w:b/>
          <w:sz w:val="22"/>
          <w:u w:val="single"/>
          <w:lang w:val="en-GB"/>
        </w:rPr>
      </w:pPr>
      <w:r w:rsidRPr="003611CF">
        <w:rPr>
          <w:rFonts w:ascii="Arial" w:eastAsia="Times New Roman" w:hAnsi="Arial" w:cs="Arial"/>
          <w:sz w:val="22"/>
          <w:lang w:val="en-GB"/>
        </w:rPr>
        <w:tab/>
        <w:t xml:space="preserve"> </w:t>
      </w:r>
    </w:p>
    <w:p w:rsidR="003611CF" w:rsidRPr="003611CF" w:rsidRDefault="003611CF" w:rsidP="004D6CB4">
      <w:pPr>
        <w:numPr>
          <w:ilvl w:val="0"/>
          <w:numId w:val="113"/>
        </w:numPr>
        <w:spacing w:before="0" w:after="0" w:line="240" w:lineRule="auto"/>
        <w:ind w:left="0" w:firstLine="360"/>
        <w:jc w:val="left"/>
        <w:rPr>
          <w:rFonts w:ascii="Calibri" w:eastAsia="Times New Roman" w:hAnsi="Calibri" w:cs="Calibri"/>
          <w:b/>
          <w:szCs w:val="24"/>
          <w:lang w:val="en-GB"/>
        </w:rPr>
      </w:pPr>
      <w:r w:rsidRPr="003611CF">
        <w:rPr>
          <w:rFonts w:ascii="Calibri" w:eastAsia="Times New Roman" w:hAnsi="Calibri" w:cs="Calibri"/>
          <w:szCs w:val="24"/>
          <w:lang w:val="en-GB"/>
        </w:rPr>
        <w:t xml:space="preserve">Dopisi područnim jedinicama 84, </w:t>
      </w:r>
    </w:p>
    <w:p w:rsidR="003611CF" w:rsidRPr="003611CF" w:rsidRDefault="003611CF" w:rsidP="004D6CB4">
      <w:pPr>
        <w:numPr>
          <w:ilvl w:val="0"/>
          <w:numId w:val="113"/>
        </w:numPr>
        <w:spacing w:before="0" w:after="0" w:line="240" w:lineRule="auto"/>
        <w:ind w:left="0" w:firstLine="360"/>
        <w:jc w:val="left"/>
        <w:rPr>
          <w:rFonts w:ascii="Calibri" w:eastAsia="Times New Roman" w:hAnsi="Calibri" w:cs="Calibri"/>
          <w:b/>
          <w:szCs w:val="24"/>
          <w:lang w:val="en-GB"/>
        </w:rPr>
      </w:pPr>
      <w:r w:rsidRPr="003611CF">
        <w:rPr>
          <w:rFonts w:ascii="Calibri" w:eastAsia="Times New Roman" w:hAnsi="Calibri" w:cs="Calibri"/>
          <w:szCs w:val="24"/>
          <w:lang w:val="en-GB"/>
        </w:rPr>
        <w:t>Obavještenja 28 Upravi carina i 28 poreskim obveznicima o izvršenom preusmjeru iz PDV kredita zao baveze PDV-a pri uvozu,</w:t>
      </w:r>
    </w:p>
    <w:p w:rsidR="003611CF" w:rsidRPr="003611CF" w:rsidRDefault="003611CF" w:rsidP="004D6CB4">
      <w:pPr>
        <w:numPr>
          <w:ilvl w:val="0"/>
          <w:numId w:val="113"/>
        </w:numPr>
        <w:spacing w:before="0" w:after="0" w:line="240" w:lineRule="auto"/>
        <w:ind w:left="0" w:firstLine="360"/>
        <w:jc w:val="left"/>
        <w:rPr>
          <w:rFonts w:ascii="Calibri" w:eastAsia="Times New Roman" w:hAnsi="Calibri" w:cs="Calibri"/>
          <w:b/>
          <w:szCs w:val="24"/>
          <w:lang w:val="en-GB"/>
        </w:rPr>
      </w:pPr>
      <w:r w:rsidRPr="003611CF">
        <w:rPr>
          <w:rFonts w:ascii="Calibri" w:eastAsia="Times New Roman" w:hAnsi="Calibri" w:cs="Calibri"/>
          <w:szCs w:val="24"/>
          <w:lang w:val="en-GB"/>
        </w:rPr>
        <w:t>Dostava rješenja i specifikacija za povraćaj PDV kredita Ministarstvu finansija po Instrukciji broj 06-1951/1 od 14.08.2007. godine, 159 rješenja</w:t>
      </w:r>
    </w:p>
    <w:p w:rsidR="003611CF" w:rsidRPr="003611CF" w:rsidRDefault="003611CF" w:rsidP="004D6CB4">
      <w:pPr>
        <w:numPr>
          <w:ilvl w:val="0"/>
          <w:numId w:val="113"/>
        </w:numPr>
        <w:spacing w:before="0" w:after="0" w:line="240" w:lineRule="auto"/>
        <w:ind w:left="0" w:firstLine="360"/>
        <w:jc w:val="left"/>
        <w:rPr>
          <w:rFonts w:ascii="Calibri" w:eastAsia="Times New Roman" w:hAnsi="Calibri" w:cs="Calibri"/>
          <w:b/>
          <w:szCs w:val="24"/>
          <w:lang w:val="en-GB"/>
        </w:rPr>
      </w:pPr>
      <w:r w:rsidRPr="003611CF">
        <w:rPr>
          <w:rFonts w:ascii="Calibri" w:eastAsia="Times New Roman" w:hAnsi="Calibri" w:cs="Calibri"/>
          <w:szCs w:val="24"/>
          <w:lang w:val="en-GB"/>
        </w:rPr>
        <w:t>Kontakti sa poreskim obveznicima,</w:t>
      </w:r>
    </w:p>
    <w:p w:rsidR="003611CF" w:rsidRPr="003611CF" w:rsidRDefault="003611CF" w:rsidP="004D6CB4">
      <w:pPr>
        <w:numPr>
          <w:ilvl w:val="0"/>
          <w:numId w:val="113"/>
        </w:numPr>
        <w:spacing w:before="0" w:after="0" w:line="240" w:lineRule="auto"/>
        <w:ind w:left="0" w:firstLine="360"/>
        <w:jc w:val="left"/>
        <w:rPr>
          <w:rFonts w:ascii="Calibri" w:eastAsia="Times New Roman" w:hAnsi="Calibri" w:cs="Calibri"/>
          <w:b/>
          <w:szCs w:val="24"/>
          <w:lang w:val="en-GB"/>
        </w:rPr>
      </w:pPr>
      <w:r w:rsidRPr="003611CF">
        <w:rPr>
          <w:rFonts w:ascii="Calibri" w:eastAsia="Times New Roman" w:hAnsi="Calibri" w:cs="Calibri"/>
          <w:szCs w:val="24"/>
          <w:lang w:val="en-GB"/>
        </w:rPr>
        <w:t xml:space="preserve">Dostava podataka drugim sektorima kao i Ministarstvu finansija, </w:t>
      </w:r>
    </w:p>
    <w:p w:rsidR="003611CF" w:rsidRPr="003611CF" w:rsidRDefault="003611CF" w:rsidP="004D6CB4">
      <w:pPr>
        <w:numPr>
          <w:ilvl w:val="0"/>
          <w:numId w:val="113"/>
        </w:numPr>
        <w:spacing w:before="0" w:after="0" w:line="240" w:lineRule="auto"/>
        <w:ind w:left="0" w:firstLine="360"/>
        <w:jc w:val="left"/>
        <w:rPr>
          <w:rFonts w:ascii="Calibri" w:eastAsia="Times New Roman" w:hAnsi="Calibri" w:cs="Calibri"/>
          <w:b/>
          <w:szCs w:val="24"/>
          <w:lang w:val="en-GB"/>
        </w:rPr>
      </w:pPr>
      <w:r w:rsidRPr="003611CF">
        <w:rPr>
          <w:rFonts w:ascii="Calibri" w:eastAsia="Times New Roman" w:hAnsi="Calibri" w:cs="Calibri"/>
          <w:szCs w:val="24"/>
          <w:lang w:val="en-GB"/>
        </w:rPr>
        <w:t>Kontakt sa područnim jedinicama i ekspoziturama.</w:t>
      </w:r>
    </w:p>
    <w:p w:rsidR="003611CF" w:rsidRPr="003611CF" w:rsidRDefault="003611CF" w:rsidP="003611CF">
      <w:pPr>
        <w:spacing w:before="0" w:after="0" w:line="240" w:lineRule="auto"/>
        <w:rPr>
          <w:rFonts w:ascii="Calibri" w:eastAsia="Times New Roman" w:hAnsi="Calibri" w:cs="Calibri"/>
          <w:szCs w:val="24"/>
          <w:lang w:val="en-GB"/>
        </w:rPr>
      </w:pPr>
    </w:p>
    <w:p w:rsidR="003611CF" w:rsidRPr="003611CF" w:rsidRDefault="003611CF" w:rsidP="003611CF">
      <w:pPr>
        <w:spacing w:before="0" w:after="0" w:line="240" w:lineRule="auto"/>
        <w:rPr>
          <w:rFonts w:ascii="Calibri" w:eastAsia="Times New Roman" w:hAnsi="Calibri" w:cs="Calibri"/>
          <w:bCs/>
          <w:szCs w:val="24"/>
          <w:lang w:val="en-GB"/>
        </w:rPr>
      </w:pPr>
      <w:r w:rsidRPr="003611CF">
        <w:rPr>
          <w:rFonts w:ascii="Calibri" w:eastAsia="Times New Roman" w:hAnsi="Calibri" w:cs="Calibri"/>
          <w:bCs/>
          <w:szCs w:val="24"/>
          <w:lang w:val="en-GB"/>
        </w:rPr>
        <w:t>U Odsjeku se priprema određeni broj redovnih izvještaja</w:t>
      </w:r>
      <w:r w:rsidRPr="003611CF">
        <w:rPr>
          <w:rFonts w:ascii="Calibri" w:eastAsia="Times New Roman" w:hAnsi="Calibri" w:cs="Calibri"/>
          <w:b/>
          <w:bCs/>
          <w:szCs w:val="24"/>
          <w:lang w:val="en-GB"/>
        </w:rPr>
        <w:t>:</w:t>
      </w:r>
    </w:p>
    <w:p w:rsidR="003611CF" w:rsidRPr="003611CF" w:rsidRDefault="003611CF" w:rsidP="004D6CB4">
      <w:pPr>
        <w:numPr>
          <w:ilvl w:val="0"/>
          <w:numId w:val="113"/>
        </w:numPr>
        <w:spacing w:before="0" w:after="0" w:line="240" w:lineRule="auto"/>
        <w:ind w:left="0" w:firstLine="360"/>
        <w:jc w:val="left"/>
        <w:rPr>
          <w:rFonts w:ascii="Calibri" w:eastAsia="Times New Roman" w:hAnsi="Calibri" w:cs="Calibri"/>
          <w:szCs w:val="24"/>
          <w:lang w:val="en-GB"/>
        </w:rPr>
      </w:pPr>
      <w:r w:rsidRPr="003611CF">
        <w:rPr>
          <w:rFonts w:ascii="Calibri" w:eastAsia="Times New Roman" w:hAnsi="Calibri" w:cs="Calibri"/>
          <w:szCs w:val="24"/>
          <w:lang w:val="en-GB"/>
        </w:rPr>
        <w:t xml:space="preserve">Izvještaj o broju i iznosu podnijetih i riješenih zahtjeva za povraćaj PDV-a  </w:t>
      </w:r>
    </w:p>
    <w:p w:rsidR="003611CF" w:rsidRPr="003611CF" w:rsidRDefault="003611CF" w:rsidP="004D6CB4">
      <w:pPr>
        <w:numPr>
          <w:ilvl w:val="0"/>
          <w:numId w:val="113"/>
        </w:numPr>
        <w:spacing w:before="0" w:after="0" w:line="240" w:lineRule="auto"/>
        <w:ind w:left="0" w:firstLine="360"/>
        <w:jc w:val="left"/>
        <w:rPr>
          <w:rFonts w:ascii="Calibri" w:eastAsia="Times New Roman" w:hAnsi="Calibri" w:cs="Calibri"/>
          <w:szCs w:val="24"/>
          <w:lang w:val="en-GB"/>
        </w:rPr>
      </w:pPr>
      <w:r w:rsidRPr="003611CF">
        <w:rPr>
          <w:rFonts w:ascii="Calibri" w:eastAsia="Times New Roman" w:hAnsi="Calibri" w:cs="Calibri"/>
          <w:szCs w:val="24"/>
          <w:lang w:val="en-GB"/>
        </w:rPr>
        <w:t>Izvještaj o povraćaju više plaćenih doprinosa za obavezno socijalno osiguranje:</w:t>
      </w:r>
    </w:p>
    <w:p w:rsidR="003611CF" w:rsidRPr="003611CF" w:rsidRDefault="003611CF" w:rsidP="003611CF">
      <w:pPr>
        <w:spacing w:before="0" w:after="0" w:line="240" w:lineRule="auto"/>
        <w:rPr>
          <w:rFonts w:ascii="Calibri" w:eastAsia="Times New Roman" w:hAnsi="Calibri" w:cs="Calibri"/>
          <w:szCs w:val="24"/>
          <w:lang w:val="en-GB"/>
        </w:rPr>
      </w:pPr>
    </w:p>
    <w:p w:rsidR="003611CF" w:rsidRPr="003611CF" w:rsidRDefault="003611CF" w:rsidP="003611CF">
      <w:pPr>
        <w:keepNext/>
        <w:spacing w:before="0" w:after="0" w:line="240" w:lineRule="auto"/>
        <w:outlineLvl w:val="1"/>
        <w:rPr>
          <w:rFonts w:ascii="Calibri" w:eastAsia="Times New Roman" w:hAnsi="Calibri" w:cs="Calibri"/>
          <w:b/>
          <w:szCs w:val="24"/>
          <w:lang w:val="en-US"/>
        </w:rPr>
      </w:pPr>
      <w:r w:rsidRPr="003611CF">
        <w:rPr>
          <w:rFonts w:ascii="Calibri" w:eastAsia="Times New Roman" w:hAnsi="Calibri" w:cs="Calibri"/>
          <w:szCs w:val="24"/>
          <w:lang w:val="en-US"/>
        </w:rPr>
        <w:tab/>
        <w:t>Na osnovu Rješenja područnih jedinica o povraćaju više plaćenih doprinosa za obavezno socijalno osiguranje kreirani su ručni nalozi /RN/ za rezervaciju i povraćaj više plaćenih doprinosa i to:</w:t>
      </w:r>
    </w:p>
    <w:p w:rsidR="003611CF" w:rsidRPr="003611CF" w:rsidRDefault="003611CF" w:rsidP="004D6CB4">
      <w:pPr>
        <w:numPr>
          <w:ilvl w:val="0"/>
          <w:numId w:val="110"/>
        </w:numPr>
        <w:spacing w:before="0" w:after="0" w:line="240" w:lineRule="auto"/>
        <w:jc w:val="left"/>
        <w:rPr>
          <w:rFonts w:ascii="Calibri" w:eastAsia="Times New Roman" w:hAnsi="Calibri" w:cs="Calibri"/>
          <w:szCs w:val="24"/>
          <w:lang w:val="en-GB"/>
        </w:rPr>
      </w:pPr>
      <w:r w:rsidRPr="003611CF">
        <w:rPr>
          <w:rFonts w:ascii="Calibri" w:eastAsia="Times New Roman" w:hAnsi="Calibri" w:cs="Calibri"/>
          <w:szCs w:val="24"/>
          <w:lang w:val="en-GB"/>
        </w:rPr>
        <w:t xml:space="preserve">Pregled broja i iznosa naloga za povraćaj sredstava izvršenih sa računa 820-30000-74 </w:t>
      </w:r>
    </w:p>
    <w:p w:rsidR="003611CF" w:rsidRPr="003611CF" w:rsidRDefault="003611CF" w:rsidP="003611CF">
      <w:pPr>
        <w:spacing w:before="0" w:after="0" w:line="240" w:lineRule="auto"/>
        <w:ind w:left="468"/>
        <w:rPr>
          <w:rFonts w:ascii="Calibri" w:eastAsia="Times New Roman" w:hAnsi="Calibri" w:cs="Calibri"/>
          <w:szCs w:val="24"/>
          <w:lang w:val="en-GB"/>
        </w:rPr>
      </w:pPr>
      <w:r w:rsidRPr="003611CF">
        <w:rPr>
          <w:rFonts w:ascii="Calibri" w:eastAsia="Times New Roman" w:hAnsi="Calibri" w:cs="Calibri"/>
          <w:szCs w:val="24"/>
          <w:lang w:val="en-GB"/>
        </w:rPr>
        <w:t xml:space="preserve">/uporedni pregled 2019-2020/ </w:t>
      </w:r>
    </w:p>
    <w:tbl>
      <w:tblPr>
        <w:tblW w:w="9735" w:type="dxa"/>
        <w:jc w:val="center"/>
        <w:tblLook w:val="04A0" w:firstRow="1" w:lastRow="0" w:firstColumn="1" w:lastColumn="0" w:noHBand="0" w:noVBand="1"/>
      </w:tblPr>
      <w:tblGrid>
        <w:gridCol w:w="1243"/>
        <w:gridCol w:w="1223"/>
        <w:gridCol w:w="993"/>
        <w:gridCol w:w="1982"/>
        <w:gridCol w:w="1223"/>
        <w:gridCol w:w="1088"/>
        <w:gridCol w:w="1983"/>
      </w:tblGrid>
      <w:tr w:rsidR="003611CF" w:rsidRPr="003611CF" w:rsidTr="003611CF">
        <w:trPr>
          <w:trHeight w:val="146"/>
          <w:jc w:val="center"/>
        </w:trPr>
        <w:tc>
          <w:tcPr>
            <w:tcW w:w="1243" w:type="dxa"/>
            <w:tcBorders>
              <w:bottom w:val="single" w:sz="12" w:space="0" w:color="FFFFFF"/>
            </w:tcBorders>
            <w:shd w:val="clear" w:color="auto" w:fill="348DA5"/>
            <w:noWrap/>
          </w:tcPr>
          <w:p w:rsidR="003611CF" w:rsidRPr="003611CF" w:rsidRDefault="003611CF" w:rsidP="003611CF">
            <w:pPr>
              <w:spacing w:before="0" w:after="0" w:line="240" w:lineRule="auto"/>
              <w:jc w:val="left"/>
              <w:rPr>
                <w:rFonts w:ascii="Arial" w:eastAsia="Calibri" w:hAnsi="Arial" w:cs="Arial"/>
                <w:b/>
                <w:bCs/>
                <w:color w:val="FFFFFF"/>
                <w:sz w:val="20"/>
                <w:lang w:val="en-GB"/>
              </w:rPr>
            </w:pPr>
            <w:r w:rsidRPr="003611CF">
              <w:rPr>
                <w:rFonts w:ascii="Arial" w:eastAsia="Calibri" w:hAnsi="Arial" w:cs="Arial"/>
                <w:b/>
                <w:bCs/>
                <w:color w:val="FFFFFF"/>
                <w:sz w:val="20"/>
                <w:lang w:val="en-GB"/>
              </w:rPr>
              <w:t> </w:t>
            </w:r>
          </w:p>
        </w:tc>
        <w:tc>
          <w:tcPr>
            <w:tcW w:w="4198" w:type="dxa"/>
            <w:gridSpan w:val="3"/>
            <w:tcBorders>
              <w:bottom w:val="single" w:sz="12" w:space="0" w:color="FFFFFF"/>
            </w:tcBorders>
            <w:shd w:val="clear" w:color="auto" w:fill="348DA5"/>
            <w:noWrap/>
          </w:tcPr>
          <w:p w:rsidR="003611CF" w:rsidRPr="003611CF" w:rsidRDefault="003611CF" w:rsidP="003611CF">
            <w:pPr>
              <w:spacing w:before="0" w:after="0" w:line="240" w:lineRule="auto"/>
              <w:jc w:val="center"/>
              <w:rPr>
                <w:rFonts w:ascii="Arial" w:eastAsia="Calibri" w:hAnsi="Arial" w:cs="Arial"/>
                <w:bCs/>
                <w:color w:val="FFFFFF"/>
                <w:sz w:val="20"/>
                <w:lang w:val="en-GB"/>
              </w:rPr>
            </w:pPr>
            <w:r w:rsidRPr="003611CF">
              <w:rPr>
                <w:rFonts w:ascii="Arial" w:eastAsia="Calibri" w:hAnsi="Arial" w:cs="Arial"/>
                <w:bCs/>
                <w:color w:val="FFFFFF"/>
                <w:sz w:val="20"/>
                <w:lang w:val="en-GB"/>
              </w:rPr>
              <w:t>2019.g. /januar – decembar/</w:t>
            </w:r>
          </w:p>
        </w:tc>
        <w:tc>
          <w:tcPr>
            <w:tcW w:w="4294" w:type="dxa"/>
            <w:gridSpan w:val="3"/>
            <w:tcBorders>
              <w:bottom w:val="single" w:sz="12" w:space="0" w:color="FFFFFF"/>
            </w:tcBorders>
            <w:shd w:val="clear" w:color="auto" w:fill="348DA5"/>
            <w:noWrap/>
          </w:tcPr>
          <w:p w:rsidR="003611CF" w:rsidRPr="003611CF" w:rsidRDefault="003611CF" w:rsidP="003611CF">
            <w:pPr>
              <w:spacing w:before="0" w:after="0" w:line="240" w:lineRule="auto"/>
              <w:jc w:val="center"/>
              <w:rPr>
                <w:rFonts w:ascii="Arial" w:eastAsia="Calibri" w:hAnsi="Arial" w:cs="Arial"/>
                <w:bCs/>
                <w:color w:val="FFFFFF"/>
                <w:sz w:val="20"/>
                <w:lang w:val="en-GB"/>
              </w:rPr>
            </w:pPr>
            <w:r w:rsidRPr="003611CF">
              <w:rPr>
                <w:rFonts w:ascii="Arial" w:eastAsia="Calibri" w:hAnsi="Arial" w:cs="Arial"/>
                <w:bCs/>
                <w:color w:val="FFFFFF"/>
                <w:sz w:val="20"/>
                <w:lang w:val="en-GB"/>
              </w:rPr>
              <w:t>2020.g. /januar – decembar/</w:t>
            </w:r>
          </w:p>
        </w:tc>
      </w:tr>
      <w:tr w:rsidR="003611CF" w:rsidRPr="003611CF" w:rsidTr="003611CF">
        <w:trPr>
          <w:trHeight w:val="421"/>
          <w:jc w:val="center"/>
        </w:trPr>
        <w:tc>
          <w:tcPr>
            <w:tcW w:w="1243" w:type="dxa"/>
            <w:shd w:val="clear" w:color="auto" w:fill="FDE9D9"/>
            <w:noWrap/>
          </w:tcPr>
          <w:p w:rsidR="003611CF" w:rsidRPr="003611CF" w:rsidRDefault="003611CF" w:rsidP="003611CF">
            <w:pPr>
              <w:spacing w:before="0" w:after="0" w:line="240" w:lineRule="auto"/>
              <w:jc w:val="left"/>
              <w:rPr>
                <w:rFonts w:ascii="Arial" w:eastAsia="Calibri" w:hAnsi="Arial" w:cs="Arial"/>
                <w:b/>
                <w:bCs/>
                <w:color w:val="000000"/>
                <w:sz w:val="20"/>
                <w:lang w:val="en-GB"/>
              </w:rPr>
            </w:pPr>
            <w:r w:rsidRPr="003611CF">
              <w:rPr>
                <w:rFonts w:ascii="Arial" w:eastAsia="Calibri" w:hAnsi="Arial" w:cs="Arial"/>
                <w:b/>
                <w:bCs/>
                <w:color w:val="000000"/>
                <w:sz w:val="20"/>
                <w:lang w:val="en-GB"/>
              </w:rPr>
              <w:t> </w:t>
            </w:r>
          </w:p>
        </w:tc>
        <w:tc>
          <w:tcPr>
            <w:tcW w:w="1223" w:type="dxa"/>
            <w:shd w:val="clear" w:color="auto" w:fill="FDE9D9"/>
            <w:noWrap/>
          </w:tcPr>
          <w:p w:rsidR="003611CF" w:rsidRPr="003611CF" w:rsidRDefault="003611CF" w:rsidP="003611CF">
            <w:pPr>
              <w:spacing w:before="0" w:after="0" w:line="240" w:lineRule="auto"/>
              <w:jc w:val="center"/>
              <w:rPr>
                <w:rFonts w:ascii="Arial" w:eastAsia="Calibri" w:hAnsi="Arial" w:cs="Arial"/>
                <w:bCs/>
                <w:color w:val="000000"/>
                <w:sz w:val="20"/>
                <w:lang w:val="en-GB"/>
              </w:rPr>
            </w:pPr>
            <w:r w:rsidRPr="003611CF">
              <w:rPr>
                <w:rFonts w:ascii="Arial" w:eastAsia="Calibri" w:hAnsi="Arial" w:cs="Arial"/>
                <w:bCs/>
                <w:color w:val="000000"/>
                <w:sz w:val="20"/>
                <w:lang w:val="en-GB"/>
              </w:rPr>
              <w:t>Broj RN rezervacija</w:t>
            </w:r>
          </w:p>
        </w:tc>
        <w:tc>
          <w:tcPr>
            <w:tcW w:w="993" w:type="dxa"/>
            <w:shd w:val="clear" w:color="auto" w:fill="FDE9D9"/>
            <w:noWrap/>
          </w:tcPr>
          <w:p w:rsidR="003611CF" w:rsidRPr="003611CF" w:rsidRDefault="003611CF" w:rsidP="003611CF">
            <w:pPr>
              <w:spacing w:before="0" w:after="0" w:line="240" w:lineRule="auto"/>
              <w:jc w:val="center"/>
              <w:rPr>
                <w:rFonts w:ascii="Arial" w:eastAsia="Calibri" w:hAnsi="Arial" w:cs="Arial"/>
                <w:bCs/>
                <w:color w:val="000000"/>
                <w:sz w:val="20"/>
                <w:lang w:val="en-GB"/>
              </w:rPr>
            </w:pPr>
            <w:r w:rsidRPr="003611CF">
              <w:rPr>
                <w:rFonts w:ascii="Arial" w:eastAsia="Calibri" w:hAnsi="Arial" w:cs="Arial"/>
                <w:bCs/>
                <w:color w:val="000000"/>
                <w:sz w:val="20"/>
                <w:lang w:val="en-GB"/>
              </w:rPr>
              <w:t>Broj RN  povraćaj</w:t>
            </w:r>
          </w:p>
        </w:tc>
        <w:tc>
          <w:tcPr>
            <w:tcW w:w="1982" w:type="dxa"/>
            <w:shd w:val="clear" w:color="auto" w:fill="FDE9D9"/>
            <w:noWrap/>
          </w:tcPr>
          <w:p w:rsidR="003611CF" w:rsidRPr="003611CF" w:rsidRDefault="003611CF" w:rsidP="003611CF">
            <w:pPr>
              <w:spacing w:before="0" w:after="0" w:line="240" w:lineRule="auto"/>
              <w:jc w:val="center"/>
              <w:rPr>
                <w:rFonts w:ascii="Arial" w:eastAsia="Calibri" w:hAnsi="Arial" w:cs="Arial"/>
                <w:bCs/>
                <w:color w:val="000000"/>
                <w:sz w:val="20"/>
                <w:lang w:val="en-GB"/>
              </w:rPr>
            </w:pPr>
            <w:r w:rsidRPr="003611CF">
              <w:rPr>
                <w:rFonts w:ascii="Arial" w:eastAsia="Calibri" w:hAnsi="Arial" w:cs="Arial"/>
                <w:bCs/>
                <w:color w:val="000000"/>
                <w:sz w:val="20"/>
                <w:lang w:val="en-GB"/>
              </w:rPr>
              <w:t>Iznos sredstava za povraćaj</w:t>
            </w:r>
          </w:p>
        </w:tc>
        <w:tc>
          <w:tcPr>
            <w:tcW w:w="1223" w:type="dxa"/>
            <w:shd w:val="clear" w:color="auto" w:fill="FDE9D9"/>
            <w:noWrap/>
          </w:tcPr>
          <w:p w:rsidR="003611CF" w:rsidRPr="003611CF" w:rsidRDefault="003611CF" w:rsidP="003611CF">
            <w:pPr>
              <w:spacing w:before="0" w:after="0" w:line="240" w:lineRule="auto"/>
              <w:jc w:val="center"/>
              <w:rPr>
                <w:rFonts w:ascii="Arial" w:eastAsia="Calibri" w:hAnsi="Arial" w:cs="Arial"/>
                <w:bCs/>
                <w:color w:val="000000"/>
                <w:sz w:val="20"/>
                <w:lang w:val="en-GB"/>
              </w:rPr>
            </w:pPr>
            <w:r w:rsidRPr="003611CF">
              <w:rPr>
                <w:rFonts w:ascii="Arial" w:eastAsia="Calibri" w:hAnsi="Arial" w:cs="Arial"/>
                <w:bCs/>
                <w:color w:val="000000"/>
                <w:sz w:val="20"/>
                <w:lang w:val="en-GB"/>
              </w:rPr>
              <w:t>Broj RN rezervacija</w:t>
            </w:r>
          </w:p>
        </w:tc>
        <w:tc>
          <w:tcPr>
            <w:tcW w:w="1088" w:type="dxa"/>
            <w:shd w:val="clear" w:color="auto" w:fill="FDE9D9"/>
            <w:noWrap/>
          </w:tcPr>
          <w:p w:rsidR="003611CF" w:rsidRPr="003611CF" w:rsidRDefault="003611CF" w:rsidP="003611CF">
            <w:pPr>
              <w:spacing w:before="0" w:after="0" w:line="240" w:lineRule="auto"/>
              <w:jc w:val="center"/>
              <w:rPr>
                <w:rFonts w:ascii="Arial" w:eastAsia="Calibri" w:hAnsi="Arial" w:cs="Arial"/>
                <w:bCs/>
                <w:color w:val="000000"/>
                <w:sz w:val="20"/>
                <w:lang w:val="en-GB"/>
              </w:rPr>
            </w:pPr>
            <w:r w:rsidRPr="003611CF">
              <w:rPr>
                <w:rFonts w:ascii="Arial" w:eastAsia="Calibri" w:hAnsi="Arial" w:cs="Arial"/>
                <w:bCs/>
                <w:color w:val="000000"/>
                <w:sz w:val="20"/>
                <w:lang w:val="en-GB"/>
              </w:rPr>
              <w:t>Broj RN povraćaj</w:t>
            </w:r>
          </w:p>
        </w:tc>
        <w:tc>
          <w:tcPr>
            <w:tcW w:w="1983" w:type="dxa"/>
            <w:shd w:val="clear" w:color="auto" w:fill="FDE9D9"/>
            <w:noWrap/>
          </w:tcPr>
          <w:p w:rsidR="003611CF" w:rsidRPr="003611CF" w:rsidRDefault="003611CF" w:rsidP="003611CF">
            <w:pPr>
              <w:spacing w:before="0" w:after="0" w:line="240" w:lineRule="auto"/>
              <w:jc w:val="center"/>
              <w:rPr>
                <w:rFonts w:ascii="Arial" w:eastAsia="Calibri" w:hAnsi="Arial" w:cs="Arial"/>
                <w:bCs/>
                <w:color w:val="000000"/>
                <w:sz w:val="20"/>
                <w:lang w:val="en-GB"/>
              </w:rPr>
            </w:pPr>
            <w:r w:rsidRPr="003611CF">
              <w:rPr>
                <w:rFonts w:ascii="Arial" w:eastAsia="Calibri" w:hAnsi="Arial" w:cs="Arial"/>
                <w:bCs/>
                <w:color w:val="000000"/>
                <w:sz w:val="20"/>
                <w:lang w:val="en-GB"/>
              </w:rPr>
              <w:t>Iznos sredstava za povraćaj</w:t>
            </w:r>
          </w:p>
        </w:tc>
      </w:tr>
      <w:tr w:rsidR="003611CF" w:rsidRPr="003611CF" w:rsidTr="003611CF">
        <w:trPr>
          <w:trHeight w:val="186"/>
          <w:jc w:val="center"/>
        </w:trPr>
        <w:tc>
          <w:tcPr>
            <w:tcW w:w="1243" w:type="dxa"/>
            <w:shd w:val="clear" w:color="auto" w:fill="FEF4EC"/>
            <w:noWrap/>
          </w:tcPr>
          <w:p w:rsidR="003611CF" w:rsidRPr="003611CF" w:rsidRDefault="003611CF" w:rsidP="003611CF">
            <w:pPr>
              <w:spacing w:before="0" w:after="0" w:line="240" w:lineRule="auto"/>
              <w:jc w:val="center"/>
              <w:rPr>
                <w:rFonts w:ascii="Arial" w:eastAsia="Calibri" w:hAnsi="Arial" w:cs="Arial"/>
                <w:b/>
                <w:bCs/>
                <w:color w:val="000000"/>
                <w:sz w:val="20"/>
                <w:lang w:val="en-GB"/>
              </w:rPr>
            </w:pPr>
            <w:r w:rsidRPr="003611CF">
              <w:rPr>
                <w:rFonts w:ascii="Arial" w:eastAsia="Calibri" w:hAnsi="Arial" w:cs="Arial"/>
                <w:b/>
                <w:bCs/>
                <w:color w:val="000000"/>
                <w:sz w:val="20"/>
                <w:lang w:val="en-GB"/>
              </w:rPr>
              <w:t>Ukupno</w:t>
            </w:r>
          </w:p>
        </w:tc>
        <w:tc>
          <w:tcPr>
            <w:tcW w:w="1223" w:type="dxa"/>
            <w:shd w:val="clear" w:color="auto" w:fill="FEF4EC"/>
            <w:noWrap/>
            <w:vAlign w:val="bottom"/>
          </w:tcPr>
          <w:p w:rsidR="003611CF" w:rsidRPr="003611CF" w:rsidRDefault="003611CF" w:rsidP="003611CF">
            <w:pPr>
              <w:spacing w:before="0" w:after="0" w:line="240" w:lineRule="auto"/>
              <w:jc w:val="center"/>
              <w:rPr>
                <w:rFonts w:ascii="Arial" w:eastAsia="Times New Roman" w:hAnsi="Arial" w:cs="Arial"/>
                <w:b/>
                <w:bCs/>
                <w:sz w:val="20"/>
                <w:lang w:val="en-GB" w:eastAsia="hr-HR"/>
              </w:rPr>
            </w:pPr>
            <w:r w:rsidRPr="003611CF">
              <w:rPr>
                <w:rFonts w:ascii="Arial" w:eastAsia="Times New Roman" w:hAnsi="Arial" w:cs="Arial"/>
                <w:b/>
                <w:bCs/>
                <w:sz w:val="20"/>
                <w:lang w:val="en-GB" w:eastAsia="hr-HR"/>
              </w:rPr>
              <w:t>1.921</w:t>
            </w:r>
          </w:p>
        </w:tc>
        <w:tc>
          <w:tcPr>
            <w:tcW w:w="993" w:type="dxa"/>
            <w:shd w:val="clear" w:color="auto" w:fill="FEF4EC"/>
            <w:noWrap/>
            <w:vAlign w:val="bottom"/>
          </w:tcPr>
          <w:p w:rsidR="003611CF" w:rsidRPr="003611CF" w:rsidRDefault="003611CF" w:rsidP="003611CF">
            <w:pPr>
              <w:spacing w:before="0" w:after="0" w:line="240" w:lineRule="auto"/>
              <w:jc w:val="center"/>
              <w:rPr>
                <w:rFonts w:ascii="Arial" w:eastAsia="Times New Roman" w:hAnsi="Arial" w:cs="Arial"/>
                <w:b/>
                <w:bCs/>
                <w:sz w:val="20"/>
                <w:lang w:val="en-GB" w:eastAsia="hr-HR"/>
              </w:rPr>
            </w:pPr>
            <w:r w:rsidRPr="003611CF">
              <w:rPr>
                <w:rFonts w:ascii="Arial" w:eastAsia="Times New Roman" w:hAnsi="Arial" w:cs="Arial"/>
                <w:b/>
                <w:bCs/>
                <w:sz w:val="20"/>
                <w:lang w:val="en-GB" w:eastAsia="hr-HR"/>
              </w:rPr>
              <w:t>1.930</w:t>
            </w:r>
          </w:p>
        </w:tc>
        <w:tc>
          <w:tcPr>
            <w:tcW w:w="1982" w:type="dxa"/>
            <w:shd w:val="clear" w:color="auto" w:fill="FEF4EC"/>
            <w:noWrap/>
            <w:vAlign w:val="bottom"/>
          </w:tcPr>
          <w:p w:rsidR="003611CF" w:rsidRPr="003611CF" w:rsidRDefault="003611CF" w:rsidP="003611CF">
            <w:pPr>
              <w:spacing w:before="0" w:after="0" w:line="240" w:lineRule="auto"/>
              <w:jc w:val="center"/>
              <w:rPr>
                <w:rFonts w:ascii="Arial" w:eastAsia="Times New Roman" w:hAnsi="Arial" w:cs="Arial"/>
                <w:b/>
                <w:bCs/>
                <w:sz w:val="20"/>
                <w:lang w:val="en-GB" w:eastAsia="hr-HR"/>
              </w:rPr>
            </w:pPr>
            <w:r w:rsidRPr="003611CF">
              <w:rPr>
                <w:rFonts w:ascii="Arial" w:eastAsia="Times New Roman" w:hAnsi="Arial" w:cs="Arial"/>
                <w:b/>
                <w:bCs/>
                <w:sz w:val="20"/>
                <w:lang w:val="en-GB" w:eastAsia="hr-HR"/>
              </w:rPr>
              <w:t>3.581.901,53</w:t>
            </w:r>
          </w:p>
        </w:tc>
        <w:tc>
          <w:tcPr>
            <w:tcW w:w="1223" w:type="dxa"/>
            <w:shd w:val="clear" w:color="auto" w:fill="FEF4EC"/>
            <w:noWrap/>
            <w:vAlign w:val="bottom"/>
          </w:tcPr>
          <w:p w:rsidR="003611CF" w:rsidRPr="003611CF" w:rsidRDefault="003611CF" w:rsidP="003611CF">
            <w:pPr>
              <w:spacing w:before="0" w:after="0" w:line="240" w:lineRule="auto"/>
              <w:jc w:val="center"/>
              <w:rPr>
                <w:rFonts w:ascii="Arial" w:eastAsia="Times New Roman" w:hAnsi="Arial" w:cs="Arial"/>
                <w:b/>
                <w:bCs/>
                <w:sz w:val="20"/>
                <w:lang w:val="en-GB" w:eastAsia="hr-HR"/>
              </w:rPr>
            </w:pPr>
            <w:r w:rsidRPr="003611CF">
              <w:rPr>
                <w:rFonts w:ascii="Arial" w:eastAsia="Times New Roman" w:hAnsi="Arial" w:cs="Arial"/>
                <w:b/>
                <w:bCs/>
                <w:sz w:val="20"/>
                <w:lang w:val="en-GB" w:eastAsia="hr-HR"/>
              </w:rPr>
              <w:t>2.133</w:t>
            </w:r>
          </w:p>
        </w:tc>
        <w:tc>
          <w:tcPr>
            <w:tcW w:w="1088" w:type="dxa"/>
            <w:shd w:val="clear" w:color="auto" w:fill="FEF4EC"/>
            <w:noWrap/>
            <w:vAlign w:val="bottom"/>
          </w:tcPr>
          <w:p w:rsidR="003611CF" w:rsidRPr="003611CF" w:rsidRDefault="003611CF" w:rsidP="003611CF">
            <w:pPr>
              <w:spacing w:before="0" w:after="0" w:line="240" w:lineRule="auto"/>
              <w:jc w:val="center"/>
              <w:rPr>
                <w:rFonts w:ascii="Arial" w:eastAsia="Times New Roman" w:hAnsi="Arial" w:cs="Arial"/>
                <w:b/>
                <w:bCs/>
                <w:sz w:val="20"/>
                <w:lang w:val="en-GB" w:eastAsia="hr-HR"/>
              </w:rPr>
            </w:pPr>
            <w:r w:rsidRPr="003611CF">
              <w:rPr>
                <w:rFonts w:ascii="Arial" w:eastAsia="Times New Roman" w:hAnsi="Arial" w:cs="Arial"/>
                <w:b/>
                <w:bCs/>
                <w:sz w:val="20"/>
                <w:lang w:val="en-GB" w:eastAsia="hr-HR"/>
              </w:rPr>
              <w:t>2.169</w:t>
            </w:r>
          </w:p>
        </w:tc>
        <w:tc>
          <w:tcPr>
            <w:tcW w:w="1983" w:type="dxa"/>
            <w:shd w:val="clear" w:color="auto" w:fill="FEF4EC"/>
            <w:noWrap/>
            <w:vAlign w:val="bottom"/>
          </w:tcPr>
          <w:p w:rsidR="003611CF" w:rsidRPr="003611CF" w:rsidRDefault="003611CF" w:rsidP="003611CF">
            <w:pPr>
              <w:spacing w:before="0" w:after="0" w:line="240" w:lineRule="auto"/>
              <w:jc w:val="center"/>
              <w:rPr>
                <w:rFonts w:ascii="Arial" w:eastAsia="Times New Roman" w:hAnsi="Arial" w:cs="Arial"/>
                <w:b/>
                <w:bCs/>
                <w:sz w:val="20"/>
                <w:lang w:val="en-GB" w:eastAsia="hr-HR"/>
              </w:rPr>
            </w:pPr>
            <w:r w:rsidRPr="003611CF">
              <w:rPr>
                <w:rFonts w:ascii="Arial" w:eastAsia="Times New Roman" w:hAnsi="Arial" w:cs="Arial"/>
                <w:b/>
                <w:bCs/>
                <w:sz w:val="20"/>
                <w:lang w:val="en-GB" w:eastAsia="hr-HR"/>
              </w:rPr>
              <w:t>3.780.081,80</w:t>
            </w:r>
          </w:p>
        </w:tc>
      </w:tr>
    </w:tbl>
    <w:p w:rsidR="003611CF" w:rsidRPr="003611CF" w:rsidRDefault="003611CF" w:rsidP="003611CF">
      <w:pPr>
        <w:spacing w:before="0" w:after="0" w:line="240" w:lineRule="auto"/>
        <w:rPr>
          <w:rFonts w:ascii="Arial" w:eastAsia="Times New Roman" w:hAnsi="Arial" w:cs="Arial"/>
          <w:sz w:val="22"/>
          <w:lang w:val="en-GB"/>
        </w:rPr>
      </w:pPr>
    </w:p>
    <w:p w:rsidR="003611CF" w:rsidRPr="003611CF" w:rsidRDefault="003611CF" w:rsidP="004D6CB4">
      <w:pPr>
        <w:numPr>
          <w:ilvl w:val="0"/>
          <w:numId w:val="110"/>
        </w:numPr>
        <w:spacing w:before="0" w:after="0" w:line="240" w:lineRule="auto"/>
        <w:jc w:val="left"/>
        <w:rPr>
          <w:rFonts w:ascii="Calibri" w:eastAsia="Times New Roman" w:hAnsi="Calibri" w:cs="Calibri"/>
          <w:szCs w:val="24"/>
          <w:lang w:val="en-GB"/>
        </w:rPr>
      </w:pPr>
      <w:r w:rsidRPr="003611CF">
        <w:rPr>
          <w:rFonts w:ascii="Calibri" w:eastAsia="Times New Roman" w:hAnsi="Calibri" w:cs="Calibri"/>
          <w:szCs w:val="24"/>
          <w:lang w:val="en-GB"/>
        </w:rPr>
        <w:t xml:space="preserve">Pregled broja i iznosa naloga za povraćaj sredstava izvršenih sa računa 820-81111-98 </w:t>
      </w:r>
    </w:p>
    <w:p w:rsidR="003611CF" w:rsidRPr="003611CF" w:rsidRDefault="003611CF" w:rsidP="003611CF">
      <w:pPr>
        <w:spacing w:before="0" w:after="0" w:line="240" w:lineRule="auto"/>
        <w:ind w:left="468"/>
        <w:rPr>
          <w:rFonts w:ascii="Calibri" w:eastAsia="Times New Roman" w:hAnsi="Calibri" w:cs="Calibri"/>
          <w:szCs w:val="24"/>
          <w:lang w:val="en-GB"/>
        </w:rPr>
      </w:pPr>
      <w:r w:rsidRPr="003611CF">
        <w:rPr>
          <w:rFonts w:ascii="Calibri" w:eastAsia="Times New Roman" w:hAnsi="Calibri" w:cs="Calibri"/>
          <w:szCs w:val="24"/>
          <w:lang w:val="en-GB"/>
        </w:rPr>
        <w:t>/uporedni pregled januar-decembar 2019-2020/   Stari sistem</w:t>
      </w:r>
    </w:p>
    <w:tbl>
      <w:tblPr>
        <w:tblW w:w="9677" w:type="dxa"/>
        <w:tblLook w:val="04A0" w:firstRow="1" w:lastRow="0" w:firstColumn="1" w:lastColumn="0" w:noHBand="0" w:noVBand="1"/>
      </w:tblPr>
      <w:tblGrid>
        <w:gridCol w:w="1242"/>
        <w:gridCol w:w="2127"/>
        <w:gridCol w:w="2268"/>
        <w:gridCol w:w="1984"/>
        <w:gridCol w:w="2056"/>
      </w:tblGrid>
      <w:tr w:rsidR="003611CF" w:rsidRPr="003611CF" w:rsidTr="003611CF">
        <w:trPr>
          <w:trHeight w:val="233"/>
        </w:trPr>
        <w:tc>
          <w:tcPr>
            <w:tcW w:w="1242" w:type="dxa"/>
            <w:tcBorders>
              <w:bottom w:val="single" w:sz="12" w:space="0" w:color="FFFFFF"/>
            </w:tcBorders>
            <w:shd w:val="clear" w:color="auto" w:fill="348DA5"/>
            <w:noWrap/>
          </w:tcPr>
          <w:p w:rsidR="003611CF" w:rsidRPr="003611CF" w:rsidRDefault="003611CF" w:rsidP="003611CF">
            <w:pPr>
              <w:spacing w:before="0" w:after="0" w:line="240" w:lineRule="auto"/>
              <w:jc w:val="left"/>
              <w:rPr>
                <w:rFonts w:ascii="Arial" w:eastAsia="Calibri" w:hAnsi="Arial" w:cs="Arial"/>
                <w:b/>
                <w:bCs/>
                <w:color w:val="FFFFFF"/>
                <w:sz w:val="20"/>
                <w:lang w:val="en-GB"/>
              </w:rPr>
            </w:pPr>
            <w:r w:rsidRPr="003611CF">
              <w:rPr>
                <w:rFonts w:ascii="Arial" w:eastAsia="Calibri" w:hAnsi="Arial" w:cs="Arial"/>
                <w:b/>
                <w:bCs/>
                <w:color w:val="FFFFFF"/>
                <w:sz w:val="20"/>
                <w:lang w:val="en-GB"/>
              </w:rPr>
              <w:t> </w:t>
            </w:r>
          </w:p>
        </w:tc>
        <w:tc>
          <w:tcPr>
            <w:tcW w:w="4395" w:type="dxa"/>
            <w:gridSpan w:val="2"/>
            <w:tcBorders>
              <w:bottom w:val="single" w:sz="12" w:space="0" w:color="FFFFFF"/>
            </w:tcBorders>
            <w:shd w:val="clear" w:color="auto" w:fill="348DA5"/>
            <w:noWrap/>
          </w:tcPr>
          <w:p w:rsidR="003611CF" w:rsidRPr="003611CF" w:rsidRDefault="003611CF" w:rsidP="003611CF">
            <w:pPr>
              <w:spacing w:before="0" w:after="0" w:line="240" w:lineRule="auto"/>
              <w:jc w:val="center"/>
              <w:rPr>
                <w:rFonts w:ascii="Arial" w:eastAsia="Calibri" w:hAnsi="Arial" w:cs="Arial"/>
                <w:bCs/>
                <w:color w:val="FFFFFF"/>
                <w:sz w:val="20"/>
                <w:lang w:val="en-GB"/>
              </w:rPr>
            </w:pPr>
            <w:r w:rsidRPr="003611CF">
              <w:rPr>
                <w:rFonts w:ascii="Arial" w:eastAsia="Calibri" w:hAnsi="Arial" w:cs="Arial"/>
                <w:bCs/>
                <w:color w:val="FFFFFF"/>
                <w:sz w:val="20"/>
                <w:lang w:val="en-GB"/>
              </w:rPr>
              <w:t>2019.g. /januar – decembar/</w:t>
            </w:r>
          </w:p>
        </w:tc>
        <w:tc>
          <w:tcPr>
            <w:tcW w:w="4040" w:type="dxa"/>
            <w:gridSpan w:val="2"/>
            <w:tcBorders>
              <w:bottom w:val="single" w:sz="12" w:space="0" w:color="FFFFFF"/>
            </w:tcBorders>
            <w:shd w:val="clear" w:color="auto" w:fill="348DA5"/>
            <w:noWrap/>
          </w:tcPr>
          <w:p w:rsidR="003611CF" w:rsidRPr="003611CF" w:rsidRDefault="003611CF" w:rsidP="003611CF">
            <w:pPr>
              <w:spacing w:before="0" w:after="0" w:line="240" w:lineRule="auto"/>
              <w:jc w:val="center"/>
              <w:rPr>
                <w:rFonts w:ascii="Arial" w:eastAsia="Calibri" w:hAnsi="Arial" w:cs="Arial"/>
                <w:bCs/>
                <w:color w:val="FFFFFF"/>
                <w:sz w:val="20"/>
                <w:lang w:val="en-GB"/>
              </w:rPr>
            </w:pPr>
            <w:r w:rsidRPr="003611CF">
              <w:rPr>
                <w:rFonts w:ascii="Arial" w:eastAsia="Calibri" w:hAnsi="Arial" w:cs="Arial"/>
                <w:bCs/>
                <w:color w:val="FFFFFF"/>
                <w:sz w:val="20"/>
                <w:lang w:val="en-GB"/>
              </w:rPr>
              <w:t>2020.g. /januar – decembar/</w:t>
            </w:r>
          </w:p>
        </w:tc>
      </w:tr>
      <w:tr w:rsidR="003611CF" w:rsidRPr="003611CF" w:rsidTr="003611CF">
        <w:trPr>
          <w:trHeight w:val="398"/>
        </w:trPr>
        <w:tc>
          <w:tcPr>
            <w:tcW w:w="1242" w:type="dxa"/>
            <w:shd w:val="clear" w:color="auto" w:fill="FDE9D9"/>
            <w:noWrap/>
          </w:tcPr>
          <w:p w:rsidR="003611CF" w:rsidRPr="003611CF" w:rsidRDefault="003611CF" w:rsidP="003611CF">
            <w:pPr>
              <w:spacing w:before="0" w:after="0" w:line="240" w:lineRule="auto"/>
              <w:jc w:val="left"/>
              <w:rPr>
                <w:rFonts w:ascii="Arial" w:eastAsia="Calibri" w:hAnsi="Arial" w:cs="Arial"/>
                <w:b/>
                <w:bCs/>
                <w:color w:val="000000"/>
                <w:sz w:val="20"/>
                <w:lang w:val="en-GB"/>
              </w:rPr>
            </w:pPr>
            <w:r w:rsidRPr="003611CF">
              <w:rPr>
                <w:rFonts w:ascii="Arial" w:eastAsia="Calibri" w:hAnsi="Arial" w:cs="Arial"/>
                <w:b/>
                <w:bCs/>
                <w:color w:val="000000"/>
                <w:sz w:val="20"/>
                <w:lang w:val="en-GB"/>
              </w:rPr>
              <w:t> </w:t>
            </w:r>
          </w:p>
        </w:tc>
        <w:tc>
          <w:tcPr>
            <w:tcW w:w="2127" w:type="dxa"/>
            <w:shd w:val="clear" w:color="auto" w:fill="FDE9D9"/>
            <w:noWrap/>
          </w:tcPr>
          <w:p w:rsidR="003611CF" w:rsidRPr="003611CF" w:rsidRDefault="003611CF" w:rsidP="003611CF">
            <w:pPr>
              <w:spacing w:before="0" w:after="0" w:line="240" w:lineRule="auto"/>
              <w:jc w:val="center"/>
              <w:rPr>
                <w:rFonts w:ascii="Arial" w:eastAsia="Calibri" w:hAnsi="Arial" w:cs="Arial"/>
                <w:bCs/>
                <w:color w:val="000000"/>
                <w:sz w:val="20"/>
                <w:lang w:val="en-GB"/>
              </w:rPr>
            </w:pPr>
            <w:r w:rsidRPr="003611CF">
              <w:rPr>
                <w:rFonts w:ascii="Arial" w:eastAsia="Calibri" w:hAnsi="Arial" w:cs="Arial"/>
                <w:bCs/>
                <w:color w:val="000000"/>
                <w:sz w:val="20"/>
                <w:lang w:val="en-GB"/>
              </w:rPr>
              <w:t>Broj specifikacija za povraćaj</w:t>
            </w:r>
          </w:p>
        </w:tc>
        <w:tc>
          <w:tcPr>
            <w:tcW w:w="2268" w:type="dxa"/>
            <w:shd w:val="clear" w:color="auto" w:fill="FDE9D9"/>
            <w:noWrap/>
          </w:tcPr>
          <w:p w:rsidR="003611CF" w:rsidRPr="003611CF" w:rsidRDefault="003611CF" w:rsidP="003611CF">
            <w:pPr>
              <w:spacing w:before="0" w:after="0" w:line="240" w:lineRule="auto"/>
              <w:jc w:val="center"/>
              <w:rPr>
                <w:rFonts w:ascii="Arial" w:eastAsia="Calibri" w:hAnsi="Arial" w:cs="Arial"/>
                <w:bCs/>
                <w:color w:val="000000"/>
                <w:sz w:val="20"/>
                <w:lang w:val="en-GB"/>
              </w:rPr>
            </w:pPr>
            <w:r w:rsidRPr="003611CF">
              <w:rPr>
                <w:rFonts w:ascii="Arial" w:eastAsia="Calibri" w:hAnsi="Arial" w:cs="Arial"/>
                <w:bCs/>
                <w:color w:val="000000"/>
                <w:sz w:val="20"/>
                <w:lang w:val="en-GB"/>
              </w:rPr>
              <w:t>Iznos sredstava za povraćaj</w:t>
            </w:r>
          </w:p>
        </w:tc>
        <w:tc>
          <w:tcPr>
            <w:tcW w:w="1984" w:type="dxa"/>
            <w:shd w:val="clear" w:color="auto" w:fill="FDE9D9"/>
            <w:noWrap/>
          </w:tcPr>
          <w:p w:rsidR="003611CF" w:rsidRPr="003611CF" w:rsidRDefault="003611CF" w:rsidP="003611CF">
            <w:pPr>
              <w:spacing w:before="0" w:after="0" w:line="240" w:lineRule="auto"/>
              <w:jc w:val="center"/>
              <w:rPr>
                <w:rFonts w:ascii="Arial" w:eastAsia="Calibri" w:hAnsi="Arial" w:cs="Arial"/>
                <w:bCs/>
                <w:color w:val="000000"/>
                <w:sz w:val="20"/>
                <w:lang w:val="en-GB"/>
              </w:rPr>
            </w:pPr>
            <w:r w:rsidRPr="003611CF">
              <w:rPr>
                <w:rFonts w:ascii="Arial" w:eastAsia="Calibri" w:hAnsi="Arial" w:cs="Arial"/>
                <w:bCs/>
                <w:color w:val="000000"/>
                <w:sz w:val="20"/>
                <w:lang w:val="en-GB"/>
              </w:rPr>
              <w:t>Broj specifikacija za povraćaj</w:t>
            </w:r>
          </w:p>
        </w:tc>
        <w:tc>
          <w:tcPr>
            <w:tcW w:w="2056" w:type="dxa"/>
            <w:shd w:val="clear" w:color="auto" w:fill="FDE9D9"/>
            <w:noWrap/>
          </w:tcPr>
          <w:p w:rsidR="003611CF" w:rsidRPr="003611CF" w:rsidRDefault="003611CF" w:rsidP="003611CF">
            <w:pPr>
              <w:spacing w:before="0" w:after="0" w:line="240" w:lineRule="auto"/>
              <w:jc w:val="center"/>
              <w:rPr>
                <w:rFonts w:ascii="Arial" w:eastAsia="Calibri" w:hAnsi="Arial" w:cs="Arial"/>
                <w:bCs/>
                <w:color w:val="000000"/>
                <w:sz w:val="20"/>
                <w:lang w:val="en-GB"/>
              </w:rPr>
            </w:pPr>
            <w:r w:rsidRPr="003611CF">
              <w:rPr>
                <w:rFonts w:ascii="Arial" w:eastAsia="Calibri" w:hAnsi="Arial" w:cs="Arial"/>
                <w:bCs/>
                <w:color w:val="000000"/>
                <w:sz w:val="20"/>
                <w:lang w:val="en-GB"/>
              </w:rPr>
              <w:t>Iznos sredstava za povraćaj</w:t>
            </w:r>
          </w:p>
        </w:tc>
      </w:tr>
      <w:tr w:rsidR="003611CF" w:rsidRPr="003611CF" w:rsidTr="003611CF">
        <w:trPr>
          <w:trHeight w:val="104"/>
        </w:trPr>
        <w:tc>
          <w:tcPr>
            <w:tcW w:w="1242" w:type="dxa"/>
            <w:shd w:val="clear" w:color="auto" w:fill="FEF4EC"/>
            <w:noWrap/>
          </w:tcPr>
          <w:p w:rsidR="003611CF" w:rsidRPr="003611CF" w:rsidRDefault="003611CF" w:rsidP="003611CF">
            <w:pPr>
              <w:spacing w:before="0" w:after="0" w:line="240" w:lineRule="auto"/>
              <w:jc w:val="center"/>
              <w:rPr>
                <w:rFonts w:ascii="Arial" w:eastAsia="Calibri" w:hAnsi="Arial" w:cs="Arial"/>
                <w:b/>
                <w:bCs/>
                <w:color w:val="000000"/>
                <w:sz w:val="20"/>
                <w:lang w:val="en-GB"/>
              </w:rPr>
            </w:pPr>
            <w:r w:rsidRPr="003611CF">
              <w:rPr>
                <w:rFonts w:ascii="Arial" w:eastAsia="Calibri" w:hAnsi="Arial" w:cs="Arial"/>
                <w:b/>
                <w:bCs/>
                <w:color w:val="000000"/>
                <w:sz w:val="20"/>
                <w:lang w:val="en-GB"/>
              </w:rPr>
              <w:t>Ukupno</w:t>
            </w:r>
          </w:p>
        </w:tc>
        <w:tc>
          <w:tcPr>
            <w:tcW w:w="2127" w:type="dxa"/>
            <w:shd w:val="clear" w:color="auto" w:fill="FEF4EC"/>
            <w:noWrap/>
            <w:vAlign w:val="bottom"/>
          </w:tcPr>
          <w:p w:rsidR="003611CF" w:rsidRPr="003611CF" w:rsidRDefault="003611CF" w:rsidP="003611CF">
            <w:pPr>
              <w:spacing w:before="0" w:after="0" w:line="240" w:lineRule="auto"/>
              <w:jc w:val="center"/>
              <w:rPr>
                <w:rFonts w:ascii="Arial" w:eastAsia="Calibri" w:hAnsi="Arial" w:cs="Arial"/>
                <w:b/>
                <w:bCs/>
                <w:color w:val="000000"/>
                <w:sz w:val="20"/>
                <w:lang w:val="en-GB" w:eastAsia="hr-HR"/>
              </w:rPr>
            </w:pPr>
            <w:r w:rsidRPr="003611CF">
              <w:rPr>
                <w:rFonts w:ascii="Arial" w:eastAsia="Calibri" w:hAnsi="Arial" w:cs="Arial"/>
                <w:b/>
                <w:bCs/>
                <w:color w:val="000000"/>
                <w:sz w:val="20"/>
                <w:lang w:val="en-GB" w:eastAsia="hr-HR"/>
              </w:rPr>
              <w:t>10</w:t>
            </w:r>
          </w:p>
        </w:tc>
        <w:tc>
          <w:tcPr>
            <w:tcW w:w="2268" w:type="dxa"/>
            <w:shd w:val="clear" w:color="auto" w:fill="FEF4EC"/>
            <w:noWrap/>
            <w:vAlign w:val="bottom"/>
          </w:tcPr>
          <w:p w:rsidR="003611CF" w:rsidRPr="003611CF" w:rsidRDefault="003611CF" w:rsidP="003611CF">
            <w:pPr>
              <w:spacing w:before="0" w:after="0" w:line="240" w:lineRule="auto"/>
              <w:jc w:val="center"/>
              <w:rPr>
                <w:rFonts w:ascii="Arial" w:eastAsia="Calibri" w:hAnsi="Arial" w:cs="Arial"/>
                <w:b/>
                <w:bCs/>
                <w:color w:val="000000"/>
                <w:sz w:val="20"/>
                <w:lang w:val="en-GB" w:eastAsia="hr-HR"/>
              </w:rPr>
            </w:pPr>
            <w:r w:rsidRPr="003611CF">
              <w:rPr>
                <w:rFonts w:ascii="Arial" w:eastAsia="Calibri" w:hAnsi="Arial" w:cs="Arial"/>
                <w:b/>
                <w:bCs/>
                <w:color w:val="000000"/>
                <w:sz w:val="20"/>
                <w:lang w:val="en-GB" w:eastAsia="hr-HR"/>
              </w:rPr>
              <w:t>35.607,19</w:t>
            </w:r>
          </w:p>
        </w:tc>
        <w:tc>
          <w:tcPr>
            <w:tcW w:w="1984" w:type="dxa"/>
            <w:shd w:val="clear" w:color="auto" w:fill="FEF4EC"/>
            <w:noWrap/>
            <w:vAlign w:val="bottom"/>
          </w:tcPr>
          <w:p w:rsidR="003611CF" w:rsidRPr="003611CF" w:rsidRDefault="003611CF" w:rsidP="003611CF">
            <w:pPr>
              <w:spacing w:before="0" w:after="0" w:line="240" w:lineRule="auto"/>
              <w:jc w:val="center"/>
              <w:rPr>
                <w:rFonts w:ascii="Arial" w:eastAsia="Calibri" w:hAnsi="Arial" w:cs="Arial"/>
                <w:b/>
                <w:bCs/>
                <w:color w:val="000000"/>
                <w:sz w:val="20"/>
                <w:lang w:val="en-GB" w:eastAsia="hr-HR"/>
              </w:rPr>
            </w:pPr>
            <w:r w:rsidRPr="003611CF">
              <w:rPr>
                <w:rFonts w:ascii="Arial" w:eastAsia="Calibri" w:hAnsi="Arial" w:cs="Arial"/>
                <w:b/>
                <w:bCs/>
                <w:color w:val="000000"/>
                <w:sz w:val="20"/>
                <w:lang w:val="en-GB" w:eastAsia="hr-HR"/>
              </w:rPr>
              <w:t>4</w:t>
            </w:r>
          </w:p>
        </w:tc>
        <w:tc>
          <w:tcPr>
            <w:tcW w:w="2056" w:type="dxa"/>
            <w:shd w:val="clear" w:color="auto" w:fill="FEF4EC"/>
            <w:noWrap/>
            <w:vAlign w:val="bottom"/>
          </w:tcPr>
          <w:p w:rsidR="003611CF" w:rsidRPr="003611CF" w:rsidRDefault="003611CF" w:rsidP="003611CF">
            <w:pPr>
              <w:spacing w:before="0" w:after="0" w:line="240" w:lineRule="auto"/>
              <w:jc w:val="center"/>
              <w:rPr>
                <w:rFonts w:ascii="Arial" w:eastAsia="Calibri" w:hAnsi="Arial" w:cs="Arial"/>
                <w:b/>
                <w:bCs/>
                <w:color w:val="000000"/>
                <w:sz w:val="20"/>
                <w:lang w:val="en-GB" w:eastAsia="hr-HR"/>
              </w:rPr>
            </w:pPr>
            <w:r w:rsidRPr="003611CF">
              <w:rPr>
                <w:rFonts w:ascii="Arial" w:eastAsia="Calibri" w:hAnsi="Arial" w:cs="Arial"/>
                <w:b/>
                <w:bCs/>
                <w:color w:val="000000"/>
                <w:sz w:val="20"/>
                <w:lang w:val="en-GB" w:eastAsia="hr-HR"/>
              </w:rPr>
              <w:t>6.010,31</w:t>
            </w:r>
          </w:p>
        </w:tc>
      </w:tr>
    </w:tbl>
    <w:p w:rsidR="003611CF" w:rsidRPr="003611CF" w:rsidRDefault="003611CF" w:rsidP="003611CF">
      <w:pPr>
        <w:spacing w:before="0" w:after="0" w:line="240" w:lineRule="auto"/>
        <w:rPr>
          <w:rFonts w:ascii="Arial" w:eastAsia="Times New Roman" w:hAnsi="Arial" w:cs="Arial"/>
          <w:bCs/>
          <w:iCs/>
          <w:sz w:val="22"/>
          <w:lang w:val="en-GB"/>
        </w:rPr>
      </w:pPr>
    </w:p>
    <w:p w:rsidR="003611CF" w:rsidRPr="003611CF" w:rsidRDefault="003611CF" w:rsidP="004D6CB4">
      <w:pPr>
        <w:numPr>
          <w:ilvl w:val="0"/>
          <w:numId w:val="113"/>
        </w:numPr>
        <w:spacing w:before="0" w:after="0" w:line="240" w:lineRule="auto"/>
        <w:ind w:left="0" w:firstLine="360"/>
        <w:jc w:val="left"/>
        <w:rPr>
          <w:rFonts w:ascii="Calibri" w:eastAsia="Times New Roman" w:hAnsi="Calibri" w:cs="Calibri"/>
          <w:bCs/>
          <w:iCs/>
          <w:szCs w:val="24"/>
          <w:lang w:val="en-GB"/>
        </w:rPr>
      </w:pPr>
      <w:r w:rsidRPr="003611CF">
        <w:rPr>
          <w:rFonts w:ascii="Calibri" w:eastAsia="Times New Roman" w:hAnsi="Calibri" w:cs="Calibri"/>
          <w:szCs w:val="24"/>
          <w:lang w:val="en-GB"/>
        </w:rPr>
        <w:t>izvještaj o izvršenim uplatama poljoprivrednika, koji su izmirili svoj dio obaveze, a koji padaju na teret budžeta Crne Gore.</w:t>
      </w:r>
      <w:r w:rsidRPr="003611CF">
        <w:rPr>
          <w:rFonts w:ascii="Calibri" w:eastAsia="Times New Roman" w:hAnsi="Calibri" w:cs="Calibri"/>
          <w:bCs/>
          <w:iCs/>
          <w:szCs w:val="24"/>
          <w:lang w:val="en-GB"/>
        </w:rPr>
        <w:tab/>
        <w:t>Pored sačinjavanja izvještaja u odsijeku za utvrđivanje i naplatu poreskih obaveza se obavljaju i drugi poslovi.</w:t>
      </w:r>
    </w:p>
    <w:p w:rsidR="003611CF" w:rsidRPr="003611CF" w:rsidRDefault="003611CF" w:rsidP="003611CF">
      <w:pPr>
        <w:spacing w:before="0" w:after="0" w:line="240" w:lineRule="auto"/>
        <w:rPr>
          <w:rFonts w:ascii="Calibri" w:eastAsia="Calibri" w:hAnsi="Calibri" w:cs="Calibri"/>
          <w:szCs w:val="24"/>
          <w:lang w:val="hr-HR"/>
        </w:rPr>
      </w:pPr>
      <w:r w:rsidRPr="003611CF">
        <w:rPr>
          <w:rFonts w:ascii="Calibri" w:eastAsia="Calibri" w:hAnsi="Calibri" w:cs="Calibri"/>
          <w:szCs w:val="24"/>
          <w:lang w:val="it-IT"/>
        </w:rPr>
        <w:tab/>
        <w:t>Poreskim obveznicima u izvještajnom periodu su sačinjeni  i dostavljeni  odgovori na  zahtjeve u kojima su im data pojašnjenja (zakonske mogućnosti) u vezi obračuna i uplate javnih prihoda, odgovori na zahtjeve poreskih obveznika u vezi reprograma poreskog potraživanja. Područnim jedinicama Poreske uprave dostavljaju se nalozi o postupanju i  instrukcije, a takođe im se proslijeđuju i zahtjevi poreskih obveznika iz njihove nadležnosti. Područnim</w:t>
      </w:r>
      <w:r w:rsidRPr="003611CF">
        <w:rPr>
          <w:rFonts w:ascii="Calibri" w:eastAsia="Calibri" w:hAnsi="Calibri" w:cs="Calibri"/>
          <w:szCs w:val="24"/>
          <w:lang w:val="hr-HR"/>
        </w:rPr>
        <w:t xml:space="preserve"> jedinicama se proslijeđuju i žalbe na rješenja o reprogramu, ukidna rješenja i na rješenja o prinudnoj naplati na dalju nadležnost. Takođe, sprovode se i aktivnosti u cilju realizacije donijetih Uredbi od strane Ministarstva finansija </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Pored navedenih aktivnosti, odrađeno je i:</w:t>
      </w:r>
    </w:p>
    <w:p w:rsidR="003611CF" w:rsidRPr="003611CF" w:rsidRDefault="003611CF" w:rsidP="004D6CB4">
      <w:pPr>
        <w:numPr>
          <w:ilvl w:val="0"/>
          <w:numId w:val="111"/>
        </w:numPr>
        <w:spacing w:before="0" w:after="0" w:line="240" w:lineRule="auto"/>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81  ručni  nalog za rezervaciju  sredstava u  „Novom sistemu“</w:t>
      </w:r>
    </w:p>
    <w:p w:rsidR="003611CF" w:rsidRPr="003611CF" w:rsidRDefault="003611CF" w:rsidP="004D6CB4">
      <w:pPr>
        <w:numPr>
          <w:ilvl w:val="0"/>
          <w:numId w:val="111"/>
        </w:numPr>
        <w:spacing w:before="0" w:after="0" w:line="240" w:lineRule="auto"/>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81  ručni  nalog za povraćaj sredstava u  „Novom sistemu“</w:t>
      </w:r>
    </w:p>
    <w:p w:rsidR="003611CF" w:rsidRPr="003611CF" w:rsidRDefault="003611CF" w:rsidP="004D6CB4">
      <w:pPr>
        <w:numPr>
          <w:ilvl w:val="0"/>
          <w:numId w:val="111"/>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obrađeno 28 zahtjeva CDA i proslijeđeni na dalju obradu 29 ručnih naloga RN -10 preusmjer  uplata  sa PIB-a  na PIB</w:t>
      </w:r>
    </w:p>
    <w:p w:rsidR="003611CF" w:rsidRPr="003611CF" w:rsidRDefault="003611CF" w:rsidP="004D6CB4">
      <w:pPr>
        <w:numPr>
          <w:ilvl w:val="0"/>
          <w:numId w:val="111"/>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1.075 obavještenja o stanju poreskih obaveza upućenih CRPS po osnovu Instrukcije za postupanje prilikom dobrovoljne likvidacije po skraćenom postupku</w:t>
      </w:r>
    </w:p>
    <w:p w:rsidR="003611CF" w:rsidRPr="003611CF" w:rsidRDefault="003611CF" w:rsidP="004D6CB4">
      <w:pPr>
        <w:numPr>
          <w:ilvl w:val="0"/>
          <w:numId w:val="111"/>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445 obavještenja o stanju poreskih obaveza upućenih CRPS, po osnovu zahtjeva za osnivanje privrednog društva, promjenu djelatnosti, restruktuiranja privrednog društva itd.</w:t>
      </w:r>
    </w:p>
    <w:p w:rsidR="003611CF" w:rsidRPr="003611CF" w:rsidRDefault="003611CF" w:rsidP="004D6CB4">
      <w:pPr>
        <w:numPr>
          <w:ilvl w:val="0"/>
          <w:numId w:val="111"/>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1.028 rješenja o preusmjeru sredstava sa PDV-a na jedinstveni račun, a koja se prosleđuju Ministarstvu finansija na realizaciju</w:t>
      </w:r>
    </w:p>
    <w:p w:rsidR="003611CF" w:rsidRPr="003611CF" w:rsidRDefault="003611CF" w:rsidP="004D6CB4">
      <w:pPr>
        <w:numPr>
          <w:ilvl w:val="0"/>
          <w:numId w:val="111"/>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odgovori  na  dopise ministarstava, sudova, stečajnih upravnika, javnih izvršitelja, Sektora za inspekcijski nadzor o stanju poreskih obaveza za konkretna pravna i fizička lica</w:t>
      </w:r>
    </w:p>
    <w:p w:rsidR="003611CF" w:rsidRPr="003611CF" w:rsidRDefault="003611CF" w:rsidP="003611CF">
      <w:pPr>
        <w:tabs>
          <w:tab w:val="left" w:pos="5655"/>
        </w:tabs>
        <w:spacing w:before="0" w:after="0" w:line="240" w:lineRule="auto"/>
        <w:ind w:left="708"/>
        <w:contextualSpacing/>
        <w:rPr>
          <w:rFonts w:ascii="Calibri" w:eastAsia="Times New Roman" w:hAnsi="Calibri" w:cs="Calibri"/>
          <w:szCs w:val="24"/>
          <w:lang w:val="hr-HR" w:eastAsia="hr-HR"/>
        </w:rPr>
      </w:pPr>
    </w:p>
    <w:p w:rsidR="003611CF" w:rsidRPr="003611CF" w:rsidRDefault="003611CF" w:rsidP="003611CF">
      <w:pPr>
        <w:spacing w:before="0" w:after="0" w:line="240" w:lineRule="auto"/>
        <w:contextualSpacing/>
        <w:rPr>
          <w:rFonts w:ascii="Calibri" w:eastAsia="Times New Roman" w:hAnsi="Calibri" w:cs="Calibri"/>
          <w:szCs w:val="24"/>
          <w:lang w:val="hr-HR" w:eastAsia="hr-HR"/>
        </w:rPr>
      </w:pPr>
      <w:r w:rsidRPr="003611CF">
        <w:rPr>
          <w:rFonts w:ascii="Calibri" w:eastAsia="Times New Roman" w:hAnsi="Calibri" w:cs="Calibri"/>
          <w:szCs w:val="24"/>
          <w:lang w:val="hr-HR" w:eastAsia="hr-HR"/>
        </w:rPr>
        <w:tab/>
        <w:t>U kontinuitetu prosleđivanje uvjerenja o izmirenim poreskim obavezama, područnih jedinica Poreske uprave Crne Gore, za poreske osiguranike koji odlaze u penziju kao i propratne dokumentacije ( rješenja Agencije za mirno rješavanje radnih sporova, Zapisnika o izvršenom inspekcijskom nadzoru, dokaza o izvršenim uplatama za osiguranike) Republičkom fondu  PIO Crne Gore.</w:t>
      </w:r>
    </w:p>
    <w:p w:rsidR="003611CF" w:rsidRPr="003611CF" w:rsidRDefault="003611CF" w:rsidP="003611CF">
      <w:pPr>
        <w:spacing w:before="0" w:after="0" w:line="240" w:lineRule="auto"/>
        <w:contextualSpacing/>
        <w:rPr>
          <w:rFonts w:ascii="Calibri" w:eastAsia="Times New Roman" w:hAnsi="Calibri" w:cs="Calibri"/>
          <w:szCs w:val="24"/>
          <w:lang w:val="hr-HR" w:eastAsia="hr-HR"/>
        </w:rPr>
      </w:pPr>
      <w:r w:rsidRPr="003611CF">
        <w:rPr>
          <w:rFonts w:ascii="Calibri" w:eastAsia="Times New Roman" w:hAnsi="Calibri" w:cs="Calibri"/>
          <w:szCs w:val="24"/>
          <w:lang w:val="hr-HR" w:eastAsia="hr-HR"/>
        </w:rPr>
        <w:tab/>
        <w:t>Aktivnosti vezane za funkcionisanje aplikacije za ZPO, komunikacija sa  nadležnim licima i službenicima područnih jedinica radi otklanjanja problema u radu aplikacije, kao i administracija Registra službenika potpisnika obrade ZPO.</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it-IT"/>
        </w:rPr>
        <w:tab/>
        <w:t xml:space="preserve">U izvještajnom periodu </w:t>
      </w:r>
      <w:r w:rsidRPr="003611CF">
        <w:rPr>
          <w:rFonts w:ascii="Calibri" w:eastAsia="Times New Roman" w:hAnsi="Calibri" w:cs="Calibri"/>
          <w:szCs w:val="24"/>
          <w:lang w:val="en-GB" w:eastAsia="hr-HR"/>
        </w:rPr>
        <w:t xml:space="preserve"> sačinjavani su dostavljani pisani odgovorina zahtjeve Sektora za operativu u oblasti inspekcijskog nadzora, nevladinih organizacija, stečajnih upravnika, revizorskih institucija, sudova, tužilaštva, Fonda  PIO Crne Gore, bankarskom sektoru. .</w:t>
      </w:r>
    </w:p>
    <w:p w:rsidR="003611CF" w:rsidRPr="003611CF" w:rsidRDefault="003611CF" w:rsidP="003611CF">
      <w:pPr>
        <w:spacing w:before="0" w:after="0" w:line="240" w:lineRule="auto"/>
        <w:rPr>
          <w:rFonts w:ascii="Calibri" w:eastAsia="Times New Roman" w:hAnsi="Calibri" w:cs="Calibri"/>
          <w:szCs w:val="24"/>
          <w:lang w:val="hr-HR" w:eastAsia="hr-HR"/>
        </w:rPr>
      </w:pPr>
      <w:r w:rsidRPr="003611CF">
        <w:rPr>
          <w:rFonts w:ascii="Calibri" w:eastAsia="Times New Roman" w:hAnsi="Calibri" w:cs="Calibri"/>
          <w:szCs w:val="24"/>
          <w:lang w:val="hr-HR" w:eastAsia="hr-HR"/>
        </w:rPr>
        <w:tab/>
        <w:t xml:space="preserve">Prema Uredbi o uslovima i kritetijumima objavljivanja liste poreskih dužnika sačinjava se “Crna lista” poreskih obveznika. Pored “Crne liste” sačinjava se i “Bijela lista” poreskih obveznika na kojoj se nalaze  najuredniji poreski obveznici. </w:t>
      </w:r>
    </w:p>
    <w:p w:rsidR="003611CF" w:rsidRPr="003611CF" w:rsidRDefault="003611CF" w:rsidP="003611CF">
      <w:pPr>
        <w:spacing w:before="0" w:after="0" w:line="240" w:lineRule="auto"/>
        <w:rPr>
          <w:rFonts w:ascii="Calibri" w:eastAsia="Calibri" w:hAnsi="Calibri" w:cs="Calibri"/>
          <w:szCs w:val="24"/>
          <w:lang w:val="hr-HR"/>
        </w:rPr>
      </w:pPr>
      <w:r w:rsidRPr="003611CF">
        <w:rPr>
          <w:rFonts w:ascii="Calibri" w:eastAsia="Calibri" w:hAnsi="Calibri" w:cs="Calibri"/>
          <w:szCs w:val="24"/>
          <w:lang w:val="hr-HR"/>
        </w:rPr>
        <w:tab/>
        <w:t>Mjesečna analiza poreskog duga Javnih zdravstvenih ustanova - domova zdravlja, bolnica i privatnih bolnica, kao i podnošenje poreskih prijava.</w:t>
      </w:r>
    </w:p>
    <w:p w:rsidR="003611CF" w:rsidRPr="003611CF" w:rsidRDefault="003611CF" w:rsidP="003611CF">
      <w:pPr>
        <w:spacing w:before="0" w:after="0" w:line="240" w:lineRule="auto"/>
        <w:rPr>
          <w:rFonts w:ascii="Calibri" w:eastAsia="Calibri" w:hAnsi="Calibri" w:cs="Calibri"/>
          <w:szCs w:val="24"/>
          <w:lang w:val="hr-HR"/>
        </w:rPr>
      </w:pPr>
      <w:r w:rsidRPr="003611CF">
        <w:rPr>
          <w:rFonts w:ascii="Calibri" w:eastAsia="Calibri" w:hAnsi="Calibri" w:cs="Calibri"/>
          <w:szCs w:val="24"/>
          <w:lang w:val="hr-HR"/>
        </w:rPr>
        <w:lastRenderedPageBreak/>
        <w:tab/>
        <w:t>Mjesečna analiza poreskog duga Javnih predškolskih ustanova,osnovnih i srednjih škola, kao i podnošenje poreskih prijava.</w:t>
      </w:r>
    </w:p>
    <w:p w:rsidR="003611CF" w:rsidRPr="003611CF" w:rsidRDefault="003611CF" w:rsidP="003611CF">
      <w:pPr>
        <w:spacing w:before="0" w:after="0" w:line="240" w:lineRule="auto"/>
        <w:rPr>
          <w:rFonts w:ascii="Calibri" w:eastAsia="Calibri" w:hAnsi="Calibri" w:cs="Calibri"/>
          <w:szCs w:val="24"/>
          <w:lang w:val="hr-HR"/>
        </w:rPr>
      </w:pPr>
      <w:r w:rsidRPr="003611CF">
        <w:rPr>
          <w:rFonts w:ascii="Calibri" w:eastAsia="Calibri" w:hAnsi="Calibri" w:cs="Calibri"/>
          <w:szCs w:val="24"/>
          <w:lang w:val="hr-HR"/>
        </w:rPr>
        <w:tab/>
        <w:t>Mjesečna analiza poreskog duga Javnih izvršitelja koji obavljaju djelatnost u Crnoj Gori.</w:t>
      </w:r>
    </w:p>
    <w:p w:rsidR="003611CF" w:rsidRPr="003611CF" w:rsidRDefault="003611CF" w:rsidP="003611CF">
      <w:pPr>
        <w:spacing w:before="0" w:after="0" w:line="240" w:lineRule="auto"/>
        <w:rPr>
          <w:rFonts w:ascii="Calibri" w:eastAsia="Calibri" w:hAnsi="Calibri" w:cs="Calibri"/>
          <w:szCs w:val="24"/>
          <w:lang w:val="hr-HR"/>
        </w:rPr>
      </w:pPr>
      <w:r w:rsidRPr="003611CF">
        <w:rPr>
          <w:rFonts w:ascii="Calibri" w:eastAsia="Calibri" w:hAnsi="Calibri" w:cs="Calibri"/>
          <w:szCs w:val="24"/>
          <w:lang w:val="hr-HR"/>
        </w:rPr>
        <w:tab/>
        <w:t>Mjesečna analiza poreskog duga advokata koji obavljaju djelatnost u Crnoj Gori.</w:t>
      </w:r>
    </w:p>
    <w:p w:rsidR="003611CF" w:rsidRPr="003611CF" w:rsidRDefault="003611CF" w:rsidP="003611CF">
      <w:pPr>
        <w:spacing w:before="0" w:after="0" w:line="240" w:lineRule="auto"/>
        <w:rPr>
          <w:rFonts w:ascii="Calibri" w:eastAsia="Calibri" w:hAnsi="Calibri" w:cs="Calibri"/>
          <w:szCs w:val="24"/>
          <w:lang w:val="hr-HR"/>
        </w:rPr>
      </w:pPr>
      <w:r w:rsidRPr="003611CF">
        <w:rPr>
          <w:rFonts w:ascii="Calibri" w:eastAsia="Calibri" w:hAnsi="Calibri" w:cs="Calibri"/>
          <w:szCs w:val="24"/>
          <w:lang w:val="hr-HR"/>
        </w:rPr>
        <w:tab/>
        <w:t>Kvartalna analiza poreskog duga za medije koji posluju u Crnoj Gori.</w:t>
      </w:r>
    </w:p>
    <w:p w:rsidR="003611CF" w:rsidRPr="003611CF" w:rsidRDefault="003611CF" w:rsidP="003611CF">
      <w:pPr>
        <w:spacing w:before="0" w:after="0" w:line="240" w:lineRule="auto"/>
        <w:rPr>
          <w:rFonts w:ascii="Calibri" w:eastAsia="Calibri" w:hAnsi="Calibri" w:cs="Calibri"/>
          <w:szCs w:val="24"/>
          <w:lang w:val="hr-HR"/>
        </w:rPr>
      </w:pPr>
      <w:r w:rsidRPr="003611CF">
        <w:rPr>
          <w:rFonts w:ascii="Calibri" w:eastAsia="Calibri" w:hAnsi="Calibri" w:cs="Calibri"/>
          <w:szCs w:val="24"/>
          <w:lang w:val="hr-HR"/>
        </w:rPr>
        <w:tab/>
        <w:t>Svakodnevno sačinjavani su odgovori na dopise upućeni od strane eksternih korisnika informacija o procjeni poreskog duga za određene poreske obveznike.</w:t>
      </w:r>
    </w:p>
    <w:p w:rsidR="003611CF" w:rsidRPr="003611CF" w:rsidRDefault="003611CF" w:rsidP="003611CF">
      <w:pPr>
        <w:spacing w:before="0" w:after="0" w:line="240" w:lineRule="auto"/>
        <w:rPr>
          <w:rFonts w:ascii="Calibri" w:eastAsia="Calibri" w:hAnsi="Calibri" w:cs="Calibri"/>
          <w:szCs w:val="24"/>
          <w:lang w:val="hr-HR"/>
        </w:rPr>
      </w:pPr>
      <w:r w:rsidRPr="003611CF">
        <w:rPr>
          <w:rFonts w:ascii="Calibri" w:eastAsia="Calibri" w:hAnsi="Calibri" w:cs="Calibri"/>
          <w:szCs w:val="24"/>
          <w:lang w:val="hr-HR"/>
        </w:rPr>
        <w:tab/>
        <w:t>U cilju primjene obezbjeđenja mjere upisa zaloge na pokretnoj imovini donijeto je rješenje – obrazac o obezbjeđenju poreskog potraživanja zaloge na pokretnoj imovini kako bi područne jedinice primjenjivale navedenu mjeru.</w:t>
      </w:r>
    </w:p>
    <w:p w:rsidR="003611CF" w:rsidRPr="00BC2293" w:rsidRDefault="003611CF" w:rsidP="003611CF">
      <w:pPr>
        <w:spacing w:before="0" w:after="0" w:line="240" w:lineRule="auto"/>
        <w:rPr>
          <w:rFonts w:ascii="Calibri" w:eastAsia="Calibri" w:hAnsi="Calibri" w:cs="Calibri"/>
          <w:szCs w:val="24"/>
          <w:lang w:val="hr-HR"/>
        </w:rPr>
      </w:pPr>
      <w:r w:rsidRPr="003611CF">
        <w:rPr>
          <w:rFonts w:ascii="Calibri" w:eastAsia="Calibri" w:hAnsi="Calibri" w:cs="Calibri"/>
          <w:szCs w:val="24"/>
          <w:lang w:val="hr-HR"/>
        </w:rPr>
        <w:tab/>
        <w:t>U cilju objave prodaje imovine za poreske obveznike koji imaju dospjele a neizmirene poreske obaveze pripremljeno je Interno pravilo o postupanju područnih jedinica, u cilju realizacije objavljivanja javnog oglasa za pr</w:t>
      </w:r>
      <w:r w:rsidR="00BC2293">
        <w:rPr>
          <w:rFonts w:ascii="Calibri" w:eastAsia="Calibri" w:hAnsi="Calibri" w:cs="Calibri"/>
          <w:szCs w:val="24"/>
          <w:lang w:val="hr-HR"/>
        </w:rPr>
        <w:t>odaju imovine poreskih dužnika.</w:t>
      </w:r>
    </w:p>
    <w:p w:rsidR="003611CF" w:rsidRPr="003611CF" w:rsidRDefault="003611CF" w:rsidP="003611CF">
      <w:pPr>
        <w:spacing w:before="0" w:after="0" w:line="240" w:lineRule="auto"/>
        <w:rPr>
          <w:rFonts w:ascii="Calibri" w:eastAsia="Times New Roman" w:hAnsi="Calibri" w:cs="Calibri"/>
          <w:bCs/>
          <w:iCs/>
          <w:szCs w:val="24"/>
          <w:lang w:val="en-GB"/>
        </w:rPr>
      </w:pPr>
    </w:p>
    <w:p w:rsidR="003611CF" w:rsidRPr="003611CF" w:rsidRDefault="003611CF" w:rsidP="003611CF">
      <w:pPr>
        <w:spacing w:before="0" w:after="0" w:line="240" w:lineRule="auto"/>
        <w:rPr>
          <w:rFonts w:ascii="Calibri" w:eastAsia="Times New Roman" w:hAnsi="Calibri" w:cs="Calibri"/>
          <w:b/>
          <w:bCs/>
          <w:szCs w:val="24"/>
          <w:lang w:val="it-IT"/>
        </w:rPr>
      </w:pPr>
      <w:r w:rsidRPr="003611CF">
        <w:rPr>
          <w:rFonts w:ascii="Calibri" w:eastAsia="Times New Roman" w:hAnsi="Calibri" w:cs="Calibri"/>
          <w:b/>
          <w:bCs/>
          <w:szCs w:val="24"/>
          <w:lang w:val="it-IT"/>
        </w:rPr>
        <w:t>ODSJEK ZA PORESKO RA</w:t>
      </w:r>
      <w:r w:rsidR="00BC2293">
        <w:rPr>
          <w:rFonts w:ascii="Calibri" w:eastAsia="Times New Roman" w:hAnsi="Calibri" w:cs="Calibri"/>
          <w:b/>
          <w:bCs/>
          <w:szCs w:val="24"/>
          <w:lang w:val="it-IT"/>
        </w:rPr>
        <w:t>ČUNOVODSTVO  I  OBRADU PODATAKA</w:t>
      </w:r>
    </w:p>
    <w:p w:rsidR="003611CF" w:rsidRPr="003611CF" w:rsidRDefault="003611CF" w:rsidP="00BC2293">
      <w:pPr>
        <w:spacing w:after="0" w:line="240" w:lineRule="auto"/>
        <w:ind w:firstLine="720"/>
        <w:rPr>
          <w:rFonts w:ascii="Calibri" w:eastAsia="Times New Roman" w:hAnsi="Calibri" w:cs="Calibri"/>
          <w:szCs w:val="24"/>
          <w:lang w:val="en-GB"/>
        </w:rPr>
      </w:pPr>
      <w:r w:rsidRPr="003611CF">
        <w:rPr>
          <w:rFonts w:ascii="Calibri" w:eastAsia="Times New Roman" w:hAnsi="Calibri" w:cs="Calibri"/>
          <w:szCs w:val="24"/>
          <w:lang w:val="en-GB"/>
        </w:rPr>
        <w:t xml:space="preserve">U skladu sa Planom rada Poreske uprave i Sektora za operativu u oblasti naplate u Odsjeku se sprovode aktivnosti i sačinjavaju izvještaji. </w:t>
      </w:r>
    </w:p>
    <w:p w:rsidR="003611CF" w:rsidRPr="003611CF" w:rsidRDefault="003611CF" w:rsidP="003611CF">
      <w:pPr>
        <w:spacing w:before="0" w:after="0" w:line="240" w:lineRule="auto"/>
        <w:rPr>
          <w:rFonts w:ascii="Calibri" w:eastAsia="Times New Roman" w:hAnsi="Calibri" w:cs="Calibri"/>
          <w:iCs/>
          <w:szCs w:val="24"/>
          <w:lang w:val="en-GB"/>
        </w:rPr>
      </w:pPr>
      <w:r w:rsidRPr="003611CF">
        <w:rPr>
          <w:rFonts w:ascii="Calibri" w:eastAsia="Times New Roman" w:hAnsi="Calibri" w:cs="Calibri"/>
          <w:iCs/>
          <w:szCs w:val="24"/>
          <w:lang w:val="en-GB"/>
        </w:rPr>
        <w:tab/>
        <w:t>Poslovi službenika Odsjeka u izvještajnom period, odnosili su se na: redovne aktivnosti na dnevnom nivou a to su</w:t>
      </w:r>
      <w:r w:rsidRPr="003611CF">
        <w:rPr>
          <w:rFonts w:ascii="Calibri" w:eastAsia="Times New Roman" w:hAnsi="Calibri" w:cs="Calibri"/>
          <w:szCs w:val="24"/>
          <w:lang w:val="en-GB"/>
        </w:rPr>
        <w:t>: preuzimanje zbirnih swiftova o naplati od Centralne banke (, otklanjanje grešaka nastalih prilikom pogrešnog unosa od strane poreskog obveznika ili komercijalne banke ili nedostatka neophodnih podataka, izmjena podataka kod specifikacija za preusmjer sredstava iz PDV-a kredita Upravi carina, učitavanje podataka nakon ispravki i dopuna u informacioni sistem Poreske uprave, kreiranje Prihodne izjave u saradnji sa Sektorom za informacionu tehnologiju i dostava sredstava i Prihodne izjave Državnom trezoru na dalju nadležnost, realizacija povraćaja sredstava i preusmjera po specifikacijama Odsjeka za utvrđivanje i naplatu poreskih obaveza.</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Pored navednih aktivnosti na dnevnom nivou službenici ovog odsjeka bili su angažovani na izradi mjesečnih izvještaja o naplati poreza i doprinosa po poreskim oblicima i područnim jedinicama kao i uporednim analizama ostvarenja u odnosu na planirani iznos i u odnosu na prethodne periode.</w:t>
      </w:r>
    </w:p>
    <w:p w:rsidR="003611CF" w:rsidRPr="003611CF" w:rsidRDefault="003611CF" w:rsidP="003611CF">
      <w:pPr>
        <w:spacing w:before="0" w:after="0" w:line="240" w:lineRule="auto"/>
        <w:rPr>
          <w:rFonts w:ascii="Calibri" w:eastAsia="Times New Roman" w:hAnsi="Calibri" w:cs="Calibri"/>
          <w:szCs w:val="24"/>
          <w:lang w:val="en-US"/>
        </w:rPr>
      </w:pPr>
      <w:r w:rsidRPr="003611CF">
        <w:rPr>
          <w:rFonts w:ascii="Calibri" w:eastAsia="Times New Roman" w:hAnsi="Calibri" w:cs="Calibri"/>
          <w:szCs w:val="24"/>
          <w:lang w:val="en-GB"/>
        </w:rPr>
        <w:tab/>
        <w:t xml:space="preserve">Svakodnevno su sačinjavani uvjerenja o izmirenim obavezama i broju zaposlenih, po zahtjevu Ministarstva ekonomije vezano za </w:t>
      </w:r>
      <w:r w:rsidRPr="003611CF">
        <w:rPr>
          <w:rFonts w:ascii="Calibri" w:eastAsia="Times New Roman" w:hAnsi="Calibri" w:cs="Calibri"/>
          <w:szCs w:val="24"/>
          <w:lang w:val="en-US"/>
        </w:rPr>
        <w:t xml:space="preserve">Program za unapređenje konkurentnosti privrede. </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Na osnovu subvencija po programu podrske Vlade Crne Gore u periodu maj – septembar vršena su preusmjeravanja sredstava  sa Ministarstva ekonomije na poreske obveznike.</w:t>
      </w:r>
    </w:p>
    <w:p w:rsidR="003611CF" w:rsidRPr="003611CF" w:rsidRDefault="003611CF" w:rsidP="003611CF">
      <w:pPr>
        <w:spacing w:before="0" w:after="0" w:line="240" w:lineRule="auto"/>
        <w:rPr>
          <w:rFonts w:ascii="Calibri" w:eastAsia="Times New Roman" w:hAnsi="Calibri" w:cs="Calibri"/>
          <w:bCs/>
          <w:iCs/>
          <w:szCs w:val="24"/>
          <w:lang w:val="en-GB"/>
        </w:rPr>
      </w:pPr>
    </w:p>
    <w:p w:rsidR="003611CF" w:rsidRPr="00BC2293" w:rsidRDefault="003611CF" w:rsidP="003611CF">
      <w:pPr>
        <w:spacing w:before="0" w:after="0" w:line="240" w:lineRule="auto"/>
        <w:rPr>
          <w:rFonts w:ascii="Calibri" w:eastAsia="Times New Roman" w:hAnsi="Calibri" w:cs="Calibri"/>
          <w:b/>
          <w:iCs/>
          <w:szCs w:val="24"/>
          <w:lang w:val="en-GB"/>
        </w:rPr>
      </w:pPr>
      <w:r w:rsidRPr="003611CF">
        <w:rPr>
          <w:rFonts w:ascii="Calibri" w:eastAsia="Times New Roman" w:hAnsi="Calibri" w:cs="Calibri"/>
          <w:b/>
          <w:iCs/>
          <w:szCs w:val="24"/>
          <w:lang w:val="en-GB"/>
        </w:rPr>
        <w:t>Izvješta</w:t>
      </w:r>
      <w:r w:rsidR="00BC2293">
        <w:rPr>
          <w:rFonts w:ascii="Calibri" w:eastAsia="Times New Roman" w:hAnsi="Calibri" w:cs="Calibri"/>
          <w:b/>
          <w:iCs/>
          <w:szCs w:val="24"/>
          <w:lang w:val="en-GB"/>
        </w:rPr>
        <w:t xml:space="preserve">j o naplati poreza i doprinosa </w:t>
      </w:r>
    </w:p>
    <w:p w:rsidR="003611CF" w:rsidRPr="003611CF" w:rsidRDefault="003611CF" w:rsidP="00BC2293">
      <w:pPr>
        <w:spacing w:after="0" w:line="240" w:lineRule="auto"/>
        <w:rPr>
          <w:rFonts w:ascii="Calibri" w:eastAsia="Times New Roman" w:hAnsi="Calibri" w:cs="Calibri"/>
          <w:szCs w:val="24"/>
          <w:lang w:val="en-GB" w:eastAsia="hr-HR"/>
        </w:rPr>
      </w:pPr>
      <w:r w:rsidRPr="003611CF">
        <w:rPr>
          <w:rFonts w:ascii="Calibri" w:eastAsia="Times New Roman" w:hAnsi="Calibri" w:cs="Calibri"/>
          <w:iCs/>
          <w:szCs w:val="24"/>
          <w:lang w:val="en-GB"/>
        </w:rPr>
        <w:tab/>
        <w:t xml:space="preserve">Ukupna bruto naplata poreza, doprinosa za obavezno socijalno osiguranje i drugih budžetskih prihoda, za izvještajni period iznosi </w:t>
      </w:r>
      <w:r w:rsidRPr="003611CF">
        <w:rPr>
          <w:rFonts w:ascii="Calibri" w:eastAsia="Times New Roman" w:hAnsi="Calibri" w:cs="Calibri"/>
          <w:szCs w:val="24"/>
          <w:lang w:val="en-GB" w:eastAsia="hr-HR"/>
        </w:rPr>
        <w:t>1.098.146.781,23</w:t>
      </w:r>
      <w:r w:rsidRPr="003611CF">
        <w:rPr>
          <w:rFonts w:ascii="Calibri" w:eastAsia="Times New Roman" w:hAnsi="Calibri" w:cs="Calibri"/>
          <w:iCs/>
          <w:szCs w:val="24"/>
          <w:lang w:val="hr-HR"/>
        </w:rPr>
        <w:t>€. S obzirom, da se iz ukupno ostvarene naplate, vrši povraćaj poreskog kredita, više uplaćenih doprinosa, pogrešnih uplata i slično, to je ostvarena neto naplata u iznosu 1.071.423.743,32€ ona koja se utvrdi poslije umanjenja izvršenih povraćaja, to jest za iznos od 26.723.037,91€ (od čega na PDV 21.294.509,85€).</w:t>
      </w:r>
    </w:p>
    <w:p w:rsidR="003611CF" w:rsidRPr="003611CF" w:rsidRDefault="003611CF" w:rsidP="003611CF">
      <w:pPr>
        <w:spacing w:before="0" w:after="0" w:line="240" w:lineRule="auto"/>
        <w:rPr>
          <w:rFonts w:ascii="Calibri" w:eastAsia="Times New Roman" w:hAnsi="Calibri" w:cs="Calibri"/>
          <w:b/>
          <w:iCs/>
          <w:szCs w:val="24"/>
          <w:lang w:val="en-GB"/>
        </w:rPr>
      </w:pPr>
      <w:r w:rsidRPr="003611CF">
        <w:rPr>
          <w:rFonts w:ascii="Calibri" w:eastAsia="Times New Roman" w:hAnsi="Calibri" w:cs="Calibri"/>
          <w:b/>
          <w:bCs/>
          <w:iCs/>
          <w:szCs w:val="24"/>
          <w:lang w:val="en-GB"/>
        </w:rPr>
        <w:tab/>
      </w:r>
      <w:r w:rsidRPr="003611CF">
        <w:rPr>
          <w:rFonts w:ascii="Calibri" w:eastAsia="Times New Roman" w:hAnsi="Calibri" w:cs="Calibri"/>
          <w:iCs/>
          <w:szCs w:val="24"/>
          <w:lang w:val="en-GB"/>
        </w:rPr>
        <w:t>Indeks ukupne bruto naplate poreza i doprinosa u izvještajnom periodu, u odnosu na Plan naplate budžetskih prihoda Poreske uprave po rebalansu Budžeta iznosi 106 a u odnosu na isti period prethodne godine 93.</w:t>
      </w:r>
    </w:p>
    <w:p w:rsidR="003611CF" w:rsidRDefault="003611CF" w:rsidP="003611CF">
      <w:pPr>
        <w:spacing w:before="0" w:after="0" w:line="240" w:lineRule="auto"/>
        <w:rPr>
          <w:rFonts w:ascii="Calibri" w:eastAsia="Times New Roman" w:hAnsi="Calibri" w:cs="Calibri"/>
          <w:iCs/>
          <w:szCs w:val="24"/>
          <w:lang w:val="en-GB"/>
        </w:rPr>
      </w:pPr>
      <w:r w:rsidRPr="003611CF">
        <w:rPr>
          <w:rFonts w:ascii="Calibri" w:eastAsia="Times New Roman" w:hAnsi="Calibri" w:cs="Calibri"/>
          <w:iCs/>
          <w:szCs w:val="24"/>
          <w:lang w:val="en-GB"/>
        </w:rPr>
        <w:tab/>
        <w:t>Na smanjenu naplatu u izvještajnom periodu u odnosu na prethodnu godinu znatno je uticala pojava korona virusa</w:t>
      </w:r>
    </w:p>
    <w:p w:rsidR="00BC2293" w:rsidRDefault="00BC2293" w:rsidP="003611CF">
      <w:pPr>
        <w:spacing w:before="0" w:after="0" w:line="240" w:lineRule="auto"/>
        <w:rPr>
          <w:rFonts w:ascii="Calibri" w:eastAsia="Times New Roman" w:hAnsi="Calibri" w:cs="Calibri"/>
          <w:iCs/>
          <w:szCs w:val="24"/>
          <w:lang w:val="en-GB"/>
        </w:rPr>
      </w:pPr>
    </w:p>
    <w:p w:rsidR="00BC2293" w:rsidRDefault="00BC2293" w:rsidP="003611CF">
      <w:pPr>
        <w:spacing w:before="0" w:after="0" w:line="240" w:lineRule="auto"/>
        <w:rPr>
          <w:rFonts w:ascii="Calibri" w:eastAsia="Times New Roman" w:hAnsi="Calibri" w:cs="Calibri"/>
          <w:iCs/>
          <w:szCs w:val="24"/>
          <w:lang w:val="en-GB"/>
        </w:rPr>
      </w:pPr>
    </w:p>
    <w:p w:rsidR="00BC2293" w:rsidRPr="003611CF" w:rsidRDefault="00BC2293" w:rsidP="003611CF">
      <w:pPr>
        <w:spacing w:before="0" w:after="0" w:line="240" w:lineRule="auto"/>
        <w:rPr>
          <w:rFonts w:ascii="Calibri" w:eastAsia="Times New Roman" w:hAnsi="Calibri" w:cs="Calibri"/>
          <w:iCs/>
          <w:szCs w:val="24"/>
          <w:lang w:val="en-GB"/>
        </w:rPr>
      </w:pPr>
    </w:p>
    <w:p w:rsidR="003611CF" w:rsidRPr="003611CF" w:rsidRDefault="003611CF" w:rsidP="003611CF">
      <w:pPr>
        <w:spacing w:before="0" w:after="0" w:line="240" w:lineRule="auto"/>
        <w:rPr>
          <w:rFonts w:ascii="Arial" w:eastAsia="Times New Roman" w:hAnsi="Arial" w:cs="Arial"/>
          <w:iCs/>
          <w:sz w:val="22"/>
          <w:lang w:val="en-GB"/>
        </w:rPr>
      </w:pPr>
    </w:p>
    <w:tbl>
      <w:tblPr>
        <w:tblW w:w="11199" w:type="dxa"/>
        <w:jc w:val="center"/>
        <w:tblLayout w:type="fixed"/>
        <w:tblLook w:val="04A0" w:firstRow="1" w:lastRow="0" w:firstColumn="1" w:lastColumn="0" w:noHBand="0" w:noVBand="1"/>
      </w:tblPr>
      <w:tblGrid>
        <w:gridCol w:w="3191"/>
        <w:gridCol w:w="1913"/>
        <w:gridCol w:w="1842"/>
        <w:gridCol w:w="1843"/>
        <w:gridCol w:w="1134"/>
        <w:gridCol w:w="1276"/>
      </w:tblGrid>
      <w:tr w:rsidR="003611CF" w:rsidRPr="003611CF" w:rsidTr="003611CF">
        <w:trPr>
          <w:trHeight w:val="378"/>
          <w:jc w:val="center"/>
        </w:trPr>
        <w:tc>
          <w:tcPr>
            <w:tcW w:w="3191" w:type="dxa"/>
            <w:tcBorders>
              <w:bottom w:val="single" w:sz="12" w:space="0" w:color="FFFFFF"/>
            </w:tcBorders>
            <w:shd w:val="clear" w:color="auto" w:fill="348DA5"/>
            <w:noWrap/>
            <w:hideMark/>
          </w:tcPr>
          <w:p w:rsidR="003611CF" w:rsidRPr="003611CF" w:rsidRDefault="003611CF" w:rsidP="003611CF">
            <w:pPr>
              <w:spacing w:before="0" w:after="0" w:line="240" w:lineRule="auto"/>
              <w:jc w:val="center"/>
              <w:rPr>
                <w:rFonts w:ascii="Arial" w:eastAsia="Calibri" w:hAnsi="Arial" w:cs="Arial"/>
                <w:bCs/>
                <w:color w:val="FFFFFF"/>
                <w:sz w:val="20"/>
                <w:szCs w:val="20"/>
                <w:lang w:val="en-GB"/>
              </w:rPr>
            </w:pPr>
            <w:r w:rsidRPr="003611CF">
              <w:rPr>
                <w:rFonts w:ascii="Arial" w:eastAsia="Calibri" w:hAnsi="Arial" w:cs="Arial"/>
                <w:bCs/>
                <w:color w:val="FFFFFF"/>
                <w:sz w:val="20"/>
                <w:szCs w:val="20"/>
                <w:lang w:val="en-GB"/>
              </w:rPr>
              <w:lastRenderedPageBreak/>
              <w:t>Vrsta poreza</w:t>
            </w:r>
          </w:p>
        </w:tc>
        <w:tc>
          <w:tcPr>
            <w:tcW w:w="1913" w:type="dxa"/>
            <w:tcBorders>
              <w:bottom w:val="single" w:sz="12" w:space="0" w:color="FFFFFF"/>
            </w:tcBorders>
            <w:shd w:val="clear" w:color="auto" w:fill="348DA5"/>
            <w:noWrap/>
            <w:hideMark/>
          </w:tcPr>
          <w:p w:rsidR="003611CF" w:rsidRPr="003611CF" w:rsidRDefault="003611CF" w:rsidP="003611CF">
            <w:pPr>
              <w:spacing w:before="0" w:after="0" w:line="240" w:lineRule="auto"/>
              <w:jc w:val="center"/>
              <w:rPr>
                <w:rFonts w:ascii="Arial" w:eastAsia="Calibri" w:hAnsi="Arial" w:cs="Arial"/>
                <w:bCs/>
                <w:color w:val="FFFFFF"/>
                <w:sz w:val="20"/>
                <w:szCs w:val="20"/>
                <w:lang w:val="en-GB"/>
              </w:rPr>
            </w:pPr>
            <w:r w:rsidRPr="003611CF">
              <w:rPr>
                <w:rFonts w:ascii="Arial" w:eastAsia="Calibri" w:hAnsi="Arial" w:cs="Arial"/>
                <w:bCs/>
                <w:color w:val="FFFFFF"/>
                <w:sz w:val="20"/>
                <w:szCs w:val="20"/>
                <w:lang w:val="en-GB"/>
              </w:rPr>
              <w:t>Plan januar-decembar</w:t>
            </w:r>
          </w:p>
          <w:p w:rsidR="003611CF" w:rsidRPr="003611CF" w:rsidRDefault="003611CF" w:rsidP="003611CF">
            <w:pPr>
              <w:spacing w:before="0" w:after="0" w:line="240" w:lineRule="auto"/>
              <w:jc w:val="center"/>
              <w:rPr>
                <w:rFonts w:ascii="Arial" w:eastAsia="Calibri" w:hAnsi="Arial" w:cs="Arial"/>
                <w:bCs/>
                <w:color w:val="FFFFFF"/>
                <w:sz w:val="20"/>
                <w:szCs w:val="20"/>
                <w:lang w:val="en-GB"/>
              </w:rPr>
            </w:pPr>
            <w:r w:rsidRPr="003611CF">
              <w:rPr>
                <w:rFonts w:ascii="Arial" w:eastAsia="Calibri" w:hAnsi="Arial" w:cs="Arial"/>
                <w:bCs/>
                <w:color w:val="FFFFFF"/>
                <w:sz w:val="20"/>
                <w:szCs w:val="20"/>
                <w:lang w:val="en-GB"/>
              </w:rPr>
              <w:t>2020.</w:t>
            </w:r>
          </w:p>
        </w:tc>
        <w:tc>
          <w:tcPr>
            <w:tcW w:w="1842" w:type="dxa"/>
            <w:tcBorders>
              <w:bottom w:val="single" w:sz="12" w:space="0" w:color="FFFFFF"/>
            </w:tcBorders>
            <w:shd w:val="clear" w:color="auto" w:fill="348DA5"/>
            <w:noWrap/>
            <w:hideMark/>
          </w:tcPr>
          <w:p w:rsidR="003611CF" w:rsidRPr="003611CF" w:rsidRDefault="003611CF" w:rsidP="003611CF">
            <w:pPr>
              <w:spacing w:before="0" w:after="0" w:line="240" w:lineRule="auto"/>
              <w:jc w:val="center"/>
              <w:rPr>
                <w:rFonts w:ascii="Arial" w:eastAsia="Calibri" w:hAnsi="Arial" w:cs="Arial"/>
                <w:bCs/>
                <w:color w:val="FFFFFF"/>
                <w:sz w:val="20"/>
                <w:szCs w:val="20"/>
                <w:lang w:val="en-GB"/>
              </w:rPr>
            </w:pPr>
            <w:r w:rsidRPr="003611CF">
              <w:rPr>
                <w:rFonts w:ascii="Arial" w:eastAsia="Calibri" w:hAnsi="Arial" w:cs="Arial"/>
                <w:bCs/>
                <w:color w:val="FFFFFF"/>
                <w:sz w:val="20"/>
                <w:szCs w:val="20"/>
                <w:lang w:val="en-GB"/>
              </w:rPr>
              <w:t>Ostvareno januar- decembar 2019.</w:t>
            </w:r>
          </w:p>
        </w:tc>
        <w:tc>
          <w:tcPr>
            <w:tcW w:w="1843" w:type="dxa"/>
            <w:tcBorders>
              <w:bottom w:val="single" w:sz="12" w:space="0" w:color="FFFFFF"/>
            </w:tcBorders>
            <w:shd w:val="clear" w:color="auto" w:fill="348DA5"/>
            <w:noWrap/>
            <w:hideMark/>
          </w:tcPr>
          <w:p w:rsidR="003611CF" w:rsidRPr="003611CF" w:rsidRDefault="003611CF" w:rsidP="003611CF">
            <w:pPr>
              <w:spacing w:before="0" w:after="0" w:line="240" w:lineRule="auto"/>
              <w:jc w:val="center"/>
              <w:rPr>
                <w:rFonts w:ascii="Arial" w:eastAsia="Calibri" w:hAnsi="Arial" w:cs="Arial"/>
                <w:bCs/>
                <w:color w:val="FFFFFF"/>
                <w:sz w:val="20"/>
                <w:szCs w:val="20"/>
                <w:lang w:val="en-GB"/>
              </w:rPr>
            </w:pPr>
            <w:r w:rsidRPr="003611CF">
              <w:rPr>
                <w:rFonts w:ascii="Arial" w:eastAsia="Calibri" w:hAnsi="Arial" w:cs="Arial"/>
                <w:bCs/>
                <w:color w:val="FFFFFF"/>
                <w:sz w:val="20"/>
                <w:szCs w:val="20"/>
                <w:lang w:val="en-GB"/>
              </w:rPr>
              <w:t>Ostvareno januar- decembar 2020.</w:t>
            </w:r>
          </w:p>
        </w:tc>
        <w:tc>
          <w:tcPr>
            <w:tcW w:w="1134" w:type="dxa"/>
            <w:tcBorders>
              <w:bottom w:val="single" w:sz="12" w:space="0" w:color="FFFFFF"/>
            </w:tcBorders>
            <w:shd w:val="clear" w:color="auto" w:fill="348DA5"/>
            <w:noWrap/>
            <w:hideMark/>
          </w:tcPr>
          <w:p w:rsidR="003611CF" w:rsidRPr="003611CF" w:rsidRDefault="003611CF" w:rsidP="003611CF">
            <w:pPr>
              <w:spacing w:before="0" w:after="0" w:line="240" w:lineRule="auto"/>
              <w:ind w:left="34" w:hanging="34"/>
              <w:jc w:val="center"/>
              <w:rPr>
                <w:rFonts w:ascii="Arial" w:eastAsia="Calibri" w:hAnsi="Arial" w:cs="Arial"/>
                <w:bCs/>
                <w:color w:val="FFFFFF"/>
                <w:sz w:val="20"/>
                <w:szCs w:val="20"/>
                <w:lang w:val="en-GB"/>
              </w:rPr>
            </w:pPr>
            <w:r w:rsidRPr="003611CF">
              <w:rPr>
                <w:rFonts w:ascii="Arial" w:eastAsia="Calibri" w:hAnsi="Arial" w:cs="Arial"/>
                <w:bCs/>
                <w:color w:val="FFFFFF"/>
                <w:sz w:val="20"/>
                <w:szCs w:val="20"/>
                <w:lang w:val="en-GB"/>
              </w:rPr>
              <w:t>Indeks</w:t>
            </w:r>
          </w:p>
          <w:p w:rsidR="003611CF" w:rsidRPr="003611CF" w:rsidRDefault="003611CF" w:rsidP="003611CF">
            <w:pPr>
              <w:spacing w:before="0" w:after="0" w:line="240" w:lineRule="auto"/>
              <w:jc w:val="center"/>
              <w:rPr>
                <w:rFonts w:ascii="Arial" w:eastAsia="Calibri" w:hAnsi="Arial" w:cs="Arial"/>
                <w:bCs/>
                <w:color w:val="FFFFFF"/>
                <w:sz w:val="20"/>
                <w:szCs w:val="20"/>
                <w:lang w:val="en-GB"/>
              </w:rPr>
            </w:pPr>
            <w:r w:rsidRPr="003611CF">
              <w:rPr>
                <w:rFonts w:ascii="Arial" w:eastAsia="Calibri" w:hAnsi="Arial" w:cs="Arial"/>
                <w:bCs/>
                <w:color w:val="FFFFFF"/>
                <w:sz w:val="20"/>
                <w:szCs w:val="20"/>
                <w:lang w:val="en-GB"/>
              </w:rPr>
              <w:t>2020/plan</w:t>
            </w:r>
          </w:p>
        </w:tc>
        <w:tc>
          <w:tcPr>
            <w:tcW w:w="1276" w:type="dxa"/>
            <w:tcBorders>
              <w:bottom w:val="single" w:sz="12" w:space="0" w:color="FFFFFF"/>
            </w:tcBorders>
            <w:shd w:val="clear" w:color="auto" w:fill="348DA5"/>
            <w:noWrap/>
            <w:hideMark/>
          </w:tcPr>
          <w:p w:rsidR="003611CF" w:rsidRPr="003611CF" w:rsidRDefault="003611CF" w:rsidP="003611CF">
            <w:pPr>
              <w:spacing w:before="0" w:after="0" w:line="240" w:lineRule="auto"/>
              <w:jc w:val="center"/>
              <w:rPr>
                <w:rFonts w:ascii="Arial" w:eastAsia="Calibri" w:hAnsi="Arial" w:cs="Arial"/>
                <w:bCs/>
                <w:color w:val="FFFFFF"/>
                <w:sz w:val="20"/>
                <w:szCs w:val="20"/>
                <w:lang w:val="en-GB"/>
              </w:rPr>
            </w:pPr>
            <w:r w:rsidRPr="003611CF">
              <w:rPr>
                <w:rFonts w:ascii="Arial" w:eastAsia="Calibri" w:hAnsi="Arial" w:cs="Arial"/>
                <w:bCs/>
                <w:color w:val="FFFFFF"/>
                <w:sz w:val="20"/>
                <w:szCs w:val="20"/>
                <w:lang w:val="en-GB"/>
              </w:rPr>
              <w:t>Indeks</w:t>
            </w:r>
          </w:p>
          <w:p w:rsidR="003611CF" w:rsidRPr="003611CF" w:rsidRDefault="003611CF" w:rsidP="003611CF">
            <w:pPr>
              <w:spacing w:before="0" w:after="0" w:line="240" w:lineRule="auto"/>
              <w:jc w:val="center"/>
              <w:rPr>
                <w:rFonts w:ascii="Arial" w:eastAsia="Calibri" w:hAnsi="Arial" w:cs="Arial"/>
                <w:bCs/>
                <w:color w:val="FFFFFF"/>
                <w:sz w:val="20"/>
                <w:szCs w:val="20"/>
                <w:lang w:val="en-GB"/>
              </w:rPr>
            </w:pPr>
            <w:r w:rsidRPr="003611CF">
              <w:rPr>
                <w:rFonts w:ascii="Arial" w:eastAsia="Calibri" w:hAnsi="Arial" w:cs="Arial"/>
                <w:bCs/>
                <w:color w:val="FFFFFF"/>
                <w:sz w:val="20"/>
                <w:szCs w:val="20"/>
                <w:lang w:val="en-GB"/>
              </w:rPr>
              <w:t>2020/2019.</w:t>
            </w:r>
          </w:p>
        </w:tc>
      </w:tr>
      <w:tr w:rsidR="003611CF" w:rsidRPr="003611CF" w:rsidTr="003611CF">
        <w:trPr>
          <w:trHeight w:val="201"/>
          <w:jc w:val="center"/>
        </w:trPr>
        <w:tc>
          <w:tcPr>
            <w:tcW w:w="3191" w:type="dxa"/>
            <w:shd w:val="clear" w:color="auto" w:fill="FDE9D9"/>
            <w:noWrap/>
            <w:hideMark/>
          </w:tcPr>
          <w:p w:rsidR="003611CF" w:rsidRPr="003611CF" w:rsidRDefault="003611CF" w:rsidP="003611CF">
            <w:pPr>
              <w:spacing w:before="0" w:after="0" w:line="240" w:lineRule="auto"/>
              <w:jc w:val="left"/>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1. Porez na dobit pravnih lica</w:t>
            </w:r>
          </w:p>
        </w:tc>
        <w:tc>
          <w:tcPr>
            <w:tcW w:w="1913" w:type="dxa"/>
            <w:shd w:val="clear" w:color="auto" w:fill="FDE9D9"/>
            <w:noWrap/>
            <w:vAlign w:val="bottom"/>
          </w:tcPr>
          <w:p w:rsidR="003611CF" w:rsidRPr="003611CF" w:rsidRDefault="003611CF" w:rsidP="003611CF">
            <w:pPr>
              <w:spacing w:before="0" w:after="0" w:line="240" w:lineRule="auto"/>
              <w:jc w:val="center"/>
              <w:rPr>
                <w:rFonts w:ascii="Arial" w:eastAsia="Times New Roman" w:hAnsi="Arial" w:cs="Arial"/>
                <w:bCs/>
                <w:iCs/>
                <w:sz w:val="20"/>
                <w:szCs w:val="20"/>
                <w:lang w:val="en-GB" w:eastAsia="hr-HR"/>
              </w:rPr>
            </w:pPr>
            <w:r w:rsidRPr="003611CF">
              <w:rPr>
                <w:rFonts w:ascii="Arial" w:eastAsia="Times New Roman" w:hAnsi="Arial" w:cs="Arial"/>
                <w:bCs/>
                <w:iCs/>
                <w:sz w:val="20"/>
                <w:szCs w:val="20"/>
                <w:lang w:val="en-GB" w:eastAsia="hr-HR"/>
              </w:rPr>
              <w:t>67.799.815,90</w:t>
            </w:r>
          </w:p>
        </w:tc>
        <w:tc>
          <w:tcPr>
            <w:tcW w:w="1842" w:type="dxa"/>
            <w:shd w:val="clear" w:color="auto" w:fill="FDE9D9"/>
            <w:noWrap/>
            <w:vAlign w:val="bottom"/>
          </w:tcPr>
          <w:p w:rsidR="003611CF" w:rsidRPr="003611CF" w:rsidRDefault="003611CF" w:rsidP="003611CF">
            <w:pPr>
              <w:spacing w:before="0" w:after="0" w:line="240" w:lineRule="auto"/>
              <w:jc w:val="center"/>
              <w:rPr>
                <w:rFonts w:ascii="Arial" w:eastAsia="Times New Roman" w:hAnsi="Arial" w:cs="Arial"/>
                <w:bCs/>
                <w:iCs/>
                <w:sz w:val="20"/>
                <w:szCs w:val="20"/>
                <w:lang w:val="en-GB" w:eastAsia="hr-HR"/>
              </w:rPr>
            </w:pPr>
            <w:r w:rsidRPr="003611CF">
              <w:rPr>
                <w:rFonts w:ascii="Arial" w:eastAsia="Times New Roman" w:hAnsi="Arial" w:cs="Arial"/>
                <w:bCs/>
                <w:iCs/>
                <w:sz w:val="20"/>
                <w:szCs w:val="20"/>
                <w:lang w:val="en-GB" w:eastAsia="hr-HR"/>
              </w:rPr>
              <w:t>75.135.818,37</w:t>
            </w:r>
          </w:p>
        </w:tc>
        <w:tc>
          <w:tcPr>
            <w:tcW w:w="1843" w:type="dxa"/>
            <w:shd w:val="clear" w:color="auto" w:fill="FDE9D9"/>
            <w:noWrap/>
            <w:vAlign w:val="bottom"/>
          </w:tcPr>
          <w:p w:rsidR="003611CF" w:rsidRPr="003611CF" w:rsidRDefault="003611CF" w:rsidP="003611CF">
            <w:pPr>
              <w:spacing w:before="0" w:after="0" w:line="240" w:lineRule="auto"/>
              <w:jc w:val="center"/>
              <w:rPr>
                <w:rFonts w:ascii="Arial" w:eastAsia="Times New Roman" w:hAnsi="Arial" w:cs="Arial"/>
                <w:bCs/>
                <w:iCs/>
                <w:sz w:val="20"/>
                <w:szCs w:val="20"/>
                <w:lang w:val="en-GB" w:eastAsia="hr-HR"/>
              </w:rPr>
            </w:pPr>
            <w:r w:rsidRPr="003611CF">
              <w:rPr>
                <w:rFonts w:ascii="Arial" w:eastAsia="Times New Roman" w:hAnsi="Arial" w:cs="Arial"/>
                <w:bCs/>
                <w:iCs/>
                <w:sz w:val="20"/>
                <w:szCs w:val="20"/>
                <w:lang w:val="en-GB" w:eastAsia="hr-HR"/>
              </w:rPr>
              <w:t>79.540.764,02</w:t>
            </w:r>
          </w:p>
        </w:tc>
        <w:tc>
          <w:tcPr>
            <w:tcW w:w="1134"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szCs w:val="20"/>
                <w:lang w:val="en-GB" w:eastAsia="hr-HR"/>
              </w:rPr>
            </w:pPr>
            <w:r w:rsidRPr="003611CF">
              <w:rPr>
                <w:rFonts w:ascii="Arial" w:eastAsia="Times New Roman" w:hAnsi="Arial" w:cs="Arial"/>
                <w:sz w:val="20"/>
                <w:szCs w:val="20"/>
                <w:lang w:val="en-GB" w:eastAsia="hr-HR"/>
              </w:rPr>
              <w:t>117</w:t>
            </w:r>
          </w:p>
        </w:tc>
        <w:tc>
          <w:tcPr>
            <w:tcW w:w="1276"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szCs w:val="20"/>
                <w:lang w:val="en-GB" w:eastAsia="hr-HR"/>
              </w:rPr>
            </w:pPr>
            <w:r w:rsidRPr="003611CF">
              <w:rPr>
                <w:rFonts w:ascii="Arial" w:eastAsia="Times New Roman" w:hAnsi="Arial" w:cs="Arial"/>
                <w:sz w:val="20"/>
                <w:szCs w:val="20"/>
                <w:lang w:val="en-GB" w:eastAsia="hr-HR"/>
              </w:rPr>
              <w:t>106</w:t>
            </w:r>
          </w:p>
        </w:tc>
      </w:tr>
      <w:tr w:rsidR="003611CF" w:rsidRPr="003611CF" w:rsidTr="003611CF">
        <w:trPr>
          <w:trHeight w:val="122"/>
          <w:jc w:val="center"/>
        </w:trPr>
        <w:tc>
          <w:tcPr>
            <w:tcW w:w="3191" w:type="dxa"/>
            <w:shd w:val="clear" w:color="auto" w:fill="FEF4EC"/>
            <w:noWrap/>
            <w:hideMark/>
          </w:tcPr>
          <w:p w:rsidR="003611CF" w:rsidRPr="003611CF" w:rsidRDefault="003611CF" w:rsidP="003611CF">
            <w:pPr>
              <w:spacing w:before="0" w:after="0" w:line="240" w:lineRule="auto"/>
              <w:jc w:val="left"/>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2. Porez na dohodak građana</w:t>
            </w:r>
          </w:p>
        </w:tc>
        <w:tc>
          <w:tcPr>
            <w:tcW w:w="1913" w:type="dxa"/>
            <w:shd w:val="clear" w:color="auto" w:fill="FEF4EC"/>
            <w:noWrap/>
            <w:vAlign w:val="bottom"/>
          </w:tcPr>
          <w:p w:rsidR="003611CF" w:rsidRPr="003611CF" w:rsidRDefault="003611CF" w:rsidP="003611CF">
            <w:pPr>
              <w:spacing w:before="0" w:after="0" w:line="240" w:lineRule="auto"/>
              <w:jc w:val="center"/>
              <w:rPr>
                <w:rFonts w:ascii="Arial" w:eastAsia="Times New Roman" w:hAnsi="Arial" w:cs="Arial"/>
                <w:bCs/>
                <w:iCs/>
                <w:sz w:val="20"/>
                <w:szCs w:val="20"/>
                <w:lang w:val="en-GB" w:eastAsia="hr-HR"/>
              </w:rPr>
            </w:pPr>
            <w:r w:rsidRPr="003611CF">
              <w:rPr>
                <w:rFonts w:ascii="Arial" w:eastAsia="Times New Roman" w:hAnsi="Arial" w:cs="Arial"/>
                <w:bCs/>
                <w:iCs/>
                <w:sz w:val="20"/>
                <w:szCs w:val="20"/>
                <w:lang w:val="en-GB" w:eastAsia="hr-HR"/>
              </w:rPr>
              <w:t>158.917.072,60</w:t>
            </w:r>
          </w:p>
        </w:tc>
        <w:tc>
          <w:tcPr>
            <w:tcW w:w="1842" w:type="dxa"/>
            <w:shd w:val="clear" w:color="auto" w:fill="FEF4EC"/>
            <w:noWrap/>
            <w:vAlign w:val="bottom"/>
          </w:tcPr>
          <w:p w:rsidR="003611CF" w:rsidRPr="003611CF" w:rsidRDefault="003611CF" w:rsidP="003611CF">
            <w:pPr>
              <w:spacing w:before="0" w:after="0" w:line="240" w:lineRule="auto"/>
              <w:jc w:val="center"/>
              <w:rPr>
                <w:rFonts w:ascii="Arial" w:eastAsia="Times New Roman" w:hAnsi="Arial" w:cs="Arial"/>
                <w:bCs/>
                <w:iCs/>
                <w:sz w:val="20"/>
                <w:szCs w:val="20"/>
                <w:lang w:val="en-GB" w:eastAsia="hr-HR"/>
              </w:rPr>
            </w:pPr>
            <w:r w:rsidRPr="003611CF">
              <w:rPr>
                <w:rFonts w:ascii="Arial" w:eastAsia="Times New Roman" w:hAnsi="Arial" w:cs="Arial"/>
                <w:bCs/>
                <w:iCs/>
                <w:sz w:val="20"/>
                <w:szCs w:val="20"/>
                <w:lang w:val="en-GB" w:eastAsia="hr-HR"/>
              </w:rPr>
              <w:t>180.889.826,78</w:t>
            </w:r>
          </w:p>
        </w:tc>
        <w:tc>
          <w:tcPr>
            <w:tcW w:w="1843" w:type="dxa"/>
            <w:shd w:val="clear" w:color="auto" w:fill="FEF4EC"/>
            <w:noWrap/>
            <w:vAlign w:val="bottom"/>
          </w:tcPr>
          <w:p w:rsidR="003611CF" w:rsidRPr="003611CF" w:rsidRDefault="003611CF" w:rsidP="003611CF">
            <w:pPr>
              <w:spacing w:before="0" w:after="0" w:line="240" w:lineRule="auto"/>
              <w:jc w:val="center"/>
              <w:rPr>
                <w:rFonts w:ascii="Arial" w:eastAsia="Times New Roman" w:hAnsi="Arial" w:cs="Arial"/>
                <w:bCs/>
                <w:iCs/>
                <w:sz w:val="20"/>
                <w:szCs w:val="20"/>
                <w:lang w:val="en-GB" w:eastAsia="hr-HR"/>
              </w:rPr>
            </w:pPr>
            <w:r w:rsidRPr="003611CF">
              <w:rPr>
                <w:rFonts w:ascii="Arial" w:eastAsia="Times New Roman" w:hAnsi="Arial" w:cs="Arial"/>
                <w:bCs/>
                <w:iCs/>
                <w:sz w:val="20"/>
                <w:szCs w:val="20"/>
                <w:lang w:val="en-GB" w:eastAsia="hr-HR"/>
              </w:rPr>
              <w:t>173.461.844,86</w:t>
            </w:r>
          </w:p>
        </w:tc>
        <w:tc>
          <w:tcPr>
            <w:tcW w:w="1134"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szCs w:val="20"/>
                <w:lang w:val="en-GB" w:eastAsia="hr-HR"/>
              </w:rPr>
            </w:pPr>
            <w:r w:rsidRPr="003611CF">
              <w:rPr>
                <w:rFonts w:ascii="Arial" w:eastAsia="Times New Roman" w:hAnsi="Arial" w:cs="Arial"/>
                <w:sz w:val="20"/>
                <w:szCs w:val="20"/>
                <w:lang w:val="en-GB" w:eastAsia="hr-HR"/>
              </w:rPr>
              <w:t>109</w:t>
            </w:r>
          </w:p>
        </w:tc>
        <w:tc>
          <w:tcPr>
            <w:tcW w:w="1276"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szCs w:val="20"/>
                <w:lang w:val="en-GB" w:eastAsia="hr-HR"/>
              </w:rPr>
            </w:pPr>
            <w:r w:rsidRPr="003611CF">
              <w:rPr>
                <w:rFonts w:ascii="Arial" w:eastAsia="Times New Roman" w:hAnsi="Arial" w:cs="Arial"/>
                <w:sz w:val="20"/>
                <w:szCs w:val="20"/>
                <w:lang w:val="en-GB" w:eastAsia="hr-HR"/>
              </w:rPr>
              <w:t>96</w:t>
            </w:r>
          </w:p>
        </w:tc>
      </w:tr>
      <w:tr w:rsidR="003611CF" w:rsidRPr="003611CF" w:rsidTr="003611CF">
        <w:trPr>
          <w:trHeight w:val="80"/>
          <w:jc w:val="center"/>
        </w:trPr>
        <w:tc>
          <w:tcPr>
            <w:tcW w:w="3191" w:type="dxa"/>
            <w:shd w:val="clear" w:color="auto" w:fill="FDE9D9"/>
            <w:noWrap/>
            <w:hideMark/>
          </w:tcPr>
          <w:p w:rsidR="003611CF" w:rsidRPr="003611CF" w:rsidRDefault="003611CF" w:rsidP="003611CF">
            <w:pPr>
              <w:spacing w:before="0" w:after="0" w:line="240" w:lineRule="auto"/>
              <w:jc w:val="left"/>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3. Porez na dodatu vrijednost</w:t>
            </w:r>
          </w:p>
        </w:tc>
        <w:tc>
          <w:tcPr>
            <w:tcW w:w="1913" w:type="dxa"/>
            <w:shd w:val="clear" w:color="auto" w:fill="FDE9D9"/>
            <w:noWrap/>
            <w:vAlign w:val="bottom"/>
          </w:tcPr>
          <w:p w:rsidR="003611CF" w:rsidRPr="003611CF" w:rsidRDefault="003611CF" w:rsidP="003611CF">
            <w:pPr>
              <w:spacing w:before="0" w:after="0" w:line="240" w:lineRule="auto"/>
              <w:jc w:val="center"/>
              <w:rPr>
                <w:rFonts w:ascii="Arial" w:eastAsia="Times New Roman" w:hAnsi="Arial" w:cs="Arial"/>
                <w:bCs/>
                <w:iCs/>
                <w:sz w:val="20"/>
                <w:szCs w:val="20"/>
                <w:lang w:val="en-GB" w:eastAsia="hr-HR"/>
              </w:rPr>
            </w:pPr>
            <w:r w:rsidRPr="003611CF">
              <w:rPr>
                <w:rFonts w:ascii="Arial" w:eastAsia="Times New Roman" w:hAnsi="Arial" w:cs="Arial"/>
                <w:bCs/>
                <w:iCs/>
                <w:sz w:val="20"/>
                <w:szCs w:val="20"/>
                <w:lang w:val="en-GB" w:eastAsia="hr-HR"/>
              </w:rPr>
              <w:t>260.323.991,71</w:t>
            </w:r>
          </w:p>
        </w:tc>
        <w:tc>
          <w:tcPr>
            <w:tcW w:w="1842" w:type="dxa"/>
            <w:shd w:val="clear" w:color="auto" w:fill="FDE9D9"/>
            <w:noWrap/>
            <w:vAlign w:val="bottom"/>
          </w:tcPr>
          <w:p w:rsidR="003611CF" w:rsidRPr="003611CF" w:rsidRDefault="003611CF" w:rsidP="003611CF">
            <w:pPr>
              <w:spacing w:before="0" w:after="0" w:line="240" w:lineRule="auto"/>
              <w:jc w:val="center"/>
              <w:rPr>
                <w:rFonts w:ascii="Arial" w:eastAsia="Times New Roman" w:hAnsi="Arial" w:cs="Arial"/>
                <w:bCs/>
                <w:iCs/>
                <w:sz w:val="20"/>
                <w:szCs w:val="20"/>
                <w:lang w:val="en-GB" w:eastAsia="hr-HR"/>
              </w:rPr>
            </w:pPr>
            <w:r w:rsidRPr="003611CF">
              <w:rPr>
                <w:rFonts w:ascii="Arial" w:eastAsia="Times New Roman" w:hAnsi="Arial" w:cs="Arial"/>
                <w:bCs/>
                <w:iCs/>
                <w:sz w:val="20"/>
                <w:szCs w:val="20"/>
                <w:lang w:val="en-GB" w:eastAsia="hr-HR"/>
              </w:rPr>
              <w:t>289.269.124,49</w:t>
            </w:r>
          </w:p>
        </w:tc>
        <w:tc>
          <w:tcPr>
            <w:tcW w:w="1843" w:type="dxa"/>
            <w:shd w:val="clear" w:color="auto" w:fill="FDE9D9"/>
            <w:noWrap/>
            <w:vAlign w:val="bottom"/>
          </w:tcPr>
          <w:p w:rsidR="003611CF" w:rsidRPr="003611CF" w:rsidRDefault="003611CF" w:rsidP="003611CF">
            <w:pPr>
              <w:spacing w:before="0" w:after="0" w:line="240" w:lineRule="auto"/>
              <w:jc w:val="center"/>
              <w:rPr>
                <w:rFonts w:ascii="Arial" w:eastAsia="Times New Roman" w:hAnsi="Arial" w:cs="Arial"/>
                <w:bCs/>
                <w:iCs/>
                <w:sz w:val="20"/>
                <w:szCs w:val="20"/>
                <w:lang w:val="en-GB" w:eastAsia="hr-HR"/>
              </w:rPr>
            </w:pPr>
            <w:r w:rsidRPr="003611CF">
              <w:rPr>
                <w:rFonts w:ascii="Arial" w:eastAsia="Times New Roman" w:hAnsi="Arial" w:cs="Arial"/>
                <w:bCs/>
                <w:iCs/>
                <w:sz w:val="20"/>
                <w:szCs w:val="20"/>
                <w:lang w:val="en-GB" w:eastAsia="hr-HR"/>
              </w:rPr>
              <w:t>244.514.780,34</w:t>
            </w:r>
          </w:p>
        </w:tc>
        <w:tc>
          <w:tcPr>
            <w:tcW w:w="1134"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szCs w:val="20"/>
                <w:lang w:val="en-GB" w:eastAsia="hr-HR"/>
              </w:rPr>
            </w:pPr>
            <w:r w:rsidRPr="003611CF">
              <w:rPr>
                <w:rFonts w:ascii="Arial" w:eastAsia="Times New Roman" w:hAnsi="Arial" w:cs="Arial"/>
                <w:sz w:val="20"/>
                <w:szCs w:val="20"/>
                <w:lang w:val="en-GB" w:eastAsia="hr-HR"/>
              </w:rPr>
              <w:t>94</w:t>
            </w:r>
          </w:p>
        </w:tc>
        <w:tc>
          <w:tcPr>
            <w:tcW w:w="1276"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szCs w:val="20"/>
                <w:lang w:val="en-GB" w:eastAsia="hr-HR"/>
              </w:rPr>
            </w:pPr>
            <w:r w:rsidRPr="003611CF">
              <w:rPr>
                <w:rFonts w:ascii="Arial" w:eastAsia="Times New Roman" w:hAnsi="Arial" w:cs="Arial"/>
                <w:sz w:val="20"/>
                <w:szCs w:val="20"/>
                <w:lang w:val="en-GB" w:eastAsia="hr-HR"/>
              </w:rPr>
              <w:t>85</w:t>
            </w:r>
          </w:p>
        </w:tc>
      </w:tr>
      <w:tr w:rsidR="003611CF" w:rsidRPr="003611CF" w:rsidTr="003611CF">
        <w:trPr>
          <w:trHeight w:val="80"/>
          <w:jc w:val="center"/>
        </w:trPr>
        <w:tc>
          <w:tcPr>
            <w:tcW w:w="3191" w:type="dxa"/>
            <w:shd w:val="clear" w:color="auto" w:fill="FEF4EC"/>
            <w:noWrap/>
            <w:hideMark/>
          </w:tcPr>
          <w:p w:rsidR="003611CF" w:rsidRPr="003611CF" w:rsidRDefault="003611CF" w:rsidP="003611CF">
            <w:pPr>
              <w:spacing w:before="0" w:after="0" w:line="240" w:lineRule="auto"/>
              <w:jc w:val="left"/>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4. Koncesije</w:t>
            </w:r>
          </w:p>
        </w:tc>
        <w:tc>
          <w:tcPr>
            <w:tcW w:w="1913" w:type="dxa"/>
            <w:shd w:val="clear" w:color="auto" w:fill="FEF4EC"/>
            <w:noWrap/>
            <w:vAlign w:val="bottom"/>
          </w:tcPr>
          <w:p w:rsidR="003611CF" w:rsidRPr="003611CF" w:rsidRDefault="003611CF" w:rsidP="003611CF">
            <w:pPr>
              <w:spacing w:before="0" w:after="0" w:line="240" w:lineRule="auto"/>
              <w:jc w:val="center"/>
              <w:rPr>
                <w:rFonts w:ascii="Arial" w:eastAsia="Times New Roman" w:hAnsi="Arial" w:cs="Arial"/>
                <w:bCs/>
                <w:iCs/>
                <w:sz w:val="20"/>
                <w:szCs w:val="20"/>
                <w:lang w:val="en-GB" w:eastAsia="hr-HR"/>
              </w:rPr>
            </w:pPr>
            <w:r w:rsidRPr="003611CF">
              <w:rPr>
                <w:rFonts w:ascii="Arial" w:eastAsia="Times New Roman" w:hAnsi="Arial" w:cs="Arial"/>
                <w:bCs/>
                <w:iCs/>
                <w:sz w:val="20"/>
                <w:szCs w:val="20"/>
                <w:lang w:val="en-GB" w:eastAsia="hr-HR"/>
              </w:rPr>
              <w:t>22.661.814,00</w:t>
            </w:r>
          </w:p>
        </w:tc>
        <w:tc>
          <w:tcPr>
            <w:tcW w:w="1842" w:type="dxa"/>
            <w:shd w:val="clear" w:color="auto" w:fill="FEF4EC"/>
            <w:noWrap/>
            <w:vAlign w:val="bottom"/>
          </w:tcPr>
          <w:p w:rsidR="003611CF" w:rsidRPr="003611CF" w:rsidRDefault="003611CF" w:rsidP="003611CF">
            <w:pPr>
              <w:spacing w:before="0" w:after="0" w:line="240" w:lineRule="auto"/>
              <w:jc w:val="center"/>
              <w:rPr>
                <w:rFonts w:ascii="Arial" w:eastAsia="Times New Roman" w:hAnsi="Arial" w:cs="Arial"/>
                <w:bCs/>
                <w:iCs/>
                <w:sz w:val="20"/>
                <w:szCs w:val="20"/>
                <w:lang w:val="en-GB" w:eastAsia="hr-HR"/>
              </w:rPr>
            </w:pPr>
            <w:r w:rsidRPr="003611CF">
              <w:rPr>
                <w:rFonts w:ascii="Arial" w:eastAsia="Times New Roman" w:hAnsi="Arial" w:cs="Arial"/>
                <w:bCs/>
                <w:iCs/>
                <w:sz w:val="20"/>
                <w:szCs w:val="20"/>
                <w:lang w:val="en-GB" w:eastAsia="hr-HR"/>
              </w:rPr>
              <w:t>39.168.966,88</w:t>
            </w:r>
          </w:p>
        </w:tc>
        <w:tc>
          <w:tcPr>
            <w:tcW w:w="1843" w:type="dxa"/>
            <w:shd w:val="clear" w:color="auto" w:fill="FEF4EC"/>
            <w:noWrap/>
            <w:vAlign w:val="bottom"/>
          </w:tcPr>
          <w:p w:rsidR="003611CF" w:rsidRPr="003611CF" w:rsidRDefault="003611CF" w:rsidP="003611CF">
            <w:pPr>
              <w:spacing w:before="0" w:after="0" w:line="240" w:lineRule="auto"/>
              <w:jc w:val="center"/>
              <w:rPr>
                <w:rFonts w:ascii="Arial" w:eastAsia="Times New Roman" w:hAnsi="Arial" w:cs="Arial"/>
                <w:bCs/>
                <w:iCs/>
                <w:sz w:val="20"/>
                <w:szCs w:val="20"/>
                <w:lang w:val="en-GB" w:eastAsia="hr-HR"/>
              </w:rPr>
            </w:pPr>
            <w:r w:rsidRPr="003611CF">
              <w:rPr>
                <w:rFonts w:ascii="Arial" w:eastAsia="Times New Roman" w:hAnsi="Arial" w:cs="Arial"/>
                <w:bCs/>
                <w:iCs/>
                <w:sz w:val="20"/>
                <w:szCs w:val="20"/>
                <w:lang w:val="en-GB" w:eastAsia="hr-HR"/>
              </w:rPr>
              <w:t>32.356.587,28</w:t>
            </w:r>
          </w:p>
        </w:tc>
        <w:tc>
          <w:tcPr>
            <w:tcW w:w="1134"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szCs w:val="20"/>
                <w:lang w:val="en-GB" w:eastAsia="hr-HR"/>
              </w:rPr>
            </w:pPr>
            <w:r w:rsidRPr="003611CF">
              <w:rPr>
                <w:rFonts w:ascii="Arial" w:eastAsia="Times New Roman" w:hAnsi="Arial" w:cs="Arial"/>
                <w:sz w:val="20"/>
                <w:szCs w:val="20"/>
                <w:lang w:val="en-GB" w:eastAsia="hr-HR"/>
              </w:rPr>
              <w:t>143</w:t>
            </w:r>
          </w:p>
        </w:tc>
        <w:tc>
          <w:tcPr>
            <w:tcW w:w="1276"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szCs w:val="20"/>
                <w:lang w:val="en-GB" w:eastAsia="hr-HR"/>
              </w:rPr>
            </w:pPr>
            <w:r w:rsidRPr="003611CF">
              <w:rPr>
                <w:rFonts w:ascii="Arial" w:eastAsia="Times New Roman" w:hAnsi="Arial" w:cs="Arial"/>
                <w:sz w:val="20"/>
                <w:szCs w:val="20"/>
                <w:lang w:val="en-GB" w:eastAsia="hr-HR"/>
              </w:rPr>
              <w:t>83</w:t>
            </w:r>
          </w:p>
        </w:tc>
      </w:tr>
      <w:tr w:rsidR="003611CF" w:rsidRPr="003611CF" w:rsidTr="003611CF">
        <w:trPr>
          <w:trHeight w:val="80"/>
          <w:jc w:val="center"/>
        </w:trPr>
        <w:tc>
          <w:tcPr>
            <w:tcW w:w="3191" w:type="dxa"/>
            <w:shd w:val="clear" w:color="auto" w:fill="FDE9D9"/>
            <w:noWrap/>
            <w:hideMark/>
          </w:tcPr>
          <w:p w:rsidR="003611CF" w:rsidRPr="003611CF" w:rsidRDefault="003611CF" w:rsidP="003611CF">
            <w:pPr>
              <w:spacing w:before="0" w:after="0" w:line="240" w:lineRule="auto"/>
              <w:jc w:val="left"/>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5. Porez na promet nepokretnosti</w:t>
            </w:r>
          </w:p>
        </w:tc>
        <w:tc>
          <w:tcPr>
            <w:tcW w:w="1913" w:type="dxa"/>
            <w:shd w:val="clear" w:color="auto" w:fill="FDE9D9"/>
            <w:noWrap/>
            <w:vAlign w:val="bottom"/>
          </w:tcPr>
          <w:p w:rsidR="003611CF" w:rsidRPr="003611CF" w:rsidRDefault="003611CF" w:rsidP="003611CF">
            <w:pPr>
              <w:spacing w:before="0" w:after="0" w:line="240" w:lineRule="auto"/>
              <w:jc w:val="center"/>
              <w:rPr>
                <w:rFonts w:ascii="Arial" w:eastAsia="Times New Roman" w:hAnsi="Arial" w:cs="Arial"/>
                <w:bCs/>
                <w:iCs/>
                <w:sz w:val="20"/>
                <w:szCs w:val="20"/>
                <w:lang w:val="en-GB" w:eastAsia="hr-HR"/>
              </w:rPr>
            </w:pPr>
            <w:r w:rsidRPr="003611CF">
              <w:rPr>
                <w:rFonts w:ascii="Arial" w:eastAsia="Times New Roman" w:hAnsi="Arial" w:cs="Arial"/>
                <w:bCs/>
                <w:iCs/>
                <w:sz w:val="20"/>
                <w:szCs w:val="20"/>
                <w:lang w:val="en-GB" w:eastAsia="hr-HR"/>
              </w:rPr>
              <w:t>19.126.966,90</w:t>
            </w:r>
          </w:p>
        </w:tc>
        <w:tc>
          <w:tcPr>
            <w:tcW w:w="1842" w:type="dxa"/>
            <w:shd w:val="clear" w:color="auto" w:fill="FDE9D9"/>
            <w:noWrap/>
            <w:vAlign w:val="bottom"/>
          </w:tcPr>
          <w:p w:rsidR="003611CF" w:rsidRPr="003611CF" w:rsidRDefault="003611CF" w:rsidP="003611CF">
            <w:pPr>
              <w:spacing w:before="0" w:after="0" w:line="240" w:lineRule="auto"/>
              <w:jc w:val="center"/>
              <w:rPr>
                <w:rFonts w:ascii="Arial" w:eastAsia="Times New Roman" w:hAnsi="Arial" w:cs="Arial"/>
                <w:bCs/>
                <w:iCs/>
                <w:sz w:val="20"/>
                <w:szCs w:val="20"/>
                <w:lang w:val="en-GB" w:eastAsia="hr-HR"/>
              </w:rPr>
            </w:pPr>
            <w:r w:rsidRPr="003611CF">
              <w:rPr>
                <w:rFonts w:ascii="Arial" w:eastAsia="Times New Roman" w:hAnsi="Arial" w:cs="Arial"/>
                <w:bCs/>
                <w:iCs/>
                <w:sz w:val="20"/>
                <w:szCs w:val="20"/>
                <w:lang w:val="en-GB" w:eastAsia="hr-HR"/>
              </w:rPr>
              <w:t>20.478.881,81</w:t>
            </w:r>
          </w:p>
        </w:tc>
        <w:tc>
          <w:tcPr>
            <w:tcW w:w="1843" w:type="dxa"/>
            <w:shd w:val="clear" w:color="auto" w:fill="FDE9D9"/>
            <w:noWrap/>
            <w:vAlign w:val="bottom"/>
          </w:tcPr>
          <w:p w:rsidR="003611CF" w:rsidRPr="003611CF" w:rsidRDefault="003611CF" w:rsidP="003611CF">
            <w:pPr>
              <w:spacing w:before="0" w:after="0" w:line="240" w:lineRule="auto"/>
              <w:jc w:val="center"/>
              <w:rPr>
                <w:rFonts w:ascii="Arial" w:eastAsia="Times New Roman" w:hAnsi="Arial" w:cs="Arial"/>
                <w:bCs/>
                <w:iCs/>
                <w:sz w:val="20"/>
                <w:szCs w:val="20"/>
                <w:lang w:val="en-GB" w:eastAsia="hr-HR"/>
              </w:rPr>
            </w:pPr>
            <w:r w:rsidRPr="003611CF">
              <w:rPr>
                <w:rFonts w:ascii="Arial" w:eastAsia="Times New Roman" w:hAnsi="Arial" w:cs="Arial"/>
                <w:bCs/>
                <w:iCs/>
                <w:sz w:val="20"/>
                <w:szCs w:val="20"/>
                <w:lang w:val="en-GB" w:eastAsia="hr-HR"/>
              </w:rPr>
              <w:t>15.527.064,56</w:t>
            </w:r>
          </w:p>
        </w:tc>
        <w:tc>
          <w:tcPr>
            <w:tcW w:w="1134"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szCs w:val="20"/>
                <w:lang w:val="en-GB" w:eastAsia="hr-HR"/>
              </w:rPr>
            </w:pPr>
            <w:r w:rsidRPr="003611CF">
              <w:rPr>
                <w:rFonts w:ascii="Arial" w:eastAsia="Times New Roman" w:hAnsi="Arial" w:cs="Arial"/>
                <w:sz w:val="20"/>
                <w:szCs w:val="20"/>
                <w:lang w:val="en-GB" w:eastAsia="hr-HR"/>
              </w:rPr>
              <w:t>81</w:t>
            </w:r>
          </w:p>
        </w:tc>
        <w:tc>
          <w:tcPr>
            <w:tcW w:w="1276"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szCs w:val="20"/>
                <w:lang w:val="en-GB" w:eastAsia="hr-HR"/>
              </w:rPr>
            </w:pPr>
            <w:r w:rsidRPr="003611CF">
              <w:rPr>
                <w:rFonts w:ascii="Arial" w:eastAsia="Times New Roman" w:hAnsi="Arial" w:cs="Arial"/>
                <w:sz w:val="20"/>
                <w:szCs w:val="20"/>
                <w:lang w:val="en-GB" w:eastAsia="hr-HR"/>
              </w:rPr>
              <w:t>76</w:t>
            </w:r>
          </w:p>
        </w:tc>
      </w:tr>
      <w:tr w:rsidR="003611CF" w:rsidRPr="003611CF" w:rsidTr="003611CF">
        <w:trPr>
          <w:trHeight w:val="80"/>
          <w:jc w:val="center"/>
        </w:trPr>
        <w:tc>
          <w:tcPr>
            <w:tcW w:w="3191" w:type="dxa"/>
            <w:shd w:val="clear" w:color="auto" w:fill="FEF4EC"/>
            <w:noWrap/>
            <w:hideMark/>
          </w:tcPr>
          <w:p w:rsidR="003611CF" w:rsidRPr="003611CF" w:rsidRDefault="003611CF" w:rsidP="003611CF">
            <w:pPr>
              <w:spacing w:before="0" w:after="0" w:line="240" w:lineRule="auto"/>
              <w:jc w:val="left"/>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6. Ostali republički prihodi</w:t>
            </w:r>
          </w:p>
        </w:tc>
        <w:tc>
          <w:tcPr>
            <w:tcW w:w="1913" w:type="dxa"/>
            <w:shd w:val="clear" w:color="auto" w:fill="FEF4EC"/>
            <w:noWrap/>
            <w:vAlign w:val="bottom"/>
          </w:tcPr>
          <w:p w:rsidR="003611CF" w:rsidRPr="003611CF" w:rsidRDefault="003611CF" w:rsidP="003611CF">
            <w:pPr>
              <w:spacing w:before="0" w:after="0" w:line="240" w:lineRule="auto"/>
              <w:jc w:val="center"/>
              <w:rPr>
                <w:rFonts w:ascii="Arial" w:eastAsia="Times New Roman" w:hAnsi="Arial" w:cs="Arial"/>
                <w:bCs/>
                <w:iCs/>
                <w:sz w:val="20"/>
                <w:szCs w:val="20"/>
                <w:lang w:val="en-GB" w:eastAsia="hr-HR"/>
              </w:rPr>
            </w:pPr>
            <w:r w:rsidRPr="003611CF">
              <w:rPr>
                <w:rFonts w:ascii="Arial" w:eastAsia="Times New Roman" w:hAnsi="Arial" w:cs="Arial"/>
                <w:bCs/>
                <w:iCs/>
                <w:sz w:val="20"/>
                <w:szCs w:val="20"/>
                <w:lang w:val="en-GB" w:eastAsia="hr-HR"/>
              </w:rPr>
              <w:t>7.038.092,69</w:t>
            </w:r>
          </w:p>
        </w:tc>
        <w:tc>
          <w:tcPr>
            <w:tcW w:w="1842" w:type="dxa"/>
            <w:shd w:val="clear" w:color="auto" w:fill="FEF4EC"/>
            <w:noWrap/>
            <w:vAlign w:val="bottom"/>
          </w:tcPr>
          <w:p w:rsidR="003611CF" w:rsidRPr="003611CF" w:rsidRDefault="003611CF" w:rsidP="003611CF">
            <w:pPr>
              <w:spacing w:before="0" w:after="0" w:line="240" w:lineRule="auto"/>
              <w:jc w:val="center"/>
              <w:rPr>
                <w:rFonts w:ascii="Arial" w:eastAsia="Times New Roman" w:hAnsi="Arial" w:cs="Arial"/>
                <w:bCs/>
                <w:iCs/>
                <w:sz w:val="20"/>
                <w:szCs w:val="20"/>
                <w:lang w:val="en-GB" w:eastAsia="hr-HR"/>
              </w:rPr>
            </w:pPr>
            <w:r w:rsidRPr="003611CF">
              <w:rPr>
                <w:rFonts w:ascii="Arial" w:eastAsia="Times New Roman" w:hAnsi="Arial" w:cs="Arial"/>
                <w:bCs/>
                <w:iCs/>
                <w:sz w:val="20"/>
                <w:szCs w:val="20"/>
                <w:lang w:val="en-GB" w:eastAsia="hr-HR"/>
              </w:rPr>
              <w:t>20.906.604,30</w:t>
            </w:r>
          </w:p>
        </w:tc>
        <w:tc>
          <w:tcPr>
            <w:tcW w:w="1843" w:type="dxa"/>
            <w:shd w:val="clear" w:color="auto" w:fill="FEF4EC"/>
            <w:noWrap/>
            <w:vAlign w:val="bottom"/>
          </w:tcPr>
          <w:p w:rsidR="003611CF" w:rsidRPr="003611CF" w:rsidRDefault="003611CF" w:rsidP="003611CF">
            <w:pPr>
              <w:spacing w:before="0" w:after="0" w:line="240" w:lineRule="auto"/>
              <w:jc w:val="center"/>
              <w:rPr>
                <w:rFonts w:ascii="Arial" w:eastAsia="Times New Roman" w:hAnsi="Arial" w:cs="Arial"/>
                <w:bCs/>
                <w:iCs/>
                <w:sz w:val="20"/>
                <w:szCs w:val="20"/>
                <w:lang w:val="en-GB" w:eastAsia="hr-HR"/>
              </w:rPr>
            </w:pPr>
            <w:r w:rsidRPr="003611CF">
              <w:rPr>
                <w:rFonts w:ascii="Arial" w:eastAsia="Times New Roman" w:hAnsi="Arial" w:cs="Arial"/>
                <w:bCs/>
                <w:iCs/>
                <w:sz w:val="20"/>
                <w:szCs w:val="20"/>
                <w:lang w:val="en-GB" w:eastAsia="hr-HR"/>
              </w:rPr>
              <w:t>16.947.488,11</w:t>
            </w:r>
          </w:p>
        </w:tc>
        <w:tc>
          <w:tcPr>
            <w:tcW w:w="1134"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szCs w:val="20"/>
                <w:lang w:val="en-GB" w:eastAsia="hr-HR"/>
              </w:rPr>
            </w:pPr>
            <w:r w:rsidRPr="003611CF">
              <w:rPr>
                <w:rFonts w:ascii="Arial" w:eastAsia="Times New Roman" w:hAnsi="Arial" w:cs="Arial"/>
                <w:sz w:val="20"/>
                <w:szCs w:val="20"/>
                <w:lang w:val="en-GB" w:eastAsia="hr-HR"/>
              </w:rPr>
              <w:t>241</w:t>
            </w:r>
          </w:p>
        </w:tc>
        <w:tc>
          <w:tcPr>
            <w:tcW w:w="1276"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szCs w:val="20"/>
                <w:lang w:val="en-GB" w:eastAsia="hr-HR"/>
              </w:rPr>
            </w:pPr>
            <w:r w:rsidRPr="003611CF">
              <w:rPr>
                <w:rFonts w:ascii="Arial" w:eastAsia="Times New Roman" w:hAnsi="Arial" w:cs="Arial"/>
                <w:sz w:val="20"/>
                <w:szCs w:val="20"/>
                <w:lang w:val="en-GB" w:eastAsia="hr-HR"/>
              </w:rPr>
              <w:t>81</w:t>
            </w:r>
          </w:p>
        </w:tc>
      </w:tr>
      <w:tr w:rsidR="003611CF" w:rsidRPr="003611CF" w:rsidTr="003611CF">
        <w:trPr>
          <w:trHeight w:val="80"/>
          <w:jc w:val="center"/>
        </w:trPr>
        <w:tc>
          <w:tcPr>
            <w:tcW w:w="3191" w:type="dxa"/>
            <w:shd w:val="clear" w:color="auto" w:fill="FDE9D9"/>
            <w:noWrap/>
            <w:hideMark/>
          </w:tcPr>
          <w:p w:rsidR="003611CF" w:rsidRPr="003611CF" w:rsidRDefault="003611CF" w:rsidP="003611CF">
            <w:pPr>
              <w:spacing w:before="0" w:after="0" w:line="240" w:lineRule="auto"/>
              <w:jc w:val="left"/>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7. Posebne takse</w:t>
            </w:r>
          </w:p>
        </w:tc>
        <w:tc>
          <w:tcPr>
            <w:tcW w:w="1913" w:type="dxa"/>
            <w:shd w:val="clear" w:color="auto" w:fill="FDE9D9"/>
            <w:noWrap/>
            <w:vAlign w:val="bottom"/>
          </w:tcPr>
          <w:p w:rsidR="003611CF" w:rsidRPr="003611CF" w:rsidRDefault="003611CF" w:rsidP="003611CF">
            <w:pPr>
              <w:spacing w:before="0" w:after="0" w:line="240" w:lineRule="auto"/>
              <w:jc w:val="center"/>
              <w:rPr>
                <w:rFonts w:ascii="Arial" w:eastAsia="Times New Roman" w:hAnsi="Arial" w:cs="Arial"/>
                <w:bCs/>
                <w:iCs/>
                <w:sz w:val="20"/>
                <w:szCs w:val="20"/>
                <w:lang w:val="en-GB" w:eastAsia="hr-HR"/>
              </w:rPr>
            </w:pPr>
            <w:r w:rsidRPr="003611CF">
              <w:rPr>
                <w:rFonts w:ascii="Arial" w:eastAsia="Times New Roman" w:hAnsi="Arial" w:cs="Arial"/>
                <w:bCs/>
                <w:iCs/>
                <w:sz w:val="20"/>
                <w:szCs w:val="20"/>
                <w:lang w:val="en-GB" w:eastAsia="hr-HR"/>
              </w:rPr>
              <w:t>200.000,00</w:t>
            </w:r>
          </w:p>
        </w:tc>
        <w:tc>
          <w:tcPr>
            <w:tcW w:w="1842" w:type="dxa"/>
            <w:shd w:val="clear" w:color="auto" w:fill="FDE9D9"/>
            <w:noWrap/>
            <w:vAlign w:val="bottom"/>
          </w:tcPr>
          <w:p w:rsidR="003611CF" w:rsidRPr="003611CF" w:rsidRDefault="003611CF" w:rsidP="003611CF">
            <w:pPr>
              <w:spacing w:before="0" w:after="0" w:line="240" w:lineRule="auto"/>
              <w:jc w:val="center"/>
              <w:rPr>
                <w:rFonts w:ascii="Arial" w:eastAsia="Times New Roman" w:hAnsi="Arial" w:cs="Arial"/>
                <w:bCs/>
                <w:iCs/>
                <w:sz w:val="20"/>
                <w:szCs w:val="20"/>
                <w:lang w:val="en-GB" w:eastAsia="hr-HR"/>
              </w:rPr>
            </w:pPr>
            <w:r w:rsidRPr="003611CF">
              <w:rPr>
                <w:rFonts w:ascii="Arial" w:eastAsia="Times New Roman" w:hAnsi="Arial" w:cs="Arial"/>
                <w:bCs/>
                <w:iCs/>
                <w:sz w:val="20"/>
                <w:szCs w:val="20"/>
                <w:lang w:val="en-GB" w:eastAsia="hr-HR"/>
              </w:rPr>
              <w:t>446.346,32</w:t>
            </w:r>
          </w:p>
        </w:tc>
        <w:tc>
          <w:tcPr>
            <w:tcW w:w="1843" w:type="dxa"/>
            <w:shd w:val="clear" w:color="auto" w:fill="FDE9D9"/>
            <w:noWrap/>
            <w:vAlign w:val="bottom"/>
          </w:tcPr>
          <w:p w:rsidR="003611CF" w:rsidRPr="003611CF" w:rsidRDefault="003611CF" w:rsidP="003611CF">
            <w:pPr>
              <w:spacing w:before="0" w:after="0" w:line="240" w:lineRule="auto"/>
              <w:jc w:val="center"/>
              <w:rPr>
                <w:rFonts w:ascii="Arial" w:eastAsia="Times New Roman" w:hAnsi="Arial" w:cs="Arial"/>
                <w:bCs/>
                <w:iCs/>
                <w:sz w:val="20"/>
                <w:szCs w:val="20"/>
                <w:lang w:val="en-GB" w:eastAsia="hr-HR"/>
              </w:rPr>
            </w:pPr>
            <w:r w:rsidRPr="003611CF">
              <w:rPr>
                <w:rFonts w:ascii="Arial" w:eastAsia="Times New Roman" w:hAnsi="Arial" w:cs="Arial"/>
                <w:bCs/>
                <w:iCs/>
                <w:sz w:val="20"/>
                <w:szCs w:val="20"/>
                <w:lang w:val="en-GB" w:eastAsia="hr-HR"/>
              </w:rPr>
              <w:t>60.497,52</w:t>
            </w:r>
          </w:p>
        </w:tc>
        <w:tc>
          <w:tcPr>
            <w:tcW w:w="1134"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szCs w:val="20"/>
                <w:lang w:val="en-GB" w:eastAsia="hr-HR"/>
              </w:rPr>
            </w:pPr>
            <w:r w:rsidRPr="003611CF">
              <w:rPr>
                <w:rFonts w:ascii="Arial" w:eastAsia="Times New Roman" w:hAnsi="Arial" w:cs="Arial"/>
                <w:sz w:val="20"/>
                <w:szCs w:val="20"/>
                <w:lang w:val="en-GB" w:eastAsia="hr-HR"/>
              </w:rPr>
              <w:t>30</w:t>
            </w:r>
          </w:p>
        </w:tc>
        <w:tc>
          <w:tcPr>
            <w:tcW w:w="1276"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szCs w:val="20"/>
                <w:lang w:val="en-GB" w:eastAsia="hr-HR"/>
              </w:rPr>
            </w:pPr>
            <w:r w:rsidRPr="003611CF">
              <w:rPr>
                <w:rFonts w:ascii="Arial" w:eastAsia="Times New Roman" w:hAnsi="Arial" w:cs="Arial"/>
                <w:sz w:val="20"/>
                <w:szCs w:val="20"/>
                <w:lang w:val="en-GB" w:eastAsia="hr-HR"/>
              </w:rPr>
              <w:t>14</w:t>
            </w:r>
          </w:p>
        </w:tc>
      </w:tr>
      <w:tr w:rsidR="003611CF" w:rsidRPr="003611CF" w:rsidTr="003611CF">
        <w:trPr>
          <w:trHeight w:val="141"/>
          <w:jc w:val="center"/>
        </w:trPr>
        <w:tc>
          <w:tcPr>
            <w:tcW w:w="3191" w:type="dxa"/>
            <w:shd w:val="clear" w:color="auto" w:fill="FEF4EC"/>
            <w:noWrap/>
            <w:hideMark/>
          </w:tcPr>
          <w:p w:rsidR="003611CF" w:rsidRPr="003611CF" w:rsidRDefault="003611CF" w:rsidP="003611CF">
            <w:pPr>
              <w:spacing w:before="0" w:after="0" w:line="240" w:lineRule="auto"/>
              <w:jc w:val="left"/>
              <w:rPr>
                <w:rFonts w:ascii="Arial" w:eastAsia="Calibri" w:hAnsi="Arial" w:cs="Arial"/>
                <w:b/>
                <w:bCs/>
                <w:color w:val="000000"/>
                <w:sz w:val="20"/>
                <w:szCs w:val="20"/>
                <w:lang w:val="en-GB"/>
              </w:rPr>
            </w:pPr>
            <w:r w:rsidRPr="003611CF">
              <w:rPr>
                <w:rFonts w:ascii="Arial" w:eastAsia="Calibri" w:hAnsi="Arial" w:cs="Arial"/>
                <w:b/>
                <w:bCs/>
                <w:color w:val="000000"/>
                <w:sz w:val="20"/>
                <w:szCs w:val="20"/>
                <w:lang w:val="en-GB"/>
              </w:rPr>
              <w:t>UKUPNO POREZI</w:t>
            </w:r>
          </w:p>
        </w:tc>
        <w:tc>
          <w:tcPr>
            <w:tcW w:w="1913"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b/>
                <w:bCs/>
                <w:sz w:val="20"/>
                <w:szCs w:val="20"/>
                <w:lang w:val="en-GB" w:eastAsia="hr-HR"/>
              </w:rPr>
            </w:pPr>
            <w:r w:rsidRPr="003611CF">
              <w:rPr>
                <w:rFonts w:ascii="Arial" w:eastAsia="Times New Roman" w:hAnsi="Arial" w:cs="Arial"/>
                <w:b/>
                <w:bCs/>
                <w:sz w:val="20"/>
                <w:szCs w:val="20"/>
                <w:lang w:val="en-GB" w:eastAsia="hr-HR"/>
              </w:rPr>
              <w:t>536.067.753,80</w:t>
            </w:r>
          </w:p>
        </w:tc>
        <w:tc>
          <w:tcPr>
            <w:tcW w:w="1842"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b/>
                <w:bCs/>
                <w:sz w:val="20"/>
                <w:szCs w:val="20"/>
                <w:lang w:val="en-GB" w:eastAsia="hr-HR"/>
              </w:rPr>
            </w:pPr>
            <w:r w:rsidRPr="003611CF">
              <w:rPr>
                <w:rFonts w:ascii="Arial" w:eastAsia="Times New Roman" w:hAnsi="Arial" w:cs="Arial"/>
                <w:b/>
                <w:bCs/>
                <w:sz w:val="20"/>
                <w:szCs w:val="20"/>
                <w:lang w:val="en-GB" w:eastAsia="hr-HR"/>
              </w:rPr>
              <w:t>626.295.568,95</w:t>
            </w:r>
          </w:p>
        </w:tc>
        <w:tc>
          <w:tcPr>
            <w:tcW w:w="1843"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b/>
                <w:bCs/>
                <w:sz w:val="20"/>
                <w:szCs w:val="20"/>
                <w:lang w:val="en-GB" w:eastAsia="hr-HR"/>
              </w:rPr>
            </w:pPr>
            <w:r w:rsidRPr="003611CF">
              <w:rPr>
                <w:rFonts w:ascii="Arial" w:eastAsia="Times New Roman" w:hAnsi="Arial" w:cs="Arial"/>
                <w:b/>
                <w:bCs/>
                <w:sz w:val="20"/>
                <w:szCs w:val="20"/>
                <w:lang w:val="en-GB" w:eastAsia="hr-HR"/>
              </w:rPr>
              <w:t>562.409.026,69</w:t>
            </w:r>
          </w:p>
        </w:tc>
        <w:tc>
          <w:tcPr>
            <w:tcW w:w="1134"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b/>
                <w:bCs/>
                <w:sz w:val="20"/>
                <w:szCs w:val="20"/>
                <w:lang w:val="en-GB" w:eastAsia="hr-HR"/>
              </w:rPr>
            </w:pPr>
            <w:r w:rsidRPr="003611CF">
              <w:rPr>
                <w:rFonts w:ascii="Arial" w:eastAsia="Times New Roman" w:hAnsi="Arial" w:cs="Arial"/>
                <w:b/>
                <w:bCs/>
                <w:sz w:val="20"/>
                <w:szCs w:val="20"/>
                <w:lang w:val="en-GB" w:eastAsia="hr-HR"/>
              </w:rPr>
              <w:t>105</w:t>
            </w:r>
          </w:p>
        </w:tc>
        <w:tc>
          <w:tcPr>
            <w:tcW w:w="1276"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b/>
                <w:bCs/>
                <w:sz w:val="20"/>
                <w:szCs w:val="20"/>
                <w:lang w:val="en-GB" w:eastAsia="hr-HR"/>
              </w:rPr>
            </w:pPr>
            <w:r w:rsidRPr="003611CF">
              <w:rPr>
                <w:rFonts w:ascii="Arial" w:eastAsia="Times New Roman" w:hAnsi="Arial" w:cs="Arial"/>
                <w:b/>
                <w:bCs/>
                <w:sz w:val="20"/>
                <w:szCs w:val="20"/>
                <w:lang w:val="en-GB" w:eastAsia="hr-HR"/>
              </w:rPr>
              <w:t>90</w:t>
            </w:r>
          </w:p>
        </w:tc>
      </w:tr>
      <w:tr w:rsidR="003611CF" w:rsidRPr="003611CF" w:rsidTr="003611CF">
        <w:trPr>
          <w:trHeight w:val="201"/>
          <w:jc w:val="center"/>
        </w:trPr>
        <w:tc>
          <w:tcPr>
            <w:tcW w:w="3191" w:type="dxa"/>
            <w:shd w:val="clear" w:color="auto" w:fill="FDE9D9"/>
            <w:noWrap/>
            <w:hideMark/>
          </w:tcPr>
          <w:p w:rsidR="003611CF" w:rsidRPr="003611CF" w:rsidRDefault="003611CF" w:rsidP="003611CF">
            <w:pPr>
              <w:spacing w:before="0" w:after="0" w:line="240" w:lineRule="auto"/>
              <w:jc w:val="left"/>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Prihodi  fonda PIO</w:t>
            </w:r>
          </w:p>
        </w:tc>
        <w:tc>
          <w:tcPr>
            <w:tcW w:w="1913" w:type="dxa"/>
            <w:shd w:val="clear" w:color="auto" w:fill="FDE9D9"/>
            <w:noWrap/>
            <w:vAlign w:val="bottom"/>
          </w:tcPr>
          <w:p w:rsidR="003611CF" w:rsidRPr="003611CF" w:rsidRDefault="003611CF" w:rsidP="003611CF">
            <w:pPr>
              <w:spacing w:before="0" w:after="0" w:line="240" w:lineRule="auto"/>
              <w:jc w:val="center"/>
              <w:rPr>
                <w:rFonts w:ascii="Arial" w:eastAsia="Times New Roman" w:hAnsi="Arial" w:cs="Arial"/>
                <w:bCs/>
                <w:iCs/>
                <w:sz w:val="20"/>
                <w:szCs w:val="20"/>
                <w:lang w:val="en-GB" w:eastAsia="hr-HR"/>
              </w:rPr>
            </w:pPr>
            <w:r w:rsidRPr="003611CF">
              <w:rPr>
                <w:rFonts w:ascii="Arial" w:eastAsia="Times New Roman" w:hAnsi="Arial" w:cs="Arial"/>
                <w:bCs/>
                <w:iCs/>
                <w:sz w:val="20"/>
                <w:szCs w:val="20"/>
                <w:lang w:val="en-GB" w:eastAsia="hr-HR"/>
              </w:rPr>
              <w:t>307.582.078,12</w:t>
            </w:r>
          </w:p>
        </w:tc>
        <w:tc>
          <w:tcPr>
            <w:tcW w:w="1842" w:type="dxa"/>
            <w:shd w:val="clear" w:color="auto" w:fill="FDE9D9"/>
            <w:noWrap/>
            <w:vAlign w:val="bottom"/>
          </w:tcPr>
          <w:p w:rsidR="003611CF" w:rsidRPr="003611CF" w:rsidRDefault="003611CF" w:rsidP="003611CF">
            <w:pPr>
              <w:spacing w:before="0" w:after="0" w:line="240" w:lineRule="auto"/>
              <w:jc w:val="center"/>
              <w:rPr>
                <w:rFonts w:ascii="Arial" w:eastAsia="Times New Roman" w:hAnsi="Arial" w:cs="Arial"/>
                <w:bCs/>
                <w:iCs/>
                <w:sz w:val="20"/>
                <w:szCs w:val="20"/>
                <w:lang w:val="en-GB" w:eastAsia="hr-HR"/>
              </w:rPr>
            </w:pPr>
            <w:r w:rsidRPr="003611CF">
              <w:rPr>
                <w:rFonts w:ascii="Arial" w:eastAsia="Times New Roman" w:hAnsi="Arial" w:cs="Arial"/>
                <w:bCs/>
                <w:iCs/>
                <w:sz w:val="20"/>
                <w:szCs w:val="20"/>
                <w:lang w:val="en-GB" w:eastAsia="hr-HR"/>
              </w:rPr>
              <w:t>331.986.237,53</w:t>
            </w:r>
          </w:p>
        </w:tc>
        <w:tc>
          <w:tcPr>
            <w:tcW w:w="1843" w:type="dxa"/>
            <w:shd w:val="clear" w:color="auto" w:fill="FDE9D9"/>
            <w:noWrap/>
            <w:vAlign w:val="bottom"/>
          </w:tcPr>
          <w:p w:rsidR="003611CF" w:rsidRPr="003611CF" w:rsidRDefault="003611CF" w:rsidP="003611CF">
            <w:pPr>
              <w:spacing w:before="0" w:after="0" w:line="240" w:lineRule="auto"/>
              <w:jc w:val="center"/>
              <w:rPr>
                <w:rFonts w:ascii="Arial" w:eastAsia="Times New Roman" w:hAnsi="Arial" w:cs="Arial"/>
                <w:bCs/>
                <w:iCs/>
                <w:sz w:val="20"/>
                <w:szCs w:val="20"/>
                <w:lang w:val="en-GB" w:eastAsia="hr-HR"/>
              </w:rPr>
            </w:pPr>
            <w:r w:rsidRPr="003611CF">
              <w:rPr>
                <w:rFonts w:ascii="Arial" w:eastAsia="Times New Roman" w:hAnsi="Arial" w:cs="Arial"/>
                <w:bCs/>
                <w:iCs/>
                <w:sz w:val="20"/>
                <w:szCs w:val="20"/>
                <w:lang w:val="en-GB" w:eastAsia="hr-HR"/>
              </w:rPr>
              <w:t>333.730.384,36</w:t>
            </w:r>
          </w:p>
        </w:tc>
        <w:tc>
          <w:tcPr>
            <w:tcW w:w="1134"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szCs w:val="20"/>
                <w:lang w:val="en-GB" w:eastAsia="hr-HR"/>
              </w:rPr>
            </w:pPr>
            <w:r w:rsidRPr="003611CF">
              <w:rPr>
                <w:rFonts w:ascii="Arial" w:eastAsia="Times New Roman" w:hAnsi="Arial" w:cs="Arial"/>
                <w:sz w:val="20"/>
                <w:szCs w:val="20"/>
                <w:lang w:val="en-GB" w:eastAsia="hr-HR"/>
              </w:rPr>
              <w:t>109</w:t>
            </w:r>
          </w:p>
        </w:tc>
        <w:tc>
          <w:tcPr>
            <w:tcW w:w="1276"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szCs w:val="20"/>
                <w:lang w:val="en-GB" w:eastAsia="hr-HR"/>
              </w:rPr>
            </w:pPr>
            <w:r w:rsidRPr="003611CF">
              <w:rPr>
                <w:rFonts w:ascii="Arial" w:eastAsia="Times New Roman" w:hAnsi="Arial" w:cs="Arial"/>
                <w:sz w:val="20"/>
                <w:szCs w:val="20"/>
                <w:lang w:val="en-GB" w:eastAsia="hr-HR"/>
              </w:rPr>
              <w:t>101</w:t>
            </w:r>
          </w:p>
        </w:tc>
      </w:tr>
      <w:tr w:rsidR="003611CF" w:rsidRPr="003611CF" w:rsidTr="003611CF">
        <w:trPr>
          <w:trHeight w:val="120"/>
          <w:jc w:val="center"/>
        </w:trPr>
        <w:tc>
          <w:tcPr>
            <w:tcW w:w="3191" w:type="dxa"/>
            <w:shd w:val="clear" w:color="auto" w:fill="FEF4EC"/>
            <w:noWrap/>
            <w:hideMark/>
          </w:tcPr>
          <w:p w:rsidR="003611CF" w:rsidRPr="003611CF" w:rsidRDefault="003611CF" w:rsidP="003611CF">
            <w:pPr>
              <w:spacing w:before="0" w:after="0" w:line="240" w:lineRule="auto"/>
              <w:jc w:val="left"/>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Prihodi za zdravstveno.osig.</w:t>
            </w:r>
          </w:p>
        </w:tc>
        <w:tc>
          <w:tcPr>
            <w:tcW w:w="1913" w:type="dxa"/>
            <w:shd w:val="clear" w:color="auto" w:fill="FEF4EC"/>
            <w:noWrap/>
            <w:vAlign w:val="bottom"/>
          </w:tcPr>
          <w:p w:rsidR="003611CF" w:rsidRPr="003611CF" w:rsidRDefault="003611CF" w:rsidP="003611CF">
            <w:pPr>
              <w:spacing w:before="0" w:after="0" w:line="240" w:lineRule="auto"/>
              <w:jc w:val="center"/>
              <w:rPr>
                <w:rFonts w:ascii="Arial" w:eastAsia="Times New Roman" w:hAnsi="Arial" w:cs="Arial"/>
                <w:bCs/>
                <w:iCs/>
                <w:sz w:val="20"/>
                <w:szCs w:val="20"/>
                <w:lang w:val="en-GB" w:eastAsia="hr-HR"/>
              </w:rPr>
            </w:pPr>
            <w:r w:rsidRPr="003611CF">
              <w:rPr>
                <w:rFonts w:ascii="Arial" w:eastAsia="Times New Roman" w:hAnsi="Arial" w:cs="Arial"/>
                <w:bCs/>
                <w:iCs/>
                <w:sz w:val="20"/>
                <w:szCs w:val="20"/>
                <w:lang w:val="en-GB" w:eastAsia="hr-HR"/>
              </w:rPr>
              <w:t>162.000.487,69</w:t>
            </w:r>
          </w:p>
        </w:tc>
        <w:tc>
          <w:tcPr>
            <w:tcW w:w="1842" w:type="dxa"/>
            <w:shd w:val="clear" w:color="auto" w:fill="FEF4EC"/>
            <w:noWrap/>
            <w:vAlign w:val="bottom"/>
          </w:tcPr>
          <w:p w:rsidR="003611CF" w:rsidRPr="003611CF" w:rsidRDefault="003611CF" w:rsidP="003611CF">
            <w:pPr>
              <w:spacing w:before="0" w:after="0" w:line="240" w:lineRule="auto"/>
              <w:jc w:val="center"/>
              <w:rPr>
                <w:rFonts w:ascii="Arial" w:eastAsia="Times New Roman" w:hAnsi="Arial" w:cs="Arial"/>
                <w:bCs/>
                <w:iCs/>
                <w:sz w:val="20"/>
                <w:szCs w:val="20"/>
                <w:lang w:val="en-GB" w:eastAsia="hr-HR"/>
              </w:rPr>
            </w:pPr>
            <w:r w:rsidRPr="003611CF">
              <w:rPr>
                <w:rFonts w:ascii="Arial" w:eastAsia="Times New Roman" w:hAnsi="Arial" w:cs="Arial"/>
                <w:bCs/>
                <w:iCs/>
                <w:sz w:val="20"/>
                <w:szCs w:val="20"/>
                <w:lang w:val="en-GB" w:eastAsia="hr-HR"/>
              </w:rPr>
              <w:t>189.372.401,03</w:t>
            </w:r>
          </w:p>
        </w:tc>
        <w:tc>
          <w:tcPr>
            <w:tcW w:w="1843" w:type="dxa"/>
            <w:shd w:val="clear" w:color="auto" w:fill="FEF4EC"/>
            <w:noWrap/>
            <w:vAlign w:val="bottom"/>
          </w:tcPr>
          <w:p w:rsidR="003611CF" w:rsidRPr="003611CF" w:rsidRDefault="003611CF" w:rsidP="003611CF">
            <w:pPr>
              <w:spacing w:before="0" w:after="0" w:line="240" w:lineRule="auto"/>
              <w:jc w:val="center"/>
              <w:rPr>
                <w:rFonts w:ascii="Arial" w:eastAsia="Times New Roman" w:hAnsi="Arial" w:cs="Arial"/>
                <w:bCs/>
                <w:iCs/>
                <w:sz w:val="20"/>
                <w:szCs w:val="20"/>
                <w:lang w:val="en-GB" w:eastAsia="hr-HR"/>
              </w:rPr>
            </w:pPr>
            <w:r w:rsidRPr="003611CF">
              <w:rPr>
                <w:rFonts w:ascii="Arial" w:eastAsia="Times New Roman" w:hAnsi="Arial" w:cs="Arial"/>
                <w:bCs/>
                <w:iCs/>
                <w:sz w:val="20"/>
                <w:szCs w:val="20"/>
                <w:lang w:val="en-GB" w:eastAsia="hr-HR"/>
              </w:rPr>
              <w:t>173.146.129,07</w:t>
            </w:r>
          </w:p>
        </w:tc>
        <w:tc>
          <w:tcPr>
            <w:tcW w:w="1134"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szCs w:val="20"/>
                <w:lang w:val="en-GB" w:eastAsia="hr-HR"/>
              </w:rPr>
            </w:pPr>
            <w:r w:rsidRPr="003611CF">
              <w:rPr>
                <w:rFonts w:ascii="Arial" w:eastAsia="Times New Roman" w:hAnsi="Arial" w:cs="Arial"/>
                <w:sz w:val="20"/>
                <w:szCs w:val="20"/>
                <w:lang w:val="en-GB" w:eastAsia="hr-HR"/>
              </w:rPr>
              <w:t>107</w:t>
            </w:r>
          </w:p>
        </w:tc>
        <w:tc>
          <w:tcPr>
            <w:tcW w:w="1276"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szCs w:val="20"/>
                <w:lang w:val="en-GB" w:eastAsia="hr-HR"/>
              </w:rPr>
            </w:pPr>
            <w:r w:rsidRPr="003611CF">
              <w:rPr>
                <w:rFonts w:ascii="Arial" w:eastAsia="Times New Roman" w:hAnsi="Arial" w:cs="Arial"/>
                <w:sz w:val="20"/>
                <w:szCs w:val="20"/>
                <w:lang w:val="en-GB" w:eastAsia="hr-HR"/>
              </w:rPr>
              <w:t>91</w:t>
            </w:r>
          </w:p>
        </w:tc>
      </w:tr>
      <w:tr w:rsidR="003611CF" w:rsidRPr="003611CF" w:rsidTr="003611CF">
        <w:trPr>
          <w:trHeight w:val="80"/>
          <w:jc w:val="center"/>
        </w:trPr>
        <w:tc>
          <w:tcPr>
            <w:tcW w:w="3191" w:type="dxa"/>
            <w:shd w:val="clear" w:color="auto" w:fill="FDE9D9"/>
            <w:noWrap/>
            <w:hideMark/>
          </w:tcPr>
          <w:p w:rsidR="003611CF" w:rsidRPr="003611CF" w:rsidRDefault="003611CF" w:rsidP="003611CF">
            <w:pPr>
              <w:spacing w:before="0" w:after="0" w:line="240" w:lineRule="auto"/>
              <w:jc w:val="left"/>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Prihodi zavoda za zapošljavanje</w:t>
            </w:r>
          </w:p>
        </w:tc>
        <w:tc>
          <w:tcPr>
            <w:tcW w:w="1913" w:type="dxa"/>
            <w:shd w:val="clear" w:color="auto" w:fill="FDE9D9"/>
            <w:noWrap/>
            <w:vAlign w:val="bottom"/>
          </w:tcPr>
          <w:p w:rsidR="003611CF" w:rsidRPr="003611CF" w:rsidRDefault="003611CF" w:rsidP="003611CF">
            <w:pPr>
              <w:spacing w:before="0" w:after="0" w:line="240" w:lineRule="auto"/>
              <w:jc w:val="center"/>
              <w:rPr>
                <w:rFonts w:ascii="Arial" w:eastAsia="Times New Roman" w:hAnsi="Arial" w:cs="Arial"/>
                <w:bCs/>
                <w:iCs/>
                <w:sz w:val="20"/>
                <w:szCs w:val="20"/>
                <w:lang w:val="en-GB" w:eastAsia="hr-HR"/>
              </w:rPr>
            </w:pPr>
            <w:r w:rsidRPr="003611CF">
              <w:rPr>
                <w:rFonts w:ascii="Arial" w:eastAsia="Times New Roman" w:hAnsi="Arial" w:cs="Arial"/>
                <w:bCs/>
                <w:iCs/>
                <w:sz w:val="20"/>
                <w:szCs w:val="20"/>
                <w:lang w:val="en-GB" w:eastAsia="hr-HR"/>
              </w:rPr>
              <w:t>14.590.687,05</w:t>
            </w:r>
          </w:p>
        </w:tc>
        <w:tc>
          <w:tcPr>
            <w:tcW w:w="1842" w:type="dxa"/>
            <w:shd w:val="clear" w:color="auto" w:fill="FDE9D9"/>
            <w:noWrap/>
            <w:vAlign w:val="bottom"/>
          </w:tcPr>
          <w:p w:rsidR="003611CF" w:rsidRPr="003611CF" w:rsidRDefault="003611CF" w:rsidP="003611CF">
            <w:pPr>
              <w:spacing w:before="0" w:after="0" w:line="240" w:lineRule="auto"/>
              <w:jc w:val="center"/>
              <w:rPr>
                <w:rFonts w:ascii="Arial" w:eastAsia="Times New Roman" w:hAnsi="Arial" w:cs="Arial"/>
                <w:bCs/>
                <w:iCs/>
                <w:sz w:val="20"/>
                <w:szCs w:val="20"/>
                <w:lang w:val="en-GB" w:eastAsia="hr-HR"/>
              </w:rPr>
            </w:pPr>
            <w:r w:rsidRPr="003611CF">
              <w:rPr>
                <w:rFonts w:ascii="Arial" w:eastAsia="Times New Roman" w:hAnsi="Arial" w:cs="Arial"/>
                <w:bCs/>
                <w:iCs/>
                <w:sz w:val="20"/>
                <w:szCs w:val="20"/>
                <w:lang w:val="en-GB" w:eastAsia="hr-HR"/>
              </w:rPr>
              <w:t>26.091.332,40</w:t>
            </w:r>
          </w:p>
        </w:tc>
        <w:tc>
          <w:tcPr>
            <w:tcW w:w="1843" w:type="dxa"/>
            <w:shd w:val="clear" w:color="auto" w:fill="FDE9D9"/>
            <w:noWrap/>
            <w:vAlign w:val="bottom"/>
          </w:tcPr>
          <w:p w:rsidR="003611CF" w:rsidRPr="003611CF" w:rsidRDefault="003611CF" w:rsidP="003611CF">
            <w:pPr>
              <w:spacing w:before="0" w:after="0" w:line="240" w:lineRule="auto"/>
              <w:jc w:val="center"/>
              <w:rPr>
                <w:rFonts w:ascii="Arial" w:eastAsia="Times New Roman" w:hAnsi="Arial" w:cs="Arial"/>
                <w:bCs/>
                <w:iCs/>
                <w:sz w:val="20"/>
                <w:szCs w:val="20"/>
                <w:lang w:val="en-GB" w:eastAsia="hr-HR"/>
              </w:rPr>
            </w:pPr>
            <w:r w:rsidRPr="003611CF">
              <w:rPr>
                <w:rFonts w:ascii="Arial" w:eastAsia="Times New Roman" w:hAnsi="Arial" w:cs="Arial"/>
                <w:bCs/>
                <w:iCs/>
                <w:sz w:val="20"/>
                <w:szCs w:val="20"/>
                <w:lang w:val="en-GB" w:eastAsia="hr-HR"/>
              </w:rPr>
              <w:t>25.774.859,72</w:t>
            </w:r>
          </w:p>
        </w:tc>
        <w:tc>
          <w:tcPr>
            <w:tcW w:w="1134"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szCs w:val="20"/>
                <w:lang w:val="en-GB" w:eastAsia="hr-HR"/>
              </w:rPr>
            </w:pPr>
            <w:r w:rsidRPr="003611CF">
              <w:rPr>
                <w:rFonts w:ascii="Arial" w:eastAsia="Times New Roman" w:hAnsi="Arial" w:cs="Arial"/>
                <w:sz w:val="20"/>
                <w:szCs w:val="20"/>
                <w:lang w:val="en-GB" w:eastAsia="hr-HR"/>
              </w:rPr>
              <w:t>177</w:t>
            </w:r>
          </w:p>
        </w:tc>
        <w:tc>
          <w:tcPr>
            <w:tcW w:w="1276"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sz w:val="20"/>
                <w:szCs w:val="20"/>
                <w:lang w:val="en-GB" w:eastAsia="hr-HR"/>
              </w:rPr>
            </w:pPr>
            <w:r w:rsidRPr="003611CF">
              <w:rPr>
                <w:rFonts w:ascii="Arial" w:eastAsia="Times New Roman" w:hAnsi="Arial" w:cs="Arial"/>
                <w:sz w:val="20"/>
                <w:szCs w:val="20"/>
                <w:lang w:val="en-GB" w:eastAsia="hr-HR"/>
              </w:rPr>
              <w:t>99</w:t>
            </w:r>
          </w:p>
        </w:tc>
      </w:tr>
      <w:tr w:rsidR="003611CF" w:rsidRPr="003611CF" w:rsidTr="003611CF">
        <w:trPr>
          <w:trHeight w:val="80"/>
          <w:jc w:val="center"/>
        </w:trPr>
        <w:tc>
          <w:tcPr>
            <w:tcW w:w="3191" w:type="dxa"/>
            <w:shd w:val="clear" w:color="auto" w:fill="FEF4EC"/>
            <w:noWrap/>
            <w:hideMark/>
          </w:tcPr>
          <w:p w:rsidR="003611CF" w:rsidRPr="003611CF" w:rsidRDefault="003611CF" w:rsidP="003611CF">
            <w:pPr>
              <w:spacing w:before="0" w:after="0" w:line="240" w:lineRule="auto"/>
              <w:jc w:val="left"/>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Prihodi fonda rada</w:t>
            </w:r>
          </w:p>
        </w:tc>
        <w:tc>
          <w:tcPr>
            <w:tcW w:w="1913" w:type="dxa"/>
            <w:shd w:val="clear" w:color="auto" w:fill="FEF4EC"/>
            <w:noWrap/>
            <w:vAlign w:val="bottom"/>
          </w:tcPr>
          <w:p w:rsidR="003611CF" w:rsidRPr="003611CF" w:rsidRDefault="003611CF" w:rsidP="003611CF">
            <w:pPr>
              <w:spacing w:before="0" w:after="0" w:line="240" w:lineRule="auto"/>
              <w:jc w:val="center"/>
              <w:rPr>
                <w:rFonts w:ascii="Arial" w:eastAsia="Times New Roman" w:hAnsi="Arial" w:cs="Arial"/>
                <w:bCs/>
                <w:iCs/>
                <w:sz w:val="20"/>
                <w:szCs w:val="20"/>
                <w:lang w:val="en-GB" w:eastAsia="hr-HR"/>
              </w:rPr>
            </w:pPr>
            <w:r w:rsidRPr="003611CF">
              <w:rPr>
                <w:rFonts w:ascii="Arial" w:eastAsia="Times New Roman" w:hAnsi="Arial" w:cs="Arial"/>
                <w:bCs/>
                <w:iCs/>
                <w:sz w:val="20"/>
                <w:szCs w:val="20"/>
                <w:lang w:val="en-GB" w:eastAsia="hr-HR"/>
              </w:rPr>
              <w:t>12.753.627,45</w:t>
            </w:r>
          </w:p>
        </w:tc>
        <w:tc>
          <w:tcPr>
            <w:tcW w:w="1842" w:type="dxa"/>
            <w:shd w:val="clear" w:color="auto" w:fill="FEF4EC"/>
            <w:noWrap/>
            <w:vAlign w:val="bottom"/>
          </w:tcPr>
          <w:p w:rsidR="003611CF" w:rsidRPr="003611CF" w:rsidRDefault="003611CF" w:rsidP="003611CF">
            <w:pPr>
              <w:spacing w:before="0" w:after="0" w:line="240" w:lineRule="auto"/>
              <w:jc w:val="center"/>
              <w:rPr>
                <w:rFonts w:ascii="Arial" w:eastAsia="Times New Roman" w:hAnsi="Arial" w:cs="Arial"/>
                <w:bCs/>
                <w:iCs/>
                <w:sz w:val="20"/>
                <w:szCs w:val="20"/>
                <w:lang w:val="en-GB" w:eastAsia="hr-HR"/>
              </w:rPr>
            </w:pPr>
            <w:r w:rsidRPr="003611CF">
              <w:rPr>
                <w:rFonts w:ascii="Arial" w:eastAsia="Times New Roman" w:hAnsi="Arial" w:cs="Arial"/>
                <w:bCs/>
                <w:iCs/>
                <w:sz w:val="20"/>
                <w:szCs w:val="20"/>
                <w:lang w:val="en-GB" w:eastAsia="hr-HR"/>
              </w:rPr>
              <w:t>3.390.615,81</w:t>
            </w:r>
          </w:p>
        </w:tc>
        <w:tc>
          <w:tcPr>
            <w:tcW w:w="1843" w:type="dxa"/>
            <w:shd w:val="clear" w:color="auto" w:fill="FEF4EC"/>
            <w:noWrap/>
            <w:vAlign w:val="bottom"/>
          </w:tcPr>
          <w:p w:rsidR="003611CF" w:rsidRPr="003611CF" w:rsidRDefault="003611CF" w:rsidP="003611CF">
            <w:pPr>
              <w:spacing w:before="0" w:after="0" w:line="240" w:lineRule="auto"/>
              <w:jc w:val="center"/>
              <w:rPr>
                <w:rFonts w:ascii="Arial" w:eastAsia="Times New Roman" w:hAnsi="Arial" w:cs="Arial"/>
                <w:bCs/>
                <w:iCs/>
                <w:sz w:val="20"/>
                <w:szCs w:val="20"/>
                <w:lang w:val="en-GB" w:eastAsia="hr-HR"/>
              </w:rPr>
            </w:pPr>
            <w:r w:rsidRPr="003611CF">
              <w:rPr>
                <w:rFonts w:ascii="Arial" w:eastAsia="Times New Roman" w:hAnsi="Arial" w:cs="Arial"/>
                <w:bCs/>
                <w:iCs/>
                <w:sz w:val="20"/>
                <w:szCs w:val="20"/>
                <w:lang w:val="en-GB" w:eastAsia="hr-HR"/>
              </w:rPr>
              <w:t>3.086.381,39</w:t>
            </w:r>
          </w:p>
        </w:tc>
        <w:tc>
          <w:tcPr>
            <w:tcW w:w="1134"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szCs w:val="20"/>
                <w:lang w:val="en-GB" w:eastAsia="hr-HR"/>
              </w:rPr>
            </w:pPr>
            <w:r w:rsidRPr="003611CF">
              <w:rPr>
                <w:rFonts w:ascii="Arial" w:eastAsia="Times New Roman" w:hAnsi="Arial" w:cs="Arial"/>
                <w:sz w:val="20"/>
                <w:szCs w:val="20"/>
                <w:lang w:val="en-GB" w:eastAsia="hr-HR"/>
              </w:rPr>
              <w:t>24</w:t>
            </w:r>
          </w:p>
        </w:tc>
        <w:tc>
          <w:tcPr>
            <w:tcW w:w="1276"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sz w:val="20"/>
                <w:szCs w:val="20"/>
                <w:lang w:val="en-GB" w:eastAsia="hr-HR"/>
              </w:rPr>
            </w:pPr>
            <w:r w:rsidRPr="003611CF">
              <w:rPr>
                <w:rFonts w:ascii="Arial" w:eastAsia="Times New Roman" w:hAnsi="Arial" w:cs="Arial"/>
                <w:sz w:val="20"/>
                <w:szCs w:val="20"/>
                <w:lang w:val="en-GB" w:eastAsia="hr-HR"/>
              </w:rPr>
              <w:t>91</w:t>
            </w:r>
          </w:p>
        </w:tc>
      </w:tr>
      <w:tr w:rsidR="003611CF" w:rsidRPr="003611CF" w:rsidTr="003611CF">
        <w:trPr>
          <w:trHeight w:val="115"/>
          <w:jc w:val="center"/>
        </w:trPr>
        <w:tc>
          <w:tcPr>
            <w:tcW w:w="3191" w:type="dxa"/>
            <w:shd w:val="clear" w:color="auto" w:fill="FDE9D9"/>
            <w:noWrap/>
            <w:hideMark/>
          </w:tcPr>
          <w:p w:rsidR="003611CF" w:rsidRPr="003611CF" w:rsidRDefault="003611CF" w:rsidP="003611CF">
            <w:pPr>
              <w:spacing w:before="0" w:after="0" w:line="240" w:lineRule="auto"/>
              <w:jc w:val="left"/>
              <w:rPr>
                <w:rFonts w:ascii="Arial" w:eastAsia="Calibri" w:hAnsi="Arial" w:cs="Arial"/>
                <w:b/>
                <w:bCs/>
                <w:color w:val="000000"/>
                <w:sz w:val="20"/>
                <w:szCs w:val="20"/>
                <w:lang w:val="en-GB"/>
              </w:rPr>
            </w:pPr>
            <w:r w:rsidRPr="003611CF">
              <w:rPr>
                <w:rFonts w:ascii="Arial" w:eastAsia="Calibri" w:hAnsi="Arial" w:cs="Arial"/>
                <w:b/>
                <w:bCs/>
                <w:color w:val="000000"/>
                <w:sz w:val="20"/>
                <w:szCs w:val="20"/>
                <w:lang w:val="en-GB"/>
              </w:rPr>
              <w:t>UKUPNO DOPRINOSI</w:t>
            </w:r>
          </w:p>
        </w:tc>
        <w:tc>
          <w:tcPr>
            <w:tcW w:w="1913"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b/>
                <w:bCs/>
                <w:sz w:val="20"/>
                <w:szCs w:val="20"/>
                <w:lang w:val="en-GB" w:eastAsia="hr-HR"/>
              </w:rPr>
            </w:pPr>
            <w:r w:rsidRPr="003611CF">
              <w:rPr>
                <w:rFonts w:ascii="Arial" w:eastAsia="Times New Roman" w:hAnsi="Arial" w:cs="Arial"/>
                <w:b/>
                <w:bCs/>
                <w:sz w:val="20"/>
                <w:szCs w:val="20"/>
                <w:lang w:val="en-GB" w:eastAsia="hr-HR"/>
              </w:rPr>
              <w:t>496.926.880,31</w:t>
            </w:r>
          </w:p>
        </w:tc>
        <w:tc>
          <w:tcPr>
            <w:tcW w:w="1842"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b/>
                <w:bCs/>
                <w:sz w:val="20"/>
                <w:szCs w:val="20"/>
                <w:lang w:val="en-GB" w:eastAsia="hr-HR"/>
              </w:rPr>
            </w:pPr>
            <w:r w:rsidRPr="003611CF">
              <w:rPr>
                <w:rFonts w:ascii="Arial" w:eastAsia="Times New Roman" w:hAnsi="Arial" w:cs="Arial"/>
                <w:b/>
                <w:bCs/>
                <w:sz w:val="20"/>
                <w:szCs w:val="20"/>
                <w:lang w:val="en-GB" w:eastAsia="hr-HR"/>
              </w:rPr>
              <w:t>550.840.586,77</w:t>
            </w:r>
          </w:p>
        </w:tc>
        <w:tc>
          <w:tcPr>
            <w:tcW w:w="1843"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b/>
                <w:bCs/>
                <w:sz w:val="20"/>
                <w:szCs w:val="20"/>
                <w:lang w:val="en-GB" w:eastAsia="hr-HR"/>
              </w:rPr>
            </w:pPr>
            <w:r w:rsidRPr="003611CF">
              <w:rPr>
                <w:rFonts w:ascii="Arial" w:eastAsia="Times New Roman" w:hAnsi="Arial" w:cs="Arial"/>
                <w:b/>
                <w:bCs/>
                <w:sz w:val="20"/>
                <w:szCs w:val="20"/>
                <w:lang w:val="en-GB" w:eastAsia="hr-HR"/>
              </w:rPr>
              <w:t>535.737.754,54</w:t>
            </w:r>
          </w:p>
        </w:tc>
        <w:tc>
          <w:tcPr>
            <w:tcW w:w="1134"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b/>
                <w:bCs/>
                <w:sz w:val="20"/>
                <w:szCs w:val="20"/>
                <w:lang w:val="en-GB" w:eastAsia="hr-HR"/>
              </w:rPr>
            </w:pPr>
            <w:r w:rsidRPr="003611CF">
              <w:rPr>
                <w:rFonts w:ascii="Arial" w:eastAsia="Times New Roman" w:hAnsi="Arial" w:cs="Arial"/>
                <w:b/>
                <w:bCs/>
                <w:sz w:val="20"/>
                <w:szCs w:val="20"/>
                <w:lang w:val="en-GB" w:eastAsia="hr-HR"/>
              </w:rPr>
              <w:t>108</w:t>
            </w:r>
          </w:p>
        </w:tc>
        <w:tc>
          <w:tcPr>
            <w:tcW w:w="1276"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b/>
                <w:bCs/>
                <w:sz w:val="20"/>
                <w:szCs w:val="20"/>
                <w:lang w:val="en-GB" w:eastAsia="hr-HR"/>
              </w:rPr>
            </w:pPr>
            <w:r w:rsidRPr="003611CF">
              <w:rPr>
                <w:rFonts w:ascii="Arial" w:eastAsia="Times New Roman" w:hAnsi="Arial" w:cs="Arial"/>
                <w:b/>
                <w:bCs/>
                <w:sz w:val="20"/>
                <w:szCs w:val="20"/>
                <w:lang w:val="en-GB" w:eastAsia="hr-HR"/>
              </w:rPr>
              <w:t>97</w:t>
            </w:r>
          </w:p>
        </w:tc>
      </w:tr>
      <w:tr w:rsidR="003611CF" w:rsidRPr="003611CF" w:rsidTr="003611CF">
        <w:trPr>
          <w:trHeight w:val="175"/>
          <w:jc w:val="center"/>
        </w:trPr>
        <w:tc>
          <w:tcPr>
            <w:tcW w:w="3191" w:type="dxa"/>
            <w:shd w:val="clear" w:color="auto" w:fill="FEF4EC"/>
            <w:noWrap/>
            <w:hideMark/>
          </w:tcPr>
          <w:p w:rsidR="003611CF" w:rsidRPr="003611CF" w:rsidRDefault="003611CF" w:rsidP="003611CF">
            <w:pPr>
              <w:spacing w:before="0" w:after="0" w:line="240" w:lineRule="auto"/>
              <w:jc w:val="left"/>
              <w:rPr>
                <w:rFonts w:ascii="Arial" w:eastAsia="Calibri" w:hAnsi="Arial" w:cs="Arial"/>
                <w:b/>
                <w:bCs/>
                <w:color w:val="000000"/>
                <w:sz w:val="20"/>
                <w:szCs w:val="20"/>
                <w:lang w:val="en-GB"/>
              </w:rPr>
            </w:pPr>
            <w:r w:rsidRPr="003611CF">
              <w:rPr>
                <w:rFonts w:ascii="Arial" w:eastAsia="Calibri" w:hAnsi="Arial" w:cs="Arial"/>
                <w:b/>
                <w:bCs/>
                <w:color w:val="000000"/>
                <w:sz w:val="20"/>
                <w:szCs w:val="20"/>
                <w:lang w:val="en-GB"/>
              </w:rPr>
              <w:t>UKUPNO (porezi+doprinosi)</w:t>
            </w:r>
          </w:p>
        </w:tc>
        <w:tc>
          <w:tcPr>
            <w:tcW w:w="1913"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b/>
                <w:bCs/>
                <w:sz w:val="20"/>
                <w:szCs w:val="20"/>
                <w:lang w:val="en-GB" w:eastAsia="hr-HR"/>
              </w:rPr>
            </w:pPr>
            <w:r w:rsidRPr="003611CF">
              <w:rPr>
                <w:rFonts w:ascii="Arial" w:eastAsia="Times New Roman" w:hAnsi="Arial" w:cs="Arial"/>
                <w:b/>
                <w:bCs/>
                <w:sz w:val="20"/>
                <w:szCs w:val="20"/>
                <w:lang w:val="en-GB" w:eastAsia="hr-HR"/>
              </w:rPr>
              <w:t>1.032.994.634,11</w:t>
            </w:r>
          </w:p>
        </w:tc>
        <w:tc>
          <w:tcPr>
            <w:tcW w:w="1842"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b/>
                <w:bCs/>
                <w:sz w:val="20"/>
                <w:szCs w:val="20"/>
                <w:lang w:val="en-GB" w:eastAsia="hr-HR"/>
              </w:rPr>
            </w:pPr>
            <w:r w:rsidRPr="003611CF">
              <w:rPr>
                <w:rFonts w:ascii="Arial" w:eastAsia="Times New Roman" w:hAnsi="Arial" w:cs="Arial"/>
                <w:b/>
                <w:bCs/>
                <w:sz w:val="20"/>
                <w:szCs w:val="20"/>
                <w:lang w:val="en-GB" w:eastAsia="hr-HR"/>
              </w:rPr>
              <w:t>1.177.136.155,72</w:t>
            </w:r>
          </w:p>
        </w:tc>
        <w:tc>
          <w:tcPr>
            <w:tcW w:w="1843"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b/>
                <w:bCs/>
                <w:sz w:val="20"/>
                <w:szCs w:val="20"/>
                <w:lang w:val="en-GB" w:eastAsia="hr-HR"/>
              </w:rPr>
            </w:pPr>
            <w:r w:rsidRPr="003611CF">
              <w:rPr>
                <w:rFonts w:ascii="Arial" w:eastAsia="Times New Roman" w:hAnsi="Arial" w:cs="Arial"/>
                <w:b/>
                <w:bCs/>
                <w:sz w:val="20"/>
                <w:szCs w:val="20"/>
                <w:lang w:val="en-GB" w:eastAsia="hr-HR"/>
              </w:rPr>
              <w:t>1.098.146.781,23</w:t>
            </w:r>
          </w:p>
        </w:tc>
        <w:tc>
          <w:tcPr>
            <w:tcW w:w="1134"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b/>
                <w:bCs/>
                <w:sz w:val="20"/>
                <w:szCs w:val="20"/>
                <w:lang w:val="en-GB" w:eastAsia="hr-HR"/>
              </w:rPr>
            </w:pPr>
            <w:r w:rsidRPr="003611CF">
              <w:rPr>
                <w:rFonts w:ascii="Arial" w:eastAsia="Times New Roman" w:hAnsi="Arial" w:cs="Arial"/>
                <w:b/>
                <w:bCs/>
                <w:sz w:val="20"/>
                <w:szCs w:val="20"/>
                <w:lang w:val="en-GB" w:eastAsia="hr-HR"/>
              </w:rPr>
              <w:t>106</w:t>
            </w:r>
          </w:p>
        </w:tc>
        <w:tc>
          <w:tcPr>
            <w:tcW w:w="1276"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b/>
                <w:bCs/>
                <w:sz w:val="20"/>
                <w:szCs w:val="20"/>
                <w:lang w:val="en-GB" w:eastAsia="hr-HR"/>
              </w:rPr>
            </w:pPr>
            <w:r w:rsidRPr="003611CF">
              <w:rPr>
                <w:rFonts w:ascii="Arial" w:eastAsia="Times New Roman" w:hAnsi="Arial" w:cs="Arial"/>
                <w:b/>
                <w:bCs/>
                <w:sz w:val="20"/>
                <w:szCs w:val="20"/>
                <w:lang w:val="en-GB" w:eastAsia="hr-HR"/>
              </w:rPr>
              <w:t>93</w:t>
            </w:r>
          </w:p>
        </w:tc>
      </w:tr>
    </w:tbl>
    <w:p w:rsidR="003611CF" w:rsidRPr="003611CF" w:rsidRDefault="003611CF" w:rsidP="003611CF">
      <w:pPr>
        <w:spacing w:before="0" w:after="0" w:line="240" w:lineRule="auto"/>
        <w:rPr>
          <w:rFonts w:ascii="Arial" w:eastAsia="Calibri" w:hAnsi="Arial" w:cs="Arial"/>
          <w:b/>
          <w:sz w:val="22"/>
          <w:lang w:val="hr-HR"/>
        </w:rPr>
      </w:pPr>
    </w:p>
    <w:p w:rsidR="003611CF" w:rsidRDefault="003611CF" w:rsidP="003611CF">
      <w:pPr>
        <w:spacing w:before="0" w:after="0" w:line="240" w:lineRule="auto"/>
        <w:rPr>
          <w:rFonts w:ascii="Arial" w:eastAsia="Calibri" w:hAnsi="Arial" w:cs="Arial"/>
          <w:b/>
          <w:sz w:val="22"/>
          <w:lang w:val="hr-HR"/>
        </w:rPr>
      </w:pPr>
    </w:p>
    <w:p w:rsidR="00E94B78" w:rsidRPr="00E94B78" w:rsidRDefault="00E94B78" w:rsidP="00E94B78">
      <w:pPr>
        <w:spacing w:before="0" w:after="0" w:line="240" w:lineRule="auto"/>
        <w:jc w:val="center"/>
        <w:rPr>
          <w:rFonts w:ascii="Arial" w:eastAsia="Calibri" w:hAnsi="Arial" w:cs="Arial"/>
          <w:b/>
          <w:sz w:val="22"/>
          <w:lang w:val="hr-HR"/>
        </w:rPr>
      </w:pPr>
      <w:r w:rsidRPr="00E94B78">
        <w:rPr>
          <w:rFonts w:ascii="Arial" w:eastAsia="Calibri" w:hAnsi="Arial" w:cs="Arial"/>
          <w:b/>
          <w:sz w:val="22"/>
          <w:lang w:val="hr-HR"/>
        </w:rPr>
        <w:t>STRUKTURA NAPLATE POREZA PO VRSTAMA</w:t>
      </w:r>
    </w:p>
    <w:p w:rsidR="00E94B78" w:rsidRPr="00E94B78" w:rsidRDefault="00E94B78" w:rsidP="00E94B78">
      <w:pPr>
        <w:spacing w:before="0" w:after="0" w:line="240" w:lineRule="auto"/>
        <w:rPr>
          <w:rFonts w:ascii="Arial" w:eastAsia="Calibri" w:hAnsi="Arial" w:cs="Arial"/>
          <w:b/>
          <w:sz w:val="22"/>
          <w:lang w:val="hr-HR"/>
        </w:rPr>
      </w:pPr>
    </w:p>
    <w:p w:rsidR="00E94B78" w:rsidRPr="00E94B78" w:rsidRDefault="00E94B78" w:rsidP="00E94B78">
      <w:pPr>
        <w:spacing w:before="0" w:after="0" w:line="240" w:lineRule="auto"/>
        <w:rPr>
          <w:rFonts w:ascii="Arial" w:eastAsia="Calibri" w:hAnsi="Arial" w:cs="Arial"/>
          <w:b/>
          <w:sz w:val="22"/>
          <w:lang w:val="hr-HR"/>
        </w:rPr>
      </w:pPr>
    </w:p>
    <w:p w:rsidR="00E94B78" w:rsidRDefault="00E94B78" w:rsidP="00E94B78">
      <w:pPr>
        <w:spacing w:before="0" w:after="0" w:line="240" w:lineRule="auto"/>
        <w:rPr>
          <w:rFonts w:ascii="Arial" w:eastAsia="Calibri" w:hAnsi="Arial" w:cs="Arial"/>
          <w:b/>
          <w:sz w:val="22"/>
          <w:lang w:val="hr-HR"/>
        </w:rPr>
      </w:pPr>
      <w:r w:rsidRPr="00E94B78">
        <w:rPr>
          <w:rFonts w:ascii="Arial" w:eastAsia="Calibri" w:hAnsi="Arial" w:cs="Arial"/>
          <w:b/>
          <w:noProof/>
          <w:sz w:val="22"/>
          <w:lang w:val="sr-Latn-RS" w:eastAsia="sr-Latn-RS"/>
        </w:rPr>
        <w:drawing>
          <wp:inline distT="0" distB="0" distL="0" distR="0">
            <wp:extent cx="6256020" cy="3566160"/>
            <wp:effectExtent l="0" t="0" r="0" b="0"/>
            <wp:docPr id="39" name="Chart 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94B78" w:rsidRDefault="00E94B78" w:rsidP="003611CF">
      <w:pPr>
        <w:spacing w:before="0" w:after="0" w:line="240" w:lineRule="auto"/>
        <w:rPr>
          <w:rFonts w:ascii="Arial" w:eastAsia="Calibri" w:hAnsi="Arial" w:cs="Arial"/>
          <w:b/>
          <w:sz w:val="22"/>
          <w:lang w:val="hr-HR"/>
        </w:rPr>
      </w:pPr>
    </w:p>
    <w:p w:rsidR="003611CF" w:rsidRPr="003611CF" w:rsidRDefault="003611CF" w:rsidP="003611CF">
      <w:pPr>
        <w:spacing w:before="0" w:after="0" w:line="240" w:lineRule="auto"/>
        <w:rPr>
          <w:rFonts w:ascii="Calibri" w:eastAsia="Calibri" w:hAnsi="Calibri" w:cs="Calibri"/>
          <w:b/>
          <w:szCs w:val="24"/>
          <w:lang w:val="hr-HR"/>
        </w:rPr>
      </w:pPr>
    </w:p>
    <w:p w:rsidR="003611CF" w:rsidRPr="003611CF" w:rsidRDefault="003611CF" w:rsidP="003611CF">
      <w:pPr>
        <w:spacing w:before="0" w:after="0" w:line="240" w:lineRule="auto"/>
        <w:rPr>
          <w:rFonts w:ascii="Calibri" w:eastAsia="Times New Roman" w:hAnsi="Calibri" w:cs="Calibri"/>
          <w:b/>
          <w:bCs/>
          <w:szCs w:val="24"/>
          <w:lang w:val="it-IT"/>
        </w:rPr>
      </w:pPr>
      <w:r w:rsidRPr="003611CF">
        <w:rPr>
          <w:rFonts w:ascii="Arial" w:eastAsia="Times New Roman" w:hAnsi="Arial" w:cs="Arial"/>
          <w:sz w:val="22"/>
          <w:lang w:val="en-GB"/>
        </w:rPr>
        <w:tab/>
      </w:r>
      <w:r w:rsidRPr="003611CF">
        <w:rPr>
          <w:rFonts w:ascii="Calibri" w:eastAsia="Times New Roman" w:hAnsi="Calibri" w:cs="Calibri"/>
          <w:szCs w:val="24"/>
          <w:lang w:val="en-GB"/>
        </w:rPr>
        <w:t>Na osnovu podataka iz informacionog sitema i obrazloženja područnih jedinica radili su se izvještaji o stanju duga za četiri poreska oblika na mjesečnom nivou (porez na dodatu vrijednost, koncesije, porez na promet nepokretnosti i jedinstveni račun) po područnim jedinicama.</w:t>
      </w:r>
    </w:p>
    <w:p w:rsidR="003611CF" w:rsidRPr="003611CF" w:rsidRDefault="003611CF" w:rsidP="003611CF">
      <w:pPr>
        <w:spacing w:before="0" w:after="0" w:line="240" w:lineRule="auto"/>
        <w:rPr>
          <w:rFonts w:ascii="Calibri" w:eastAsia="Times New Roman" w:hAnsi="Calibri" w:cs="Calibri"/>
          <w:iCs/>
          <w:szCs w:val="24"/>
          <w:lang w:val="en-GB"/>
        </w:rPr>
      </w:pPr>
      <w:r w:rsidRPr="003611CF">
        <w:rPr>
          <w:rFonts w:ascii="Calibri" w:eastAsia="Times New Roman" w:hAnsi="Calibri" w:cs="Calibri"/>
          <w:iCs/>
          <w:szCs w:val="24"/>
          <w:lang w:val="en-GB"/>
        </w:rPr>
        <w:tab/>
        <w:t>Operativni zadaci, definisani planom rada Odsjeka u dijelu poreskog računovodstva, obavljali su se svakodnevno i kontinuirano, tokom izvještajnog perioda i to:</w:t>
      </w:r>
    </w:p>
    <w:p w:rsidR="003611CF" w:rsidRPr="003611CF" w:rsidRDefault="003611CF" w:rsidP="004D6CB4">
      <w:pPr>
        <w:numPr>
          <w:ilvl w:val="0"/>
          <w:numId w:val="133"/>
        </w:numPr>
        <w:tabs>
          <w:tab w:val="num" w:pos="0"/>
        </w:tabs>
        <w:spacing w:before="0" w:after="0" w:line="240" w:lineRule="auto"/>
        <w:ind w:left="0" w:firstLine="180"/>
        <w:jc w:val="left"/>
        <w:rPr>
          <w:rFonts w:ascii="Calibri" w:eastAsia="Times New Roman" w:hAnsi="Calibri" w:cs="Calibri"/>
          <w:szCs w:val="24"/>
          <w:lang w:val="en-GB"/>
        </w:rPr>
      </w:pPr>
      <w:r w:rsidRPr="003611CF">
        <w:rPr>
          <w:rFonts w:ascii="Calibri" w:eastAsia="Times New Roman" w:hAnsi="Calibri" w:cs="Calibri"/>
          <w:szCs w:val="24"/>
          <w:lang w:val="en-GB"/>
        </w:rPr>
        <w:t xml:space="preserve">Evidentiranje zaduženja na računima obveznika po osnovu koncesionih naknada na osnovu podataka dobijenih od Odsjeka za naplatu. U izvještajnom periodu, ukupno je odrađeno 3.622 stavke za koncesije </w:t>
      </w:r>
    </w:p>
    <w:p w:rsidR="003611CF" w:rsidRPr="003611CF" w:rsidRDefault="003611CF" w:rsidP="004D6CB4">
      <w:pPr>
        <w:numPr>
          <w:ilvl w:val="0"/>
          <w:numId w:val="133"/>
        </w:numPr>
        <w:tabs>
          <w:tab w:val="num" w:pos="0"/>
        </w:tabs>
        <w:spacing w:before="0" w:after="0" w:line="240" w:lineRule="auto"/>
        <w:ind w:left="0" w:firstLine="180"/>
        <w:jc w:val="left"/>
        <w:rPr>
          <w:rFonts w:ascii="Calibri" w:eastAsia="Calibri" w:hAnsi="Calibri" w:cs="Calibri"/>
          <w:szCs w:val="24"/>
          <w:lang w:val="hr-HR"/>
        </w:rPr>
      </w:pPr>
      <w:r w:rsidRPr="003611CF">
        <w:rPr>
          <w:rFonts w:ascii="Calibri" w:eastAsia="Calibri" w:hAnsi="Calibri" w:cs="Calibri"/>
          <w:szCs w:val="24"/>
          <w:lang w:val="hr-HR"/>
        </w:rPr>
        <w:t xml:space="preserve">Rasknjižavanje uplata evidentiranih na pogrešan PIB ukupno urađeno 515 naloga </w:t>
      </w:r>
    </w:p>
    <w:p w:rsidR="003611CF" w:rsidRPr="003611CF" w:rsidRDefault="003611CF" w:rsidP="004D6CB4">
      <w:pPr>
        <w:numPr>
          <w:ilvl w:val="0"/>
          <w:numId w:val="133"/>
        </w:numPr>
        <w:tabs>
          <w:tab w:val="num" w:pos="0"/>
        </w:tabs>
        <w:spacing w:before="0" w:after="0" w:line="240" w:lineRule="auto"/>
        <w:ind w:left="0" w:firstLine="180"/>
        <w:jc w:val="left"/>
        <w:rPr>
          <w:rFonts w:ascii="Calibri" w:eastAsia="Calibri" w:hAnsi="Calibri" w:cs="Calibri"/>
          <w:szCs w:val="24"/>
          <w:lang w:val="hr-HR"/>
        </w:rPr>
      </w:pPr>
      <w:r w:rsidRPr="003611CF">
        <w:rPr>
          <w:rFonts w:ascii="Calibri" w:eastAsia="Calibri" w:hAnsi="Calibri" w:cs="Calibri"/>
          <w:szCs w:val="24"/>
          <w:lang w:val="hr-HR"/>
        </w:rPr>
        <w:t xml:space="preserve">Jedna uplata za više PIB-ova 43 naloga </w:t>
      </w:r>
    </w:p>
    <w:p w:rsidR="003611CF" w:rsidRPr="003611CF" w:rsidRDefault="003611CF" w:rsidP="004D6CB4">
      <w:pPr>
        <w:numPr>
          <w:ilvl w:val="0"/>
          <w:numId w:val="133"/>
        </w:numPr>
        <w:tabs>
          <w:tab w:val="num" w:pos="0"/>
        </w:tabs>
        <w:spacing w:before="0" w:after="0" w:line="240" w:lineRule="auto"/>
        <w:ind w:left="0" w:firstLine="180"/>
        <w:jc w:val="left"/>
        <w:rPr>
          <w:rFonts w:ascii="Calibri" w:eastAsia="Calibri" w:hAnsi="Calibri" w:cs="Calibri"/>
          <w:szCs w:val="24"/>
          <w:lang w:val="hr-HR"/>
        </w:rPr>
      </w:pPr>
      <w:r w:rsidRPr="003611CF">
        <w:rPr>
          <w:rFonts w:ascii="Calibri" w:eastAsia="Calibri" w:hAnsi="Calibri" w:cs="Calibri"/>
          <w:szCs w:val="24"/>
          <w:lang w:val="hr-HR"/>
        </w:rPr>
        <w:lastRenderedPageBreak/>
        <w:t xml:space="preserve">Preusmjeravanje poreskog kredita sa jedne na drugu vrstu javnih prihoda u okviru istog poreskog broja (isti poreski obveznik) po zahtjevu Odsjeka za naplatu. U ovom periodu ukupno je odrađeno 1.406 stavke </w:t>
      </w:r>
    </w:p>
    <w:p w:rsidR="003611CF" w:rsidRPr="003611CF" w:rsidRDefault="003611CF" w:rsidP="004D6CB4">
      <w:pPr>
        <w:numPr>
          <w:ilvl w:val="0"/>
          <w:numId w:val="133"/>
        </w:numPr>
        <w:tabs>
          <w:tab w:val="num" w:pos="0"/>
        </w:tabs>
        <w:spacing w:before="0" w:after="0" w:line="240" w:lineRule="auto"/>
        <w:ind w:left="0" w:firstLine="180"/>
        <w:jc w:val="left"/>
        <w:rPr>
          <w:rFonts w:ascii="Calibri" w:eastAsia="Calibri" w:hAnsi="Calibri" w:cs="Calibri"/>
          <w:szCs w:val="24"/>
          <w:lang w:val="hr-HR"/>
        </w:rPr>
      </w:pPr>
      <w:r w:rsidRPr="003611CF">
        <w:rPr>
          <w:rFonts w:ascii="Calibri" w:eastAsia="Calibri" w:hAnsi="Calibri" w:cs="Calibri"/>
          <w:szCs w:val="24"/>
          <w:lang w:val="hr-HR"/>
        </w:rPr>
        <w:t>Praćenje specifikacija SP3 - Preusmjer u okvir istog PIB-a – poslije svakog izvršenog preusmjera, evidentira se iznos izvršenog preusmjera po vrsti javnih prihoda</w:t>
      </w:r>
    </w:p>
    <w:p w:rsidR="003611CF" w:rsidRPr="003611CF" w:rsidRDefault="003611CF" w:rsidP="004D6CB4">
      <w:pPr>
        <w:numPr>
          <w:ilvl w:val="0"/>
          <w:numId w:val="133"/>
        </w:numPr>
        <w:tabs>
          <w:tab w:val="num" w:pos="0"/>
        </w:tabs>
        <w:spacing w:before="0" w:after="0" w:line="240" w:lineRule="auto"/>
        <w:ind w:left="0" w:firstLine="180"/>
        <w:jc w:val="left"/>
        <w:rPr>
          <w:rFonts w:ascii="Calibri" w:eastAsia="Calibri" w:hAnsi="Calibri" w:cs="Calibri"/>
          <w:b/>
          <w:szCs w:val="24"/>
          <w:lang w:val="hr-HR"/>
        </w:rPr>
      </w:pPr>
      <w:r w:rsidRPr="003611CF">
        <w:rPr>
          <w:rFonts w:ascii="Calibri" w:eastAsia="Calibri" w:hAnsi="Calibri" w:cs="Calibri"/>
          <w:szCs w:val="24"/>
          <w:lang w:val="hr-HR"/>
        </w:rPr>
        <w:t xml:space="preserve">Evidencijom uplata na osnovu podataka dostavljenih od strane </w:t>
      </w:r>
      <w:r w:rsidRPr="003611CF">
        <w:rPr>
          <w:rFonts w:ascii="Calibri" w:eastAsia="Calibri" w:hAnsi="Calibri" w:cs="Calibri"/>
          <w:bCs/>
          <w:szCs w:val="24"/>
          <w:shd w:val="clear" w:color="auto" w:fill="FFFFFF"/>
          <w:lang w:val="hr-HR"/>
        </w:rPr>
        <w:t>Centralno Klirinško Depozitarnog Društva</w:t>
      </w:r>
      <w:r w:rsidRPr="003611CF">
        <w:rPr>
          <w:rFonts w:ascii="Calibri" w:eastAsia="Calibri" w:hAnsi="Calibri" w:cs="Calibri"/>
          <w:b/>
          <w:szCs w:val="24"/>
          <w:lang w:val="hr-HR"/>
        </w:rPr>
        <w:t xml:space="preserve"> </w:t>
      </w:r>
      <w:r w:rsidRPr="003611CF">
        <w:rPr>
          <w:rFonts w:ascii="Calibri" w:eastAsia="Calibri" w:hAnsi="Calibri" w:cs="Calibri"/>
          <w:szCs w:val="24"/>
          <w:lang w:val="hr-HR"/>
        </w:rPr>
        <w:t>evidentirano je 31 nalog</w:t>
      </w:r>
    </w:p>
    <w:p w:rsidR="003611CF" w:rsidRPr="003611CF" w:rsidRDefault="003611CF" w:rsidP="004D6CB4">
      <w:pPr>
        <w:numPr>
          <w:ilvl w:val="0"/>
          <w:numId w:val="133"/>
        </w:numPr>
        <w:tabs>
          <w:tab w:val="num" w:pos="0"/>
        </w:tabs>
        <w:spacing w:before="0" w:after="0" w:line="240" w:lineRule="auto"/>
        <w:ind w:left="0" w:firstLine="180"/>
        <w:jc w:val="left"/>
        <w:rPr>
          <w:rFonts w:ascii="Calibri" w:eastAsia="Calibri" w:hAnsi="Calibri" w:cs="Calibri"/>
          <w:b/>
          <w:szCs w:val="24"/>
          <w:lang w:val="hr-HR"/>
        </w:rPr>
      </w:pPr>
      <w:r w:rsidRPr="003611CF">
        <w:rPr>
          <w:rFonts w:ascii="Calibri" w:eastAsia="Calibri" w:hAnsi="Calibri" w:cs="Calibri"/>
          <w:szCs w:val="24"/>
          <w:lang w:val="hr-HR"/>
        </w:rPr>
        <w:t>Evidencija povraćaja – preusmjera sredstava na osnovu podataka dostavljenih od strane Ministarstva finansija - Državnog trezora</w:t>
      </w:r>
      <w:r w:rsidRPr="003611CF">
        <w:rPr>
          <w:rFonts w:ascii="Calibri" w:eastAsia="Calibri" w:hAnsi="Calibri" w:cs="Calibri"/>
          <w:b/>
          <w:szCs w:val="24"/>
          <w:lang w:val="hr-HR"/>
        </w:rPr>
        <w:t xml:space="preserve"> </w:t>
      </w:r>
      <w:r w:rsidRPr="003611CF">
        <w:rPr>
          <w:rFonts w:ascii="Calibri" w:eastAsia="Calibri" w:hAnsi="Calibri" w:cs="Calibri"/>
          <w:szCs w:val="24"/>
          <w:lang w:val="hr-HR"/>
        </w:rPr>
        <w:t>evidentirano 2.118 nalog -stari sistem i</w:t>
      </w:r>
      <w:r w:rsidRPr="003611CF">
        <w:rPr>
          <w:rFonts w:ascii="Calibri" w:eastAsia="Calibri" w:hAnsi="Calibri" w:cs="Calibri"/>
          <w:b/>
          <w:szCs w:val="24"/>
          <w:lang w:val="hr-HR"/>
        </w:rPr>
        <w:t xml:space="preserve"> </w:t>
      </w:r>
      <w:r w:rsidRPr="003611CF">
        <w:rPr>
          <w:rFonts w:ascii="Calibri" w:eastAsia="Calibri" w:hAnsi="Calibri" w:cs="Calibri"/>
          <w:szCs w:val="24"/>
          <w:lang w:val="hr-HR"/>
        </w:rPr>
        <w:t>evidentirano 2.353 naloga -novi sistem</w:t>
      </w:r>
    </w:p>
    <w:p w:rsidR="003611CF" w:rsidRPr="003611CF" w:rsidRDefault="003611CF" w:rsidP="004D6CB4">
      <w:pPr>
        <w:numPr>
          <w:ilvl w:val="0"/>
          <w:numId w:val="133"/>
        </w:numPr>
        <w:tabs>
          <w:tab w:val="num" w:pos="0"/>
        </w:tabs>
        <w:spacing w:before="0" w:after="0" w:line="240" w:lineRule="auto"/>
        <w:ind w:left="0" w:firstLine="180"/>
        <w:jc w:val="left"/>
        <w:rPr>
          <w:rFonts w:ascii="Calibri" w:eastAsia="Calibri" w:hAnsi="Calibri" w:cs="Calibri"/>
          <w:szCs w:val="24"/>
          <w:lang w:val="hr-HR"/>
        </w:rPr>
      </w:pPr>
      <w:r w:rsidRPr="003611CF">
        <w:rPr>
          <w:rFonts w:ascii="Calibri" w:eastAsia="Calibri" w:hAnsi="Calibri" w:cs="Calibri"/>
          <w:szCs w:val="24"/>
          <w:lang w:val="hr-HR"/>
        </w:rPr>
        <w:t>Storno kamate evidentirano 1.081 stavke</w:t>
      </w:r>
    </w:p>
    <w:p w:rsidR="003611CF" w:rsidRPr="003611CF" w:rsidRDefault="003611CF" w:rsidP="004D6CB4">
      <w:pPr>
        <w:numPr>
          <w:ilvl w:val="0"/>
          <w:numId w:val="133"/>
        </w:numPr>
        <w:tabs>
          <w:tab w:val="num" w:pos="0"/>
        </w:tabs>
        <w:spacing w:before="0" w:after="0" w:line="240" w:lineRule="auto"/>
        <w:ind w:left="0" w:firstLine="180"/>
        <w:jc w:val="left"/>
        <w:rPr>
          <w:rFonts w:ascii="Calibri" w:eastAsia="Calibri" w:hAnsi="Calibri" w:cs="Calibri"/>
          <w:szCs w:val="24"/>
          <w:lang w:val="hr-HR"/>
        </w:rPr>
      </w:pPr>
      <w:r w:rsidRPr="003611CF">
        <w:rPr>
          <w:rFonts w:ascii="Calibri" w:eastAsia="Calibri" w:hAnsi="Calibri" w:cs="Calibri"/>
          <w:szCs w:val="24"/>
          <w:lang w:val="hr-HR"/>
        </w:rPr>
        <w:t>Zaduženje po rješenju evidentirano 3.880 naloga -stari sistem, evidentirano 102 naloga -novi sistem</w:t>
      </w:r>
    </w:p>
    <w:p w:rsidR="003611CF" w:rsidRPr="003611CF" w:rsidRDefault="003611CF" w:rsidP="004D6CB4">
      <w:pPr>
        <w:numPr>
          <w:ilvl w:val="0"/>
          <w:numId w:val="133"/>
        </w:numPr>
        <w:tabs>
          <w:tab w:val="num" w:pos="0"/>
        </w:tabs>
        <w:spacing w:before="0" w:after="0" w:line="240" w:lineRule="auto"/>
        <w:ind w:left="0" w:firstLine="180"/>
        <w:jc w:val="left"/>
        <w:rPr>
          <w:rFonts w:ascii="Calibri" w:eastAsia="Calibri" w:hAnsi="Calibri" w:cs="Calibri"/>
          <w:szCs w:val="24"/>
          <w:lang w:val="hr-HR"/>
        </w:rPr>
      </w:pPr>
      <w:r w:rsidRPr="003611CF">
        <w:rPr>
          <w:rFonts w:ascii="Calibri" w:eastAsia="Calibri" w:hAnsi="Calibri" w:cs="Calibri"/>
          <w:szCs w:val="24"/>
          <w:lang w:val="hr-HR"/>
        </w:rPr>
        <w:t xml:space="preserve">Otpis duga evidentirano 400 naloga </w:t>
      </w:r>
    </w:p>
    <w:p w:rsidR="003611CF" w:rsidRPr="003611CF" w:rsidRDefault="003611CF" w:rsidP="004D6CB4">
      <w:pPr>
        <w:numPr>
          <w:ilvl w:val="0"/>
          <w:numId w:val="133"/>
        </w:numPr>
        <w:tabs>
          <w:tab w:val="num" w:pos="0"/>
        </w:tabs>
        <w:spacing w:before="0" w:after="0" w:line="240" w:lineRule="auto"/>
        <w:ind w:left="0" w:firstLine="180"/>
        <w:jc w:val="left"/>
        <w:rPr>
          <w:rFonts w:ascii="Calibri" w:eastAsia="Calibri" w:hAnsi="Calibri" w:cs="Calibri"/>
          <w:szCs w:val="24"/>
          <w:lang w:val="hr-HR"/>
        </w:rPr>
      </w:pPr>
      <w:r w:rsidRPr="003611CF">
        <w:rPr>
          <w:rFonts w:ascii="Calibri" w:eastAsia="Calibri" w:hAnsi="Calibri" w:cs="Calibri"/>
          <w:szCs w:val="24"/>
          <w:lang w:val="hr-HR"/>
        </w:rPr>
        <w:t xml:space="preserve">Kompenzacije evidentirano 7 kompenzacija – uplate sa 7 stavki Državnog trezora za organe državne uprave, koje su izvršeno direktno na Fond PIO </w:t>
      </w:r>
    </w:p>
    <w:p w:rsidR="003611CF" w:rsidRPr="003611CF" w:rsidRDefault="003611CF" w:rsidP="004D6CB4">
      <w:pPr>
        <w:numPr>
          <w:ilvl w:val="0"/>
          <w:numId w:val="133"/>
        </w:numPr>
        <w:tabs>
          <w:tab w:val="num" w:pos="0"/>
        </w:tabs>
        <w:spacing w:before="0" w:after="0" w:line="240" w:lineRule="auto"/>
        <w:ind w:left="0" w:firstLine="180"/>
        <w:jc w:val="left"/>
        <w:rPr>
          <w:rFonts w:ascii="Calibri" w:eastAsia="Calibri" w:hAnsi="Calibri" w:cs="Calibri"/>
          <w:szCs w:val="24"/>
          <w:lang w:val="hr-HR"/>
        </w:rPr>
      </w:pPr>
      <w:r w:rsidRPr="003611CF">
        <w:rPr>
          <w:rFonts w:ascii="Calibri" w:eastAsia="Calibri" w:hAnsi="Calibri" w:cs="Calibri"/>
          <w:szCs w:val="24"/>
          <w:lang w:val="hr-HR"/>
        </w:rPr>
        <w:t>Rasknjižavanje depozita u novom sistemu evidentirana 367 naloga</w:t>
      </w:r>
    </w:p>
    <w:p w:rsidR="003611CF" w:rsidRPr="003611CF" w:rsidRDefault="003611CF" w:rsidP="004D6CB4">
      <w:pPr>
        <w:numPr>
          <w:ilvl w:val="0"/>
          <w:numId w:val="133"/>
        </w:numPr>
        <w:tabs>
          <w:tab w:val="num" w:pos="0"/>
        </w:tabs>
        <w:spacing w:before="0" w:after="0" w:line="240" w:lineRule="auto"/>
        <w:ind w:left="0" w:firstLine="180"/>
        <w:jc w:val="left"/>
        <w:rPr>
          <w:rFonts w:ascii="Calibri" w:eastAsia="Times New Roman" w:hAnsi="Calibri" w:cs="Calibri"/>
          <w:szCs w:val="24"/>
          <w:lang w:val="en-GB"/>
        </w:rPr>
      </w:pPr>
      <w:r w:rsidRPr="003611CF">
        <w:rPr>
          <w:rFonts w:ascii="Calibri" w:eastAsia="Times New Roman" w:hAnsi="Calibri" w:cs="Calibri"/>
          <w:szCs w:val="24"/>
          <w:lang w:val="en-GB"/>
        </w:rPr>
        <w:t>Rasknjižavanje depozita u starom sistemu</w:t>
      </w:r>
    </w:p>
    <w:p w:rsidR="003611CF" w:rsidRPr="003611CF" w:rsidRDefault="003611CF" w:rsidP="004D6CB4">
      <w:pPr>
        <w:numPr>
          <w:ilvl w:val="0"/>
          <w:numId w:val="133"/>
        </w:numPr>
        <w:tabs>
          <w:tab w:val="num" w:pos="0"/>
        </w:tabs>
        <w:spacing w:before="0" w:after="0" w:line="240" w:lineRule="auto"/>
        <w:ind w:left="0" w:firstLine="180"/>
        <w:jc w:val="left"/>
        <w:rPr>
          <w:rFonts w:ascii="Calibri" w:eastAsia="Times New Roman" w:hAnsi="Calibri" w:cs="Calibri"/>
          <w:szCs w:val="24"/>
          <w:lang w:val="en-GB"/>
        </w:rPr>
      </w:pPr>
      <w:r w:rsidRPr="003611CF">
        <w:rPr>
          <w:rFonts w:ascii="Calibri" w:eastAsia="Times New Roman" w:hAnsi="Calibri" w:cs="Calibri"/>
          <w:szCs w:val="24"/>
          <w:lang w:val="en-GB"/>
        </w:rPr>
        <w:t>Stalna komunikacija sa Sektorom za informacionu tehnologiju u oblasti poreskog sistema u vezi sa programskim rješenjima koja su u funkciji</w:t>
      </w:r>
    </w:p>
    <w:p w:rsidR="003611CF" w:rsidRPr="003611CF" w:rsidRDefault="003611CF" w:rsidP="004D6CB4">
      <w:pPr>
        <w:numPr>
          <w:ilvl w:val="0"/>
          <w:numId w:val="133"/>
        </w:numPr>
        <w:tabs>
          <w:tab w:val="num" w:pos="0"/>
        </w:tabs>
        <w:spacing w:before="0" w:after="0" w:line="240" w:lineRule="auto"/>
        <w:ind w:left="0" w:firstLine="180"/>
        <w:jc w:val="left"/>
        <w:rPr>
          <w:rFonts w:ascii="Calibri" w:eastAsia="Times New Roman" w:hAnsi="Calibri" w:cs="Calibri"/>
          <w:szCs w:val="24"/>
          <w:lang w:val="en-GB"/>
        </w:rPr>
      </w:pPr>
      <w:r w:rsidRPr="003611CF">
        <w:rPr>
          <w:rFonts w:ascii="Calibri" w:eastAsia="Times New Roman" w:hAnsi="Calibri" w:cs="Calibri"/>
          <w:szCs w:val="24"/>
          <w:lang w:val="en-GB"/>
        </w:rPr>
        <w:t xml:space="preserve">Komunikacija sa Područnim jedinicama </w:t>
      </w:r>
    </w:p>
    <w:p w:rsidR="003611CF" w:rsidRPr="003611CF" w:rsidRDefault="003611CF" w:rsidP="004D6CB4">
      <w:pPr>
        <w:numPr>
          <w:ilvl w:val="0"/>
          <w:numId w:val="133"/>
        </w:numPr>
        <w:tabs>
          <w:tab w:val="num" w:pos="0"/>
        </w:tabs>
        <w:spacing w:before="0" w:after="0" w:line="240" w:lineRule="auto"/>
        <w:ind w:left="0" w:firstLine="180"/>
        <w:jc w:val="left"/>
        <w:rPr>
          <w:rFonts w:ascii="Calibri" w:eastAsia="Times New Roman" w:hAnsi="Calibri" w:cs="Calibri"/>
          <w:szCs w:val="24"/>
          <w:lang w:val="en-GB"/>
        </w:rPr>
      </w:pPr>
      <w:r w:rsidRPr="003611CF">
        <w:rPr>
          <w:rFonts w:ascii="Calibri" w:eastAsia="Times New Roman" w:hAnsi="Calibri" w:cs="Calibri"/>
          <w:szCs w:val="24"/>
          <w:lang w:val="en-GB"/>
        </w:rPr>
        <w:t>Dostavljanje uplata J.P.''Morsko dobro ''</w:t>
      </w:r>
    </w:p>
    <w:p w:rsidR="003611CF" w:rsidRPr="003611CF" w:rsidRDefault="003611CF" w:rsidP="004D6CB4">
      <w:pPr>
        <w:numPr>
          <w:ilvl w:val="0"/>
          <w:numId w:val="133"/>
        </w:numPr>
        <w:tabs>
          <w:tab w:val="num" w:pos="0"/>
        </w:tabs>
        <w:spacing w:before="0" w:after="0" w:line="240" w:lineRule="auto"/>
        <w:ind w:left="0" w:firstLine="180"/>
        <w:jc w:val="left"/>
        <w:rPr>
          <w:rFonts w:ascii="Calibri" w:eastAsia="Times New Roman" w:hAnsi="Calibri" w:cs="Calibri"/>
          <w:szCs w:val="24"/>
          <w:lang w:val="en-GB"/>
        </w:rPr>
      </w:pPr>
      <w:r w:rsidRPr="003611CF">
        <w:rPr>
          <w:rFonts w:ascii="Calibri" w:eastAsia="Times New Roman" w:hAnsi="Calibri" w:cs="Calibri"/>
          <w:szCs w:val="24"/>
          <w:lang w:val="en-GB"/>
        </w:rPr>
        <w:t>Na osnovu podataka dostavljenih od Ministarstva prosvjete, vršene su provjere uplata po osnovu ličnih primanja za sve osnovne i srednje škole i za predškolske ustanove.Uplate, koje su se nalazile na pogrešnom PIB-u su rasknjižavane na odgovarajući PIB. Takođe je vršena provjera podnošenja IOPPD prijava od strane škola i predškolskih ustanova</w:t>
      </w:r>
    </w:p>
    <w:p w:rsidR="003611CF" w:rsidRPr="003611CF" w:rsidRDefault="003611CF" w:rsidP="004D6CB4">
      <w:pPr>
        <w:numPr>
          <w:ilvl w:val="0"/>
          <w:numId w:val="133"/>
        </w:numPr>
        <w:tabs>
          <w:tab w:val="num" w:pos="0"/>
        </w:tabs>
        <w:spacing w:before="0" w:after="0" w:line="240" w:lineRule="auto"/>
        <w:ind w:left="0" w:firstLine="180"/>
        <w:jc w:val="left"/>
        <w:rPr>
          <w:rFonts w:ascii="Calibri" w:eastAsia="Times New Roman" w:hAnsi="Calibri" w:cs="Calibri"/>
          <w:szCs w:val="24"/>
          <w:lang w:val="en-GB"/>
        </w:rPr>
      </w:pPr>
      <w:r w:rsidRPr="003611CF">
        <w:rPr>
          <w:rFonts w:ascii="Calibri" w:eastAsia="Times New Roman" w:hAnsi="Calibri" w:cs="Calibri"/>
          <w:szCs w:val="24"/>
          <w:lang w:val="en-GB"/>
        </w:rPr>
        <w:t>Na osnovu svakodnevnih poziva poreskih obveznika, istim se pruža pomoć za IOPPD prijave (čitanje analitičkih kartica, stanje duga na kartici, pomoć pri ulaganju prijave kao i pružanje informacija za bilo koju vrstu prijave).</w:t>
      </w:r>
    </w:p>
    <w:p w:rsidR="003611CF" w:rsidRPr="003611CF" w:rsidRDefault="003611CF" w:rsidP="004D6CB4">
      <w:pPr>
        <w:numPr>
          <w:ilvl w:val="0"/>
          <w:numId w:val="133"/>
        </w:numPr>
        <w:tabs>
          <w:tab w:val="num" w:pos="0"/>
        </w:tabs>
        <w:spacing w:before="0" w:after="0" w:line="240" w:lineRule="auto"/>
        <w:ind w:left="0" w:firstLine="180"/>
        <w:jc w:val="left"/>
        <w:rPr>
          <w:rFonts w:ascii="Calibri" w:eastAsia="Times New Roman" w:hAnsi="Calibri" w:cs="Calibri"/>
          <w:szCs w:val="24"/>
          <w:lang w:val="en-GB"/>
        </w:rPr>
      </w:pPr>
      <w:r w:rsidRPr="003611CF">
        <w:rPr>
          <w:rFonts w:ascii="Calibri" w:eastAsia="Times New Roman" w:hAnsi="Calibri" w:cs="Calibri"/>
          <w:szCs w:val="24"/>
          <w:lang w:val="en-GB"/>
        </w:rPr>
        <w:t>Ažuriranje analitičkih kartica državnih organa</w:t>
      </w:r>
    </w:p>
    <w:p w:rsidR="003611CF" w:rsidRPr="003611CF" w:rsidRDefault="003611CF" w:rsidP="004D6CB4">
      <w:pPr>
        <w:numPr>
          <w:ilvl w:val="0"/>
          <w:numId w:val="133"/>
        </w:numPr>
        <w:tabs>
          <w:tab w:val="num" w:pos="0"/>
        </w:tabs>
        <w:spacing w:before="0" w:after="0" w:line="240" w:lineRule="auto"/>
        <w:ind w:left="0" w:firstLine="180"/>
        <w:jc w:val="left"/>
        <w:rPr>
          <w:rFonts w:ascii="Calibri" w:eastAsia="Times New Roman" w:hAnsi="Calibri" w:cs="Calibri"/>
          <w:szCs w:val="24"/>
          <w:lang w:val="en-GB"/>
        </w:rPr>
      </w:pPr>
      <w:r w:rsidRPr="003611CF">
        <w:rPr>
          <w:rFonts w:ascii="Calibri" w:eastAsia="Times New Roman" w:hAnsi="Calibri" w:cs="Calibri"/>
          <w:szCs w:val="24"/>
          <w:lang w:val="en-GB"/>
        </w:rPr>
        <w:t>Na osnovu subvencija po programu podrske Vlade Crne Gore, preusmjereno je s Ministarstva poljoprivrede na osiguranike poljoprivrednike 528 naloga.</w:t>
      </w:r>
    </w:p>
    <w:p w:rsidR="003611CF" w:rsidRPr="003611CF" w:rsidRDefault="003611CF" w:rsidP="004D6CB4">
      <w:pPr>
        <w:numPr>
          <w:ilvl w:val="0"/>
          <w:numId w:val="133"/>
        </w:numPr>
        <w:tabs>
          <w:tab w:val="num" w:pos="0"/>
        </w:tabs>
        <w:spacing w:before="0" w:after="0" w:line="240" w:lineRule="auto"/>
        <w:ind w:left="0" w:firstLine="180"/>
        <w:jc w:val="left"/>
        <w:rPr>
          <w:rFonts w:ascii="Calibri" w:eastAsia="Times New Roman" w:hAnsi="Calibri" w:cs="Calibri"/>
          <w:szCs w:val="24"/>
          <w:lang w:val="en-GB"/>
        </w:rPr>
      </w:pPr>
      <w:r w:rsidRPr="003611CF">
        <w:rPr>
          <w:rFonts w:ascii="Calibri" w:eastAsia="Times New Roman" w:hAnsi="Calibri" w:cs="Calibri"/>
          <w:szCs w:val="24"/>
          <w:lang w:val="en-GB"/>
        </w:rPr>
        <w:t>Na osnovu subvencija po programu podrske Vlade Crne Gore ukupan broj obradjenih obveznika po osnovu subvencija je 51.498.</w:t>
      </w:r>
    </w:p>
    <w:p w:rsidR="003611CF" w:rsidRPr="003611CF" w:rsidRDefault="003611CF" w:rsidP="003611CF">
      <w:pPr>
        <w:spacing w:before="0" w:after="0" w:line="240" w:lineRule="auto"/>
        <w:rPr>
          <w:rFonts w:ascii="Calibri" w:eastAsia="Times New Roman" w:hAnsi="Calibri" w:cs="Calibri"/>
          <w:szCs w:val="24"/>
          <w:lang w:val="en-GB"/>
        </w:rPr>
      </w:pPr>
    </w:p>
    <w:p w:rsidR="003611CF" w:rsidRPr="002F47AD" w:rsidRDefault="002F47AD" w:rsidP="002F47AD">
      <w:pPr>
        <w:spacing w:before="0" w:line="240" w:lineRule="auto"/>
        <w:rPr>
          <w:rFonts w:ascii="Calibri" w:eastAsia="Times New Roman" w:hAnsi="Calibri" w:cs="Calibri"/>
          <w:b/>
          <w:bCs/>
          <w:szCs w:val="24"/>
          <w:lang w:val="en-GB" w:eastAsia="hr-HR"/>
        </w:rPr>
      </w:pPr>
      <w:r>
        <w:rPr>
          <w:rFonts w:ascii="Calibri" w:eastAsia="Times New Roman" w:hAnsi="Calibri" w:cs="Calibri"/>
          <w:b/>
          <w:bCs/>
          <w:szCs w:val="24"/>
          <w:lang w:val="en-GB" w:eastAsia="hr-HR"/>
        </w:rPr>
        <w:t xml:space="preserve"> ODSJEK ZA UPRAVLJANJE DUGOM </w:t>
      </w:r>
    </w:p>
    <w:p w:rsidR="003611CF" w:rsidRPr="003611CF" w:rsidRDefault="003611CF" w:rsidP="004D6CB4">
      <w:pPr>
        <w:numPr>
          <w:ilvl w:val="0"/>
          <w:numId w:val="134"/>
        </w:numPr>
        <w:tabs>
          <w:tab w:val="num" w:pos="0"/>
          <w:tab w:val="left" w:pos="709"/>
        </w:tabs>
        <w:spacing w:before="0" w:after="0" w:line="240" w:lineRule="auto"/>
        <w:ind w:left="0" w:firstLine="180"/>
        <w:jc w:val="left"/>
        <w:rPr>
          <w:rFonts w:ascii="Calibri" w:eastAsia="Times New Roman" w:hAnsi="Calibri" w:cs="Calibri"/>
          <w:b/>
          <w:szCs w:val="24"/>
          <w:lang w:val="hr-HR" w:eastAsia="hr-HR"/>
        </w:rPr>
      </w:pPr>
      <w:r w:rsidRPr="003611CF">
        <w:rPr>
          <w:rFonts w:ascii="Calibri" w:eastAsia="Times New Roman" w:hAnsi="Calibri" w:cs="Calibri"/>
          <w:szCs w:val="24"/>
          <w:lang w:val="hr-HR" w:eastAsia="hr-HR"/>
        </w:rPr>
        <w:t xml:space="preserve">Analiza aktivnih poreskih obveznika van reprograma i evidentiranje povećanja poreskog duga kod istih, utvrđivanje razloga povećanja duga po poreskim oblicima u cilju preduzimanja mjera prinudne naplate i donošenja odluke o daljem postupanju </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b/>
          <w:szCs w:val="24"/>
          <w:lang w:val="en-GB"/>
        </w:rPr>
        <w:t xml:space="preserve">Efekti: </w:t>
      </w:r>
      <w:r w:rsidRPr="003611CF">
        <w:rPr>
          <w:rFonts w:ascii="Calibri" w:eastAsia="Times New Roman" w:hAnsi="Calibri" w:cs="Calibri"/>
          <w:szCs w:val="24"/>
          <w:lang w:val="en-GB"/>
        </w:rPr>
        <w:t xml:space="preserve">U četvrtom kvartalu 2020.godine izvršena je uporedna analiza stanja duga aktivnih poreskih obveznika van reprograma na dan 09.11.2020.godine u odnosu na decembar 2019. godine, sa raščlanjenim iznosima poreskog duga i to po osnovu poreza na dodatu vrijednost, poreza na dobit pravnih lica, poreza I doprinosa iz I na lična primanja, koncesionih naknada i poreza na promet nepokretnosti, a na osnovu prethodno dobijenog izvještaja od strane kolega iz IT sektora. Analizirani su svi aktivni poreski obveznici koji su na dan 09.11.2020.godine imali poreski dug veći od 50.000,00 eur sa uključenom kamatom. Izvještaj o stanju duga aktivnih poreskih obveznika </w:t>
      </w:r>
      <w:r w:rsidRPr="003611CF">
        <w:rPr>
          <w:rFonts w:ascii="Calibri" w:eastAsia="Times New Roman" w:hAnsi="Calibri" w:cs="Calibri"/>
          <w:szCs w:val="24"/>
        </w:rPr>
        <w:t xml:space="preserve">predstavlja presjek poreskih dužnika dobijen iz informacinog sistema. </w:t>
      </w:r>
      <w:r w:rsidRPr="003611CF">
        <w:rPr>
          <w:rFonts w:ascii="Calibri" w:eastAsia="Times New Roman" w:hAnsi="Calibri" w:cs="Calibri"/>
          <w:szCs w:val="24"/>
          <w:lang w:val="en-GB"/>
        </w:rPr>
        <w:t>Broj analiziranih poreskih obveznika je 206 sa ukupnim dugom koji uključuje kamatu  69,4 mil.</w:t>
      </w:r>
      <w:r w:rsidRPr="003611CF">
        <w:rPr>
          <w:rFonts w:ascii="Calibri" w:eastAsia="Times New Roman" w:hAnsi="Calibri" w:cs="Calibri"/>
          <w:szCs w:val="24"/>
        </w:rPr>
        <w:t xml:space="preserve">Sa liste su isključene sledeće kategorije poreskih obveznika: državni organi, stečaj, e-komerc, VPO, obveznici koji su u reprogramu poreskog </w:t>
      </w:r>
      <w:r w:rsidRPr="003611CF">
        <w:rPr>
          <w:rFonts w:ascii="Calibri" w:eastAsia="Times New Roman" w:hAnsi="Calibri" w:cs="Calibri"/>
          <w:szCs w:val="24"/>
        </w:rPr>
        <w:lastRenderedPageBreak/>
        <w:t>potraživanja, obveznici koji svoje obaveze izmiruju u skladu sa Uredbom o uslovima za odlaganje naplate poreskih i neporeskih potraživanjana iz 2018. godine kao i obveznici čiji je kompletan dug odložen shodno mjerama Vlade.</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 xml:space="preserve">Za pomenute obveznike vršena je analiza preduzetih mjera naplate. Izvršena je provjera posjedovanja imovine i uspostavljene hipoteke od strane Poreske uprave, sa sajta Uprave za nekretnine. Organizovan je sastanak putem video calla sa svim Područnim jedinicama u cilju </w:t>
      </w:r>
      <w:r w:rsidRPr="003611CF">
        <w:rPr>
          <w:rFonts w:ascii="Calibri" w:eastAsia="Times New Roman" w:hAnsi="Calibri" w:cs="Calibri"/>
          <w:szCs w:val="24"/>
        </w:rPr>
        <w:t>monitoringa ažurnosti preduzetih mjera naplate u skladu sa internim procedurama naplate, definisanja  konkretnih daljih mjera i postupaka koje treba preduzeti prema poreskim dužnicima u narednom periodu, na putu postizanja efikasnosti naplate i smanjenja poreskog duga. Uočeni nedostaci u postupanju prema poreskim obveznicima koji su utvrđeni na sastanku sugerisani su Područnim jedinicama i dat je rok do kraja januara naredne godine da se sprovedu dogovorene aktivnosti.</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Analizom poreskih obveznika predloženo je 26 obveznika sa iznosom duga od 3,4 mil. za iniciranje stečajnog postupka, 18 poreskih obveznika za prodaju nepokretne imovine sa iznosom duga 5,8 mil. kao i 4 poreska obveznika sa iznosom duga od 1,2 mil za prodaju pokretne imovine.</w:t>
      </w:r>
    </w:p>
    <w:p w:rsidR="003611CF" w:rsidRPr="003611CF" w:rsidRDefault="003611CF" w:rsidP="004D6CB4">
      <w:pPr>
        <w:numPr>
          <w:ilvl w:val="0"/>
          <w:numId w:val="134"/>
        </w:numPr>
        <w:tabs>
          <w:tab w:val="num" w:pos="0"/>
          <w:tab w:val="left" w:pos="709"/>
        </w:tabs>
        <w:spacing w:before="0" w:after="0" w:line="240" w:lineRule="auto"/>
        <w:ind w:left="0" w:firstLine="180"/>
        <w:jc w:val="left"/>
        <w:rPr>
          <w:rFonts w:ascii="Calibri" w:eastAsia="Times New Roman" w:hAnsi="Calibri" w:cs="Calibri"/>
          <w:szCs w:val="24"/>
          <w:lang w:eastAsia="hr-HR"/>
        </w:rPr>
      </w:pPr>
      <w:r w:rsidRPr="003611CF">
        <w:rPr>
          <w:rFonts w:ascii="Calibri" w:eastAsia="Times New Roman" w:hAnsi="Calibri" w:cs="Calibri"/>
          <w:szCs w:val="24"/>
          <w:lang w:eastAsia="hr-HR"/>
        </w:rPr>
        <w:t>Analiza stanja duga neaktivnih poreskih obveznika van reprograma sa dugom preko 20.000€ u cilju praćenja naplate poreskih obveznika i davanja smjernica za dalje postupanje prema istim</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b/>
          <w:szCs w:val="24"/>
          <w:lang w:val="en-GB"/>
        </w:rPr>
        <w:t xml:space="preserve">Efekti: </w:t>
      </w:r>
      <w:r w:rsidRPr="003611CF">
        <w:rPr>
          <w:rFonts w:ascii="Calibri" w:eastAsia="Times New Roman" w:hAnsi="Calibri" w:cs="Calibri"/>
          <w:szCs w:val="24"/>
          <w:lang w:val="en-GB"/>
        </w:rPr>
        <w:t>Kontinuirano praćenje neaktivnih poreskih obveznika sa stanjem duga većim od 20.000€. Poslednji presjek stanja duga odrađen je 30.09.2020. godine i broji 243 poreska obveznika sa iznosom duga od 17 mil.</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Za sve poreske obveznike vršena je provjera podataka o posjedovanju imovine i uspostavljenom teretu od strane Poreske uprave na osnovu podataka sa sajta Uprave za nekretnine, o preduzetim i unešenim mjerama naplate u aplikaciju EMN kao i podaci o statusu društva u Centralnom registru privrednih subjekata. Dug je rasčlanjen po poreskim oblicima i za svakog poreskog obveznika utvrđen je broj mjeseci od kada je neaktivan.</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rPr>
        <w:t>Sa liste neaktivnih obveznika su isključene sledeće kategorije poreskih obveznika: državni organi, stečaj iniciran od strane Poreske uprave ili 3 lica, e-komerc,nevladine organizacije, obveznici koji su obrisani iz CRPS kao i obveznici koji su dio stranog društva.</w:t>
      </w:r>
    </w:p>
    <w:p w:rsidR="003611CF" w:rsidRPr="003611CF" w:rsidRDefault="003611CF" w:rsidP="003611CF">
      <w:pPr>
        <w:spacing w:before="0" w:after="0" w:line="240" w:lineRule="auto"/>
        <w:rPr>
          <w:rFonts w:ascii="Calibri" w:eastAsia="Times New Roman" w:hAnsi="Calibri" w:cs="Calibri"/>
          <w:szCs w:val="24"/>
        </w:rPr>
      </w:pPr>
      <w:r w:rsidRPr="003611CF">
        <w:rPr>
          <w:rFonts w:ascii="Calibri" w:eastAsia="Times New Roman" w:hAnsi="Calibri" w:cs="Calibri"/>
          <w:szCs w:val="24"/>
          <w:lang w:val="en-GB"/>
        </w:rPr>
        <w:t xml:space="preserve">Organizovan je sastanak putem video calla sa svim Područnim jedinicama u cilju </w:t>
      </w:r>
      <w:r w:rsidRPr="003611CF">
        <w:rPr>
          <w:rFonts w:ascii="Calibri" w:eastAsia="Times New Roman" w:hAnsi="Calibri" w:cs="Calibri"/>
          <w:szCs w:val="24"/>
        </w:rPr>
        <w:t xml:space="preserve">definisanja konkretnih daljih mjera i postupaka koje treba preduzeti prema poreskim dužnicima u narednom periodu, na putu postizanja efikasnosti naplate i smanjenja poreskog duga. </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Analizom poreskih obveznika predloženo je 96 obveznika sa iznosom duga od 3,7 mil. za iniciranje stečajnog postupka, 12 poreskih obveznika za prodaju nepokretne imovine sa iznosom duga 611 hiljada, dva poreska obveznika sa iznosom duga od 321 hiljadu za prodaju pokretne imovine kao i jednog poreskog obveznika sa iznosom duga od 38 hiljada za prodaju.</w:t>
      </w:r>
    </w:p>
    <w:p w:rsidR="003611CF" w:rsidRPr="003611CF" w:rsidRDefault="003611CF" w:rsidP="004D6CB4">
      <w:pPr>
        <w:numPr>
          <w:ilvl w:val="0"/>
          <w:numId w:val="134"/>
        </w:numPr>
        <w:tabs>
          <w:tab w:val="num" w:pos="0"/>
        </w:tabs>
        <w:spacing w:before="0" w:after="0" w:line="240" w:lineRule="auto"/>
        <w:ind w:left="0" w:firstLine="180"/>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Analiza stanja duga opština, lokalnih preduzeća- DOO čiji je osnivač opština, na mjesečnom nivou, praćenje uplata rata po osnovu reprogramiranih obaveza, kao i preduzimanje mjera naplate prema obveznicima koji ne izmiruju redovno reprogramirane i tekuće obaveze</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b/>
          <w:szCs w:val="24"/>
          <w:lang w:val="en-GB"/>
        </w:rPr>
        <w:t xml:space="preserve">Efekti: </w:t>
      </w:r>
      <w:r w:rsidRPr="003611CF">
        <w:rPr>
          <w:rFonts w:ascii="Calibri" w:eastAsia="Times New Roman" w:hAnsi="Calibri" w:cs="Calibri"/>
          <w:szCs w:val="24"/>
          <w:lang w:val="en-GB"/>
        </w:rPr>
        <w:t xml:space="preserve">Efekat naplate po osnovu reprogramiranih obaveza od strane lokalnih preduzeća (69) iznosi 5,06 miliona eura, od ukupno dospjelih 6,7 miliona eura i to od početka otplate reprogramiranih obaveza. Tokom cjelokupne godine na mjesečnom nivou vršen je monitoring svih lokalnih preduzeća i to posebno po stavkama: podnošenje poreskih prijava, plaćanje reprogramiranih i tekućih poreskih obaveza. </w:t>
      </w:r>
    </w:p>
    <w:p w:rsidR="003611CF" w:rsidRPr="003611CF" w:rsidRDefault="003611CF" w:rsidP="004D6CB4">
      <w:pPr>
        <w:numPr>
          <w:ilvl w:val="0"/>
          <w:numId w:val="134"/>
        </w:numPr>
        <w:tabs>
          <w:tab w:val="num" w:pos="0"/>
        </w:tabs>
        <w:spacing w:before="0" w:after="0" w:line="240" w:lineRule="auto"/>
        <w:ind w:left="0" w:firstLine="180"/>
        <w:jc w:val="left"/>
        <w:rPr>
          <w:rFonts w:ascii="Calibri" w:eastAsia="Times New Roman" w:hAnsi="Calibri" w:cs="Calibri"/>
          <w:szCs w:val="24"/>
          <w:lang w:val="hr-HR" w:eastAsia="hr-HR"/>
        </w:rPr>
      </w:pPr>
      <w:r w:rsidRPr="003611CF">
        <w:rPr>
          <w:rFonts w:ascii="Calibri" w:eastAsia="Times New Roman" w:hAnsi="Calibri" w:cs="Calibri"/>
          <w:szCs w:val="24"/>
          <w:lang w:eastAsia="hr-HR"/>
        </w:rPr>
        <w:t>Analiza i obrada izvještaja o reprogramu poreskog potraživanja, sačinjavanje prijedloga za ukidanje rješenja o reprogramu i klasifikovanje urednih od neurednih poreskih obveznika.</w:t>
      </w:r>
    </w:p>
    <w:p w:rsidR="003611CF" w:rsidRPr="003611CF" w:rsidRDefault="003611CF" w:rsidP="003611CF">
      <w:pPr>
        <w:spacing w:before="0" w:after="0" w:line="240" w:lineRule="auto"/>
        <w:rPr>
          <w:rFonts w:ascii="Calibri" w:eastAsia="Times New Roman" w:hAnsi="Calibri" w:cs="Calibri"/>
          <w:szCs w:val="24"/>
        </w:rPr>
      </w:pPr>
      <w:r w:rsidRPr="003611CF">
        <w:rPr>
          <w:rFonts w:ascii="Calibri" w:eastAsia="Times New Roman" w:hAnsi="Calibri" w:cs="Calibri"/>
          <w:b/>
          <w:szCs w:val="24"/>
        </w:rPr>
        <w:t xml:space="preserve">Efekti: </w:t>
      </w:r>
      <w:r w:rsidRPr="003611CF">
        <w:rPr>
          <w:rFonts w:ascii="Calibri" w:eastAsia="Times New Roman" w:hAnsi="Calibri" w:cs="Calibri"/>
          <w:szCs w:val="24"/>
        </w:rPr>
        <w:t xml:space="preserve">Od početka reprograma poreskog potraživanja ukupno je naplaćeno 78.623.648,40 eura, od čega je tokom 2020. godine naplaćeno 14.706.208,81 eura, sa procentom naplate od oko 72%. U sistemu Poreske uprave realizovano je 1.312 rješenja kojim se ukida rješenje o reprogramu. </w:t>
      </w:r>
      <w:r w:rsidRPr="003611CF">
        <w:rPr>
          <w:rFonts w:ascii="Calibri" w:eastAsia="Times New Roman" w:hAnsi="Calibri" w:cs="Calibri"/>
          <w:szCs w:val="24"/>
        </w:rPr>
        <w:lastRenderedPageBreak/>
        <w:t xml:space="preserve">Analizom je utvrđeno da 801 poreski obveznik ispunjava uslove za donošenje rješenja kojim se ukida rješenje o reprogramu, od čega 244 pravnih lica, a 557 fizičkih lica sa ukupnim osnovnim dugom od 22,7 miliona eura.  </w:t>
      </w:r>
    </w:p>
    <w:p w:rsidR="003611CF" w:rsidRPr="003611CF" w:rsidRDefault="003611CF" w:rsidP="004D6CB4">
      <w:pPr>
        <w:numPr>
          <w:ilvl w:val="0"/>
          <w:numId w:val="134"/>
        </w:numPr>
        <w:tabs>
          <w:tab w:val="num" w:pos="0"/>
        </w:tabs>
        <w:spacing w:before="0" w:after="0" w:line="240" w:lineRule="auto"/>
        <w:ind w:left="0" w:firstLine="180"/>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Praćenje kretanja duga po osnovu tekućih obaveza obveznika u reprogramu i analiza istih, praćenje urednosti izmirivanja reprogramiranih obaveza, praćenje i analiza 20 najvećih poreskih dužnika koji su u reprogramu, po područnim jedinicama, kao i signaliziranje nadležnim područnim jedinicama u cilju preduzimanja mjera naplate, ukoliko iste nijesu preduzete.</w:t>
      </w:r>
    </w:p>
    <w:p w:rsidR="003611CF" w:rsidRPr="003611CF" w:rsidRDefault="003611CF" w:rsidP="004D6CB4">
      <w:pPr>
        <w:numPr>
          <w:ilvl w:val="0"/>
          <w:numId w:val="134"/>
        </w:numPr>
        <w:tabs>
          <w:tab w:val="num" w:pos="0"/>
        </w:tabs>
        <w:spacing w:before="0" w:after="0" w:line="240" w:lineRule="auto"/>
        <w:ind w:left="0" w:firstLine="18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 xml:space="preserve">Kontakt i komunikacija sa poreskim obveznicima, davanje informacija u dijelu izmirenja reprogramiranih obaveza i tekućih poreskih obaveza, kao i održavanje sastanaka sa istim u cilju informisanja o stanju duga </w:t>
      </w:r>
    </w:p>
    <w:p w:rsidR="003611CF" w:rsidRPr="003611CF" w:rsidRDefault="003611CF" w:rsidP="004D6CB4">
      <w:pPr>
        <w:numPr>
          <w:ilvl w:val="0"/>
          <w:numId w:val="134"/>
        </w:numPr>
        <w:tabs>
          <w:tab w:val="num" w:pos="0"/>
        </w:tabs>
        <w:spacing w:before="0" w:after="0" w:line="240" w:lineRule="auto"/>
        <w:ind w:left="0" w:firstLine="180"/>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Aktivnosti na praćenju podnešenih zahtjeva poreskih obveznika po Uredbi o uslovima za odlaganje naplate dospjelih poreskih i neporeskih potraživanja shodno mjerama Vlade</w:t>
      </w:r>
    </w:p>
    <w:p w:rsidR="003611CF" w:rsidRPr="003611CF" w:rsidRDefault="003611CF" w:rsidP="003611CF">
      <w:pPr>
        <w:spacing w:before="0" w:after="0" w:line="240" w:lineRule="auto"/>
        <w:rPr>
          <w:rFonts w:ascii="Calibri" w:eastAsia="Times New Roman" w:hAnsi="Calibri" w:cs="Calibri"/>
          <w:b/>
          <w:szCs w:val="24"/>
          <w:lang w:val="en-GB"/>
        </w:rPr>
      </w:pPr>
      <w:r w:rsidRPr="003611CF">
        <w:rPr>
          <w:rFonts w:ascii="Calibri" w:eastAsia="Times New Roman" w:hAnsi="Calibri" w:cs="Calibri"/>
          <w:b/>
          <w:szCs w:val="24"/>
          <w:lang w:val="en-GB"/>
        </w:rPr>
        <w:t xml:space="preserve">Efekti: </w:t>
      </w:r>
      <w:r w:rsidRPr="003611CF">
        <w:rPr>
          <w:rFonts w:ascii="Calibri" w:eastAsia="Times New Roman" w:hAnsi="Calibri" w:cs="Calibri"/>
          <w:szCs w:val="24"/>
          <w:lang w:val="en-GB"/>
        </w:rPr>
        <w:t>Praćenje podnešenih zahtjeva poreskih obveznika koji nijesu u mogućnosti da izmire poreske obaveze usljed negativnih efekata na poslovanje izazvanih epidemijom zarazne bolesti Covid 19. Broj poreskih obveznika koji je podnio zahtjev za odlaganje naplate poreskih i neporeskih potraživanja 1.360 sa iznosom odloženih obaveza 1.205.255,21.</w:t>
      </w:r>
    </w:p>
    <w:p w:rsidR="003611CF" w:rsidRPr="003611CF" w:rsidRDefault="003611CF" w:rsidP="004D6CB4">
      <w:pPr>
        <w:numPr>
          <w:ilvl w:val="0"/>
          <w:numId w:val="134"/>
        </w:numPr>
        <w:tabs>
          <w:tab w:val="num" w:pos="0"/>
        </w:tabs>
        <w:spacing w:before="0" w:after="0" w:line="240" w:lineRule="auto"/>
        <w:ind w:left="0" w:firstLine="18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 xml:space="preserve">Aktivnosti na praćenju dinamike izmirenja poreskih obaveza shodno Uredbi </w:t>
      </w:r>
      <w:r w:rsidRPr="003611CF">
        <w:rPr>
          <w:rFonts w:ascii="Calibri" w:eastAsia="Times New Roman" w:hAnsi="Calibri" w:cs="Calibri"/>
          <w:bCs/>
          <w:szCs w:val="24"/>
          <w:lang w:val="hr-HR" w:eastAsia="hr-HR"/>
        </w:rPr>
        <w:t xml:space="preserve">o uslovima za odlaganje naplate poreskih i neporeskih potraživanja </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b/>
          <w:szCs w:val="24"/>
          <w:lang w:val="en-GB"/>
        </w:rPr>
        <w:t xml:space="preserve">Efekti: </w:t>
      </w:r>
      <w:r w:rsidRPr="003611CF">
        <w:rPr>
          <w:rFonts w:ascii="Calibri" w:eastAsia="Times New Roman" w:hAnsi="Calibri" w:cs="Calibri"/>
          <w:szCs w:val="24"/>
          <w:lang w:val="en-GB"/>
        </w:rPr>
        <w:t xml:space="preserve">Uredbom o uslovima za odlaganje naplate poreskih i neporeskih potraživanja plaćanje obaveza odložilo je 176 poreskih obveznika sa ukupnim iznosom duga od 6.914.215,80 €, od čega je dospjelo za plaćanje 4.350.109,1€, a naplaćeno 3.304.367,90€. </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Odsjek za upravljanje dugom kontinuirano prati poreske obveznike koji dug izmiruju u skladu sa Uredbom o uslovima za odlaganje naplate poreskih i neporeskih potraživanja, iste analiziraju i pozivaju nadležne područne jedinice u cilju preduzimanja mjera prinudne naplate ukoliko isti ne poštuju donešeno rješenje.</w:t>
      </w:r>
    </w:p>
    <w:p w:rsidR="003611CF" w:rsidRPr="003611CF" w:rsidRDefault="003611CF" w:rsidP="004D6CB4">
      <w:pPr>
        <w:numPr>
          <w:ilvl w:val="0"/>
          <w:numId w:val="134"/>
        </w:numPr>
        <w:spacing w:before="0" w:after="0" w:line="240" w:lineRule="auto"/>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Aktivnosti na obavještavanju poreskih obveznika koji kasne više od 3 rate o stanju duga.</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b/>
          <w:szCs w:val="24"/>
          <w:lang w:val="en-GB"/>
        </w:rPr>
        <w:t xml:space="preserve">Efekti: </w:t>
      </w:r>
      <w:r w:rsidRPr="003611CF">
        <w:rPr>
          <w:rFonts w:ascii="Calibri" w:eastAsia="Times New Roman" w:hAnsi="Calibri" w:cs="Calibri"/>
          <w:szCs w:val="24"/>
          <w:lang w:val="en-GB"/>
        </w:rPr>
        <w:t>Službenici Odsjeka za upravljanje dugom su u decembru na osnovu sačinjenog spiska poreskih obveznika koji kasne na dan 06.12.2020.godine više od 3 rate reprograma, proslijedili 932 poruke poreskim obveznicima u cilju obavještenja o stanju duga i eventualnom izmirenju istog kako bi se izbjegle kaznene mjere. Efekat slanja poruka putem SMS aplikacije rezultirao je naplatom nakon 15 dana od dana slanja istih u iznosu od oko 262 hiljade.</w:t>
      </w:r>
    </w:p>
    <w:p w:rsidR="003611CF" w:rsidRPr="003611CF" w:rsidRDefault="003611CF" w:rsidP="004D6CB4">
      <w:pPr>
        <w:numPr>
          <w:ilvl w:val="0"/>
          <w:numId w:val="134"/>
        </w:numPr>
        <w:tabs>
          <w:tab w:val="num" w:pos="0"/>
        </w:tabs>
        <w:spacing w:before="0" w:after="0" w:line="240" w:lineRule="auto"/>
        <w:ind w:left="0" w:firstLine="18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Aktivnosti na izradi rješenja o ukidanju zbog nepoštovanja rokova plaćanja definisanih rješenjem o reprogramu poreskog potraživanja.</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b/>
          <w:szCs w:val="24"/>
          <w:lang w:val="en-GB"/>
        </w:rPr>
        <w:t xml:space="preserve">Efekti: </w:t>
      </w:r>
      <w:r w:rsidRPr="003611CF">
        <w:rPr>
          <w:rFonts w:ascii="Calibri" w:eastAsia="Times New Roman" w:hAnsi="Calibri" w:cs="Calibri"/>
          <w:szCs w:val="24"/>
          <w:lang w:val="en-GB"/>
        </w:rPr>
        <w:t>Odsjek za upravljanje dugom je u 2020.godini ukinuo 196 rješenja o reprogramu sa iznosom ukupnog potraživanja od 7.321.513,45€, osnovnim dugom 6.374.300,56€ i kamatom u iznosu od 947.212,89€. Na pravna lica se odnosi 93 rješenja sa ukupnim potraživanjem od 5.897.774,98€, osnovnim dugom 5.404.217,04€ i kamatom 493.557,94€, dok se na fizička lica odnosi 103 rješenja sa ukupnim potraživanjem od 1.423.738,47€, osnovnim dugom 970.083,52€ i kamatom 453.654,95€.</w:t>
      </w:r>
    </w:p>
    <w:p w:rsidR="003611CF" w:rsidRPr="003611CF" w:rsidRDefault="003611CF" w:rsidP="004D6CB4">
      <w:pPr>
        <w:numPr>
          <w:ilvl w:val="0"/>
          <w:numId w:val="134"/>
        </w:numPr>
        <w:spacing w:before="0" w:after="0" w:line="240" w:lineRule="auto"/>
        <w:ind w:left="0" w:firstLine="180"/>
        <w:jc w:val="left"/>
        <w:rPr>
          <w:rFonts w:ascii="Calibri" w:eastAsia="Times New Roman" w:hAnsi="Calibri" w:cs="Calibri"/>
          <w:b/>
          <w:szCs w:val="24"/>
          <w:lang w:val="hr-HR" w:eastAsia="hr-HR"/>
        </w:rPr>
      </w:pPr>
      <w:r w:rsidRPr="003611CF">
        <w:rPr>
          <w:rFonts w:ascii="Calibri" w:eastAsia="Times New Roman" w:hAnsi="Calibri" w:cs="Calibri"/>
          <w:szCs w:val="24"/>
          <w:lang w:val="hr-HR" w:eastAsia="hr-HR"/>
        </w:rPr>
        <w:t>Analiza stanja duga poreskih obveznika kojima je donešeno rješenje kojim se ukida rješenje o reprogramu radi preduzimanja svih zakonom propisanih prinudnih mjera naplate u cilju donošenja odluke o daljem postupanju prema istim .</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b/>
          <w:szCs w:val="24"/>
          <w:lang w:val="en-GB"/>
        </w:rPr>
        <w:t xml:space="preserve">Efekti: </w:t>
      </w:r>
      <w:r w:rsidRPr="003611CF">
        <w:rPr>
          <w:rFonts w:ascii="Calibri" w:eastAsia="Times New Roman" w:hAnsi="Calibri" w:cs="Calibri"/>
          <w:szCs w:val="24"/>
          <w:lang w:val="en-GB"/>
        </w:rPr>
        <w:t>Odsjek za upravljanje dugom, izvršio je analizu 61 poreskog obveznika kome je ukinuto rješenje o reprogramu sa iznosom duga većim od 40.000€ na dan 10.12.2020.godine.</w:t>
      </w:r>
      <w:r w:rsidRPr="003611CF">
        <w:rPr>
          <w:rFonts w:ascii="Calibri" w:eastAsia="Times New Roman" w:hAnsi="Calibri" w:cs="Calibri"/>
          <w:szCs w:val="24"/>
        </w:rPr>
        <w:t xml:space="preserve"> Za sve poreske obveznike korišćeni su podaci Uprave za nekretnine, radi sagledavanja stanja imovine poreskih obveznika i </w:t>
      </w:r>
      <w:r w:rsidRPr="003611CF">
        <w:rPr>
          <w:rFonts w:ascii="Calibri" w:eastAsia="Times New Roman" w:hAnsi="Calibri" w:cs="Calibri"/>
          <w:szCs w:val="24"/>
          <w:lang w:val="en-GB"/>
        </w:rPr>
        <w:t xml:space="preserve">uspostavljenih hipoteka od strane PU, kao i status poreskog obveznika u CRPS. Organizovan je sastanak putem video calla sa svim Područnim jedinicama u cilju </w:t>
      </w:r>
      <w:r w:rsidRPr="003611CF">
        <w:rPr>
          <w:rFonts w:ascii="Calibri" w:eastAsia="Times New Roman" w:hAnsi="Calibri" w:cs="Calibri"/>
          <w:szCs w:val="24"/>
        </w:rPr>
        <w:t xml:space="preserve">definisanja konkretnih daljih mjera i postupaka koje treba preduzeti prema poreskim dužnicima u narednom periodu, na putu postizanja efikasnosti naplate i smanjenja poreskog duga. </w:t>
      </w:r>
      <w:r w:rsidRPr="003611CF">
        <w:rPr>
          <w:rFonts w:ascii="Calibri" w:eastAsia="Times New Roman" w:hAnsi="Calibri" w:cs="Calibri"/>
          <w:szCs w:val="24"/>
          <w:lang w:val="en-GB"/>
        </w:rPr>
        <w:t xml:space="preserve">Analizom poreskih </w:t>
      </w:r>
      <w:r w:rsidRPr="003611CF">
        <w:rPr>
          <w:rFonts w:ascii="Calibri" w:eastAsia="Times New Roman" w:hAnsi="Calibri" w:cs="Calibri"/>
          <w:szCs w:val="24"/>
          <w:lang w:val="en-GB"/>
        </w:rPr>
        <w:lastRenderedPageBreak/>
        <w:t xml:space="preserve">obveznika predloženo je 6 obveznika sa iznosom duga od 1,8 mil. za iniciranje stečajnog postupka, 13 poreskih obveznika za prodaju nepokretne imovine sa iznosom duga 2,9 mil. </w:t>
      </w:r>
      <w:r w:rsidRPr="003611CF">
        <w:rPr>
          <w:rFonts w:ascii="Calibri" w:eastAsia="Times New Roman" w:hAnsi="Calibri" w:cs="Calibri"/>
          <w:szCs w:val="24"/>
        </w:rPr>
        <w:t>Odsjek za upravljanje dugom je takođe izvršio provjeru stanja imovine sa sajta Uprave za nekretnine i uspostavljenom teretu od strane Poreske uprave za 1.279 poreskih obveznika( fizičkih i pravnih lica) koji duguju manje od 40.000€. Izvještaj će biti proslijeđen Područnim jedinicama u cilju kontrole mjera naplate i daljih predloga mjera.</w:t>
      </w:r>
    </w:p>
    <w:p w:rsidR="003611CF" w:rsidRPr="003611CF" w:rsidRDefault="003611CF" w:rsidP="004D6CB4">
      <w:pPr>
        <w:numPr>
          <w:ilvl w:val="0"/>
          <w:numId w:val="134"/>
        </w:numPr>
        <w:tabs>
          <w:tab w:val="num" w:pos="0"/>
        </w:tabs>
        <w:spacing w:before="0" w:after="0" w:line="240" w:lineRule="auto"/>
        <w:ind w:left="0" w:firstLine="180"/>
        <w:jc w:val="left"/>
        <w:rPr>
          <w:rFonts w:ascii="Calibri" w:eastAsia="Times New Roman" w:hAnsi="Calibri" w:cs="Calibri"/>
          <w:b/>
          <w:szCs w:val="24"/>
          <w:lang w:val="hr-HR" w:eastAsia="hr-HR"/>
        </w:rPr>
      </w:pPr>
      <w:r w:rsidRPr="003611CF">
        <w:rPr>
          <w:rFonts w:ascii="Calibri" w:eastAsia="Times New Roman" w:hAnsi="Calibri" w:cs="Calibri"/>
          <w:szCs w:val="24"/>
          <w:lang w:val="hr-HR" w:eastAsia="hr-HR"/>
        </w:rPr>
        <w:t>Analiza stanja duga aktivnih, neaktivnih poreskih obveznika van reprograma kao i obveznika kojima je ukinuto rješenje o reprogramu u cilju utvrđivanja naplate shodno prethodno preduzetim mjerama i davanje smjernica u pravcu iniciranja stečajnog postupka</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b/>
          <w:szCs w:val="24"/>
          <w:lang w:val="en-GB"/>
        </w:rPr>
        <w:t xml:space="preserve">Efekti: </w:t>
      </w:r>
      <w:r w:rsidRPr="003611CF">
        <w:rPr>
          <w:rFonts w:ascii="Calibri" w:eastAsia="Times New Roman" w:hAnsi="Calibri" w:cs="Calibri"/>
          <w:szCs w:val="24"/>
          <w:lang w:val="en-GB"/>
        </w:rPr>
        <w:t>Tokom 2020.godine izvršena je analiza stanja duga 76 poreskih obveznika i to 29 aktivnih, 36 neaktivnih i 11 poreskih obveznika kojima je ukinuto rješenje o reprogramu sa ukupnim iznosom duga od 5,0 miliona. Za navedene poreske obveznike vršena je provjera preduzetih mjera prinudne naplate, kao i provjera da li su sprovedene mjere imale efekte. Od p</w:t>
      </w:r>
      <w:r w:rsidRPr="003611CF">
        <w:rPr>
          <w:rFonts w:ascii="Calibri" w:eastAsia="Times New Roman" w:hAnsi="Calibri" w:cs="Calibri"/>
          <w:szCs w:val="24"/>
        </w:rPr>
        <w:t xml:space="preserve">odručnih jedinica dostavljeni su podaci o posjedovanju pokretne i nepokretne imovine poreskog obveznika, akcija i hartija od vrijednosti, radi sagledavanja stanja imovine poreskog obveznika. Odsjek za upravljanje dugom  je prikupio podatke sa sajta Uprave za nekretnine u vezi sa posjedovanjem nepokretne imovine kao i vremenski period od kada datira dug poreskog obveznika. Rađena je detaljna analiza analitičkih kartica sa aspekta sagledavanja mogućnosti naplate poreskog potraživanja. </w:t>
      </w:r>
      <w:r w:rsidRPr="003611CF">
        <w:rPr>
          <w:rFonts w:ascii="Calibri" w:eastAsia="Times New Roman" w:hAnsi="Calibri" w:cs="Calibri"/>
          <w:szCs w:val="24"/>
          <w:lang w:val="en-GB"/>
        </w:rPr>
        <w:t xml:space="preserve">Kod poreskih obveznika kod kojih je utvrđeno postojanje nepokretne i pokretne imovine bez uspostavljanja hipoteke Poreske uprave i zaloge na pokretnoj imovini, ukazano je kolegama iz Područnih jedinica da sprovedu mjere prinudne naplate.  Detaljnom analizom je utvrđeno da mjere prinudne naplate nijesu dale željene efekte, te smo za iste obradili prijedloge za iniciranje stečajnog postupka na ukupan iznos poreskog duga od 5,0 miliona, od čega se na grupu aktivnih odnosi 3,3 miliona, neaktivnih 1,6 mil dok se na obveznike kojima je ukinuto rješenje o reprogramu odnosi 99,8 hiljada od iznosa ukupnog poreskog duga. </w:t>
      </w:r>
      <w:r w:rsidRPr="003611CF">
        <w:rPr>
          <w:rFonts w:ascii="Calibri" w:eastAsia="Times New Roman" w:hAnsi="Calibri" w:cs="Calibri"/>
          <w:szCs w:val="24"/>
        </w:rPr>
        <w:t>Od Centralne banke Crne Gore zatražili smo podatke o stanju žiro računa i solventnosti poreskih obveznika, te potvrde o izvršenim blokadama računa istih. Takođe, od službenika područnih jedinica Poreske uprave prikupili smo dokumentaciju o preduzetim mjerama prinudne naplate, koja je naknadno provjeravana u dijelu koji se odnosi na obrađena rješenja o prinudnoj naplati iz novčanih sredstava i iznosa poreskog duga navedenih u istima, u cilju ocjene da li su navedeni iznosi duga eventualno obezbjeđeni hipotekom poreskog obveznika. Od načelnika područnih jedinica i Sektora za operativu u oblasti inspekcijskog nadzora traženi su podaci o upravnim,sudskim i krivičnim postupcima koji se vode prema poreskim obveznicima za koje je dat predlog za otvaranje postupka stečaja.</w:t>
      </w:r>
    </w:p>
    <w:p w:rsidR="003611CF" w:rsidRPr="003611CF" w:rsidRDefault="003611CF" w:rsidP="004D6CB4">
      <w:pPr>
        <w:numPr>
          <w:ilvl w:val="0"/>
          <w:numId w:val="134"/>
        </w:numPr>
        <w:spacing w:before="0" w:after="0" w:line="240" w:lineRule="auto"/>
        <w:ind w:hanging="76"/>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Ukidanje rješenja o reprogramu poreskog potraživanja u sistemu Poreske uprave</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b/>
          <w:szCs w:val="24"/>
          <w:lang w:val="en-GB"/>
        </w:rPr>
        <w:t xml:space="preserve">Efekti: </w:t>
      </w:r>
      <w:r w:rsidRPr="003611CF">
        <w:rPr>
          <w:rFonts w:ascii="Calibri" w:eastAsia="Times New Roman" w:hAnsi="Calibri" w:cs="Calibri"/>
          <w:szCs w:val="24"/>
          <w:lang w:val="en-GB"/>
        </w:rPr>
        <w:t>Od ukupnog broja donešenih rjesenja kojima se ukida rješenje o reprogramu do sada je na dan 28.12.2020. godine kroz sistem sprovedeno 1.312 rješenja. Spisak preostalih poreskih obveznika,kojima rješenje nije sprovedeno kroz sistem, proslijeđen je područnim jedinicama u cilju privođenja ove aktivnosti kraju.</w:t>
      </w:r>
    </w:p>
    <w:p w:rsidR="003611CF" w:rsidRPr="003611CF" w:rsidRDefault="003611CF" w:rsidP="004D6CB4">
      <w:pPr>
        <w:numPr>
          <w:ilvl w:val="0"/>
          <w:numId w:val="134"/>
        </w:numPr>
        <w:tabs>
          <w:tab w:val="num" w:pos="0"/>
        </w:tabs>
        <w:spacing w:before="0" w:after="0" w:line="240" w:lineRule="auto"/>
        <w:ind w:left="0" w:firstLine="180"/>
        <w:contextualSpacing/>
        <w:jc w:val="left"/>
        <w:rPr>
          <w:rFonts w:ascii="Calibri" w:eastAsia="Times New Roman" w:hAnsi="Calibri" w:cs="Calibri"/>
          <w:szCs w:val="24"/>
          <w:lang w:eastAsia="hr-HR"/>
        </w:rPr>
      </w:pPr>
      <w:r w:rsidRPr="003611CF">
        <w:rPr>
          <w:rFonts w:ascii="Calibri" w:eastAsia="Times New Roman" w:hAnsi="Calibri" w:cs="Calibri"/>
          <w:szCs w:val="24"/>
          <w:lang w:eastAsia="hr-HR"/>
        </w:rPr>
        <w:t>Ukidanje rješenja o reprogramu poreskog potraživanja u sistemu PU za poreske obveznike kojima je iniciran stečaj od strane trećih lica i isti zaključen, a na osnovu dobijene dokumentacije od strane Privrednog suda o zaključenom stečajnom postupku</w:t>
      </w:r>
    </w:p>
    <w:p w:rsidR="003611CF" w:rsidRPr="003611CF" w:rsidRDefault="003611CF" w:rsidP="004D6CB4">
      <w:pPr>
        <w:numPr>
          <w:ilvl w:val="0"/>
          <w:numId w:val="134"/>
        </w:numPr>
        <w:tabs>
          <w:tab w:val="num" w:pos="0"/>
        </w:tabs>
        <w:spacing w:before="0" w:after="0" w:line="240" w:lineRule="auto"/>
        <w:ind w:left="0" w:firstLine="180"/>
        <w:contextualSpacing/>
        <w:jc w:val="left"/>
        <w:rPr>
          <w:rFonts w:ascii="Calibri" w:eastAsia="Times New Roman" w:hAnsi="Calibri" w:cs="Calibri"/>
          <w:szCs w:val="24"/>
          <w:lang w:eastAsia="hr-HR"/>
        </w:rPr>
      </w:pPr>
      <w:r w:rsidRPr="003611CF">
        <w:rPr>
          <w:rFonts w:ascii="Calibri" w:eastAsia="Times New Roman" w:hAnsi="Calibri" w:cs="Calibri"/>
          <w:szCs w:val="24"/>
          <w:lang w:eastAsia="hr-HR"/>
        </w:rPr>
        <w:t>Praćenje poštovanja dinamike izmirivanja poreskih obaveza po osnovu usvojenih planova reorganizacije za poreske obveznike kojima je nakon zaključenog stečajnog postupka isti odobren</w:t>
      </w:r>
    </w:p>
    <w:p w:rsidR="003611CF" w:rsidRPr="003611CF" w:rsidRDefault="003611CF" w:rsidP="004D6CB4">
      <w:pPr>
        <w:numPr>
          <w:ilvl w:val="0"/>
          <w:numId w:val="134"/>
        </w:numPr>
        <w:tabs>
          <w:tab w:val="num" w:pos="0"/>
        </w:tabs>
        <w:spacing w:before="0" w:after="0" w:line="240" w:lineRule="auto"/>
        <w:ind w:left="0" w:firstLine="180"/>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Aktivnosti na rješavanju predmeta po osnovu uloženih žalbi od strane poreskih obveznika na rješenja o reprogramu i na ukidna rješenja o reprogramu poreskih potraživanja</w:t>
      </w:r>
      <w:r w:rsidRPr="003611CF">
        <w:rPr>
          <w:rFonts w:ascii="Calibri" w:eastAsia="Times New Roman" w:hAnsi="Calibri" w:cs="Calibri"/>
          <w:b/>
          <w:szCs w:val="24"/>
          <w:lang w:val="hr-HR" w:eastAsia="hr-HR"/>
        </w:rPr>
        <w:tab/>
      </w:r>
    </w:p>
    <w:p w:rsidR="003611CF" w:rsidRPr="003611CF" w:rsidRDefault="003611CF" w:rsidP="003611CF">
      <w:pPr>
        <w:spacing w:before="0" w:after="0" w:line="240" w:lineRule="auto"/>
        <w:rPr>
          <w:rFonts w:ascii="Calibri" w:eastAsia="Times New Roman" w:hAnsi="Calibri" w:cs="Calibri"/>
          <w:b/>
          <w:szCs w:val="24"/>
          <w:lang w:val="en-GB"/>
        </w:rPr>
      </w:pPr>
      <w:r w:rsidRPr="003611CF">
        <w:rPr>
          <w:rFonts w:ascii="Calibri" w:eastAsia="Times New Roman" w:hAnsi="Calibri" w:cs="Calibri"/>
          <w:szCs w:val="24"/>
          <w:lang w:val="en-GB"/>
        </w:rPr>
        <w:t>Aktivnosti na podnošenju prijava potraživanja Privrednom sudu Crne Gore</w:t>
      </w:r>
      <w:r w:rsidRPr="003611CF">
        <w:rPr>
          <w:rFonts w:ascii="Calibri" w:eastAsia="Times New Roman" w:hAnsi="Calibri" w:cs="Calibri"/>
          <w:b/>
          <w:szCs w:val="24"/>
          <w:lang w:val="en-GB"/>
        </w:rPr>
        <w:t xml:space="preserve"> </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b/>
          <w:szCs w:val="24"/>
          <w:lang w:val="en-GB"/>
        </w:rPr>
        <w:t xml:space="preserve">Efekti: </w:t>
      </w:r>
      <w:r w:rsidRPr="003611CF">
        <w:rPr>
          <w:rFonts w:ascii="Calibri" w:eastAsia="Times New Roman" w:hAnsi="Calibri" w:cs="Calibri"/>
          <w:szCs w:val="24"/>
          <w:lang w:val="en-GB"/>
        </w:rPr>
        <w:t>Privrednom sudu Crne Gore podneseno je 328 prijava potraživanja na ukupan iznos 15.168.191,66 eur i po osnovu navedenog vršeno zastupanje Poreske uprave pred ovim organom.</w:t>
      </w:r>
    </w:p>
    <w:p w:rsidR="003611CF" w:rsidRPr="003611CF" w:rsidRDefault="003611CF" w:rsidP="004D6CB4">
      <w:pPr>
        <w:numPr>
          <w:ilvl w:val="0"/>
          <w:numId w:val="134"/>
        </w:numPr>
        <w:tabs>
          <w:tab w:val="num" w:pos="709"/>
        </w:tabs>
        <w:spacing w:before="0" w:after="0" w:line="240" w:lineRule="auto"/>
        <w:ind w:left="0" w:firstLine="18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lastRenderedPageBreak/>
        <w:t>Aktivnosti nakon pokrenutih stečajnih postupaka od strane Poreske uprave i održanih prethodnih ročišta</w:t>
      </w:r>
    </w:p>
    <w:p w:rsidR="003611CF" w:rsidRPr="003611CF" w:rsidRDefault="003611CF" w:rsidP="003611CF">
      <w:pPr>
        <w:spacing w:before="0" w:after="0" w:line="240" w:lineRule="auto"/>
        <w:contextualSpacing/>
        <w:rPr>
          <w:rFonts w:ascii="Calibri" w:eastAsia="Times New Roman" w:hAnsi="Calibri" w:cs="Calibri"/>
          <w:szCs w:val="24"/>
          <w:lang w:val="en-GB"/>
        </w:rPr>
      </w:pPr>
      <w:r w:rsidRPr="003611CF">
        <w:rPr>
          <w:rFonts w:ascii="Calibri" w:eastAsia="Times New Roman" w:hAnsi="Calibri" w:cs="Calibri"/>
          <w:b/>
          <w:szCs w:val="24"/>
          <w:lang w:val="en-GB"/>
        </w:rPr>
        <w:t xml:space="preserve">Efekti: </w:t>
      </w:r>
      <w:r w:rsidRPr="003611CF">
        <w:rPr>
          <w:rFonts w:ascii="Calibri" w:eastAsia="Times New Roman" w:hAnsi="Calibri" w:cs="Calibri"/>
          <w:szCs w:val="24"/>
          <w:lang w:val="en-GB"/>
        </w:rPr>
        <w:t>Od početka aktivnosti na podnošenju prijedloga za pokretanje stečajnog postupka Privrednom sudu Crne Gore, na prethodnim ročištima - u predstečajnom postupku, poreski obveznici su platili poreske obaveze u iznosu cca 1,4 milion eura.</w:t>
      </w:r>
    </w:p>
    <w:p w:rsidR="003611CF" w:rsidRPr="003611CF" w:rsidRDefault="003611CF" w:rsidP="004D6CB4">
      <w:pPr>
        <w:numPr>
          <w:ilvl w:val="0"/>
          <w:numId w:val="134"/>
        </w:numPr>
        <w:tabs>
          <w:tab w:val="num" w:pos="0"/>
        </w:tabs>
        <w:spacing w:before="0" w:after="0" w:line="240" w:lineRule="auto"/>
        <w:ind w:left="0" w:firstLine="18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 xml:space="preserve">Aktivnosti naplate po osnovu najvećih otvorenih stečajeva. </w:t>
      </w:r>
    </w:p>
    <w:p w:rsidR="003611CF" w:rsidRPr="003611CF" w:rsidRDefault="003611CF" w:rsidP="003611CF">
      <w:pPr>
        <w:spacing w:before="0" w:after="0" w:line="240" w:lineRule="auto"/>
        <w:contextualSpacing/>
        <w:rPr>
          <w:rFonts w:ascii="Calibri" w:eastAsia="Times New Roman" w:hAnsi="Calibri" w:cs="Calibri"/>
          <w:szCs w:val="24"/>
          <w:lang w:val="hr-HR" w:eastAsia="hr-HR"/>
        </w:rPr>
      </w:pPr>
      <w:r w:rsidRPr="003611CF">
        <w:rPr>
          <w:rFonts w:ascii="Calibri" w:eastAsia="Times New Roman" w:hAnsi="Calibri" w:cs="Calibri"/>
          <w:b/>
          <w:szCs w:val="24"/>
          <w:lang w:val="hr-HR" w:eastAsia="hr-HR"/>
        </w:rPr>
        <w:t xml:space="preserve">Efekti: </w:t>
      </w:r>
      <w:r w:rsidRPr="003611CF">
        <w:rPr>
          <w:rFonts w:ascii="Calibri" w:eastAsia="Times New Roman" w:hAnsi="Calibri" w:cs="Calibri"/>
          <w:szCs w:val="24"/>
          <w:lang w:val="hr-HR" w:eastAsia="hr-HR"/>
        </w:rPr>
        <w:t xml:space="preserve">U poslednjih 5 godina naplaćeno je 27 miliona po osnovu najvećih otvorenih stečajnih postupaka. </w:t>
      </w:r>
    </w:p>
    <w:p w:rsidR="003611CF" w:rsidRPr="003611CF" w:rsidRDefault="003611CF" w:rsidP="004D6CB4">
      <w:pPr>
        <w:numPr>
          <w:ilvl w:val="0"/>
          <w:numId w:val="134"/>
        </w:numPr>
        <w:tabs>
          <w:tab w:val="num" w:pos="0"/>
        </w:tabs>
        <w:spacing w:before="0" w:after="0" w:line="240" w:lineRule="auto"/>
        <w:ind w:left="0" w:firstLine="180"/>
        <w:jc w:val="left"/>
        <w:rPr>
          <w:rFonts w:ascii="Calibri" w:eastAsia="Times New Roman" w:hAnsi="Calibri" w:cs="Calibri"/>
          <w:szCs w:val="24"/>
          <w:lang w:val="en-GB"/>
        </w:rPr>
      </w:pPr>
      <w:r w:rsidRPr="003611CF">
        <w:rPr>
          <w:rFonts w:ascii="Calibri" w:eastAsia="Times New Roman" w:hAnsi="Calibri" w:cs="Calibri"/>
          <w:szCs w:val="24"/>
          <w:lang w:val="en-GB"/>
        </w:rPr>
        <w:t>Odgovori na pitanja i davanje podataka i informacija poreskim obveznicima, drugim organizacionim jedinicama i drugim javnopravnim organima. Aktivnosti, sastanci i konsultacije sa ostalim organizacionim jedinicama (IT sektor vezano za dobijanje tačnih podataka u izvještaju za poreske obveznike koji su u reprogramu nakon realizacije završnog računa za 2019.godinu, IT sektor vezano za realizaciju rješenja o reprogramu donešena u  ponovnom postupku, u postupku po žalbi, u ponovljenom postupku ...), sastanci vezani za projekat Svjetske banke,sastanci u vezi sa FRD-om, aktivnosti na izradi instrukcija u vezi sa postupanjem prilikom otvaranja/zatvaranja stečajnog postupka i instukcija pri likvidaciji u skraćenom postupku, izrada instrukcija u vezi sa postupkom prodaje nepokretne imovine u cilju naplate poreskog duga od poreskih obveznika, kao i davanje sugestija i mišljenja Ministarstvu finansija u vezi sa novom Uredbom o uslovima za odlaganje naplate dospjelih poreskih i neporeskih potraživanja kojom se propisuju uslovi pod kojima poreski obveznici, koji nijesu u mogućnosti da izmire poreske obaveze, usljed negativnih efekata na poslovanje izazvanih epidemijom zarazne bolesti COVID19, mogu odložiti svoje obaveze za period od 90 dana od dana dospjeća obaveza (mart, april i maj 2020. godine). Takođe, sastanci sa ostalim inokonsultantima aktuelnih projekata iz nadležnosti Odsjeka.</w:t>
      </w:r>
    </w:p>
    <w:p w:rsidR="003611CF" w:rsidRPr="003611CF" w:rsidRDefault="003611CF" w:rsidP="003611CF">
      <w:pPr>
        <w:spacing w:before="0" w:after="0" w:line="240" w:lineRule="auto"/>
        <w:rPr>
          <w:rFonts w:ascii="Calibri" w:eastAsia="Times New Roman" w:hAnsi="Calibri" w:cs="Calibri"/>
          <w:szCs w:val="24"/>
          <w:lang w:val="en-GB"/>
        </w:rPr>
      </w:pPr>
    </w:p>
    <w:p w:rsidR="003611CF" w:rsidRPr="003611CF" w:rsidRDefault="003611CF" w:rsidP="002F47AD">
      <w:pPr>
        <w:spacing w:before="0" w:line="240" w:lineRule="auto"/>
        <w:jc w:val="center"/>
        <w:rPr>
          <w:rFonts w:ascii="Calibri" w:eastAsia="Times New Roman" w:hAnsi="Calibri" w:cs="Calibri"/>
          <w:b/>
          <w:szCs w:val="24"/>
          <w:lang w:val="en-GB"/>
        </w:rPr>
      </w:pPr>
      <w:r w:rsidRPr="003611CF">
        <w:rPr>
          <w:rFonts w:ascii="Calibri" w:eastAsia="Times New Roman" w:hAnsi="Calibri" w:cs="Calibri"/>
          <w:b/>
          <w:bCs/>
          <w:szCs w:val="24"/>
          <w:lang w:val="en-GB"/>
        </w:rPr>
        <w:t>SEKTOR ZA OPERATIVU U OBLASTI INSPEKCIJSKOG NADZORA</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b/>
          <w:szCs w:val="24"/>
          <w:lang w:val="en-GB"/>
        </w:rPr>
        <w:tab/>
      </w:r>
      <w:r w:rsidRPr="003611CF">
        <w:rPr>
          <w:rFonts w:ascii="Calibri" w:eastAsia="Times New Roman" w:hAnsi="Calibri" w:cs="Calibri"/>
          <w:bCs/>
          <w:szCs w:val="24"/>
          <w:lang w:val="sl-SI"/>
        </w:rPr>
        <w:t xml:space="preserve">U izvještajnom periodu januar – decembar 2020.godine, u Sektoru za operativu u oblasti inspekcijskog nadzora vršeni su poslovi koji se odnose na  pripremu i donošenje periodičnih programa i planova inspekcijskog nadzora, koordininaciju i </w:t>
      </w:r>
      <w:r w:rsidRPr="003611CF">
        <w:rPr>
          <w:rFonts w:ascii="Calibri" w:eastAsia="Times New Roman" w:hAnsi="Calibri" w:cs="Calibri"/>
          <w:bCs/>
          <w:szCs w:val="24"/>
          <w:lang w:val="en-GB"/>
        </w:rPr>
        <w:t xml:space="preserve">praćenje sprovođenja procedura rada </w:t>
      </w:r>
      <w:r w:rsidRPr="003611CF">
        <w:rPr>
          <w:rFonts w:ascii="Calibri" w:eastAsia="Times New Roman" w:hAnsi="Calibri" w:cs="Calibri"/>
          <w:bCs/>
          <w:szCs w:val="24"/>
          <w:lang w:val="sl-SI"/>
        </w:rPr>
        <w:t xml:space="preserve">u postupku inspekcijskog nadzora, procjenu poreskog potencijala poreskih obveznika i mogućih rezultata kontrole, planiranje inspekcijskog nadzora po poreskim inspektorima, </w:t>
      </w:r>
      <w:r w:rsidRPr="003611CF">
        <w:rPr>
          <w:rFonts w:ascii="Calibri" w:eastAsia="Times New Roman" w:hAnsi="Calibri" w:cs="Calibri"/>
          <w:bCs/>
          <w:szCs w:val="24"/>
          <w:lang w:val="pl-PL"/>
        </w:rPr>
        <w:t>neposrednu kontrolu rada organizacionih jedinica,</w:t>
      </w:r>
      <w:r w:rsidRPr="003611CF">
        <w:rPr>
          <w:rFonts w:ascii="Calibri" w:eastAsia="Times New Roman" w:hAnsi="Calibri" w:cs="Calibri"/>
          <w:bCs/>
          <w:szCs w:val="24"/>
          <w:lang w:val="sl-SI"/>
        </w:rPr>
        <w:t xml:space="preserve"> koordiniranje rada u predmetima za koje je potrebno postupanje više područnih jedinica ili odsjeka, praćenje rada svih poreskih inspektora, kao i ostali poslovi.</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 xml:space="preserve">U cilju postizanja što boljih rezultata rada, Poreska uprava je Generalnim planom inspekcijskih kontrola za 2020.godinu definisala osnovne ciljeve. </w:t>
      </w:r>
      <w:r w:rsidRPr="003611CF">
        <w:rPr>
          <w:rFonts w:ascii="Calibri" w:eastAsia="Calibri" w:hAnsi="Calibri" w:cs="Calibri"/>
          <w:szCs w:val="24"/>
          <w:lang w:val="en-GB"/>
        </w:rPr>
        <w:t xml:space="preserve">Osnovna svrha donošenja Generalnog plana inspekcijskih kontrola  je racionalno i ekonomično upravljanje resursima poreskog organa, prije svega kadrovskim i materijalnim, u cilju postizanja što boljih rezultata. </w:t>
      </w:r>
      <w:r w:rsidRPr="003611CF">
        <w:rPr>
          <w:rFonts w:ascii="Calibri" w:eastAsia="Times New Roman" w:hAnsi="Calibri" w:cs="Calibri"/>
          <w:szCs w:val="24"/>
          <w:lang w:val="en-GB"/>
        </w:rPr>
        <w:t xml:space="preserve">Inspekcijska kontrola i postupak provjere i utvrđivanja činjenica bitnih za oporezivanje poreskih obveznika i drugih lica, za poslovnu 2020.godinu, osnovne su aktivnosti Sektora za operativu u oblasti inspekcijskog nadzora. Funkcija inspekcijskog nadzora obuhvata: mjere, programe i postupke inspekcijskog nadzora u cilju ostvarivanja Generalnog plana kontrola za 2020.godinu, a koji se ostvaruje svakodnevnim aktivnostima poreskih službenika, koje se sprovode i prate po mjesecima. </w:t>
      </w:r>
    </w:p>
    <w:p w:rsidR="003611CF" w:rsidRPr="003611CF" w:rsidRDefault="003611CF" w:rsidP="003611CF">
      <w:pPr>
        <w:shd w:val="clear" w:color="auto" w:fill="FFFFFF"/>
        <w:spacing w:before="0" w:after="0" w:line="240" w:lineRule="auto"/>
        <w:rPr>
          <w:rFonts w:ascii="Calibri" w:eastAsia="Times New Roman" w:hAnsi="Calibri" w:cs="Calibri"/>
          <w:szCs w:val="24"/>
          <w:lang w:val="bs-Latn-BA" w:eastAsia="hr-HR"/>
        </w:rPr>
      </w:pPr>
      <w:r w:rsidRPr="003611CF">
        <w:rPr>
          <w:rFonts w:ascii="Calibri" w:eastAsia="Times New Roman" w:hAnsi="Calibri" w:cs="Calibri"/>
          <w:szCs w:val="24"/>
          <w:shd w:val="clear" w:color="auto" w:fill="FFFFFF"/>
          <w:lang w:val="bs-Latn-BA" w:eastAsia="hr-HR"/>
        </w:rPr>
        <w:tab/>
        <w:t xml:space="preserve">Zbog epidemiološke situacije izazvanje pandemijom COVID 19, od strane Ministarstva zdravlja su donijete naredbe o preduzimanju privremenih mjera za sprječavanje unošenja zaraznih bolesti u zemlju, suzbijanje i </w:t>
      </w:r>
      <w:r w:rsidRPr="003611CF">
        <w:rPr>
          <w:rFonts w:ascii="Calibri" w:eastAsia="Times New Roman" w:hAnsi="Calibri" w:cs="Calibri"/>
          <w:szCs w:val="24"/>
          <w:lang w:val="bs-Latn-BA" w:eastAsia="hr-HR"/>
        </w:rPr>
        <w:t xml:space="preserve">sprječavanje prenošenja korona virusa (COVID 19), koje su za rezultat imale smanjen obim aktivnosti privrednih subjekata: mikro, malih i srednjih privrednih društava, posebno iz oblasti turističke privrede, što je prouzrokovalo znatno manji broj izvršenih kontrola u 2020.godinu u odnosu na isti period prethodne godine. Programom pružanja podrške privredi i zaposlenima, u cilju ublažavanja negativnih efekata epidemije  korona virusa  Covid 19, donijetog od </w:t>
      </w:r>
      <w:r w:rsidRPr="003611CF">
        <w:rPr>
          <w:rFonts w:ascii="Calibri" w:eastAsia="Times New Roman" w:hAnsi="Calibri" w:cs="Calibri"/>
          <w:szCs w:val="24"/>
          <w:lang w:val="bs-Latn-BA" w:eastAsia="hr-HR"/>
        </w:rPr>
        <w:lastRenderedPageBreak/>
        <w:t xml:space="preserve">strane Vlade Crne Gore, definisane su i mjere koje imaju za cilj pružanje podrške privredi i zaposlenima, koji su ugroženi usljed aktivnosti preduzetih u cilju sprječavanja širenja korona virusa. </w:t>
      </w:r>
    </w:p>
    <w:p w:rsidR="003611CF" w:rsidRPr="003611CF" w:rsidRDefault="003611CF" w:rsidP="003611CF">
      <w:pPr>
        <w:spacing w:before="0" w:after="0" w:line="240" w:lineRule="auto"/>
        <w:rPr>
          <w:rFonts w:ascii="Calibri" w:eastAsia="Times New Roman" w:hAnsi="Calibri" w:cs="Calibri"/>
          <w:b/>
          <w:szCs w:val="24"/>
          <w:lang w:val="en-GB"/>
        </w:rPr>
      </w:pPr>
    </w:p>
    <w:p w:rsidR="003611CF" w:rsidRPr="003611CF" w:rsidRDefault="002F47AD" w:rsidP="002F47AD">
      <w:pPr>
        <w:spacing w:before="0" w:line="240" w:lineRule="auto"/>
        <w:rPr>
          <w:rFonts w:ascii="Calibri" w:eastAsia="Times New Roman" w:hAnsi="Calibri" w:cs="Calibri"/>
          <w:b/>
          <w:szCs w:val="24"/>
          <w:lang w:val="en-GB"/>
        </w:rPr>
      </w:pPr>
      <w:r>
        <w:rPr>
          <w:rFonts w:ascii="Calibri" w:eastAsia="Times New Roman" w:hAnsi="Calibri" w:cs="Calibri"/>
          <w:b/>
          <w:szCs w:val="24"/>
          <w:lang w:val="en-GB"/>
        </w:rPr>
        <w:t>ODSJEK ZA INSPEKCIJSKI NADZOR</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 xml:space="preserve">Aktivnosti  inspektora Odsjeka za inspekcijski nadzor u periodu 01.01-31.12.2020.godine odnosile su se u značajnom dijelu na: analizu mjesečnih izvještaja o radu područnih jedinica - filijala za inspekcijski nadzor; izradu instrukcija za rad u područnim jedinicama; pripremanje mišljenja, odgovora i tumačenja drugim državnim organima, područnim jedinicama i poreskim obveznicima, kao i informacija o sprovođenju poreske politike; </w:t>
      </w:r>
      <w:r w:rsidRPr="003611CF">
        <w:rPr>
          <w:rFonts w:ascii="Calibri" w:eastAsia="Times New Roman" w:hAnsi="Calibri" w:cs="Calibri"/>
          <w:szCs w:val="24"/>
        </w:rPr>
        <w:t xml:space="preserve">izradu posebnih naloga za postupanje filijalama za inspekcijski nadzor PJ, kao i </w:t>
      </w:r>
      <w:r w:rsidRPr="003611CF">
        <w:rPr>
          <w:rFonts w:ascii="Calibri" w:eastAsia="Times New Roman" w:hAnsi="Calibri" w:cs="Calibri"/>
          <w:szCs w:val="24"/>
          <w:lang w:val="en-GB"/>
        </w:rPr>
        <w:t>vršenje odabira poreskih obveznika za kontrolu putem procjene rizika.</w:t>
      </w:r>
    </w:p>
    <w:p w:rsidR="003611CF" w:rsidRPr="003611CF" w:rsidRDefault="003611CF" w:rsidP="003611CF">
      <w:pPr>
        <w:spacing w:before="0" w:after="0" w:line="240" w:lineRule="auto"/>
        <w:rPr>
          <w:rFonts w:ascii="Calibri" w:eastAsia="Times New Roman" w:hAnsi="Calibri" w:cs="Calibri"/>
          <w:szCs w:val="24"/>
        </w:rPr>
      </w:pPr>
      <w:r w:rsidRPr="003611CF">
        <w:rPr>
          <w:rFonts w:ascii="Calibri" w:eastAsia="Times New Roman" w:hAnsi="Calibri" w:cs="Calibri"/>
          <w:szCs w:val="24"/>
        </w:rPr>
        <w:tab/>
        <w:t xml:space="preserve">U  izvještajnom periodu, poreski inspektori Odsjeka za inspekcijski nadzor su vršili sljedeće aktivnosti:  </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eastAsia="hr-HR"/>
        </w:rPr>
      </w:pPr>
      <w:r w:rsidRPr="003611CF">
        <w:rPr>
          <w:rFonts w:ascii="Calibri" w:eastAsia="Times New Roman" w:hAnsi="Calibri" w:cs="Calibri"/>
          <w:szCs w:val="24"/>
          <w:lang w:eastAsia="hr-HR"/>
        </w:rPr>
        <w:t>Izradu godišnjeg izvještaja o radu inspektora za 2019.godinu (MIOZK, MIPPR, IOPPDV) i mjesečnih izvještaja za period januar – novembar 2020.godine;</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eastAsia="hr-HR"/>
        </w:rPr>
      </w:pPr>
      <w:r w:rsidRPr="003611CF">
        <w:rPr>
          <w:rFonts w:ascii="Calibri" w:eastAsia="Times New Roman" w:hAnsi="Calibri" w:cs="Calibri"/>
          <w:szCs w:val="24"/>
          <w:lang w:eastAsia="hr-HR"/>
        </w:rPr>
        <w:t>Izradu kvartalnog, polugodišnjeg i devetomjesečnog izvještaja o radu Sektora za operativu u oblasti inspekcijskog nadzora za 2020.godinu;</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eastAsia="hr-HR"/>
        </w:rPr>
      </w:pPr>
      <w:r w:rsidRPr="003611CF">
        <w:rPr>
          <w:rFonts w:ascii="Calibri" w:eastAsia="Times New Roman" w:hAnsi="Calibri" w:cs="Calibri"/>
          <w:szCs w:val="24"/>
          <w:lang w:val="hr-HR" w:eastAsia="hr-HR"/>
        </w:rPr>
        <w:t>Izradu godišnjeg izvještaja o sprovedenim aktivnostima Poreske uprave na suzbijanju sive ekonomije za 2019.godinu;</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eastAsia="hr-HR"/>
        </w:rPr>
      </w:pPr>
      <w:r w:rsidRPr="003611CF">
        <w:rPr>
          <w:rFonts w:ascii="Calibri" w:eastAsia="Times New Roman" w:hAnsi="Calibri" w:cs="Calibri"/>
          <w:szCs w:val="24"/>
          <w:lang w:eastAsia="hr-HR"/>
        </w:rPr>
        <w:t>Sačinjavanje izvještaja o realizaciji plana aktivnosti, za rizik koji se odnosi na netačno prijavljivanje podataka u prijavama/ izvještavanje;</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eastAsia="hr-HR"/>
        </w:rPr>
      </w:pPr>
      <w:r w:rsidRPr="003611CF">
        <w:rPr>
          <w:rFonts w:ascii="Calibri" w:eastAsia="Times New Roman" w:hAnsi="Calibri" w:cs="Calibri"/>
          <w:szCs w:val="24"/>
          <w:lang w:eastAsia="hr-HR"/>
        </w:rPr>
        <w:t>Izvještavanje o ostvarenju aktivnosti iz Reformskog plana za 2020.godinu;</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eastAsia="hr-HR"/>
        </w:rPr>
      </w:pPr>
      <w:r w:rsidRPr="003611CF">
        <w:rPr>
          <w:rFonts w:ascii="Calibri" w:eastAsia="Times New Roman" w:hAnsi="Calibri" w:cs="Calibri"/>
          <w:szCs w:val="24"/>
          <w:lang w:eastAsia="hr-HR"/>
        </w:rPr>
        <w:t xml:space="preserve">Izvještavanje o realizaciji aktivnosti po preporukama MMF-a; </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eastAsia="hr-HR"/>
        </w:rPr>
      </w:pPr>
      <w:r w:rsidRPr="003611CF">
        <w:rPr>
          <w:rFonts w:ascii="Calibri" w:eastAsia="Times New Roman" w:hAnsi="Calibri" w:cs="Calibri"/>
          <w:szCs w:val="24"/>
          <w:lang w:eastAsia="hr-HR"/>
        </w:rPr>
        <w:t>Realizacija preporuke Ministarstva finansija - Odjeljenja za unutrašnju reviziju u dijelu sačinjavanja Izjave o nepristrasnosti i Izjavu o konfliktu interesa;</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eastAsia="hr-HR"/>
        </w:rPr>
      </w:pPr>
      <w:r w:rsidRPr="003611CF">
        <w:rPr>
          <w:rFonts w:ascii="Calibri" w:eastAsia="Times New Roman" w:hAnsi="Calibri" w:cs="Calibri"/>
          <w:szCs w:val="24"/>
          <w:lang w:eastAsia="hr-HR"/>
        </w:rPr>
        <w:t>Sačinjavanje kvartalnih izvještaja po osnovu inikatora za mjerenje uspješnosti u dijelu inspekcije;</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eastAsia="hr-HR"/>
        </w:rPr>
        <w:t>Izradu izvještaja o isplaćenim honorarima i obračunatom porezu po odbitku na prihod po osnovu  autorskih honorara isplaćenih  izvodjačima za vrijeme novogodišnjih praznika;</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bCs/>
          <w:szCs w:val="24"/>
          <w:lang w:val="sl-SI" w:eastAsia="hr-HR"/>
        </w:rPr>
        <w:t xml:space="preserve"> Izvještaj o upravnom postupku predmeta po žalbi za 2019.godinu;</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eastAsia="hr-HR"/>
        </w:rPr>
      </w:pPr>
      <w:r w:rsidRPr="003611CF">
        <w:rPr>
          <w:rFonts w:ascii="Calibri" w:eastAsia="Times New Roman" w:hAnsi="Calibri" w:cs="Calibri"/>
          <w:bCs/>
          <w:szCs w:val="24"/>
          <w:lang w:val="sl-SI" w:eastAsia="hr-HR"/>
        </w:rPr>
        <w:t>Izrade i analize izvještaja o upravnom postupku predmeta po žalbi za I, II i III kvartal 2020.godine, koji se odnose na filijale za inspekcijski nadzor;</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eastAsia="hr-HR"/>
        </w:rPr>
      </w:pPr>
      <w:r w:rsidRPr="003611CF">
        <w:rPr>
          <w:rFonts w:ascii="Calibri" w:eastAsia="Times New Roman" w:hAnsi="Calibri" w:cs="Calibri"/>
          <w:szCs w:val="24"/>
          <w:lang w:eastAsia="hr-HR"/>
        </w:rPr>
        <w:t>Sačinjavanje izvještaja po preporukama eksperta MMF-a za period januar – novembar 2020.godine, u dijelu izdvajanja kontrola koje se odnose na stečaj, likvidaciju, povraćaj PDV...</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eastAsia="hr-HR"/>
        </w:rPr>
      </w:pPr>
      <w:r w:rsidRPr="003611CF">
        <w:rPr>
          <w:rFonts w:ascii="Calibri" w:eastAsia="Times New Roman" w:hAnsi="Calibri" w:cs="Calibri"/>
          <w:szCs w:val="24"/>
          <w:lang w:eastAsia="hr-HR"/>
        </w:rPr>
        <w:t>Praćenje rada filijala za inspekcijski nadzor područnih jedinica i analize mjesečnih izvještaja o izvršenim kontrolama;</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eastAsia="hr-HR"/>
        </w:rPr>
      </w:pPr>
      <w:r w:rsidRPr="003611CF">
        <w:rPr>
          <w:rFonts w:ascii="Calibri" w:eastAsia="Times New Roman" w:hAnsi="Calibri" w:cs="Calibri"/>
          <w:szCs w:val="24"/>
          <w:lang w:val="hr-HR" w:eastAsia="hr-HR"/>
        </w:rPr>
        <w:t>Provjeru blagovremenog unošenja podataka i priloga (zapisnici o izvršenom inspekcijskom nadzoru i rješenja donijeta u postupku nadzora) u aplikaciju “Inspekcijski nadzor” od strane poreskih inspektora, nakon sprovedenog postupka inspekcijskog nadzora;</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eastAsia="hr-HR"/>
        </w:rPr>
      </w:pPr>
      <w:r w:rsidRPr="003611CF">
        <w:rPr>
          <w:rFonts w:ascii="Calibri" w:eastAsia="Times New Roman" w:hAnsi="Calibri" w:cs="Calibri"/>
          <w:szCs w:val="24"/>
          <w:lang w:eastAsia="hr-HR"/>
        </w:rPr>
        <w:t xml:space="preserve">Dostavljanje mišljenja i instrukcija poreskim inspektorima radi prevazilaženja eventualnih nedoumica u postupanju tokom vršenja inspekcijskog nadzora; </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eastAsia="hr-HR"/>
        </w:rPr>
      </w:pPr>
      <w:r w:rsidRPr="003611CF">
        <w:rPr>
          <w:rFonts w:ascii="Calibri" w:eastAsia="Times New Roman" w:hAnsi="Calibri" w:cs="Calibri"/>
          <w:szCs w:val="24"/>
          <w:lang w:val="hr-HR" w:eastAsia="hr-HR"/>
        </w:rPr>
        <w:t>Rad na unapredjenju aplikacije IN, u cilju obezbjeđenja potrebnog izvještavanja za potrebe poreske kontrole;</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eastAsia="hr-HR"/>
        </w:rPr>
      </w:pPr>
      <w:r w:rsidRPr="003611CF">
        <w:rPr>
          <w:rFonts w:ascii="Calibri" w:eastAsia="Times New Roman" w:hAnsi="Calibri" w:cs="Calibri"/>
          <w:szCs w:val="24"/>
          <w:lang w:val="hr-HR" w:eastAsia="hr-HR"/>
        </w:rPr>
        <w:t>Analize rada poreskih inspektora za period 2016.-2019.godina;</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eastAsia="hr-HR"/>
        </w:rPr>
      </w:pPr>
      <w:r w:rsidRPr="003611CF">
        <w:rPr>
          <w:rFonts w:ascii="Calibri" w:eastAsia="Times New Roman" w:hAnsi="Calibri" w:cs="Calibri"/>
          <w:szCs w:val="24"/>
          <w:lang w:val="hr-HR" w:eastAsia="hr-HR"/>
        </w:rPr>
        <w:t>Izrade Plana aktivnosti Sektora za operativu u oblasti inspekcijskog nadzora za 2021.godinu;</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eastAsia="hr-HR"/>
        </w:rPr>
      </w:pPr>
      <w:r w:rsidRPr="003611CF">
        <w:rPr>
          <w:rFonts w:ascii="Calibri" w:eastAsia="Times New Roman" w:hAnsi="Calibri" w:cs="Calibri"/>
          <w:szCs w:val="24"/>
          <w:lang w:val="hr-HR" w:eastAsia="hr-HR"/>
        </w:rPr>
        <w:t>Podnošenje zahtjeva za pokretanje prekršajnog postupka kod 851 poreskog obveznika zbog nepodnošenja prijave poreza na dobit pravnih lica za 2019.godinu;</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 xml:space="preserve">Sačinjavanje izvještaja o efektima korekcija (analitika i sintetika) za period 2016. -2019. godina po područnim jedinicama, a po kriterijumu – rangiranje efekata korekcija po iznosima („bez </w:t>
      </w:r>
      <w:r w:rsidRPr="003611CF">
        <w:rPr>
          <w:rFonts w:ascii="Calibri" w:eastAsia="Times New Roman" w:hAnsi="Calibri" w:cs="Calibri"/>
          <w:szCs w:val="24"/>
          <w:lang w:val="hr-HR" w:eastAsia="hr-HR"/>
        </w:rPr>
        <w:lastRenderedPageBreak/>
        <w:t>nepravilnosti“; „do 50.000,00“; 50.001,00 -  100.000,00“; „100.001,00 – 1.000.000,00“ i preko „1.000.000,00“);</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eastAsia="hr-HR"/>
        </w:rPr>
      </w:pPr>
      <w:r w:rsidRPr="003611CF">
        <w:rPr>
          <w:rFonts w:ascii="Calibri" w:eastAsia="Times New Roman" w:hAnsi="Calibri" w:cs="Calibri"/>
          <w:szCs w:val="24"/>
          <w:lang w:eastAsia="hr-HR"/>
        </w:rPr>
        <w:t>Izrada Izvještaja o realizaciji aktivnosti Strategije razvoja mikro, malih i srednjih preduzeća u Crnoj Gori za 2019.godinu u dijelu nadležnosti Poreske uprave;</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eastAsia="hr-HR"/>
        </w:rPr>
      </w:pPr>
      <w:r w:rsidRPr="003611CF">
        <w:rPr>
          <w:rFonts w:ascii="Calibri" w:eastAsia="Times New Roman" w:hAnsi="Calibri" w:cs="Calibri"/>
          <w:szCs w:val="24"/>
          <w:lang w:eastAsia="hr-HR"/>
        </w:rPr>
        <w:t xml:space="preserve">Saglasnost  o priznavanju  prava na paušalnu nadoknadu ulaznog PDV poljoprivrednom proizvodjaču; </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eastAsia="hr-HR"/>
        </w:rPr>
      </w:pPr>
      <w:r w:rsidRPr="003611CF">
        <w:rPr>
          <w:rFonts w:ascii="Calibri" w:eastAsia="Times New Roman" w:hAnsi="Calibri" w:cs="Calibri"/>
          <w:szCs w:val="24"/>
          <w:lang w:val="hr-HR" w:eastAsia="hr-HR"/>
        </w:rPr>
        <w:t>Odabir poreskih obveznika za kontrolu (2021.godine) na osnovu kriterijuma za procjenu rizika;</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eastAsia="hr-HR"/>
        </w:rPr>
      </w:pPr>
      <w:r w:rsidRPr="003611CF">
        <w:rPr>
          <w:rFonts w:ascii="Calibri" w:eastAsia="Times New Roman" w:hAnsi="Calibri" w:cs="Calibri"/>
          <w:szCs w:val="24"/>
          <w:lang w:eastAsia="hr-HR"/>
        </w:rPr>
        <w:t>Dostavljanje carinskih podataka o uvozu i izvozu, po zahtjevima poreskih inspektora PJ (54);</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eastAsia="hr-HR"/>
        </w:rPr>
      </w:pPr>
      <w:r w:rsidRPr="003611CF">
        <w:rPr>
          <w:rFonts w:ascii="Calibri" w:eastAsia="Times New Roman" w:hAnsi="Calibri" w:cs="Calibri"/>
          <w:szCs w:val="24"/>
          <w:lang w:eastAsia="hr-HR"/>
        </w:rPr>
        <w:t>Sačinjavanje odgovora po zahtjevima poreskih obveznika (199);</w:t>
      </w:r>
    </w:p>
    <w:p w:rsidR="003611CF" w:rsidRPr="003611CF" w:rsidRDefault="003611CF" w:rsidP="004D6CB4">
      <w:pPr>
        <w:numPr>
          <w:ilvl w:val="0"/>
          <w:numId w:val="135"/>
        </w:numPr>
        <w:spacing w:before="0" w:after="0" w:line="240" w:lineRule="auto"/>
        <w:ind w:left="0" w:firstLine="360"/>
        <w:jc w:val="left"/>
        <w:rPr>
          <w:rFonts w:ascii="Calibri" w:eastAsia="Times New Roman" w:hAnsi="Calibri" w:cs="Calibri"/>
          <w:szCs w:val="24"/>
          <w:lang w:val="hr-HR"/>
        </w:rPr>
      </w:pPr>
      <w:r w:rsidRPr="003611CF">
        <w:rPr>
          <w:rFonts w:ascii="Calibri" w:eastAsia="Times New Roman" w:hAnsi="Calibri" w:cs="Calibri"/>
          <w:szCs w:val="24"/>
          <w:lang w:val="hr-HR"/>
        </w:rPr>
        <w:t>Mišljenje po zahtjevu Komore procjenitelja Crne Gore;</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eastAsia="hr-HR"/>
        </w:rPr>
        <w:t>Učešće u postupku otvaranja, vrednovanja ponuda i sačinjavanje zapisnika u postupku po raspisanim  javnim tenderima poreskog organa (12);</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eastAsia="hr-HR"/>
        </w:rPr>
        <w:t>Učešće u donošenju Plana obuka u dijelu tema iz oblasti inspekcijskog nadzora;</w:t>
      </w:r>
    </w:p>
    <w:p w:rsidR="003611CF" w:rsidRPr="003611CF" w:rsidRDefault="003611CF" w:rsidP="004D6CB4">
      <w:pPr>
        <w:numPr>
          <w:ilvl w:val="0"/>
          <w:numId w:val="135"/>
        </w:numPr>
        <w:spacing w:before="0" w:after="0" w:line="240" w:lineRule="auto"/>
        <w:ind w:left="0" w:firstLine="360"/>
        <w:jc w:val="left"/>
        <w:rPr>
          <w:rFonts w:ascii="Calibri" w:eastAsia="Calibri" w:hAnsi="Calibri" w:cs="Calibri"/>
          <w:szCs w:val="24"/>
        </w:rPr>
      </w:pPr>
      <w:r w:rsidRPr="003611CF">
        <w:rPr>
          <w:rFonts w:ascii="Calibri" w:eastAsia="Calibri" w:hAnsi="Calibri" w:cs="Calibri"/>
          <w:szCs w:val="24"/>
        </w:rPr>
        <w:t>Izrada -Tenderske dokumnetnacije  za otvoreni postupak javne nabavke usluge – Održavanje i nadogradnja inforamcionog sistema CRPS;</w:t>
      </w:r>
    </w:p>
    <w:p w:rsidR="003611CF" w:rsidRPr="003611CF" w:rsidRDefault="003611CF" w:rsidP="004D6CB4">
      <w:pPr>
        <w:numPr>
          <w:ilvl w:val="0"/>
          <w:numId w:val="135"/>
        </w:numPr>
        <w:spacing w:before="0" w:after="0" w:line="240" w:lineRule="auto"/>
        <w:ind w:left="0" w:firstLine="360"/>
        <w:jc w:val="left"/>
        <w:rPr>
          <w:rFonts w:ascii="Calibri" w:eastAsia="Calibri" w:hAnsi="Calibri" w:cs="Calibri"/>
          <w:szCs w:val="24"/>
        </w:rPr>
      </w:pPr>
      <w:r w:rsidRPr="003611CF">
        <w:rPr>
          <w:rFonts w:ascii="Calibri" w:eastAsia="Calibri" w:hAnsi="Calibri" w:cs="Calibri"/>
          <w:szCs w:val="24"/>
        </w:rPr>
        <w:t xml:space="preserve">Dostavljanje predmeta na dalju nadležnost Upravi policije (53), </w:t>
      </w:r>
      <w:r w:rsidRPr="003611CF">
        <w:rPr>
          <w:rFonts w:ascii="Calibri" w:eastAsia="Times New Roman" w:hAnsi="Calibri" w:cs="Calibri"/>
          <w:szCs w:val="24"/>
          <w:lang w:val="hr-HR"/>
        </w:rPr>
        <w:t xml:space="preserve">kako bi se utvrdilo da li u radnjama preduzetnika, pravnih lica i odgovornih lica u pravnom licu ima elemenata krivičnog djela za koje se gonjenje preduzima po službenoj dužnosti; </w:t>
      </w:r>
    </w:p>
    <w:p w:rsidR="003611CF" w:rsidRPr="003611CF" w:rsidRDefault="003611CF" w:rsidP="004D6CB4">
      <w:pPr>
        <w:numPr>
          <w:ilvl w:val="0"/>
          <w:numId w:val="135"/>
        </w:numPr>
        <w:spacing w:before="0" w:after="0" w:line="240" w:lineRule="auto"/>
        <w:ind w:left="0" w:firstLine="360"/>
        <w:jc w:val="left"/>
        <w:rPr>
          <w:rFonts w:ascii="Calibri" w:eastAsia="Calibri" w:hAnsi="Calibri" w:cs="Calibri"/>
          <w:szCs w:val="24"/>
          <w:lang w:val="en-US"/>
        </w:rPr>
      </w:pPr>
      <w:r w:rsidRPr="003611CF">
        <w:rPr>
          <w:rFonts w:ascii="Calibri" w:eastAsia="Calibri" w:hAnsi="Calibri" w:cs="Calibri"/>
          <w:szCs w:val="24"/>
        </w:rPr>
        <w:t>Dostavljanje dokumentacije i informacija po zahtjevima Specijalnog državnog tužilaštva (49), Osnovnog državnog tužilaštva (5), Uprave policije (145); Agencija za sprječavanje korupcije (1);</w:t>
      </w:r>
    </w:p>
    <w:p w:rsidR="003611CF" w:rsidRPr="003611CF" w:rsidRDefault="003611CF" w:rsidP="004D6CB4">
      <w:pPr>
        <w:numPr>
          <w:ilvl w:val="0"/>
          <w:numId w:val="135"/>
        </w:numPr>
        <w:spacing w:before="0" w:after="0" w:line="240" w:lineRule="auto"/>
        <w:ind w:left="0" w:firstLine="360"/>
        <w:jc w:val="left"/>
        <w:rPr>
          <w:rFonts w:ascii="Calibri" w:eastAsia="Calibri" w:hAnsi="Calibri" w:cs="Calibri"/>
          <w:szCs w:val="24"/>
          <w:lang w:val="en-US"/>
        </w:rPr>
      </w:pPr>
      <w:r w:rsidRPr="003611CF">
        <w:rPr>
          <w:rFonts w:ascii="Calibri" w:eastAsia="Calibri" w:hAnsi="Calibri" w:cs="Calibri"/>
          <w:szCs w:val="24"/>
        </w:rPr>
        <w:t xml:space="preserve">Sačinjavanje </w:t>
      </w:r>
      <w:r w:rsidRPr="003611CF">
        <w:rPr>
          <w:rFonts w:ascii="Calibri" w:eastAsia="Calibri" w:hAnsi="Calibri" w:cs="Calibri"/>
          <w:szCs w:val="24"/>
          <w:lang w:val="hr-HR"/>
        </w:rPr>
        <w:t>Informacije o planiranim aktivnostima koje su u nadležnosti Poreske uprave radi sprovođenja Akcionog plana Strategije razvoja mikro, malih i srednjih preduzeća u Crnoj Gori za  2020.godine</w:t>
      </w:r>
      <w:r w:rsidRPr="003611CF">
        <w:rPr>
          <w:rFonts w:ascii="Calibri" w:eastAsia="Calibri" w:hAnsi="Calibri" w:cs="Calibri"/>
          <w:szCs w:val="24"/>
          <w:lang w:val="en-US"/>
        </w:rPr>
        <w:t>;</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eastAsia="hr-HR"/>
        </w:rPr>
      </w:pPr>
      <w:r w:rsidRPr="003611CF">
        <w:rPr>
          <w:rFonts w:ascii="Calibri" w:eastAsia="Times New Roman" w:hAnsi="Calibri" w:cs="Calibri"/>
          <w:szCs w:val="24"/>
          <w:lang w:val="hr-HR" w:eastAsia="hr-HR"/>
        </w:rPr>
        <w:t xml:space="preserve">Informacija </w:t>
      </w:r>
      <w:r w:rsidRPr="003611CF">
        <w:rPr>
          <w:rFonts w:ascii="Calibri" w:eastAsia="Times New Roman" w:hAnsi="Calibri" w:cs="Calibri"/>
          <w:szCs w:val="24"/>
          <w:lang w:eastAsia="hr-HR"/>
        </w:rPr>
        <w:t xml:space="preserve">po zahtjevu </w:t>
      </w:r>
      <w:r w:rsidRPr="003611CF">
        <w:rPr>
          <w:rFonts w:ascii="Calibri" w:eastAsia="Times New Roman" w:hAnsi="Calibri" w:cs="Calibri"/>
          <w:szCs w:val="24"/>
          <w:lang w:val="hr-HR" w:eastAsia="hr-HR"/>
        </w:rPr>
        <w:t>Ministarstva ekonomije u dijelu Studije opravdanosti uvođenja poreskih olakšica za mala i srednja preduzeća koja odlučuju da investiraju u digitalnu transformaciju, kao i raspoloživost podataka navedenih u dostavljenom upitniku;</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eastAsia="hr-HR"/>
        </w:rPr>
      </w:pPr>
      <w:r w:rsidRPr="003611CF">
        <w:rPr>
          <w:rFonts w:ascii="Calibri" w:eastAsia="Times New Roman" w:hAnsi="Calibri" w:cs="Calibri"/>
          <w:szCs w:val="24"/>
          <w:lang w:eastAsia="hr-HR"/>
        </w:rPr>
        <w:t>U okviru projekta „Reforma poreske administracije“, učešće u radu podtimova: e-kontrola, transferne cijene, povraćaj PDV i analiza rizika i učešće u izradi FRD dokumenta – „to be“ stanje za Radni tim Poreska kontrola i Radni tim za borbu protiv prevara i krivičnih istraga;</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bCs/>
          <w:szCs w:val="24"/>
          <w:lang w:val="sl-SI" w:eastAsia="hr-HR"/>
        </w:rPr>
        <w:t>Sastanak sa predstavnicima taxi prevoznika u organizaciji Unije poslodavaca;</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bCs/>
          <w:szCs w:val="24"/>
          <w:lang w:val="sl-SI" w:eastAsia="hr-HR"/>
        </w:rPr>
      </w:pPr>
      <w:r w:rsidRPr="003611CF">
        <w:rPr>
          <w:rFonts w:ascii="Calibri" w:eastAsia="Times New Roman" w:hAnsi="Calibri" w:cs="Calibri"/>
          <w:bCs/>
          <w:szCs w:val="24"/>
          <w:lang w:val="sl-SI" w:eastAsia="hr-HR"/>
        </w:rPr>
        <w:t>Sastanak sa menadžerkom regionalnog projekta Platforma za zapošljavanje i socijalna pitanja;</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Rad na izradi podzakonskih akata vezanih za e-fiskalizaciju;</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Rad u Radnoj grupi "Migracije i reintegracija";</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Učešće u radu  Radne grupe za pregovaračko poglavlje 29 - Carinska unija;</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Učešće u radnoj grupi u organizaciji Privredne komore – Projekat Njemačke organizacije GIZ;</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Učešće na projektu Suzbijanje neprijavljenog rada na području zapadnog Balkana;</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Rad na izradi Strategije unapređenja inspekcijskog nadzora sa ekspertom MMF-a;</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Rad u Radnoj grupi za prikupljanje podataka od drugih organa;</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eastAsia="hr-HR"/>
        </w:rPr>
      </w:pPr>
      <w:r w:rsidRPr="003611CF">
        <w:rPr>
          <w:rFonts w:ascii="Calibri" w:eastAsia="Times New Roman" w:hAnsi="Calibri" w:cs="Calibri"/>
          <w:szCs w:val="24"/>
          <w:lang w:eastAsia="hr-HR"/>
        </w:rPr>
        <w:t>Seminar na temu – „Mogućnost smanjenja poreskog opterećenja na zarade“;</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eastAsia="hr-HR"/>
        </w:rPr>
      </w:pPr>
      <w:r w:rsidRPr="003611CF">
        <w:rPr>
          <w:rFonts w:ascii="Calibri" w:eastAsia="Times New Roman" w:hAnsi="Calibri" w:cs="Calibri"/>
          <w:szCs w:val="24"/>
          <w:lang w:val="hr-HR" w:eastAsia="hr-HR"/>
        </w:rPr>
        <w:t>Učešće na seminaru "poreski savjetnik“;</w:t>
      </w:r>
    </w:p>
    <w:p w:rsidR="003611CF" w:rsidRPr="003611CF" w:rsidRDefault="003611CF" w:rsidP="004D6CB4">
      <w:pPr>
        <w:numPr>
          <w:ilvl w:val="0"/>
          <w:numId w:val="135"/>
        </w:numPr>
        <w:spacing w:before="0" w:after="0" w:line="240" w:lineRule="auto"/>
        <w:ind w:left="0" w:firstLine="360"/>
        <w:contextualSpacing/>
        <w:jc w:val="left"/>
        <w:rPr>
          <w:rFonts w:ascii="Calibri" w:eastAsia="Times New Roman" w:hAnsi="Calibri" w:cs="Calibri"/>
          <w:szCs w:val="24"/>
          <w:lang w:eastAsia="hr-HR"/>
        </w:rPr>
      </w:pPr>
      <w:r w:rsidRPr="003611CF">
        <w:rPr>
          <w:rFonts w:ascii="Calibri" w:eastAsia="Times New Roman" w:hAnsi="Calibri" w:cs="Calibri"/>
          <w:szCs w:val="24"/>
          <w:lang w:val="hr-HR" w:eastAsia="hr-HR"/>
        </w:rPr>
        <w:t>Učešće na seminaru za zvanje finansijski forenzičar”;</w:t>
      </w:r>
    </w:p>
    <w:p w:rsidR="003611CF" w:rsidRPr="003611CF" w:rsidRDefault="003611CF" w:rsidP="004D6CB4">
      <w:pPr>
        <w:numPr>
          <w:ilvl w:val="0"/>
          <w:numId w:val="135"/>
        </w:numPr>
        <w:spacing w:before="0" w:after="0" w:line="240" w:lineRule="auto"/>
        <w:ind w:left="0" w:firstLine="360"/>
        <w:jc w:val="left"/>
        <w:rPr>
          <w:rFonts w:ascii="Calibri" w:eastAsia="Times New Roman" w:hAnsi="Calibri" w:cs="Calibri"/>
          <w:szCs w:val="24"/>
          <w:lang w:val="hr-HR"/>
        </w:rPr>
      </w:pPr>
      <w:r w:rsidRPr="003611CF">
        <w:rPr>
          <w:rFonts w:ascii="Calibri" w:eastAsia="Times New Roman" w:hAnsi="Calibri" w:cs="Calibri"/>
          <w:szCs w:val="24"/>
          <w:lang w:val="hr-HR"/>
        </w:rPr>
        <w:t>Sastanci sa konsultantima na Projektu za borbu protiv ekonomskog kriminala u Crnoj Gori, vezano za realizaciju aktivnosti usmjerenih na jačanje kapaciteta za borbu protiv poreske utaje;</w:t>
      </w:r>
    </w:p>
    <w:p w:rsidR="003611CF" w:rsidRPr="003611CF" w:rsidRDefault="003611CF" w:rsidP="004D6CB4">
      <w:pPr>
        <w:numPr>
          <w:ilvl w:val="0"/>
          <w:numId w:val="135"/>
        </w:numPr>
        <w:spacing w:before="0" w:after="0" w:line="240" w:lineRule="auto"/>
        <w:ind w:left="0" w:firstLine="360"/>
        <w:jc w:val="left"/>
        <w:rPr>
          <w:rFonts w:ascii="Calibri" w:eastAsia="Times New Roman" w:hAnsi="Calibri" w:cs="Calibri"/>
          <w:szCs w:val="24"/>
          <w:lang w:val="hr-HR"/>
        </w:rPr>
      </w:pPr>
      <w:r w:rsidRPr="003611CF">
        <w:rPr>
          <w:rFonts w:ascii="Calibri" w:eastAsia="Times New Roman" w:hAnsi="Calibri" w:cs="Calibri"/>
          <w:szCs w:val="24"/>
          <w:lang w:val="hr-HR"/>
        </w:rPr>
        <w:t>Učešće na radionici „Regulatorni okvir za procesuiranje slučajeva utaje poreza u Crnoj Gori“, u okviru II faze Projekta za borbu protiv ekonomskog kriminala u Crnoj Gori;</w:t>
      </w:r>
    </w:p>
    <w:p w:rsidR="003611CF" w:rsidRPr="003611CF" w:rsidRDefault="003611CF" w:rsidP="004D6CB4">
      <w:pPr>
        <w:numPr>
          <w:ilvl w:val="0"/>
          <w:numId w:val="135"/>
        </w:numPr>
        <w:spacing w:before="0" w:after="0" w:line="240" w:lineRule="auto"/>
        <w:ind w:left="0" w:firstLine="360"/>
        <w:jc w:val="left"/>
        <w:rPr>
          <w:rFonts w:ascii="Calibri" w:eastAsia="Calibri" w:hAnsi="Calibri" w:cs="Calibri"/>
          <w:szCs w:val="24"/>
          <w:lang w:val="hr-HR"/>
        </w:rPr>
      </w:pPr>
      <w:r w:rsidRPr="003611CF">
        <w:rPr>
          <w:rFonts w:ascii="Calibri" w:eastAsia="Calibri" w:hAnsi="Calibri" w:cs="Calibri"/>
          <w:szCs w:val="24"/>
          <w:lang w:val="hr-HR"/>
        </w:rPr>
        <w:lastRenderedPageBreak/>
        <w:t xml:space="preserve">Učešće u radu Radne grupe za izradu Nacionalne strategija za procjenu rizika od pranja novca i finanisranja terorizma u dijelu koji se odnosi na faktoring kompanije - ukupni ocijenjeni nivo ranjivosti na pranje novca; </w:t>
      </w:r>
    </w:p>
    <w:p w:rsidR="003611CF" w:rsidRPr="003611CF" w:rsidRDefault="003611CF" w:rsidP="004D6CB4">
      <w:pPr>
        <w:numPr>
          <w:ilvl w:val="0"/>
          <w:numId w:val="135"/>
        </w:numPr>
        <w:spacing w:before="0" w:after="0" w:line="240" w:lineRule="auto"/>
        <w:ind w:left="0" w:firstLine="360"/>
        <w:jc w:val="left"/>
        <w:rPr>
          <w:rFonts w:ascii="Calibri" w:eastAsia="Calibri" w:hAnsi="Calibri" w:cs="Calibri"/>
          <w:szCs w:val="24"/>
          <w:lang w:val="hr-HR"/>
        </w:rPr>
      </w:pPr>
      <w:r w:rsidRPr="003611CF">
        <w:rPr>
          <w:rFonts w:ascii="Calibri" w:eastAsia="Calibri" w:hAnsi="Calibri" w:cs="Calibri"/>
          <w:szCs w:val="24"/>
          <w:lang w:val="hr-HR"/>
        </w:rPr>
        <w:t>Učešće u radu Radne grupe za izradu Projektnog  zadatka – kreiranje registra fiskaliteta na državnom i lokalnom nivou;</w:t>
      </w:r>
    </w:p>
    <w:p w:rsidR="003611CF" w:rsidRPr="003611CF" w:rsidRDefault="003611CF" w:rsidP="004D6CB4">
      <w:pPr>
        <w:numPr>
          <w:ilvl w:val="0"/>
          <w:numId w:val="135"/>
        </w:numPr>
        <w:spacing w:before="0" w:after="0" w:line="240" w:lineRule="auto"/>
        <w:ind w:left="0" w:firstLine="360"/>
        <w:jc w:val="left"/>
        <w:rPr>
          <w:rFonts w:ascii="Calibri" w:eastAsia="Calibri" w:hAnsi="Calibri" w:cs="Calibri"/>
          <w:szCs w:val="24"/>
          <w:lang w:val="hr-HR"/>
        </w:rPr>
      </w:pPr>
      <w:r w:rsidRPr="003611CF">
        <w:rPr>
          <w:rFonts w:ascii="Calibri" w:eastAsia="Calibri" w:hAnsi="Calibri" w:cs="Calibri"/>
          <w:szCs w:val="24"/>
          <w:lang w:val="hr-HR"/>
        </w:rPr>
        <w:t>Ostali poslovi.</w:t>
      </w:r>
    </w:p>
    <w:p w:rsidR="003611CF" w:rsidRPr="003611CF" w:rsidRDefault="003611CF" w:rsidP="003611CF">
      <w:pPr>
        <w:spacing w:before="0" w:after="0" w:line="240" w:lineRule="auto"/>
        <w:ind w:left="720"/>
        <w:rPr>
          <w:rFonts w:ascii="Calibri" w:eastAsia="Calibri" w:hAnsi="Calibri" w:cs="Calibri"/>
          <w:szCs w:val="24"/>
          <w:lang w:val="hr-HR"/>
        </w:rPr>
      </w:pPr>
    </w:p>
    <w:p w:rsidR="003611CF" w:rsidRPr="003611CF" w:rsidRDefault="003611CF" w:rsidP="002F47AD">
      <w:pPr>
        <w:spacing w:before="0" w:line="240" w:lineRule="auto"/>
        <w:rPr>
          <w:rFonts w:ascii="Calibri" w:eastAsia="Times New Roman" w:hAnsi="Calibri" w:cs="Calibri"/>
          <w:b/>
          <w:szCs w:val="24"/>
          <w:lang w:eastAsia="hr-HR"/>
        </w:rPr>
      </w:pPr>
      <w:r w:rsidRPr="003611CF">
        <w:rPr>
          <w:rFonts w:ascii="Calibri" w:eastAsia="Times New Roman" w:hAnsi="Calibri" w:cs="Calibri"/>
          <w:b/>
          <w:szCs w:val="24"/>
          <w:lang w:eastAsia="hr-HR"/>
        </w:rPr>
        <w:t xml:space="preserve">Aktivnosti u okviru projekta  </w:t>
      </w:r>
      <w:r w:rsidR="002F47AD">
        <w:rPr>
          <w:rFonts w:ascii="Calibri" w:eastAsia="Times New Roman" w:hAnsi="Calibri" w:cs="Calibri"/>
          <w:b/>
          <w:szCs w:val="24"/>
          <w:lang w:eastAsia="hr-HR"/>
        </w:rPr>
        <w:t>„Reforma inspekcijskog nadzora“</w:t>
      </w:r>
    </w:p>
    <w:p w:rsidR="003611CF" w:rsidRPr="003611CF" w:rsidRDefault="003611CF" w:rsidP="003611CF">
      <w:pPr>
        <w:spacing w:before="0" w:after="0" w:line="240" w:lineRule="auto"/>
        <w:rPr>
          <w:rFonts w:ascii="Calibri" w:eastAsia="Calibri" w:hAnsi="Calibri" w:cs="Calibri"/>
          <w:szCs w:val="24"/>
          <w:lang w:val="hr-HR"/>
        </w:rPr>
      </w:pPr>
      <w:r w:rsidRPr="003611CF">
        <w:rPr>
          <w:rFonts w:ascii="Calibri" w:eastAsia="Calibri" w:hAnsi="Calibri" w:cs="Calibri"/>
          <w:szCs w:val="24"/>
          <w:lang w:val="hr-HR"/>
        </w:rPr>
        <w:tab/>
        <w:t>U periodu 01.09-30.11.2020.</w:t>
      </w:r>
      <w:r w:rsidR="002F47AD">
        <w:rPr>
          <w:rFonts w:ascii="Calibri" w:eastAsia="Calibri" w:hAnsi="Calibri" w:cs="Calibri"/>
          <w:szCs w:val="24"/>
          <w:lang w:val="hr-HR"/>
        </w:rPr>
        <w:t xml:space="preserve"> godine, u okviru </w:t>
      </w:r>
      <w:r w:rsidRPr="003611CF">
        <w:rPr>
          <w:rFonts w:ascii="Calibri" w:eastAsia="Calibri" w:hAnsi="Calibri" w:cs="Calibri"/>
          <w:szCs w:val="24"/>
          <w:lang w:val="hr-HR"/>
        </w:rPr>
        <w:t xml:space="preserve">navedenog Projekta, pružena je tehnička pomoć Poreskoj upravi od strane eksperata MMF-a John-a Buchanan-a i Paddy-a Faughnan-a. U Izvještaju eksperata, kao jedan od ključnih zadataka Poreske uprave, navodi se utvrđivanje tačnosti podataka u zahtjevima za povraćaj PDV-a i preduzimanje aktivnosti na pravovremenom povraćaju PDV kredita. Po ocjeni eksperta MMF-a, postojeći pristup je decentralizovan, a svaka područna jedinica ima službenike naplate i inspekcijskog nadzora koji su zaduženi za obradu, ocjenu i koordinaciju u dijelu odlučivanja po zahtjevima za povraćaj PDV-a. Ocijenjeno je da je dosadašnji pristup zastario i nije u skladu sa najboljim praksama. </w:t>
      </w:r>
    </w:p>
    <w:p w:rsidR="003611CF" w:rsidRPr="003611CF" w:rsidRDefault="003611CF" w:rsidP="003611CF">
      <w:pPr>
        <w:spacing w:before="0" w:after="0" w:line="240" w:lineRule="auto"/>
        <w:rPr>
          <w:rFonts w:ascii="Calibri" w:eastAsia="Times New Roman" w:hAnsi="Calibri" w:cs="Calibri"/>
          <w:szCs w:val="24"/>
          <w:lang w:val="en-GB" w:eastAsia="hr-HR"/>
        </w:rPr>
      </w:pPr>
      <w:r w:rsidRPr="003611CF">
        <w:rPr>
          <w:rFonts w:ascii="Calibri" w:eastAsia="Times New Roman" w:hAnsi="Calibri" w:cs="Calibri"/>
          <w:szCs w:val="24"/>
          <w:lang w:val="en-GB" w:eastAsia="hr-HR"/>
        </w:rPr>
        <w:tab/>
        <w:t>Budući da su</w:t>
      </w:r>
      <w:r w:rsidRPr="003611CF">
        <w:rPr>
          <w:rFonts w:ascii="Calibri" w:eastAsia="Times New Roman" w:hAnsi="Calibri" w:cs="Calibri"/>
          <w:szCs w:val="24"/>
          <w:lang w:val="en-GB"/>
        </w:rPr>
        <w:t xml:space="preserve"> c</w:t>
      </w:r>
      <w:r w:rsidR="002F47AD">
        <w:rPr>
          <w:rFonts w:ascii="Calibri" w:eastAsia="Times New Roman" w:hAnsi="Calibri" w:cs="Calibri"/>
          <w:szCs w:val="24"/>
          <w:lang w:val="en-GB"/>
        </w:rPr>
        <w:t>iljevi i pr</w:t>
      </w:r>
      <w:r w:rsidRPr="003611CF">
        <w:rPr>
          <w:rFonts w:ascii="Calibri" w:eastAsia="Times New Roman" w:hAnsi="Calibri" w:cs="Calibri"/>
          <w:szCs w:val="24"/>
          <w:lang w:val="en-GB"/>
        </w:rPr>
        <w:t xml:space="preserve">edlozi vezani za implementaciju, dati u Vodiču za reformu u dijelu obrade zahtjeva za povraćaj PDV kredita i izbora predmeta za kontrolu, koji je sastavni dio Izvještaja o tehničkoj pomoći, sačinjen je </w:t>
      </w:r>
      <w:r w:rsidRPr="003611CF">
        <w:rPr>
          <w:rFonts w:ascii="Calibri" w:eastAsia="Times New Roman" w:hAnsi="Calibri" w:cs="Calibri"/>
          <w:szCs w:val="24"/>
          <w:lang w:val="en-GB" w:eastAsia="hr-HR"/>
        </w:rPr>
        <w:t>nacrt Internih pravila u dijelu analize zahtjeva za povraćaj PDV kredita.</w:t>
      </w:r>
    </w:p>
    <w:p w:rsidR="003611CF" w:rsidRPr="003611CF" w:rsidRDefault="003611CF" w:rsidP="003611CF">
      <w:pPr>
        <w:tabs>
          <w:tab w:val="num" w:pos="720"/>
        </w:tabs>
        <w:spacing w:before="0" w:after="0" w:line="240" w:lineRule="auto"/>
        <w:rPr>
          <w:rFonts w:ascii="Calibri" w:eastAsia="SimSun" w:hAnsi="Calibri" w:cs="Calibri"/>
          <w:bCs/>
          <w:szCs w:val="24"/>
          <w:lang w:val="en-US"/>
        </w:rPr>
      </w:pPr>
      <w:r w:rsidRPr="003611CF">
        <w:rPr>
          <w:rFonts w:ascii="Calibri" w:eastAsia="SimSun" w:hAnsi="Calibri" w:cs="Calibri"/>
          <w:bCs/>
          <w:szCs w:val="24"/>
          <w:lang w:val="en-US"/>
        </w:rPr>
        <w:tab/>
        <w:t>Navedena posjeta je bila fokusirana na sljedeće ciljeve:</w:t>
      </w:r>
    </w:p>
    <w:p w:rsidR="003611CF" w:rsidRPr="003611CF" w:rsidRDefault="003611CF" w:rsidP="004D6CB4">
      <w:pPr>
        <w:numPr>
          <w:ilvl w:val="0"/>
          <w:numId w:val="136"/>
        </w:numPr>
        <w:spacing w:before="0" w:after="0" w:line="240" w:lineRule="auto"/>
        <w:ind w:left="0" w:firstLine="360"/>
        <w:jc w:val="left"/>
        <w:rPr>
          <w:rFonts w:ascii="Calibri" w:eastAsia="SimSun" w:hAnsi="Calibri" w:cs="Calibri"/>
          <w:szCs w:val="24"/>
          <w:lang w:val="en-US" w:eastAsia="zh-CN"/>
        </w:rPr>
      </w:pPr>
      <w:r w:rsidRPr="003611CF">
        <w:rPr>
          <w:rFonts w:ascii="Calibri" w:eastAsia="SimSun" w:hAnsi="Calibri" w:cs="Calibri"/>
          <w:szCs w:val="24"/>
          <w:lang w:val="en-US"/>
        </w:rPr>
        <w:t>Pomoć u finalizaciji Strategije za unapređenje inspekcijskog nadzora;</w:t>
      </w:r>
    </w:p>
    <w:p w:rsidR="003611CF" w:rsidRPr="003611CF" w:rsidRDefault="003611CF" w:rsidP="004D6CB4">
      <w:pPr>
        <w:numPr>
          <w:ilvl w:val="0"/>
          <w:numId w:val="136"/>
        </w:numPr>
        <w:spacing w:before="0" w:after="0" w:line="240" w:lineRule="auto"/>
        <w:ind w:left="0" w:firstLine="360"/>
        <w:jc w:val="left"/>
        <w:rPr>
          <w:rFonts w:ascii="Calibri" w:eastAsia="SimSun" w:hAnsi="Calibri" w:cs="Calibri"/>
          <w:szCs w:val="24"/>
          <w:lang w:val="en-US" w:eastAsia="zh-CN"/>
        </w:rPr>
      </w:pPr>
      <w:r w:rsidRPr="003611CF">
        <w:rPr>
          <w:rFonts w:ascii="Calibri" w:eastAsia="SimSun" w:hAnsi="Calibri" w:cs="Calibri"/>
          <w:szCs w:val="24"/>
          <w:lang w:val="en-US"/>
        </w:rPr>
        <w:t xml:space="preserve">Preporuke za izmjenu propisa koji ili predstavljaju barijeru ili su neophodni za implementaciju modernog pristupa u radu poreske inspekcije; </w:t>
      </w:r>
    </w:p>
    <w:p w:rsidR="003611CF" w:rsidRPr="003611CF" w:rsidRDefault="003611CF" w:rsidP="004D6CB4">
      <w:pPr>
        <w:numPr>
          <w:ilvl w:val="0"/>
          <w:numId w:val="136"/>
        </w:numPr>
        <w:spacing w:before="0" w:after="0" w:line="240" w:lineRule="auto"/>
        <w:ind w:left="0" w:firstLine="360"/>
        <w:jc w:val="left"/>
        <w:rPr>
          <w:rFonts w:ascii="Calibri" w:eastAsia="SimSun" w:hAnsi="Calibri" w:cs="Calibri"/>
          <w:szCs w:val="24"/>
          <w:lang w:val="en-US" w:eastAsia="zh-CN"/>
        </w:rPr>
      </w:pPr>
      <w:r w:rsidRPr="003611CF">
        <w:rPr>
          <w:rFonts w:ascii="Calibri" w:eastAsia="SimSun" w:hAnsi="Calibri" w:cs="Calibri"/>
          <w:szCs w:val="24"/>
          <w:lang w:val="en-US"/>
        </w:rPr>
        <w:t>Pomoć u usklađivanju organizacione strukture inspekcijskog nadzora i operativnih potreba, uključujući i centralizaciju izbora predmeta za kontrolu;</w:t>
      </w:r>
    </w:p>
    <w:p w:rsidR="003611CF" w:rsidRPr="003611CF" w:rsidRDefault="003611CF" w:rsidP="004D6CB4">
      <w:pPr>
        <w:numPr>
          <w:ilvl w:val="0"/>
          <w:numId w:val="136"/>
        </w:numPr>
        <w:spacing w:before="0" w:after="0" w:line="240" w:lineRule="auto"/>
        <w:ind w:left="0" w:firstLine="360"/>
        <w:jc w:val="left"/>
        <w:rPr>
          <w:rFonts w:ascii="Calibri" w:eastAsia="SimSun" w:hAnsi="Calibri" w:cs="Calibri"/>
          <w:szCs w:val="24"/>
          <w:lang w:val="en-US" w:eastAsia="zh-CN"/>
        </w:rPr>
      </w:pPr>
      <w:r w:rsidRPr="003611CF">
        <w:rPr>
          <w:rFonts w:ascii="Calibri" w:eastAsia="SimSun" w:hAnsi="Calibri" w:cs="Calibri"/>
          <w:szCs w:val="24"/>
          <w:lang w:val="en-US"/>
        </w:rPr>
        <w:t>Usmjeravanje i podrška u integraciji i upravljanju rizicima u Sektoru za VPO.</w:t>
      </w:r>
    </w:p>
    <w:p w:rsidR="003611CF" w:rsidRPr="003611CF" w:rsidRDefault="003611CF" w:rsidP="003611CF">
      <w:pPr>
        <w:spacing w:before="0" w:after="0" w:line="240" w:lineRule="auto"/>
        <w:ind w:left="360"/>
        <w:rPr>
          <w:rFonts w:ascii="Calibri" w:eastAsia="SimSun" w:hAnsi="Calibri" w:cs="Calibri"/>
          <w:szCs w:val="24"/>
          <w:lang w:val="en-US" w:eastAsia="zh-CN"/>
        </w:rPr>
      </w:pPr>
    </w:p>
    <w:p w:rsidR="003611CF" w:rsidRPr="003611CF" w:rsidRDefault="003611CF" w:rsidP="003611CF">
      <w:pPr>
        <w:spacing w:before="0" w:after="0" w:line="240" w:lineRule="auto"/>
        <w:rPr>
          <w:rFonts w:ascii="Calibri" w:eastAsia="Calibri" w:hAnsi="Calibri" w:cs="Calibri"/>
          <w:szCs w:val="24"/>
          <w:lang w:val="hr-HR"/>
        </w:rPr>
      </w:pPr>
      <w:r w:rsidRPr="003611CF">
        <w:rPr>
          <w:rFonts w:ascii="Calibri" w:eastAsia="Calibri" w:hAnsi="Calibri" w:cs="Calibri"/>
          <w:szCs w:val="24"/>
          <w:lang w:val="hr-HR"/>
        </w:rPr>
        <w:tab/>
        <w:t xml:space="preserve">U saradnji sa konsultantima MMF-a, urađen je nacrt Strategije za unapredjenje inspekcijskog nadzora i četiri strateška dokumenta u cilju unapređenja postupka inspekcijskog nadzora, i to: </w:t>
      </w:r>
    </w:p>
    <w:p w:rsidR="003611CF" w:rsidRPr="003611CF" w:rsidRDefault="003611CF" w:rsidP="004D6CB4">
      <w:pPr>
        <w:numPr>
          <w:ilvl w:val="0"/>
          <w:numId w:val="136"/>
        </w:numPr>
        <w:spacing w:before="0" w:after="0" w:line="240" w:lineRule="auto"/>
        <w:jc w:val="left"/>
        <w:rPr>
          <w:rFonts w:ascii="Calibri" w:eastAsia="Calibri" w:hAnsi="Calibri" w:cs="Calibri"/>
          <w:szCs w:val="24"/>
          <w:lang w:val="bs-Latn-BA"/>
        </w:rPr>
      </w:pPr>
      <w:r w:rsidRPr="003611CF">
        <w:rPr>
          <w:rFonts w:ascii="Calibri" w:eastAsia="Calibri" w:hAnsi="Calibri" w:cs="Calibri"/>
          <w:szCs w:val="24"/>
          <w:lang w:val="hr-HR"/>
        </w:rPr>
        <w:t>Obezbjeđenje kvaliteta kontrola;</w:t>
      </w:r>
    </w:p>
    <w:p w:rsidR="003611CF" w:rsidRPr="003611CF" w:rsidRDefault="003611CF" w:rsidP="004D6CB4">
      <w:pPr>
        <w:numPr>
          <w:ilvl w:val="0"/>
          <w:numId w:val="136"/>
        </w:numPr>
        <w:spacing w:before="0" w:after="0" w:line="240" w:lineRule="auto"/>
        <w:jc w:val="left"/>
        <w:rPr>
          <w:rFonts w:ascii="Calibri" w:eastAsia="Calibri" w:hAnsi="Calibri" w:cs="Calibri"/>
          <w:szCs w:val="24"/>
          <w:lang w:val="hr-HR"/>
        </w:rPr>
      </w:pPr>
      <w:r w:rsidRPr="003611CF">
        <w:rPr>
          <w:rFonts w:ascii="Calibri" w:eastAsia="Calibri" w:hAnsi="Calibri" w:cs="Calibri"/>
          <w:szCs w:val="24"/>
          <w:lang w:val="hr-HR"/>
        </w:rPr>
        <w:t>Procedure za odabir predmeta za kontrolu;</w:t>
      </w:r>
    </w:p>
    <w:p w:rsidR="003611CF" w:rsidRPr="003611CF" w:rsidRDefault="003611CF" w:rsidP="004D6CB4">
      <w:pPr>
        <w:numPr>
          <w:ilvl w:val="0"/>
          <w:numId w:val="136"/>
        </w:numPr>
        <w:spacing w:before="0" w:after="0" w:line="240" w:lineRule="auto"/>
        <w:jc w:val="left"/>
        <w:rPr>
          <w:rFonts w:ascii="Calibri" w:eastAsia="Times New Roman" w:hAnsi="Calibri" w:cs="Calibri"/>
          <w:szCs w:val="24"/>
          <w:lang w:val="bs-Latn-BA"/>
        </w:rPr>
      </w:pPr>
      <w:r w:rsidRPr="003611CF">
        <w:rPr>
          <w:rFonts w:ascii="Calibri" w:eastAsia="Times New Roman" w:hAnsi="Calibri" w:cs="Calibri"/>
          <w:szCs w:val="24"/>
          <w:lang w:val="bs-Latn-BA"/>
        </w:rPr>
        <w:t>Struktura i metodologija realizacije plana i</w:t>
      </w:r>
    </w:p>
    <w:p w:rsidR="003611CF" w:rsidRPr="003611CF" w:rsidRDefault="003611CF" w:rsidP="004D6CB4">
      <w:pPr>
        <w:numPr>
          <w:ilvl w:val="0"/>
          <w:numId w:val="136"/>
        </w:numPr>
        <w:spacing w:before="0" w:after="0" w:line="240" w:lineRule="auto"/>
        <w:jc w:val="left"/>
        <w:rPr>
          <w:rFonts w:ascii="Calibri" w:eastAsia="Times New Roman" w:hAnsi="Calibri" w:cs="Calibri"/>
          <w:szCs w:val="24"/>
          <w:lang w:val="bs-Latn-BA"/>
        </w:rPr>
      </w:pPr>
      <w:r w:rsidRPr="003611CF">
        <w:rPr>
          <w:rFonts w:ascii="Calibri" w:eastAsia="Times New Roman" w:hAnsi="Calibri" w:cs="Calibri"/>
          <w:szCs w:val="24"/>
          <w:lang w:val="bs-Latn-BA"/>
        </w:rPr>
        <w:t>Generalni plan inspekcijskih kontrola za 2021.godinu.</w:t>
      </w:r>
    </w:p>
    <w:p w:rsidR="003611CF" w:rsidRPr="003611CF" w:rsidRDefault="003611CF" w:rsidP="003611CF">
      <w:pPr>
        <w:spacing w:before="0" w:after="0" w:line="240" w:lineRule="auto"/>
        <w:ind w:left="708"/>
        <w:rPr>
          <w:rFonts w:ascii="Calibri" w:eastAsia="Times New Roman" w:hAnsi="Calibri" w:cs="Calibri"/>
          <w:szCs w:val="24"/>
          <w:lang w:val="hr-HR" w:eastAsia="hr-HR"/>
        </w:rPr>
      </w:pPr>
    </w:p>
    <w:p w:rsidR="003611CF" w:rsidRPr="003611CF" w:rsidRDefault="003611CF" w:rsidP="002F47AD">
      <w:pPr>
        <w:spacing w:before="0" w:line="240" w:lineRule="auto"/>
        <w:rPr>
          <w:rFonts w:ascii="Calibri" w:eastAsia="Times New Roman" w:hAnsi="Calibri" w:cs="Calibri"/>
          <w:b/>
          <w:szCs w:val="24"/>
          <w:lang w:val="en-GB" w:eastAsia="hr-HR"/>
        </w:rPr>
      </w:pPr>
      <w:r w:rsidRPr="003611CF">
        <w:rPr>
          <w:rFonts w:ascii="Calibri" w:eastAsia="Times New Roman" w:hAnsi="Calibri" w:cs="Calibri"/>
          <w:b/>
          <w:szCs w:val="24"/>
          <w:lang w:val="en-GB" w:eastAsia="hr-HR"/>
        </w:rPr>
        <w:t xml:space="preserve">Aktivnosti koje su sprovedene u postupku inspekcijskog nadzora od strane poreskih inspektora filijala za inspekcijski nadzor PJ i </w:t>
      </w:r>
      <w:r w:rsidR="002F47AD">
        <w:rPr>
          <w:rFonts w:ascii="Calibri" w:eastAsia="Times New Roman" w:hAnsi="Calibri" w:cs="Calibri"/>
          <w:b/>
          <w:szCs w:val="24"/>
          <w:lang w:val="en-GB" w:eastAsia="hr-HR"/>
        </w:rPr>
        <w:t>Sektora za VPO</w:t>
      </w:r>
    </w:p>
    <w:p w:rsidR="003611CF" w:rsidRPr="003611CF" w:rsidRDefault="003611CF" w:rsidP="003611CF">
      <w:pPr>
        <w:spacing w:before="0" w:after="0" w:line="240" w:lineRule="auto"/>
        <w:rPr>
          <w:rFonts w:ascii="Calibri" w:eastAsia="Times New Roman" w:hAnsi="Calibri" w:cs="Calibri"/>
          <w:szCs w:val="24"/>
          <w:lang w:val="en-GB" w:eastAsia="hr-HR"/>
        </w:rPr>
      </w:pPr>
      <w:r w:rsidRPr="003611CF">
        <w:rPr>
          <w:rFonts w:ascii="Calibri" w:eastAsia="Times New Roman" w:hAnsi="Calibri" w:cs="Calibri"/>
          <w:szCs w:val="24"/>
          <w:lang w:val="en-GB" w:eastAsia="hr-HR"/>
        </w:rPr>
        <w:tab/>
        <w:t>Poreski inspektori Filijala za inspekcijski nadzor PJ, Sektora za VPO i Sektora za operativu u oblasti inspekcijskog nadzora vršili su poslove kancelarijske i terenske kontrole poreskih obveznika i utvrđivanja javnih prihoda, i to u dijelu:</w:t>
      </w:r>
    </w:p>
    <w:p w:rsidR="003611CF" w:rsidRPr="003611CF" w:rsidRDefault="003611CF" w:rsidP="004D6CB4">
      <w:pPr>
        <w:numPr>
          <w:ilvl w:val="0"/>
          <w:numId w:val="137"/>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kontrola na suzbijanju sive ekonomije;</w:t>
      </w:r>
    </w:p>
    <w:p w:rsidR="003611CF" w:rsidRPr="003611CF" w:rsidRDefault="003611CF" w:rsidP="004D6CB4">
      <w:pPr>
        <w:numPr>
          <w:ilvl w:val="0"/>
          <w:numId w:val="137"/>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kontrola tačnosti prijavljivanja, obračunavanja i plaćanja poreskih obaveza;</w:t>
      </w:r>
    </w:p>
    <w:p w:rsidR="003611CF" w:rsidRPr="003611CF" w:rsidRDefault="003611CF" w:rsidP="004D6CB4">
      <w:pPr>
        <w:numPr>
          <w:ilvl w:val="0"/>
          <w:numId w:val="137"/>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kontrola legalnosti zapošljavanja radne snage, kao i tačnosti obračunavanja i plaćanja poreza na dohodak fizičkih lica i doprinosa za obavezno socijalno osiguranje</w:t>
      </w:r>
    </w:p>
    <w:p w:rsidR="003611CF" w:rsidRPr="003611CF" w:rsidRDefault="003611CF" w:rsidP="004D6CB4">
      <w:pPr>
        <w:numPr>
          <w:ilvl w:val="0"/>
          <w:numId w:val="137"/>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kontrola tačnosti vođenja poslovne evidencije;</w:t>
      </w:r>
    </w:p>
    <w:p w:rsidR="003611CF" w:rsidRPr="003611CF" w:rsidRDefault="003611CF" w:rsidP="004D6CB4">
      <w:pPr>
        <w:numPr>
          <w:ilvl w:val="0"/>
          <w:numId w:val="137"/>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provjera osnovanosti zahtjeva za povraćaj poreza na dodatu vrijednost;</w:t>
      </w:r>
    </w:p>
    <w:p w:rsidR="003611CF" w:rsidRPr="003611CF" w:rsidRDefault="003611CF" w:rsidP="004D6CB4">
      <w:pPr>
        <w:numPr>
          <w:ilvl w:val="0"/>
          <w:numId w:val="137"/>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lastRenderedPageBreak/>
        <w:t>opšte poreske registracije, evidentiranja prometa, uplate pazara, blagovremenosti i pravilnosti podnošenja PDV prijava, provjera prijavljivanja  zaposlenih lica i predaja IOPPD obrazaca, plaćanje svih poreza i drugih dažbina.</w:t>
      </w:r>
    </w:p>
    <w:p w:rsidR="003611CF" w:rsidRPr="003611CF" w:rsidRDefault="003611CF" w:rsidP="003611CF">
      <w:pPr>
        <w:spacing w:before="0" w:after="0" w:line="240" w:lineRule="auto"/>
        <w:rPr>
          <w:rFonts w:ascii="Calibri" w:eastAsia="Times New Roman" w:hAnsi="Calibri" w:cs="Calibri"/>
          <w:bCs/>
          <w:szCs w:val="24"/>
          <w:lang w:val="sr-Cyrl-CS" w:eastAsia="hr-HR"/>
        </w:rPr>
      </w:pPr>
    </w:p>
    <w:p w:rsidR="003611CF" w:rsidRPr="003611CF" w:rsidRDefault="003611CF" w:rsidP="003611CF">
      <w:pPr>
        <w:spacing w:before="0" w:after="0" w:line="240" w:lineRule="auto"/>
        <w:rPr>
          <w:rFonts w:ascii="Calibri" w:eastAsia="Times New Roman" w:hAnsi="Calibri" w:cs="Calibri"/>
          <w:bCs/>
          <w:szCs w:val="24"/>
          <w:lang w:val="en-GB" w:eastAsia="hr-HR"/>
        </w:rPr>
      </w:pPr>
      <w:r w:rsidRPr="003611CF">
        <w:rPr>
          <w:rFonts w:ascii="Calibri" w:eastAsia="Times New Roman" w:hAnsi="Calibri" w:cs="Calibri"/>
          <w:bCs/>
          <w:szCs w:val="24"/>
          <w:lang w:val="hr-HR" w:eastAsia="hr-HR"/>
        </w:rPr>
        <w:tab/>
      </w:r>
      <w:r w:rsidRPr="003611CF">
        <w:rPr>
          <w:rFonts w:ascii="Calibri" w:eastAsia="Times New Roman" w:hAnsi="Calibri" w:cs="Calibri"/>
          <w:bCs/>
          <w:szCs w:val="24"/>
          <w:lang w:val="sr-Cyrl-CS" w:eastAsia="hr-HR"/>
        </w:rPr>
        <w:t>U tabelama koje slijede</w:t>
      </w:r>
      <w:r w:rsidRPr="003611CF">
        <w:rPr>
          <w:rFonts w:ascii="Calibri" w:eastAsia="Times New Roman" w:hAnsi="Calibri" w:cs="Calibri"/>
          <w:bCs/>
          <w:szCs w:val="24"/>
          <w:lang w:val="en-GB" w:eastAsia="hr-HR"/>
        </w:rPr>
        <w:t>,</w:t>
      </w:r>
      <w:r w:rsidRPr="003611CF">
        <w:rPr>
          <w:rFonts w:ascii="Calibri" w:eastAsia="Times New Roman" w:hAnsi="Calibri" w:cs="Calibri"/>
          <w:bCs/>
          <w:szCs w:val="24"/>
          <w:lang w:val="sr-Cyrl-CS" w:eastAsia="hr-HR"/>
        </w:rPr>
        <w:t xml:space="preserve"> dat je pregled </w:t>
      </w:r>
      <w:r w:rsidRPr="003611CF">
        <w:rPr>
          <w:rFonts w:ascii="Calibri" w:eastAsia="Times New Roman" w:hAnsi="Calibri" w:cs="Calibri"/>
          <w:bCs/>
          <w:szCs w:val="24"/>
          <w:lang w:val="en-GB" w:eastAsia="hr-HR"/>
        </w:rPr>
        <w:t xml:space="preserve"> sprovedenih </w:t>
      </w:r>
      <w:r w:rsidRPr="003611CF">
        <w:rPr>
          <w:rFonts w:ascii="Calibri" w:eastAsia="Times New Roman" w:hAnsi="Calibri" w:cs="Calibri"/>
          <w:bCs/>
          <w:szCs w:val="24"/>
          <w:lang w:val="sr-Cyrl-CS" w:eastAsia="hr-HR"/>
        </w:rPr>
        <w:t xml:space="preserve">aktivnosti </w:t>
      </w:r>
      <w:r w:rsidRPr="003611CF">
        <w:rPr>
          <w:rFonts w:ascii="Calibri" w:eastAsia="Times New Roman" w:hAnsi="Calibri" w:cs="Calibri"/>
          <w:bCs/>
          <w:szCs w:val="24"/>
          <w:lang w:val="en-GB" w:eastAsia="hr-HR"/>
        </w:rPr>
        <w:t>od strane poreskih in</w:t>
      </w:r>
      <w:r w:rsidR="00CB5BEE">
        <w:rPr>
          <w:rFonts w:ascii="Calibri" w:eastAsia="Times New Roman" w:hAnsi="Calibri" w:cs="Calibri"/>
          <w:bCs/>
          <w:szCs w:val="24"/>
          <w:lang w:val="en-GB" w:eastAsia="hr-HR"/>
        </w:rPr>
        <w:t>spektora u izvještajnom period.</w:t>
      </w:r>
    </w:p>
    <w:p w:rsidR="003611CF" w:rsidRPr="003611CF" w:rsidRDefault="003611CF" w:rsidP="003611CF">
      <w:pPr>
        <w:spacing w:before="0" w:after="0" w:line="240" w:lineRule="auto"/>
        <w:jc w:val="center"/>
        <w:rPr>
          <w:rFonts w:ascii="Calibri" w:eastAsia="Times New Roman" w:hAnsi="Calibri" w:cs="Calibri"/>
          <w:bCs/>
          <w:szCs w:val="24"/>
          <w:lang w:val="hr-HR" w:eastAsia="hr-HR"/>
        </w:rPr>
      </w:pPr>
      <w:r w:rsidRPr="003611CF">
        <w:rPr>
          <w:rFonts w:ascii="Calibri" w:eastAsia="Times New Roman" w:hAnsi="Calibri" w:cs="Calibri"/>
          <w:bCs/>
          <w:szCs w:val="24"/>
          <w:lang w:val="hr-HR" w:eastAsia="hr-HR"/>
        </w:rPr>
        <w:t>BROJ IZVRŠENIH KONTROLA</w:t>
      </w:r>
    </w:p>
    <w:tbl>
      <w:tblPr>
        <w:tblW w:w="9903" w:type="dxa"/>
        <w:jc w:val="center"/>
        <w:tblLook w:val="04A0" w:firstRow="1" w:lastRow="0" w:firstColumn="1" w:lastColumn="0" w:noHBand="0" w:noVBand="1"/>
      </w:tblPr>
      <w:tblGrid>
        <w:gridCol w:w="4928"/>
        <w:gridCol w:w="2551"/>
        <w:gridCol w:w="2424"/>
      </w:tblGrid>
      <w:tr w:rsidR="003611CF" w:rsidRPr="003611CF" w:rsidTr="003611CF">
        <w:trPr>
          <w:jc w:val="center"/>
        </w:trPr>
        <w:tc>
          <w:tcPr>
            <w:tcW w:w="4928" w:type="dxa"/>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Calibri" w:hAnsi="Arial" w:cs="Arial"/>
                <w:b/>
                <w:bCs/>
                <w:color w:val="FFFFFF"/>
                <w:sz w:val="20"/>
                <w:lang w:val="en-GB"/>
              </w:rPr>
            </w:pPr>
            <w:r w:rsidRPr="003611CF">
              <w:rPr>
                <w:rFonts w:ascii="Arial" w:eastAsia="Calibri" w:hAnsi="Arial" w:cs="Arial"/>
                <w:color w:val="FFFFFF"/>
                <w:sz w:val="20"/>
                <w:lang w:val="en-GB"/>
              </w:rPr>
              <w:t>Opis</w:t>
            </w:r>
          </w:p>
        </w:tc>
        <w:tc>
          <w:tcPr>
            <w:tcW w:w="2551" w:type="dxa"/>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Calibri" w:hAnsi="Arial" w:cs="Arial"/>
                <w:bCs/>
                <w:iCs/>
                <w:color w:val="FFFFFF"/>
                <w:sz w:val="20"/>
                <w:lang w:val="en-GB"/>
              </w:rPr>
            </w:pPr>
            <w:r w:rsidRPr="003611CF">
              <w:rPr>
                <w:rFonts w:ascii="Arial" w:eastAsia="Calibri" w:hAnsi="Arial" w:cs="Arial"/>
                <w:iCs/>
                <w:color w:val="FFFFFF"/>
                <w:sz w:val="20"/>
                <w:lang w:val="en-GB"/>
              </w:rPr>
              <w:t xml:space="preserve">Broj kontrola </w:t>
            </w:r>
            <w:r w:rsidRPr="003611CF">
              <w:rPr>
                <w:rFonts w:ascii="Arial" w:eastAsia="Calibri" w:hAnsi="Arial" w:cs="Arial"/>
                <w:bCs/>
                <w:iCs/>
                <w:color w:val="FFFFFF"/>
                <w:sz w:val="20"/>
                <w:lang w:val="en-GB"/>
              </w:rPr>
              <w:t>januar-decembar</w:t>
            </w:r>
            <w:r w:rsidRPr="003611CF">
              <w:rPr>
                <w:rFonts w:ascii="Arial" w:eastAsia="Calibri" w:hAnsi="Arial" w:cs="Arial"/>
                <w:iCs/>
                <w:color w:val="FFFFFF"/>
                <w:sz w:val="20"/>
                <w:lang w:val="en-GB"/>
              </w:rPr>
              <w:t xml:space="preserve"> 2019.godine</w:t>
            </w:r>
          </w:p>
        </w:tc>
        <w:tc>
          <w:tcPr>
            <w:tcW w:w="2424" w:type="dxa"/>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Calibri" w:hAnsi="Arial" w:cs="Arial"/>
                <w:bCs/>
                <w:iCs/>
                <w:color w:val="FFFFFF"/>
                <w:sz w:val="20"/>
                <w:lang w:val="en-GB"/>
              </w:rPr>
            </w:pPr>
            <w:r w:rsidRPr="003611CF">
              <w:rPr>
                <w:rFonts w:ascii="Arial" w:eastAsia="Calibri" w:hAnsi="Arial" w:cs="Arial"/>
                <w:iCs/>
                <w:color w:val="FFFFFF"/>
                <w:sz w:val="20"/>
                <w:lang w:val="en-GB"/>
              </w:rPr>
              <w:t xml:space="preserve">Broj kontrola </w:t>
            </w:r>
            <w:r w:rsidRPr="003611CF">
              <w:rPr>
                <w:rFonts w:ascii="Arial" w:eastAsia="Calibri" w:hAnsi="Arial" w:cs="Arial"/>
                <w:bCs/>
                <w:iCs/>
                <w:color w:val="FFFFFF"/>
                <w:sz w:val="20"/>
                <w:lang w:val="en-GB"/>
              </w:rPr>
              <w:t xml:space="preserve">januar-deecembar </w:t>
            </w:r>
            <w:r w:rsidRPr="003611CF">
              <w:rPr>
                <w:rFonts w:ascii="Arial" w:eastAsia="Calibri" w:hAnsi="Arial" w:cs="Arial"/>
                <w:iCs/>
                <w:color w:val="FFFFFF"/>
                <w:sz w:val="20"/>
                <w:lang w:val="en-GB"/>
              </w:rPr>
              <w:t>2020.godine</w:t>
            </w:r>
          </w:p>
        </w:tc>
      </w:tr>
      <w:tr w:rsidR="003611CF" w:rsidRPr="003611CF" w:rsidTr="003611CF">
        <w:trPr>
          <w:jc w:val="center"/>
        </w:trPr>
        <w:tc>
          <w:tcPr>
            <w:tcW w:w="4928" w:type="dxa"/>
            <w:shd w:val="clear" w:color="auto" w:fill="FDE9D9"/>
          </w:tcPr>
          <w:p w:rsidR="003611CF" w:rsidRPr="003611CF" w:rsidRDefault="003611CF" w:rsidP="003611CF">
            <w:pPr>
              <w:spacing w:before="0" w:after="0" w:line="240" w:lineRule="auto"/>
              <w:rPr>
                <w:rFonts w:ascii="Arial" w:eastAsia="Calibri" w:hAnsi="Arial" w:cs="Arial"/>
                <w:b/>
                <w:bCs/>
                <w:color w:val="000000"/>
                <w:sz w:val="20"/>
                <w:lang w:val="en-GB"/>
              </w:rPr>
            </w:pPr>
            <w:r w:rsidRPr="003611CF">
              <w:rPr>
                <w:rFonts w:ascii="Arial" w:eastAsia="Calibri" w:hAnsi="Arial" w:cs="Arial"/>
                <w:b/>
                <w:color w:val="000000"/>
                <w:sz w:val="20"/>
                <w:lang w:val="en-GB"/>
              </w:rPr>
              <w:t>Broj potpunih kontrola</w:t>
            </w:r>
          </w:p>
        </w:tc>
        <w:tc>
          <w:tcPr>
            <w:tcW w:w="2551" w:type="dxa"/>
            <w:shd w:val="clear" w:color="auto" w:fill="FDE9D9"/>
            <w:vAlign w:val="center"/>
          </w:tcPr>
          <w:p w:rsidR="003611CF" w:rsidRPr="003611CF" w:rsidRDefault="003611CF" w:rsidP="003611CF">
            <w:pPr>
              <w:spacing w:before="0" w:after="0" w:line="240" w:lineRule="auto"/>
              <w:jc w:val="center"/>
              <w:rPr>
                <w:rFonts w:ascii="Arial" w:eastAsia="Times New Roman" w:hAnsi="Arial" w:cs="Arial"/>
                <w:b/>
                <w:bCs/>
                <w:sz w:val="20"/>
                <w:lang w:val="hr-HR" w:eastAsia="hr-HR"/>
              </w:rPr>
            </w:pPr>
            <w:r w:rsidRPr="003611CF">
              <w:rPr>
                <w:rFonts w:ascii="Arial" w:eastAsia="Times New Roman" w:hAnsi="Arial" w:cs="Arial"/>
                <w:b/>
                <w:bCs/>
                <w:sz w:val="20"/>
                <w:lang w:val="hr-HR" w:eastAsia="hr-HR"/>
              </w:rPr>
              <w:t>2.515</w:t>
            </w:r>
          </w:p>
        </w:tc>
        <w:tc>
          <w:tcPr>
            <w:tcW w:w="2424" w:type="dxa"/>
            <w:shd w:val="clear" w:color="auto" w:fill="FDE9D9"/>
          </w:tcPr>
          <w:p w:rsidR="003611CF" w:rsidRPr="003611CF" w:rsidRDefault="003611CF" w:rsidP="003611CF">
            <w:pPr>
              <w:spacing w:before="0" w:after="0" w:line="240" w:lineRule="auto"/>
              <w:jc w:val="center"/>
              <w:rPr>
                <w:rFonts w:ascii="Arial" w:eastAsia="Times New Roman" w:hAnsi="Arial" w:cs="Arial"/>
                <w:b/>
                <w:bCs/>
                <w:sz w:val="20"/>
                <w:lang w:val="hr-HR" w:eastAsia="hr-HR"/>
              </w:rPr>
            </w:pPr>
            <w:r w:rsidRPr="003611CF">
              <w:rPr>
                <w:rFonts w:ascii="Arial" w:eastAsia="Times New Roman" w:hAnsi="Arial" w:cs="Arial"/>
                <w:b/>
                <w:bCs/>
                <w:sz w:val="20"/>
                <w:lang w:val="hr-HR" w:eastAsia="hr-HR"/>
              </w:rPr>
              <w:t>1.891</w:t>
            </w:r>
          </w:p>
        </w:tc>
      </w:tr>
      <w:tr w:rsidR="003611CF" w:rsidRPr="003611CF" w:rsidTr="003611CF">
        <w:trPr>
          <w:jc w:val="center"/>
        </w:trPr>
        <w:tc>
          <w:tcPr>
            <w:tcW w:w="4928" w:type="dxa"/>
            <w:shd w:val="clear" w:color="auto" w:fill="FEF4EC"/>
          </w:tcPr>
          <w:p w:rsidR="003611CF" w:rsidRPr="003611CF" w:rsidRDefault="003611CF" w:rsidP="003611CF">
            <w:pPr>
              <w:spacing w:before="0" w:after="0" w:line="240" w:lineRule="auto"/>
              <w:rPr>
                <w:rFonts w:ascii="Arial" w:eastAsia="Calibri" w:hAnsi="Arial" w:cs="Arial"/>
                <w:b/>
                <w:bCs/>
                <w:color w:val="000000"/>
                <w:sz w:val="20"/>
                <w:lang w:val="en-GB"/>
              </w:rPr>
            </w:pPr>
            <w:r w:rsidRPr="003611CF">
              <w:rPr>
                <w:rFonts w:ascii="Arial" w:eastAsia="Calibri" w:hAnsi="Arial" w:cs="Arial"/>
                <w:color w:val="000000"/>
                <w:sz w:val="20"/>
                <w:lang w:val="en-GB"/>
              </w:rPr>
              <w:t>Broj djelimičnih kontrola (po zahtjevima za povraćaj, obrač.poreza i doprinosa...)</w:t>
            </w:r>
          </w:p>
        </w:tc>
        <w:tc>
          <w:tcPr>
            <w:tcW w:w="2551" w:type="dxa"/>
            <w:shd w:val="clear" w:color="auto" w:fill="FEF4EC"/>
          </w:tcPr>
          <w:p w:rsidR="003611CF" w:rsidRPr="003611CF" w:rsidRDefault="003611CF" w:rsidP="003611CF">
            <w:pPr>
              <w:spacing w:before="0" w:after="0" w:line="240" w:lineRule="auto"/>
              <w:jc w:val="center"/>
              <w:rPr>
                <w:rFonts w:ascii="Arial" w:eastAsia="Times New Roman" w:hAnsi="Arial" w:cs="Arial"/>
                <w:bCs/>
                <w:sz w:val="20"/>
                <w:lang w:val="hr-HR" w:eastAsia="hr-HR"/>
              </w:rPr>
            </w:pPr>
            <w:r w:rsidRPr="003611CF">
              <w:rPr>
                <w:rFonts w:ascii="Arial" w:eastAsia="Times New Roman" w:hAnsi="Arial" w:cs="Arial"/>
                <w:bCs/>
                <w:sz w:val="20"/>
                <w:lang w:val="hr-HR" w:eastAsia="hr-HR"/>
              </w:rPr>
              <w:t>6.791</w:t>
            </w:r>
          </w:p>
        </w:tc>
        <w:tc>
          <w:tcPr>
            <w:tcW w:w="2424" w:type="dxa"/>
            <w:shd w:val="clear" w:color="auto" w:fill="FEF4EC"/>
          </w:tcPr>
          <w:p w:rsidR="003611CF" w:rsidRPr="003611CF" w:rsidRDefault="003611CF" w:rsidP="003611CF">
            <w:pPr>
              <w:spacing w:before="0" w:after="0" w:line="240" w:lineRule="auto"/>
              <w:jc w:val="center"/>
              <w:rPr>
                <w:rFonts w:ascii="Arial" w:eastAsia="Times New Roman" w:hAnsi="Arial" w:cs="Arial"/>
                <w:bCs/>
                <w:sz w:val="20"/>
                <w:lang w:val="hr-HR" w:eastAsia="hr-HR"/>
              </w:rPr>
            </w:pPr>
            <w:r w:rsidRPr="003611CF">
              <w:rPr>
                <w:rFonts w:ascii="Arial" w:eastAsia="Times New Roman" w:hAnsi="Arial" w:cs="Arial"/>
                <w:bCs/>
                <w:sz w:val="20"/>
                <w:lang w:val="hr-HR" w:eastAsia="hr-HR"/>
              </w:rPr>
              <w:t>4.555</w:t>
            </w:r>
          </w:p>
        </w:tc>
      </w:tr>
      <w:tr w:rsidR="003611CF" w:rsidRPr="003611CF" w:rsidTr="003611CF">
        <w:trPr>
          <w:jc w:val="center"/>
        </w:trPr>
        <w:tc>
          <w:tcPr>
            <w:tcW w:w="4928" w:type="dxa"/>
            <w:shd w:val="clear" w:color="auto" w:fill="FDE9D9"/>
          </w:tcPr>
          <w:p w:rsidR="003611CF" w:rsidRPr="003611CF" w:rsidRDefault="003611CF" w:rsidP="003611CF">
            <w:pPr>
              <w:spacing w:before="0" w:after="0" w:line="240" w:lineRule="auto"/>
              <w:rPr>
                <w:rFonts w:ascii="Arial" w:eastAsia="Calibri" w:hAnsi="Arial" w:cs="Arial"/>
                <w:b/>
                <w:bCs/>
                <w:color w:val="000000"/>
                <w:sz w:val="20"/>
                <w:lang w:val="en-GB"/>
              </w:rPr>
            </w:pPr>
            <w:r w:rsidRPr="003611CF">
              <w:rPr>
                <w:rFonts w:ascii="Arial" w:eastAsia="Calibri" w:hAnsi="Arial" w:cs="Arial"/>
                <w:color w:val="000000"/>
                <w:sz w:val="20"/>
                <w:lang w:val="en-GB"/>
              </w:rPr>
              <w:t>Broj djelimičnih kontrola (opšta poreska registracija, evidentiranje prometa, uplate pazara...)</w:t>
            </w:r>
          </w:p>
        </w:tc>
        <w:tc>
          <w:tcPr>
            <w:tcW w:w="2551" w:type="dxa"/>
            <w:shd w:val="clear" w:color="auto" w:fill="FDE9D9"/>
          </w:tcPr>
          <w:p w:rsidR="003611CF" w:rsidRPr="003611CF" w:rsidRDefault="003611CF" w:rsidP="003611CF">
            <w:pPr>
              <w:spacing w:before="0" w:after="0" w:line="240" w:lineRule="auto"/>
              <w:jc w:val="center"/>
              <w:rPr>
                <w:rFonts w:ascii="Arial" w:eastAsia="Times New Roman" w:hAnsi="Arial" w:cs="Arial"/>
                <w:bCs/>
                <w:sz w:val="20"/>
                <w:lang w:val="hr-HR" w:eastAsia="hr-HR"/>
              </w:rPr>
            </w:pPr>
            <w:r w:rsidRPr="003611CF">
              <w:rPr>
                <w:rFonts w:ascii="Arial" w:eastAsia="Times New Roman" w:hAnsi="Arial" w:cs="Arial"/>
                <w:bCs/>
                <w:sz w:val="20"/>
                <w:lang w:val="hr-HR" w:eastAsia="hr-HR"/>
              </w:rPr>
              <w:t>17.688</w:t>
            </w:r>
          </w:p>
        </w:tc>
        <w:tc>
          <w:tcPr>
            <w:tcW w:w="2424" w:type="dxa"/>
            <w:shd w:val="clear" w:color="auto" w:fill="FDE9D9"/>
          </w:tcPr>
          <w:p w:rsidR="003611CF" w:rsidRPr="003611CF" w:rsidRDefault="003611CF" w:rsidP="003611CF">
            <w:pPr>
              <w:spacing w:before="0" w:after="0" w:line="240" w:lineRule="auto"/>
              <w:jc w:val="center"/>
              <w:rPr>
                <w:rFonts w:ascii="Arial" w:eastAsia="Times New Roman" w:hAnsi="Arial" w:cs="Arial"/>
                <w:bCs/>
                <w:sz w:val="20"/>
                <w:lang w:val="hr-HR" w:eastAsia="hr-HR"/>
              </w:rPr>
            </w:pPr>
            <w:r w:rsidRPr="003611CF">
              <w:rPr>
                <w:rFonts w:ascii="Arial" w:eastAsia="Times New Roman" w:hAnsi="Arial" w:cs="Arial"/>
                <w:bCs/>
                <w:sz w:val="20"/>
                <w:lang w:val="hr-HR" w:eastAsia="hr-HR"/>
              </w:rPr>
              <w:t>2.680</w:t>
            </w:r>
          </w:p>
        </w:tc>
      </w:tr>
      <w:tr w:rsidR="003611CF" w:rsidRPr="003611CF" w:rsidTr="003611CF">
        <w:trPr>
          <w:jc w:val="center"/>
        </w:trPr>
        <w:tc>
          <w:tcPr>
            <w:tcW w:w="4928" w:type="dxa"/>
            <w:shd w:val="clear" w:color="auto" w:fill="FEF4EC"/>
          </w:tcPr>
          <w:p w:rsidR="003611CF" w:rsidRPr="003611CF" w:rsidRDefault="003611CF" w:rsidP="003611CF">
            <w:pPr>
              <w:spacing w:before="0" w:after="0" w:line="240" w:lineRule="auto"/>
              <w:rPr>
                <w:rFonts w:ascii="Arial" w:eastAsia="Calibri" w:hAnsi="Arial" w:cs="Arial"/>
                <w:b/>
                <w:bCs/>
                <w:color w:val="000000"/>
                <w:sz w:val="20"/>
                <w:lang w:val="en-GB"/>
              </w:rPr>
            </w:pPr>
            <w:r w:rsidRPr="003611CF">
              <w:rPr>
                <w:rFonts w:ascii="Arial" w:eastAsia="Calibri" w:hAnsi="Arial" w:cs="Arial"/>
                <w:b/>
                <w:color w:val="000000"/>
                <w:sz w:val="20"/>
                <w:lang w:val="en-GB"/>
              </w:rPr>
              <w:t>Ukupan broj djelimičnih kontrola</w:t>
            </w:r>
          </w:p>
        </w:tc>
        <w:tc>
          <w:tcPr>
            <w:tcW w:w="2551" w:type="dxa"/>
            <w:shd w:val="clear" w:color="auto" w:fill="FEF4EC"/>
          </w:tcPr>
          <w:p w:rsidR="003611CF" w:rsidRPr="003611CF" w:rsidRDefault="003611CF" w:rsidP="003611CF">
            <w:pPr>
              <w:spacing w:before="0" w:after="0" w:line="240" w:lineRule="auto"/>
              <w:jc w:val="center"/>
              <w:rPr>
                <w:rFonts w:ascii="Arial" w:eastAsia="Times New Roman" w:hAnsi="Arial" w:cs="Arial"/>
                <w:b/>
                <w:bCs/>
                <w:sz w:val="20"/>
                <w:lang w:val="hr-HR" w:eastAsia="hr-HR"/>
              </w:rPr>
            </w:pPr>
            <w:r w:rsidRPr="003611CF">
              <w:rPr>
                <w:rFonts w:ascii="Arial" w:eastAsia="Times New Roman" w:hAnsi="Arial" w:cs="Arial"/>
                <w:b/>
                <w:bCs/>
                <w:sz w:val="20"/>
                <w:lang w:val="hr-HR" w:eastAsia="hr-HR"/>
              </w:rPr>
              <w:t>24.479</w:t>
            </w:r>
          </w:p>
        </w:tc>
        <w:tc>
          <w:tcPr>
            <w:tcW w:w="2424" w:type="dxa"/>
            <w:shd w:val="clear" w:color="auto" w:fill="FEF4EC"/>
          </w:tcPr>
          <w:p w:rsidR="003611CF" w:rsidRPr="003611CF" w:rsidRDefault="003611CF" w:rsidP="003611CF">
            <w:pPr>
              <w:spacing w:before="0" w:after="0" w:line="240" w:lineRule="auto"/>
              <w:jc w:val="center"/>
              <w:rPr>
                <w:rFonts w:ascii="Arial" w:eastAsia="Times New Roman" w:hAnsi="Arial" w:cs="Arial"/>
                <w:b/>
                <w:bCs/>
                <w:sz w:val="20"/>
                <w:lang w:val="hr-HR" w:eastAsia="hr-HR"/>
              </w:rPr>
            </w:pPr>
            <w:r w:rsidRPr="003611CF">
              <w:rPr>
                <w:rFonts w:ascii="Arial" w:eastAsia="Times New Roman" w:hAnsi="Arial" w:cs="Arial"/>
                <w:b/>
                <w:bCs/>
                <w:sz w:val="20"/>
                <w:lang w:val="hr-HR" w:eastAsia="hr-HR"/>
              </w:rPr>
              <w:t>7.235</w:t>
            </w:r>
          </w:p>
        </w:tc>
      </w:tr>
      <w:tr w:rsidR="003611CF" w:rsidRPr="003611CF" w:rsidTr="003611CF">
        <w:trPr>
          <w:jc w:val="center"/>
        </w:trPr>
        <w:tc>
          <w:tcPr>
            <w:tcW w:w="4928" w:type="dxa"/>
            <w:shd w:val="clear" w:color="auto" w:fill="FDE9D9"/>
          </w:tcPr>
          <w:p w:rsidR="003611CF" w:rsidRPr="003611CF" w:rsidRDefault="003611CF" w:rsidP="003611CF">
            <w:pPr>
              <w:spacing w:before="0" w:after="0" w:line="240" w:lineRule="auto"/>
              <w:rPr>
                <w:rFonts w:ascii="Arial" w:eastAsia="Calibri" w:hAnsi="Arial" w:cs="Arial"/>
                <w:b/>
                <w:bCs/>
                <w:color w:val="000000"/>
                <w:sz w:val="20"/>
                <w:lang w:val="en-GB"/>
              </w:rPr>
            </w:pPr>
            <w:r w:rsidRPr="003611CF">
              <w:rPr>
                <w:rFonts w:ascii="Arial" w:eastAsia="Calibri" w:hAnsi="Arial" w:cs="Arial"/>
                <w:color w:val="000000"/>
                <w:sz w:val="20"/>
                <w:lang w:val="en-GB"/>
              </w:rPr>
              <w:t>Ukupan broj potpunih kontrola Odsjek za velike poreske obveznike</w:t>
            </w:r>
          </w:p>
        </w:tc>
        <w:tc>
          <w:tcPr>
            <w:tcW w:w="2551" w:type="dxa"/>
            <w:shd w:val="clear" w:color="auto" w:fill="FDE9D9"/>
          </w:tcPr>
          <w:p w:rsidR="003611CF" w:rsidRPr="003611CF" w:rsidRDefault="003611CF" w:rsidP="003611CF">
            <w:pPr>
              <w:spacing w:before="0" w:after="0" w:line="240" w:lineRule="auto"/>
              <w:jc w:val="center"/>
              <w:rPr>
                <w:rFonts w:ascii="Arial" w:eastAsia="Times New Roman" w:hAnsi="Arial" w:cs="Arial"/>
                <w:bCs/>
                <w:sz w:val="20"/>
                <w:lang w:val="hr-HR" w:eastAsia="hr-HR"/>
              </w:rPr>
            </w:pPr>
            <w:r w:rsidRPr="003611CF">
              <w:rPr>
                <w:rFonts w:ascii="Arial" w:eastAsia="Times New Roman" w:hAnsi="Arial" w:cs="Arial"/>
                <w:bCs/>
                <w:sz w:val="20"/>
                <w:lang w:val="hr-HR" w:eastAsia="hr-HR"/>
              </w:rPr>
              <w:t>131</w:t>
            </w:r>
          </w:p>
        </w:tc>
        <w:tc>
          <w:tcPr>
            <w:tcW w:w="2424" w:type="dxa"/>
            <w:shd w:val="clear" w:color="auto" w:fill="FDE9D9"/>
            <w:vAlign w:val="center"/>
          </w:tcPr>
          <w:p w:rsidR="003611CF" w:rsidRPr="003611CF" w:rsidRDefault="003611CF" w:rsidP="003611CF">
            <w:pPr>
              <w:spacing w:before="0" w:after="0" w:line="240" w:lineRule="auto"/>
              <w:jc w:val="center"/>
              <w:rPr>
                <w:rFonts w:ascii="Arial" w:eastAsia="Times New Roman" w:hAnsi="Arial" w:cs="Arial"/>
                <w:sz w:val="20"/>
                <w:lang w:val="en-GB" w:eastAsia="hr-HR"/>
              </w:rPr>
            </w:pPr>
            <w:r w:rsidRPr="003611CF">
              <w:rPr>
                <w:rFonts w:ascii="Arial" w:eastAsia="Times New Roman" w:hAnsi="Arial" w:cs="Arial"/>
                <w:sz w:val="20"/>
                <w:lang w:val="en-GB" w:eastAsia="hr-HR"/>
              </w:rPr>
              <w:t>71</w:t>
            </w:r>
          </w:p>
        </w:tc>
      </w:tr>
      <w:tr w:rsidR="003611CF" w:rsidRPr="003611CF" w:rsidTr="003611CF">
        <w:trPr>
          <w:jc w:val="center"/>
        </w:trPr>
        <w:tc>
          <w:tcPr>
            <w:tcW w:w="4928" w:type="dxa"/>
            <w:shd w:val="clear" w:color="auto" w:fill="FEF4EC"/>
          </w:tcPr>
          <w:p w:rsidR="003611CF" w:rsidRPr="003611CF" w:rsidRDefault="003611CF" w:rsidP="003611CF">
            <w:pPr>
              <w:spacing w:before="0" w:after="0" w:line="240" w:lineRule="auto"/>
              <w:rPr>
                <w:rFonts w:ascii="Arial" w:eastAsia="Calibri" w:hAnsi="Arial" w:cs="Arial"/>
                <w:b/>
                <w:bCs/>
                <w:color w:val="000000"/>
                <w:sz w:val="20"/>
                <w:lang w:val="en-GB"/>
              </w:rPr>
            </w:pPr>
            <w:r w:rsidRPr="003611CF">
              <w:rPr>
                <w:rFonts w:ascii="Arial" w:eastAsia="Calibri" w:hAnsi="Arial" w:cs="Arial"/>
                <w:color w:val="000000"/>
                <w:sz w:val="20"/>
                <w:lang w:val="en-GB"/>
              </w:rPr>
              <w:t>Ukupan broj djelimičnih kontrola Odsjek za velike poreske obveznike</w:t>
            </w:r>
          </w:p>
        </w:tc>
        <w:tc>
          <w:tcPr>
            <w:tcW w:w="2551" w:type="dxa"/>
            <w:shd w:val="clear" w:color="auto" w:fill="FEF4EC"/>
            <w:vAlign w:val="center"/>
          </w:tcPr>
          <w:p w:rsidR="003611CF" w:rsidRPr="003611CF" w:rsidRDefault="003611CF" w:rsidP="003611CF">
            <w:pPr>
              <w:spacing w:before="0" w:after="0" w:line="240" w:lineRule="auto"/>
              <w:ind w:left="108"/>
              <w:jc w:val="center"/>
              <w:rPr>
                <w:rFonts w:ascii="Arial" w:eastAsia="Times New Roman" w:hAnsi="Arial" w:cs="Arial"/>
                <w:sz w:val="20"/>
                <w:lang w:val="en-GB" w:eastAsia="hr-HR"/>
              </w:rPr>
            </w:pPr>
            <w:r w:rsidRPr="003611CF">
              <w:rPr>
                <w:rFonts w:ascii="Arial" w:eastAsia="Times New Roman" w:hAnsi="Arial" w:cs="Arial"/>
                <w:sz w:val="20"/>
                <w:lang w:val="en-GB" w:eastAsia="hr-HR"/>
              </w:rPr>
              <w:t>75</w:t>
            </w:r>
          </w:p>
        </w:tc>
        <w:tc>
          <w:tcPr>
            <w:tcW w:w="2424" w:type="dxa"/>
            <w:shd w:val="clear" w:color="auto" w:fill="FEF4EC"/>
          </w:tcPr>
          <w:p w:rsidR="003611CF" w:rsidRPr="003611CF" w:rsidRDefault="003611CF" w:rsidP="003611CF">
            <w:pPr>
              <w:spacing w:before="0" w:after="0" w:line="240" w:lineRule="auto"/>
              <w:ind w:left="108"/>
              <w:jc w:val="center"/>
              <w:rPr>
                <w:rFonts w:ascii="Arial" w:eastAsia="Times New Roman" w:hAnsi="Arial" w:cs="Arial"/>
                <w:sz w:val="20"/>
                <w:lang w:val="en-GB" w:eastAsia="hr-HR"/>
              </w:rPr>
            </w:pPr>
            <w:r w:rsidRPr="003611CF">
              <w:rPr>
                <w:rFonts w:ascii="Arial" w:eastAsia="Times New Roman" w:hAnsi="Arial" w:cs="Arial"/>
                <w:sz w:val="20"/>
                <w:lang w:val="en-GB" w:eastAsia="hr-HR"/>
              </w:rPr>
              <w:t>45</w:t>
            </w:r>
          </w:p>
        </w:tc>
      </w:tr>
      <w:tr w:rsidR="003611CF" w:rsidRPr="003611CF" w:rsidTr="003611CF">
        <w:trPr>
          <w:jc w:val="center"/>
        </w:trPr>
        <w:tc>
          <w:tcPr>
            <w:tcW w:w="4928" w:type="dxa"/>
            <w:shd w:val="clear" w:color="auto" w:fill="FDE9D9"/>
          </w:tcPr>
          <w:p w:rsidR="003611CF" w:rsidRPr="003611CF" w:rsidRDefault="003611CF" w:rsidP="003611CF">
            <w:pPr>
              <w:spacing w:before="0" w:after="0" w:line="240" w:lineRule="auto"/>
              <w:rPr>
                <w:rFonts w:ascii="Arial" w:eastAsia="Calibri" w:hAnsi="Arial" w:cs="Arial"/>
                <w:b/>
                <w:bCs/>
                <w:color w:val="000000"/>
                <w:sz w:val="20"/>
                <w:lang w:val="en-GB"/>
              </w:rPr>
            </w:pPr>
            <w:r w:rsidRPr="003611CF">
              <w:rPr>
                <w:rFonts w:ascii="Arial" w:eastAsia="Calibri" w:hAnsi="Arial" w:cs="Arial"/>
                <w:b/>
                <w:color w:val="000000"/>
                <w:sz w:val="20"/>
                <w:lang w:val="en-GB"/>
              </w:rPr>
              <w:t>Ukupan broj izvršenih kontrola</w:t>
            </w:r>
          </w:p>
        </w:tc>
        <w:tc>
          <w:tcPr>
            <w:tcW w:w="2551" w:type="dxa"/>
            <w:shd w:val="clear" w:color="auto" w:fill="FDE9D9"/>
          </w:tcPr>
          <w:p w:rsidR="003611CF" w:rsidRPr="003611CF" w:rsidRDefault="003611CF" w:rsidP="003611CF">
            <w:pPr>
              <w:spacing w:before="0" w:after="0" w:line="240" w:lineRule="auto"/>
              <w:ind w:left="108"/>
              <w:jc w:val="center"/>
              <w:rPr>
                <w:rFonts w:ascii="Arial" w:eastAsia="Times New Roman" w:hAnsi="Arial" w:cs="Arial"/>
                <w:b/>
                <w:sz w:val="20"/>
                <w:lang w:val="en-GB" w:eastAsia="hr-HR"/>
              </w:rPr>
            </w:pPr>
            <w:r w:rsidRPr="003611CF">
              <w:rPr>
                <w:rFonts w:ascii="Arial" w:eastAsia="Times New Roman" w:hAnsi="Arial" w:cs="Arial"/>
                <w:b/>
                <w:sz w:val="20"/>
                <w:lang w:val="en-GB" w:eastAsia="hr-HR"/>
              </w:rPr>
              <w:t>27.200</w:t>
            </w:r>
          </w:p>
        </w:tc>
        <w:tc>
          <w:tcPr>
            <w:tcW w:w="2424" w:type="dxa"/>
            <w:shd w:val="clear" w:color="auto" w:fill="FDE9D9"/>
          </w:tcPr>
          <w:p w:rsidR="003611CF" w:rsidRPr="003611CF" w:rsidRDefault="003611CF" w:rsidP="003611CF">
            <w:pPr>
              <w:spacing w:before="0" w:after="0" w:line="240" w:lineRule="auto"/>
              <w:ind w:left="108"/>
              <w:jc w:val="center"/>
              <w:rPr>
                <w:rFonts w:ascii="Arial" w:eastAsia="Times New Roman" w:hAnsi="Arial" w:cs="Arial"/>
                <w:b/>
                <w:sz w:val="20"/>
                <w:lang w:val="en-GB" w:eastAsia="hr-HR"/>
              </w:rPr>
            </w:pPr>
            <w:r w:rsidRPr="003611CF">
              <w:rPr>
                <w:rFonts w:ascii="Arial" w:eastAsia="Times New Roman" w:hAnsi="Arial" w:cs="Arial"/>
                <w:b/>
                <w:sz w:val="20"/>
                <w:lang w:val="en-GB" w:eastAsia="hr-HR"/>
              </w:rPr>
              <w:t>9.242</w:t>
            </w:r>
          </w:p>
        </w:tc>
      </w:tr>
    </w:tbl>
    <w:p w:rsidR="003611CF" w:rsidRPr="003611CF" w:rsidRDefault="003611CF" w:rsidP="003611CF">
      <w:pPr>
        <w:spacing w:before="0" w:after="0" w:line="240" w:lineRule="auto"/>
        <w:jc w:val="center"/>
        <w:rPr>
          <w:rFonts w:ascii="Arial" w:eastAsia="Times New Roman" w:hAnsi="Arial" w:cs="Arial"/>
          <w:b/>
          <w:bCs/>
          <w:sz w:val="22"/>
          <w:lang w:val="hr-HR" w:eastAsia="hr-HR"/>
        </w:rPr>
      </w:pPr>
    </w:p>
    <w:p w:rsidR="003611CF" w:rsidRPr="003611CF" w:rsidRDefault="003611CF" w:rsidP="003611CF">
      <w:pPr>
        <w:spacing w:before="0" w:after="0" w:line="240" w:lineRule="auto"/>
        <w:rPr>
          <w:rFonts w:ascii="Calibri" w:eastAsia="Times New Roman" w:hAnsi="Calibri" w:cs="Calibri"/>
          <w:b/>
          <w:bCs/>
          <w:szCs w:val="24"/>
          <w:lang w:val="hr-HR" w:eastAsia="hr-HR"/>
        </w:rPr>
      </w:pPr>
      <w:r w:rsidRPr="003611CF">
        <w:rPr>
          <w:rFonts w:ascii="Arial" w:eastAsia="Times New Roman" w:hAnsi="Arial" w:cs="Arial"/>
          <w:b/>
          <w:bCs/>
          <w:sz w:val="22"/>
          <w:lang w:val="hr-HR" w:eastAsia="hr-HR"/>
        </w:rPr>
        <w:tab/>
      </w:r>
      <w:r w:rsidRPr="003611CF">
        <w:rPr>
          <w:rFonts w:ascii="Calibri" w:eastAsia="Times New Roman" w:hAnsi="Calibri" w:cs="Calibri"/>
          <w:szCs w:val="24"/>
          <w:lang w:val="en-GB" w:eastAsia="hr-HR"/>
        </w:rPr>
        <w:t xml:space="preserve">U periodu 01.01-31.12.2020. godine poreski inspektori su izvršili 9.242 kontrole (1.962-potpune, 7.280-djelimičnih), odnosno 66,02% manje (ili manje 17.958 kontrola), nego za isti period prethodne godine, kada je izvršeno 27.200 kontrola (2.646-potpunih, 24.554-djelimičnih kontrola). Dakle, procenat ostvarenih inspekcijskih kontrola pravnih i fizičkih lica u ovom periodu je ispod vrijednosti ostvarenih u istom periodu prethodne godine. Razlog manjeg broja izvršenih kontrola, pored epidemiološke situacije prouzrokovane virusom Covid 19 je odlazak u penziju 11 inspektora područnih jedinica, suspenzija 3 inspektora PJ Podgorica i neangažovanje inspektora Odsjeka za inspekcijski nadzor za vršenje kontrola. U periodu 01.01-31.12.2019., navedeni inspektori su izvršili 282 potpune i 1.936 djelimičnih kontrola, a ukupne korekcije su iznosile </w:t>
      </w:r>
      <w:r w:rsidRPr="003611CF">
        <w:rPr>
          <w:rFonts w:ascii="Calibri" w:eastAsia="Times New Roman" w:hAnsi="Calibri" w:cs="Calibri"/>
          <w:bCs/>
          <w:szCs w:val="24"/>
          <w:lang w:val="hr-HR" w:eastAsia="hr-HR"/>
        </w:rPr>
        <w:t>12.690.908,10</w:t>
      </w:r>
      <w:r w:rsidRPr="003611CF">
        <w:rPr>
          <w:rFonts w:ascii="Calibri" w:eastAsia="Times New Roman" w:hAnsi="Calibri" w:cs="Calibri"/>
          <w:szCs w:val="24"/>
          <w:lang w:val="en-GB" w:eastAsia="hr-HR"/>
        </w:rPr>
        <w:t xml:space="preserve">€ (samo kod 1 obveznika utvrđena je korekcija u iznosu od </w:t>
      </w:r>
      <w:r w:rsidRPr="003611CF">
        <w:rPr>
          <w:rFonts w:ascii="Calibri" w:eastAsia="Times New Roman" w:hAnsi="Calibri" w:cs="Calibri"/>
          <w:szCs w:val="24"/>
        </w:rPr>
        <w:t xml:space="preserve">10.069.185,62€). </w:t>
      </w:r>
    </w:p>
    <w:p w:rsidR="003611CF" w:rsidRPr="003611CF" w:rsidRDefault="003611CF" w:rsidP="003611CF">
      <w:pPr>
        <w:spacing w:before="0" w:after="0" w:line="240" w:lineRule="auto"/>
        <w:rPr>
          <w:rFonts w:ascii="Calibri" w:eastAsia="Times New Roman" w:hAnsi="Calibri" w:cs="Calibri"/>
          <w:szCs w:val="24"/>
          <w:lang w:val="en-GB" w:eastAsia="hr-HR"/>
        </w:rPr>
      </w:pPr>
      <w:r w:rsidRPr="003611CF">
        <w:rPr>
          <w:rFonts w:ascii="Calibri" w:eastAsia="Times New Roman" w:hAnsi="Calibri" w:cs="Calibri"/>
          <w:szCs w:val="24"/>
          <w:lang w:val="en-GB" w:eastAsia="hr-HR"/>
        </w:rPr>
        <w:tab/>
        <w:t>Generalnim planom inspekcijskih kontrola za 2020.godinu, planirano je da poreski inspektori područnih jedinica izvrše 2.324 potpune kontrole i 10.370 djelimičnih kontrola. U periodu 01.01.-31.12.2020. godine, poreski inspektori su izvršili 1.962 potpune kontrole što predstavlja 84% planiranog broja kontrola. U izvještajnom periodu izvršeno je 7.280 djelimičnih kontrola, odnosno 70% planiranog broja kontrola.</w:t>
      </w:r>
    </w:p>
    <w:p w:rsidR="003611CF" w:rsidRPr="003611CF" w:rsidRDefault="003611CF" w:rsidP="003611CF">
      <w:pPr>
        <w:spacing w:before="0" w:after="0" w:line="240" w:lineRule="auto"/>
        <w:rPr>
          <w:rFonts w:ascii="Calibri" w:eastAsia="Times New Roman" w:hAnsi="Calibri" w:cs="Calibri"/>
          <w:szCs w:val="24"/>
          <w:lang w:val="en-GB" w:eastAsia="hr-HR"/>
        </w:rPr>
      </w:pPr>
      <w:r w:rsidRPr="003611CF">
        <w:rPr>
          <w:rFonts w:ascii="Calibri" w:eastAsia="Times New Roman" w:hAnsi="Calibri" w:cs="Calibri"/>
          <w:szCs w:val="24"/>
          <w:lang w:val="en-GB" w:eastAsia="hr-HR"/>
        </w:rPr>
        <w:tab/>
        <w:t xml:space="preserve">Procenat ostvarenih kontrola je ispod vrijednosti planiranog broja kontrola. </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eastAsia="hr-HR"/>
        </w:rPr>
        <w:tab/>
        <w:t xml:space="preserve">Dakle, razlog manjeg broja izvršenih kontrola u odnosu na planirani broj kontrola je </w:t>
      </w:r>
      <w:r w:rsidRPr="003611CF">
        <w:rPr>
          <w:rFonts w:ascii="Calibri" w:eastAsia="Times New Roman" w:hAnsi="Calibri" w:cs="Calibri"/>
          <w:szCs w:val="24"/>
          <w:shd w:val="clear" w:color="auto" w:fill="FFFFFF"/>
          <w:lang w:val="en-GB"/>
        </w:rPr>
        <w:t xml:space="preserve">epidemiološka situacija u Crnoj Gori, zbog koje je Poreska uprava svoj rad prilagodila naredbi Ministarstva zdravlja o preduzimanju privremenih mjera za sprječavanje unošenja zaraznih bolesti u zemlju, suzbijanje i </w:t>
      </w:r>
      <w:r w:rsidRPr="003611CF">
        <w:rPr>
          <w:rFonts w:ascii="Calibri" w:eastAsia="Times New Roman" w:hAnsi="Calibri" w:cs="Calibri"/>
          <w:szCs w:val="24"/>
          <w:lang w:val="en-GB"/>
        </w:rPr>
        <w:t>sprječavanje prenošenja korona virusa (COVID 19). U navedenom periodu poreski inspektori su uglavnom koristili pravo na plaćeno odsustvo, godišnji odmor ili su vršili kontrole vezane rokom.</w:t>
      </w:r>
    </w:p>
    <w:p w:rsidR="00CB5BEE"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 xml:space="preserve">Takođe, ispunjenje Godišnjeg plana kontrola je uslovljeno brojem slučajeva koji se ne mogu predvidjeti, a odnose se na kontrole po osnovu stečajeva, likvidacija, povraćaja PDV, koje su prioritetne jer su vezane rokom, kao i po osnovu zahtjeva drugih organa, prevashodno tužilaštva, Uprave policije (Sektora za sprečavanje pranja novca i finasiranja terorizma), kao i zahtjeva građana po osnovu neisplaćenih poreza i doprinosa iz i na lična primanja. </w:t>
      </w:r>
    </w:p>
    <w:p w:rsidR="00CB5BEE" w:rsidRDefault="00CB5BEE" w:rsidP="003611CF">
      <w:pPr>
        <w:spacing w:before="0" w:after="0" w:line="240" w:lineRule="auto"/>
        <w:rPr>
          <w:rFonts w:ascii="Calibri" w:eastAsia="Times New Roman" w:hAnsi="Calibri" w:cs="Calibri"/>
          <w:szCs w:val="24"/>
          <w:lang w:val="en-GB"/>
        </w:rPr>
      </w:pPr>
    </w:p>
    <w:p w:rsidR="00CB5BEE" w:rsidRDefault="00CB5BEE" w:rsidP="003611CF">
      <w:pPr>
        <w:spacing w:before="0" w:after="0" w:line="240" w:lineRule="auto"/>
        <w:rPr>
          <w:rFonts w:ascii="Calibri" w:eastAsia="Times New Roman" w:hAnsi="Calibri" w:cs="Calibri"/>
          <w:szCs w:val="24"/>
          <w:lang w:val="en-GB"/>
        </w:rPr>
      </w:pPr>
    </w:p>
    <w:p w:rsidR="00CB5BEE" w:rsidRDefault="00CB5BEE" w:rsidP="003611CF">
      <w:pPr>
        <w:spacing w:before="0" w:after="0" w:line="240" w:lineRule="auto"/>
        <w:rPr>
          <w:rFonts w:ascii="Calibri" w:eastAsia="Times New Roman" w:hAnsi="Calibri" w:cs="Calibri"/>
          <w:szCs w:val="24"/>
          <w:lang w:val="en-GB"/>
        </w:rPr>
      </w:pPr>
    </w:p>
    <w:p w:rsidR="00CB5BEE" w:rsidRPr="003611CF" w:rsidRDefault="00CB5BEE" w:rsidP="003611CF">
      <w:pPr>
        <w:spacing w:before="0" w:after="0" w:line="240" w:lineRule="auto"/>
        <w:rPr>
          <w:rFonts w:ascii="Calibri" w:eastAsia="Times New Roman" w:hAnsi="Calibri" w:cs="Calibri"/>
          <w:szCs w:val="24"/>
          <w:lang w:val="en-GB"/>
        </w:rPr>
      </w:pPr>
    </w:p>
    <w:p w:rsidR="003611CF" w:rsidRDefault="003611CF" w:rsidP="003611CF">
      <w:pPr>
        <w:spacing w:before="0" w:after="0" w:line="240" w:lineRule="auto"/>
        <w:jc w:val="center"/>
        <w:rPr>
          <w:rFonts w:ascii="Calibri" w:eastAsia="Times New Roman" w:hAnsi="Calibri" w:cs="Calibri"/>
          <w:szCs w:val="24"/>
          <w:lang w:val="en-GB" w:eastAsia="hr-HR"/>
        </w:rPr>
      </w:pPr>
      <w:r w:rsidRPr="003611CF">
        <w:rPr>
          <w:rFonts w:ascii="Calibri" w:eastAsia="Times New Roman" w:hAnsi="Calibri" w:cs="Calibri"/>
          <w:szCs w:val="24"/>
          <w:lang w:val="en-GB" w:eastAsia="hr-HR"/>
        </w:rPr>
        <w:lastRenderedPageBreak/>
        <w:t>UTVRĐENE KOREKCIJE</w:t>
      </w:r>
    </w:p>
    <w:p w:rsidR="00CB5BEE" w:rsidRPr="003611CF" w:rsidRDefault="00CB5BEE" w:rsidP="00CB5BEE">
      <w:pPr>
        <w:spacing w:before="0" w:after="0" w:line="240" w:lineRule="auto"/>
        <w:rPr>
          <w:rFonts w:ascii="Calibri" w:eastAsia="Times New Roman" w:hAnsi="Calibri" w:cs="Calibri"/>
          <w:szCs w:val="24"/>
          <w:lang w:val="en-GB" w:eastAsia="hr-HR"/>
        </w:rPr>
      </w:pPr>
    </w:p>
    <w:tbl>
      <w:tblPr>
        <w:tblW w:w="9903" w:type="dxa"/>
        <w:tblLook w:val="04A0" w:firstRow="1" w:lastRow="0" w:firstColumn="1" w:lastColumn="0" w:noHBand="0" w:noVBand="1"/>
      </w:tblPr>
      <w:tblGrid>
        <w:gridCol w:w="3301"/>
        <w:gridCol w:w="3301"/>
        <w:gridCol w:w="3301"/>
      </w:tblGrid>
      <w:tr w:rsidR="003611CF" w:rsidRPr="003611CF" w:rsidTr="003611CF">
        <w:tc>
          <w:tcPr>
            <w:tcW w:w="3301" w:type="dxa"/>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Calibri" w:hAnsi="Arial" w:cs="Arial"/>
                <w:b/>
                <w:bCs/>
                <w:color w:val="FFFFFF"/>
                <w:sz w:val="20"/>
                <w:lang w:val="en-GB"/>
              </w:rPr>
            </w:pPr>
            <w:r w:rsidRPr="003611CF">
              <w:rPr>
                <w:rFonts w:ascii="Arial" w:eastAsia="Calibri" w:hAnsi="Arial" w:cs="Arial"/>
                <w:bCs/>
                <w:color w:val="FFFFFF"/>
                <w:sz w:val="20"/>
                <w:lang w:val="en-GB"/>
              </w:rPr>
              <w:t>Poreski oblici</w:t>
            </w:r>
          </w:p>
        </w:tc>
        <w:tc>
          <w:tcPr>
            <w:tcW w:w="3301" w:type="dxa"/>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Calibri" w:hAnsi="Arial" w:cs="Arial"/>
                <w:b/>
                <w:bCs/>
                <w:color w:val="FFFFFF"/>
                <w:sz w:val="20"/>
                <w:lang w:val="en-GB"/>
              </w:rPr>
            </w:pPr>
            <w:r w:rsidRPr="003611CF">
              <w:rPr>
                <w:rFonts w:ascii="Arial" w:eastAsia="Calibri" w:hAnsi="Arial" w:cs="Arial"/>
                <w:color w:val="FFFFFF"/>
                <w:sz w:val="20"/>
                <w:lang w:val="en-GB"/>
              </w:rPr>
              <w:t xml:space="preserve">Utvrđene korekcije </w:t>
            </w:r>
            <w:r w:rsidRPr="003611CF">
              <w:rPr>
                <w:rFonts w:ascii="Arial" w:eastAsia="Calibri" w:hAnsi="Arial" w:cs="Arial"/>
                <w:iCs/>
                <w:color w:val="FFFFFF"/>
                <w:sz w:val="20"/>
                <w:lang w:val="en-GB"/>
              </w:rPr>
              <w:t>januar-</w:t>
            </w:r>
            <w:r w:rsidRPr="003611CF">
              <w:rPr>
                <w:rFonts w:ascii="Arial" w:eastAsia="Calibri" w:hAnsi="Arial" w:cs="Arial"/>
                <w:bCs/>
                <w:iCs/>
                <w:color w:val="FFFFFF"/>
                <w:sz w:val="20"/>
                <w:lang w:val="en-GB"/>
              </w:rPr>
              <w:t>decembar</w:t>
            </w:r>
            <w:r w:rsidRPr="003611CF">
              <w:rPr>
                <w:rFonts w:ascii="Arial" w:eastAsia="Calibri" w:hAnsi="Arial" w:cs="Arial"/>
                <w:iCs/>
                <w:color w:val="FFFFFF"/>
                <w:sz w:val="20"/>
                <w:lang w:val="en-GB"/>
              </w:rPr>
              <w:t xml:space="preserve"> 2019.godine</w:t>
            </w:r>
          </w:p>
        </w:tc>
        <w:tc>
          <w:tcPr>
            <w:tcW w:w="3301" w:type="dxa"/>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Calibri" w:hAnsi="Arial" w:cs="Arial"/>
                <w:b/>
                <w:bCs/>
                <w:color w:val="FFFFFF"/>
                <w:sz w:val="20"/>
                <w:lang w:val="en-GB"/>
              </w:rPr>
            </w:pPr>
            <w:r w:rsidRPr="003611CF">
              <w:rPr>
                <w:rFonts w:ascii="Arial" w:eastAsia="Calibri" w:hAnsi="Arial" w:cs="Arial"/>
                <w:color w:val="FFFFFF"/>
                <w:sz w:val="20"/>
                <w:lang w:val="en-GB"/>
              </w:rPr>
              <w:t xml:space="preserve">Utvrđene korekcije </w:t>
            </w:r>
            <w:r w:rsidRPr="003611CF">
              <w:rPr>
                <w:rFonts w:ascii="Arial" w:eastAsia="Calibri" w:hAnsi="Arial" w:cs="Arial"/>
                <w:iCs/>
                <w:color w:val="FFFFFF"/>
                <w:sz w:val="20"/>
                <w:lang w:val="en-GB"/>
              </w:rPr>
              <w:t>januar-</w:t>
            </w:r>
            <w:r w:rsidRPr="003611CF">
              <w:rPr>
                <w:rFonts w:ascii="Arial" w:eastAsia="Calibri" w:hAnsi="Arial" w:cs="Arial"/>
                <w:bCs/>
                <w:iCs/>
                <w:color w:val="FFFFFF"/>
                <w:sz w:val="20"/>
                <w:lang w:val="en-GB"/>
              </w:rPr>
              <w:t>decembar</w:t>
            </w:r>
            <w:r w:rsidRPr="003611CF">
              <w:rPr>
                <w:rFonts w:ascii="Arial" w:eastAsia="Calibri" w:hAnsi="Arial" w:cs="Arial"/>
                <w:iCs/>
                <w:color w:val="FFFFFF"/>
                <w:sz w:val="20"/>
                <w:lang w:val="en-GB"/>
              </w:rPr>
              <w:t xml:space="preserve"> 2020.godine</w:t>
            </w:r>
          </w:p>
        </w:tc>
      </w:tr>
      <w:tr w:rsidR="003611CF" w:rsidRPr="003611CF" w:rsidTr="003611CF">
        <w:tc>
          <w:tcPr>
            <w:tcW w:w="3301" w:type="dxa"/>
            <w:shd w:val="clear" w:color="auto" w:fill="FDE9D9"/>
          </w:tcPr>
          <w:p w:rsidR="003611CF" w:rsidRPr="003611CF" w:rsidRDefault="003611CF" w:rsidP="003611CF">
            <w:pPr>
              <w:spacing w:before="0" w:after="0" w:line="240" w:lineRule="auto"/>
              <w:rPr>
                <w:rFonts w:ascii="Arial" w:eastAsia="Calibri" w:hAnsi="Arial" w:cs="Arial"/>
                <w:b/>
                <w:bCs/>
                <w:color w:val="000000"/>
                <w:sz w:val="20"/>
                <w:lang w:val="en-GB"/>
              </w:rPr>
            </w:pPr>
            <w:r w:rsidRPr="003611CF">
              <w:rPr>
                <w:rFonts w:ascii="Arial" w:eastAsia="Calibri" w:hAnsi="Arial" w:cs="Arial"/>
                <w:bCs/>
                <w:color w:val="000000"/>
                <w:sz w:val="20"/>
                <w:lang w:val="en-GB"/>
              </w:rPr>
              <w:t>PDV</w:t>
            </w:r>
          </w:p>
        </w:tc>
        <w:tc>
          <w:tcPr>
            <w:tcW w:w="3301" w:type="dxa"/>
            <w:shd w:val="clear" w:color="auto" w:fill="FDE9D9"/>
            <w:vAlign w:val="center"/>
          </w:tcPr>
          <w:p w:rsidR="003611CF" w:rsidRPr="003611CF" w:rsidRDefault="003611CF" w:rsidP="003611CF">
            <w:pPr>
              <w:spacing w:before="0" w:after="0" w:line="240" w:lineRule="auto"/>
              <w:jc w:val="center"/>
              <w:rPr>
                <w:rFonts w:ascii="Arial" w:eastAsia="Times New Roman" w:hAnsi="Arial" w:cs="Arial"/>
                <w:bCs/>
                <w:sz w:val="20"/>
                <w:szCs w:val="24"/>
                <w:lang w:val="en-GB"/>
              </w:rPr>
            </w:pPr>
            <w:r w:rsidRPr="003611CF">
              <w:rPr>
                <w:rFonts w:ascii="Arial" w:eastAsia="Times New Roman" w:hAnsi="Arial" w:cs="Arial"/>
                <w:bCs/>
                <w:sz w:val="20"/>
                <w:szCs w:val="24"/>
                <w:lang w:val="en-GB"/>
              </w:rPr>
              <w:t>42.330.873,67</w:t>
            </w:r>
          </w:p>
        </w:tc>
        <w:tc>
          <w:tcPr>
            <w:tcW w:w="3301" w:type="dxa"/>
            <w:shd w:val="clear" w:color="auto" w:fill="FDE9D9"/>
          </w:tcPr>
          <w:p w:rsidR="003611CF" w:rsidRPr="003611CF" w:rsidRDefault="003611CF" w:rsidP="003611CF">
            <w:pPr>
              <w:spacing w:before="0" w:after="0" w:line="240" w:lineRule="auto"/>
              <w:jc w:val="center"/>
              <w:rPr>
                <w:rFonts w:ascii="Arial" w:eastAsia="Times New Roman" w:hAnsi="Arial" w:cs="Arial"/>
                <w:bCs/>
                <w:sz w:val="20"/>
                <w:szCs w:val="24"/>
                <w:lang w:val="en-GB"/>
              </w:rPr>
            </w:pPr>
            <w:r w:rsidRPr="003611CF">
              <w:rPr>
                <w:rFonts w:ascii="Arial" w:eastAsia="Times New Roman" w:hAnsi="Arial" w:cs="Arial"/>
                <w:bCs/>
                <w:sz w:val="20"/>
                <w:szCs w:val="24"/>
                <w:lang w:val="en-GB"/>
              </w:rPr>
              <w:t>13.220.045,44</w:t>
            </w:r>
          </w:p>
        </w:tc>
      </w:tr>
      <w:tr w:rsidR="003611CF" w:rsidRPr="003611CF" w:rsidTr="003611CF">
        <w:tc>
          <w:tcPr>
            <w:tcW w:w="3301" w:type="dxa"/>
            <w:shd w:val="clear" w:color="auto" w:fill="FEF4EC"/>
          </w:tcPr>
          <w:p w:rsidR="003611CF" w:rsidRPr="003611CF" w:rsidRDefault="003611CF" w:rsidP="003611CF">
            <w:pPr>
              <w:spacing w:before="0" w:after="0" w:line="240" w:lineRule="auto"/>
              <w:rPr>
                <w:rFonts w:ascii="Arial" w:eastAsia="Calibri" w:hAnsi="Arial" w:cs="Arial"/>
                <w:b/>
                <w:bCs/>
                <w:color w:val="000000"/>
                <w:sz w:val="20"/>
                <w:lang w:val="en-GB"/>
              </w:rPr>
            </w:pPr>
            <w:r w:rsidRPr="003611CF">
              <w:rPr>
                <w:rFonts w:ascii="Arial" w:eastAsia="Calibri" w:hAnsi="Arial" w:cs="Arial"/>
                <w:bCs/>
                <w:color w:val="000000"/>
                <w:sz w:val="20"/>
                <w:lang w:val="en-GB"/>
              </w:rPr>
              <w:t>Porez na dobit</w:t>
            </w:r>
          </w:p>
        </w:tc>
        <w:tc>
          <w:tcPr>
            <w:tcW w:w="3301" w:type="dxa"/>
            <w:shd w:val="clear" w:color="auto" w:fill="FEF4EC"/>
            <w:vAlign w:val="center"/>
          </w:tcPr>
          <w:p w:rsidR="003611CF" w:rsidRPr="003611CF" w:rsidRDefault="003611CF" w:rsidP="003611CF">
            <w:pPr>
              <w:spacing w:before="0" w:after="0" w:line="240" w:lineRule="auto"/>
              <w:jc w:val="center"/>
              <w:rPr>
                <w:rFonts w:ascii="Arial" w:eastAsia="Times New Roman" w:hAnsi="Arial" w:cs="Arial"/>
                <w:bCs/>
                <w:sz w:val="20"/>
                <w:szCs w:val="24"/>
                <w:lang w:val="en-GB"/>
              </w:rPr>
            </w:pPr>
            <w:r w:rsidRPr="003611CF">
              <w:rPr>
                <w:rFonts w:ascii="Arial" w:eastAsia="Times New Roman" w:hAnsi="Arial" w:cs="Arial"/>
                <w:bCs/>
                <w:sz w:val="20"/>
                <w:szCs w:val="24"/>
                <w:lang w:val="en-GB"/>
              </w:rPr>
              <w:t>4.895.641,93</w:t>
            </w:r>
          </w:p>
        </w:tc>
        <w:tc>
          <w:tcPr>
            <w:tcW w:w="3301" w:type="dxa"/>
            <w:shd w:val="clear" w:color="auto" w:fill="FEF4EC"/>
          </w:tcPr>
          <w:p w:rsidR="003611CF" w:rsidRPr="003611CF" w:rsidRDefault="003611CF" w:rsidP="003611CF">
            <w:pPr>
              <w:spacing w:before="0" w:after="0" w:line="240" w:lineRule="auto"/>
              <w:jc w:val="center"/>
              <w:rPr>
                <w:rFonts w:ascii="Arial" w:eastAsia="Times New Roman" w:hAnsi="Arial" w:cs="Arial"/>
                <w:bCs/>
                <w:sz w:val="20"/>
                <w:szCs w:val="24"/>
                <w:lang w:val="en-GB"/>
              </w:rPr>
            </w:pPr>
            <w:r w:rsidRPr="003611CF">
              <w:rPr>
                <w:rFonts w:ascii="Arial" w:eastAsia="Times New Roman" w:hAnsi="Arial" w:cs="Arial"/>
                <w:bCs/>
                <w:sz w:val="20"/>
                <w:szCs w:val="24"/>
                <w:lang w:val="en-GB"/>
              </w:rPr>
              <w:t>3.671.679,00</w:t>
            </w:r>
          </w:p>
        </w:tc>
      </w:tr>
      <w:tr w:rsidR="003611CF" w:rsidRPr="003611CF" w:rsidTr="003611CF">
        <w:tc>
          <w:tcPr>
            <w:tcW w:w="3301" w:type="dxa"/>
            <w:shd w:val="clear" w:color="auto" w:fill="FDE9D9"/>
          </w:tcPr>
          <w:p w:rsidR="003611CF" w:rsidRPr="003611CF" w:rsidRDefault="003611CF" w:rsidP="003611CF">
            <w:pPr>
              <w:spacing w:before="0" w:after="0" w:line="240" w:lineRule="auto"/>
              <w:rPr>
                <w:rFonts w:ascii="Arial" w:eastAsia="Calibri" w:hAnsi="Arial" w:cs="Arial"/>
                <w:b/>
                <w:bCs/>
                <w:color w:val="000000"/>
                <w:sz w:val="20"/>
                <w:lang w:val="en-GB"/>
              </w:rPr>
            </w:pPr>
            <w:r w:rsidRPr="003611CF">
              <w:rPr>
                <w:rFonts w:ascii="Arial" w:eastAsia="Calibri" w:hAnsi="Arial" w:cs="Arial"/>
                <w:bCs/>
                <w:color w:val="000000"/>
                <w:sz w:val="20"/>
                <w:lang w:val="en-GB"/>
              </w:rPr>
              <w:t>Porez na dohodak/doprinosi</w:t>
            </w:r>
          </w:p>
        </w:tc>
        <w:tc>
          <w:tcPr>
            <w:tcW w:w="3301" w:type="dxa"/>
            <w:shd w:val="clear" w:color="auto" w:fill="FDE9D9"/>
            <w:vAlign w:val="center"/>
          </w:tcPr>
          <w:p w:rsidR="003611CF" w:rsidRPr="003611CF" w:rsidRDefault="003611CF" w:rsidP="003611CF">
            <w:pPr>
              <w:spacing w:before="0" w:after="0" w:line="240" w:lineRule="auto"/>
              <w:jc w:val="center"/>
              <w:rPr>
                <w:rFonts w:ascii="Arial" w:eastAsia="Times New Roman" w:hAnsi="Arial" w:cs="Arial"/>
                <w:bCs/>
                <w:sz w:val="20"/>
                <w:szCs w:val="24"/>
                <w:lang w:val="en-GB"/>
              </w:rPr>
            </w:pPr>
            <w:r w:rsidRPr="003611CF">
              <w:rPr>
                <w:rFonts w:ascii="Arial" w:eastAsia="Times New Roman" w:hAnsi="Arial" w:cs="Arial"/>
                <w:bCs/>
                <w:sz w:val="20"/>
                <w:szCs w:val="24"/>
                <w:lang w:val="en-GB"/>
              </w:rPr>
              <w:t>16.915.112,38</w:t>
            </w:r>
          </w:p>
        </w:tc>
        <w:tc>
          <w:tcPr>
            <w:tcW w:w="3301" w:type="dxa"/>
            <w:shd w:val="clear" w:color="auto" w:fill="FDE9D9"/>
          </w:tcPr>
          <w:p w:rsidR="003611CF" w:rsidRPr="003611CF" w:rsidRDefault="003611CF" w:rsidP="003611CF">
            <w:pPr>
              <w:spacing w:before="0" w:after="0" w:line="240" w:lineRule="auto"/>
              <w:jc w:val="center"/>
              <w:rPr>
                <w:rFonts w:ascii="Arial" w:eastAsia="Times New Roman" w:hAnsi="Arial" w:cs="Arial"/>
                <w:bCs/>
                <w:sz w:val="20"/>
                <w:szCs w:val="24"/>
                <w:lang w:val="en-GB"/>
              </w:rPr>
            </w:pPr>
            <w:r w:rsidRPr="003611CF">
              <w:rPr>
                <w:rFonts w:ascii="Arial" w:eastAsia="Times New Roman" w:hAnsi="Arial" w:cs="Arial"/>
                <w:bCs/>
                <w:sz w:val="20"/>
                <w:szCs w:val="24"/>
                <w:lang w:val="en-GB"/>
              </w:rPr>
              <w:t>12.001.433,51</w:t>
            </w:r>
          </w:p>
        </w:tc>
      </w:tr>
      <w:tr w:rsidR="003611CF" w:rsidRPr="003611CF" w:rsidTr="003611CF">
        <w:tc>
          <w:tcPr>
            <w:tcW w:w="3301" w:type="dxa"/>
            <w:shd w:val="clear" w:color="auto" w:fill="FEF4EC"/>
          </w:tcPr>
          <w:p w:rsidR="003611CF" w:rsidRPr="003611CF" w:rsidRDefault="003611CF" w:rsidP="003611CF">
            <w:pPr>
              <w:spacing w:before="0" w:after="0" w:line="240" w:lineRule="auto"/>
              <w:rPr>
                <w:rFonts w:ascii="Arial" w:eastAsia="Calibri" w:hAnsi="Arial" w:cs="Arial"/>
                <w:b/>
                <w:bCs/>
                <w:color w:val="000000"/>
                <w:sz w:val="20"/>
                <w:lang w:val="en-GB"/>
              </w:rPr>
            </w:pPr>
            <w:r w:rsidRPr="003611CF">
              <w:rPr>
                <w:rFonts w:ascii="Arial" w:eastAsia="Calibri" w:hAnsi="Arial" w:cs="Arial"/>
                <w:bCs/>
                <w:color w:val="000000"/>
                <w:sz w:val="20"/>
                <w:lang w:val="en-GB"/>
              </w:rPr>
              <w:t>Ostalo</w:t>
            </w:r>
          </w:p>
        </w:tc>
        <w:tc>
          <w:tcPr>
            <w:tcW w:w="3301" w:type="dxa"/>
            <w:shd w:val="clear" w:color="auto" w:fill="FEF4EC"/>
            <w:vAlign w:val="center"/>
          </w:tcPr>
          <w:p w:rsidR="003611CF" w:rsidRPr="003611CF" w:rsidRDefault="003611CF" w:rsidP="003611CF">
            <w:pPr>
              <w:spacing w:before="0" w:after="0" w:line="240" w:lineRule="auto"/>
              <w:jc w:val="center"/>
              <w:rPr>
                <w:rFonts w:ascii="Arial" w:eastAsia="Times New Roman" w:hAnsi="Arial" w:cs="Arial"/>
                <w:bCs/>
                <w:sz w:val="20"/>
                <w:szCs w:val="24"/>
                <w:lang w:val="en-GB"/>
              </w:rPr>
            </w:pPr>
            <w:r w:rsidRPr="003611CF">
              <w:rPr>
                <w:rFonts w:ascii="Arial" w:eastAsia="Times New Roman" w:hAnsi="Arial" w:cs="Arial"/>
                <w:bCs/>
                <w:sz w:val="20"/>
                <w:szCs w:val="24"/>
                <w:lang w:val="en-GB"/>
              </w:rPr>
              <w:t>3.854.805,18</w:t>
            </w:r>
          </w:p>
        </w:tc>
        <w:tc>
          <w:tcPr>
            <w:tcW w:w="3301" w:type="dxa"/>
            <w:shd w:val="clear" w:color="auto" w:fill="FEF4EC"/>
          </w:tcPr>
          <w:p w:rsidR="003611CF" w:rsidRPr="003611CF" w:rsidRDefault="003611CF" w:rsidP="003611CF">
            <w:pPr>
              <w:spacing w:before="0" w:after="0" w:line="240" w:lineRule="auto"/>
              <w:jc w:val="center"/>
              <w:rPr>
                <w:rFonts w:ascii="Arial" w:eastAsia="Times New Roman" w:hAnsi="Arial" w:cs="Arial"/>
                <w:bCs/>
                <w:sz w:val="20"/>
                <w:szCs w:val="24"/>
                <w:lang w:val="en-GB"/>
              </w:rPr>
            </w:pPr>
            <w:r w:rsidRPr="003611CF">
              <w:rPr>
                <w:rFonts w:ascii="Arial" w:eastAsia="Times New Roman" w:hAnsi="Arial" w:cs="Arial"/>
                <w:bCs/>
                <w:sz w:val="20"/>
                <w:szCs w:val="24"/>
                <w:lang w:val="en-GB"/>
              </w:rPr>
              <w:t>541.324,88</w:t>
            </w:r>
          </w:p>
        </w:tc>
      </w:tr>
      <w:tr w:rsidR="003611CF" w:rsidRPr="003611CF" w:rsidTr="003611CF">
        <w:tc>
          <w:tcPr>
            <w:tcW w:w="3301" w:type="dxa"/>
            <w:shd w:val="clear" w:color="auto" w:fill="FDE9D9"/>
          </w:tcPr>
          <w:p w:rsidR="003611CF" w:rsidRPr="003611CF" w:rsidRDefault="003611CF" w:rsidP="003611CF">
            <w:pPr>
              <w:spacing w:before="0" w:after="0" w:line="240" w:lineRule="auto"/>
              <w:rPr>
                <w:rFonts w:ascii="Arial" w:eastAsia="Calibri" w:hAnsi="Arial" w:cs="Arial"/>
                <w:b/>
                <w:bCs/>
                <w:color w:val="000000"/>
                <w:sz w:val="20"/>
                <w:lang w:val="en-GB"/>
              </w:rPr>
            </w:pPr>
            <w:r w:rsidRPr="003611CF">
              <w:rPr>
                <w:rFonts w:ascii="Arial" w:eastAsia="Calibri" w:hAnsi="Arial" w:cs="Arial"/>
                <w:b/>
                <w:bCs/>
                <w:color w:val="000000"/>
                <w:sz w:val="20"/>
                <w:lang w:val="en-GB"/>
              </w:rPr>
              <w:t>Ukupno</w:t>
            </w:r>
          </w:p>
        </w:tc>
        <w:tc>
          <w:tcPr>
            <w:tcW w:w="3301" w:type="dxa"/>
            <w:shd w:val="clear" w:color="auto" w:fill="FDE9D9"/>
            <w:vAlign w:val="center"/>
          </w:tcPr>
          <w:p w:rsidR="003611CF" w:rsidRPr="003611CF" w:rsidRDefault="003611CF" w:rsidP="003611CF">
            <w:pPr>
              <w:spacing w:before="0" w:after="0" w:line="240" w:lineRule="auto"/>
              <w:jc w:val="center"/>
              <w:rPr>
                <w:rFonts w:ascii="Arial" w:eastAsia="Times New Roman" w:hAnsi="Arial" w:cs="Arial"/>
                <w:b/>
                <w:bCs/>
                <w:sz w:val="20"/>
                <w:szCs w:val="24"/>
                <w:lang w:val="en-GB"/>
              </w:rPr>
            </w:pPr>
            <w:r w:rsidRPr="003611CF">
              <w:rPr>
                <w:rFonts w:ascii="Arial" w:eastAsia="Times New Roman" w:hAnsi="Arial" w:cs="Arial"/>
                <w:b/>
                <w:bCs/>
                <w:sz w:val="20"/>
                <w:szCs w:val="24"/>
                <w:lang w:val="en-GB"/>
              </w:rPr>
              <w:t>67.996.433,16</w:t>
            </w:r>
          </w:p>
        </w:tc>
        <w:tc>
          <w:tcPr>
            <w:tcW w:w="3301" w:type="dxa"/>
            <w:shd w:val="clear" w:color="auto" w:fill="FDE9D9"/>
          </w:tcPr>
          <w:p w:rsidR="003611CF" w:rsidRPr="003611CF" w:rsidRDefault="003611CF" w:rsidP="003611CF">
            <w:pPr>
              <w:spacing w:before="0" w:after="0" w:line="240" w:lineRule="auto"/>
              <w:jc w:val="center"/>
              <w:rPr>
                <w:rFonts w:ascii="Arial" w:eastAsia="Times New Roman" w:hAnsi="Arial" w:cs="Arial"/>
                <w:b/>
                <w:bCs/>
                <w:sz w:val="20"/>
                <w:szCs w:val="24"/>
                <w:lang w:val="en-GB"/>
              </w:rPr>
            </w:pPr>
            <w:r w:rsidRPr="003611CF">
              <w:rPr>
                <w:rFonts w:ascii="Arial" w:eastAsia="Times New Roman" w:hAnsi="Arial" w:cs="Arial"/>
                <w:b/>
                <w:bCs/>
                <w:sz w:val="20"/>
                <w:szCs w:val="24"/>
                <w:lang w:val="en-GB"/>
              </w:rPr>
              <w:t>29.434.482,83</w:t>
            </w:r>
          </w:p>
        </w:tc>
      </w:tr>
    </w:tbl>
    <w:p w:rsidR="003611CF" w:rsidRPr="003611CF" w:rsidRDefault="003611CF" w:rsidP="003611CF">
      <w:pPr>
        <w:spacing w:before="0" w:after="0" w:line="240" w:lineRule="auto"/>
        <w:rPr>
          <w:rFonts w:ascii="Arial" w:eastAsia="Times New Roman" w:hAnsi="Arial" w:cs="Arial"/>
          <w:sz w:val="22"/>
          <w:lang w:val="en-GB" w:eastAsia="hr-HR"/>
        </w:rPr>
      </w:pPr>
    </w:p>
    <w:p w:rsidR="003611CF" w:rsidRPr="003611CF" w:rsidRDefault="003611CF" w:rsidP="003611CF">
      <w:pPr>
        <w:spacing w:before="0" w:after="0" w:line="240" w:lineRule="auto"/>
        <w:rPr>
          <w:rFonts w:ascii="Calibri" w:eastAsia="Times New Roman" w:hAnsi="Calibri" w:cs="Calibri"/>
          <w:bCs/>
          <w:szCs w:val="24"/>
          <w:lang w:val="hr-HR" w:eastAsia="hr-HR"/>
        </w:rPr>
      </w:pPr>
      <w:r w:rsidRPr="003611CF">
        <w:rPr>
          <w:rFonts w:ascii="Arial" w:eastAsia="Times New Roman" w:hAnsi="Arial" w:cs="Arial"/>
          <w:sz w:val="22"/>
          <w:lang w:val="en-GB" w:eastAsia="hr-HR"/>
        </w:rPr>
        <w:tab/>
      </w:r>
      <w:r w:rsidRPr="003611CF">
        <w:rPr>
          <w:rFonts w:ascii="Calibri" w:eastAsia="Times New Roman" w:hAnsi="Calibri" w:cs="Calibri"/>
          <w:szCs w:val="24"/>
          <w:lang w:val="en-GB" w:eastAsia="hr-HR"/>
        </w:rPr>
        <w:t xml:space="preserve">U postupku inspekcijskog nadzora (inspektori PJ, Sektora za VPO i Sektora za operativu u oblasti inspekcijskog nadzora) u periodu 01.01-31.12. 2020godine, utvrđene su korekcije po poreskim oblicima u ukupnom iznosu od 29.434.482,83€ (od čega se na Odsjek za VPO odnosi </w:t>
      </w:r>
      <w:r w:rsidRPr="003611CF">
        <w:rPr>
          <w:rFonts w:ascii="Calibri" w:eastAsia="Times New Roman" w:hAnsi="Calibri" w:cs="Calibri"/>
          <w:bCs/>
          <w:szCs w:val="24"/>
          <w:lang w:val="hr-HR" w:eastAsia="hr-HR"/>
        </w:rPr>
        <w:t>11.220.846,23</w:t>
      </w:r>
      <w:r w:rsidRPr="003611CF">
        <w:rPr>
          <w:rFonts w:ascii="Calibri" w:eastAsia="Times New Roman" w:hAnsi="Calibri" w:cs="Calibri"/>
          <w:szCs w:val="24"/>
          <w:lang w:val="en-GB" w:eastAsia="hr-HR"/>
        </w:rPr>
        <w:t xml:space="preserve">€). Finansijski efekti po osnovu utvrđenih korekcija iznose </w:t>
      </w:r>
      <w:r w:rsidRPr="003611CF">
        <w:rPr>
          <w:rFonts w:ascii="Calibri" w:eastAsia="Times New Roman" w:hAnsi="Calibri" w:cs="Calibri"/>
          <w:bCs/>
          <w:szCs w:val="24"/>
          <w:lang w:val="hr-HR" w:eastAsia="hr-HR"/>
        </w:rPr>
        <w:t>24.215.684,28</w:t>
      </w:r>
      <w:r w:rsidRPr="003611CF">
        <w:rPr>
          <w:rFonts w:ascii="Calibri" w:eastAsia="Times New Roman" w:hAnsi="Calibri" w:cs="Calibri"/>
          <w:szCs w:val="24"/>
          <w:lang w:val="en-GB" w:eastAsia="hr-HR"/>
        </w:rPr>
        <w:t xml:space="preserve">€ (na Odsjek za VPO se odnosi </w:t>
      </w:r>
      <w:r w:rsidRPr="003611CF">
        <w:rPr>
          <w:rFonts w:ascii="Calibri" w:eastAsia="Times New Roman" w:hAnsi="Calibri" w:cs="Calibri"/>
          <w:bCs/>
          <w:szCs w:val="24"/>
          <w:lang w:val="hr-HR" w:eastAsia="hr-HR"/>
        </w:rPr>
        <w:t>10.834.674,15</w:t>
      </w:r>
      <w:r w:rsidRPr="003611CF">
        <w:rPr>
          <w:rFonts w:ascii="Calibri" w:eastAsia="Times New Roman" w:hAnsi="Calibri" w:cs="Calibri"/>
          <w:szCs w:val="24"/>
          <w:lang w:val="en-GB" w:eastAsia="hr-HR"/>
        </w:rPr>
        <w:t xml:space="preserve">€), od čega je naplaćeno </w:t>
      </w:r>
      <w:r w:rsidRPr="003611CF">
        <w:rPr>
          <w:rFonts w:ascii="Calibri" w:eastAsia="Times New Roman" w:hAnsi="Calibri" w:cs="Calibri"/>
          <w:bCs/>
          <w:szCs w:val="24"/>
          <w:lang w:val="hr-HR" w:eastAsia="hr-HR"/>
        </w:rPr>
        <w:t>5.027.300,16</w:t>
      </w:r>
      <w:r w:rsidRPr="003611CF">
        <w:rPr>
          <w:rFonts w:ascii="Calibri" w:eastAsia="Times New Roman" w:hAnsi="Calibri" w:cs="Calibri"/>
          <w:szCs w:val="24"/>
          <w:lang w:val="en-GB" w:eastAsia="hr-HR"/>
        </w:rPr>
        <w:t xml:space="preserve">€ (na Odsjek za VPO se odnosi </w:t>
      </w:r>
      <w:r w:rsidRPr="003611CF">
        <w:rPr>
          <w:rFonts w:ascii="Calibri" w:eastAsia="Times New Roman" w:hAnsi="Calibri" w:cs="Calibri"/>
          <w:bCs/>
          <w:szCs w:val="24"/>
          <w:lang w:val="hr-HR" w:eastAsia="hr-HR"/>
        </w:rPr>
        <w:t>2.016.747,05</w:t>
      </w:r>
      <w:r w:rsidRPr="003611CF">
        <w:rPr>
          <w:rFonts w:ascii="Calibri" w:eastAsia="Times New Roman" w:hAnsi="Calibri" w:cs="Calibri"/>
          <w:szCs w:val="24"/>
          <w:lang w:val="en-GB" w:eastAsia="hr-HR"/>
        </w:rPr>
        <w:t xml:space="preserve">€) ili 20,76%, dok su korekcije koje se odnose na smanjenje gubitka utvrđene u iznosu od  </w:t>
      </w:r>
      <w:r w:rsidRPr="003611CF">
        <w:rPr>
          <w:rFonts w:ascii="Calibri" w:eastAsia="Times New Roman" w:hAnsi="Calibri" w:cs="Calibri"/>
          <w:bCs/>
          <w:szCs w:val="24"/>
          <w:lang w:val="hr-HR" w:eastAsia="hr-HR"/>
        </w:rPr>
        <w:t xml:space="preserve">8.316.184,22 €. </w:t>
      </w:r>
    </w:p>
    <w:p w:rsidR="003611CF" w:rsidRPr="003611CF" w:rsidRDefault="003611CF" w:rsidP="003611CF">
      <w:pPr>
        <w:spacing w:before="0" w:after="0" w:line="240" w:lineRule="auto"/>
        <w:rPr>
          <w:rFonts w:ascii="Calibri" w:eastAsia="Times New Roman" w:hAnsi="Calibri" w:cs="Calibri"/>
          <w:bCs/>
          <w:szCs w:val="24"/>
          <w:lang w:val="en-GB"/>
        </w:rPr>
      </w:pPr>
      <w:r w:rsidRPr="003611CF">
        <w:rPr>
          <w:rFonts w:ascii="Calibri" w:eastAsia="Times New Roman" w:hAnsi="Calibri" w:cs="Calibri"/>
          <w:iCs/>
          <w:szCs w:val="24"/>
          <w:lang w:val="hr-HR"/>
        </w:rPr>
        <w:tab/>
        <w:t xml:space="preserve">Shodno navedenom, može se zaključiti da su inspekcijske kontrole u izvještajnom periodu bile usmjerene na kontrole pravnih lica, prije svega obveznika PDV-a. Ove kontrole su se pokazale potpuno opravdanim, posebno kada se ima u vidu da su kontrolom PDV-a  izvršene korekcije u iznosu od 13.220.045,44€, što čini 44,91% učešća u ukupnim korekcijama i korekcije poreza na dohodak/doprinosi u iznosu od </w:t>
      </w:r>
      <w:r w:rsidRPr="003611CF">
        <w:rPr>
          <w:rFonts w:ascii="Calibri" w:eastAsia="Times New Roman" w:hAnsi="Calibri" w:cs="Calibri"/>
          <w:bCs/>
          <w:szCs w:val="24"/>
          <w:lang w:val="en-GB"/>
        </w:rPr>
        <w:t xml:space="preserve">12.001.433,51€, učešće u ukupnim korekcijama 40,77%. </w:t>
      </w:r>
    </w:p>
    <w:p w:rsidR="003611CF" w:rsidRPr="003611CF" w:rsidRDefault="003611CF" w:rsidP="003611CF">
      <w:pPr>
        <w:spacing w:before="0" w:after="0" w:line="240" w:lineRule="auto"/>
        <w:rPr>
          <w:rFonts w:ascii="Calibri" w:eastAsia="Times New Roman" w:hAnsi="Calibri" w:cs="Calibri"/>
          <w:szCs w:val="24"/>
          <w:lang w:val="en-GB" w:eastAsia="hr-HR"/>
        </w:rPr>
      </w:pPr>
      <w:r w:rsidRPr="003611CF">
        <w:rPr>
          <w:rFonts w:ascii="Calibri" w:eastAsia="Times New Roman" w:hAnsi="Calibri" w:cs="Calibri"/>
          <w:szCs w:val="24"/>
          <w:lang w:val="en-GB" w:eastAsia="hr-HR"/>
        </w:rPr>
        <w:tab/>
        <w:t xml:space="preserve">U izvještajnom periodu, izvršeno je 865 kontrola po podnesenim zahtjevima za povraćaj PDV kredita u ukupnom iznosu od </w:t>
      </w:r>
      <w:r w:rsidRPr="003611CF">
        <w:rPr>
          <w:rFonts w:ascii="Calibri" w:eastAsia="Times New Roman" w:hAnsi="Calibri" w:cs="Calibri"/>
          <w:bCs/>
          <w:szCs w:val="24"/>
          <w:lang w:val="hr-HR" w:eastAsia="hr-HR"/>
        </w:rPr>
        <w:t>92.789.307,62</w:t>
      </w:r>
      <w:r w:rsidRPr="003611CF">
        <w:rPr>
          <w:rFonts w:ascii="Calibri" w:eastAsia="Times New Roman" w:hAnsi="Calibri" w:cs="Calibri"/>
          <w:szCs w:val="24"/>
          <w:lang w:val="en-GB" w:eastAsia="hr-HR"/>
        </w:rPr>
        <w:t xml:space="preserve">€. U postupku inspekcijskog nadzora utvrđena je korekcija PDV kredita u ukupnom iznosu od </w:t>
      </w:r>
      <w:r w:rsidRPr="003611CF">
        <w:rPr>
          <w:rFonts w:ascii="Calibri" w:eastAsia="Times New Roman" w:hAnsi="Calibri" w:cs="Calibri"/>
          <w:bCs/>
          <w:szCs w:val="24"/>
          <w:lang w:val="hr-HR" w:eastAsia="hr-HR"/>
        </w:rPr>
        <w:t>3.593.486,28</w:t>
      </w:r>
      <w:r w:rsidRPr="003611CF">
        <w:rPr>
          <w:rFonts w:ascii="Calibri" w:eastAsia="Times New Roman" w:hAnsi="Calibri" w:cs="Calibri"/>
          <w:szCs w:val="24"/>
          <w:lang w:val="en-GB" w:eastAsia="hr-HR"/>
        </w:rPr>
        <w:t xml:space="preserve">€ (3,87%), dok je utvrđena osnovanost PDV kredita u iznosu od </w:t>
      </w:r>
      <w:r w:rsidRPr="003611CF">
        <w:rPr>
          <w:rFonts w:ascii="Calibri" w:eastAsia="Times New Roman" w:hAnsi="Calibri" w:cs="Calibri"/>
          <w:bCs/>
          <w:szCs w:val="24"/>
          <w:lang w:val="hr-HR" w:eastAsia="hr-HR"/>
        </w:rPr>
        <w:t>89.196.100,41</w:t>
      </w:r>
      <w:r w:rsidRPr="003611CF">
        <w:rPr>
          <w:rFonts w:ascii="Calibri" w:eastAsia="Times New Roman" w:hAnsi="Calibri" w:cs="Calibri"/>
          <w:szCs w:val="24"/>
          <w:lang w:val="en-GB" w:eastAsia="hr-HR"/>
        </w:rPr>
        <w:t>€.</w:t>
      </w:r>
    </w:p>
    <w:p w:rsidR="003611CF" w:rsidRPr="003611CF" w:rsidRDefault="003611CF" w:rsidP="003611CF">
      <w:pPr>
        <w:spacing w:before="0" w:after="0" w:line="240" w:lineRule="auto"/>
        <w:rPr>
          <w:rFonts w:ascii="Arial" w:eastAsia="Times New Roman" w:hAnsi="Arial" w:cs="Arial"/>
          <w:sz w:val="22"/>
          <w:lang w:val="en-GB" w:eastAsia="hr-HR"/>
        </w:rPr>
      </w:pPr>
    </w:p>
    <w:tbl>
      <w:tblPr>
        <w:tblW w:w="10774" w:type="dxa"/>
        <w:jc w:val="center"/>
        <w:tblLayout w:type="fixed"/>
        <w:tblLook w:val="04A0" w:firstRow="1" w:lastRow="0" w:firstColumn="1" w:lastColumn="0" w:noHBand="0" w:noVBand="1"/>
      </w:tblPr>
      <w:tblGrid>
        <w:gridCol w:w="993"/>
        <w:gridCol w:w="850"/>
        <w:gridCol w:w="709"/>
        <w:gridCol w:w="1417"/>
        <w:gridCol w:w="1418"/>
        <w:gridCol w:w="1417"/>
        <w:gridCol w:w="1276"/>
        <w:gridCol w:w="851"/>
        <w:gridCol w:w="992"/>
        <w:gridCol w:w="851"/>
      </w:tblGrid>
      <w:tr w:rsidR="003611CF" w:rsidRPr="003611CF" w:rsidTr="003611CF">
        <w:trPr>
          <w:trHeight w:val="471"/>
          <w:jc w:val="center"/>
        </w:trPr>
        <w:tc>
          <w:tcPr>
            <w:tcW w:w="993" w:type="dxa"/>
            <w:vMerge w:val="restart"/>
            <w:tcBorders>
              <w:bottom w:val="single" w:sz="12" w:space="0" w:color="FFFFFF"/>
            </w:tcBorders>
            <w:shd w:val="clear" w:color="auto" w:fill="348DA5"/>
            <w:hideMark/>
          </w:tcPr>
          <w:p w:rsidR="003611CF" w:rsidRPr="003611CF" w:rsidRDefault="003611CF" w:rsidP="003611CF">
            <w:pPr>
              <w:spacing w:before="0" w:after="0" w:line="240" w:lineRule="auto"/>
              <w:jc w:val="center"/>
              <w:rPr>
                <w:rFonts w:ascii="Arial" w:eastAsia="Calibri" w:hAnsi="Arial" w:cs="Arial"/>
                <w:b/>
                <w:bCs/>
                <w:color w:val="FFFFFF"/>
                <w:sz w:val="18"/>
                <w:lang w:val="en-GB"/>
              </w:rPr>
            </w:pPr>
            <w:r w:rsidRPr="003611CF">
              <w:rPr>
                <w:rFonts w:ascii="Arial" w:eastAsia="Calibri" w:hAnsi="Arial" w:cs="Arial"/>
                <w:color w:val="FFFFFF"/>
                <w:sz w:val="18"/>
                <w:lang w:val="en-GB"/>
              </w:rPr>
              <w:t>Područna jedinica/ sektor</w:t>
            </w:r>
          </w:p>
        </w:tc>
        <w:tc>
          <w:tcPr>
            <w:tcW w:w="1559" w:type="dxa"/>
            <w:gridSpan w:val="2"/>
            <w:tcBorders>
              <w:bottom w:val="single" w:sz="12" w:space="0" w:color="FFFFFF"/>
            </w:tcBorders>
            <w:shd w:val="clear" w:color="auto" w:fill="348DA5"/>
            <w:hideMark/>
          </w:tcPr>
          <w:p w:rsidR="003611CF" w:rsidRPr="003611CF" w:rsidRDefault="003611CF" w:rsidP="003611CF">
            <w:pPr>
              <w:spacing w:before="0" w:after="0" w:line="240" w:lineRule="auto"/>
              <w:jc w:val="center"/>
              <w:rPr>
                <w:rFonts w:ascii="Arial" w:eastAsia="Calibri" w:hAnsi="Arial" w:cs="Arial"/>
                <w:b/>
                <w:bCs/>
                <w:color w:val="FFFFFF"/>
                <w:sz w:val="18"/>
                <w:lang w:val="en-GB"/>
              </w:rPr>
            </w:pPr>
            <w:r w:rsidRPr="003611CF">
              <w:rPr>
                <w:rFonts w:ascii="Arial" w:eastAsia="Calibri" w:hAnsi="Arial" w:cs="Arial"/>
                <w:color w:val="FFFFFF"/>
                <w:sz w:val="18"/>
                <w:lang w:val="en-GB"/>
              </w:rPr>
              <w:t>Podnijet zahtjev za povraćaj</w:t>
            </w:r>
          </w:p>
        </w:tc>
        <w:tc>
          <w:tcPr>
            <w:tcW w:w="1417" w:type="dxa"/>
            <w:vMerge w:val="restart"/>
            <w:tcBorders>
              <w:bottom w:val="single" w:sz="12" w:space="0" w:color="FFFFFF"/>
            </w:tcBorders>
            <w:shd w:val="clear" w:color="auto" w:fill="348DA5"/>
            <w:hideMark/>
          </w:tcPr>
          <w:p w:rsidR="003611CF" w:rsidRPr="003611CF" w:rsidRDefault="003611CF" w:rsidP="003611CF">
            <w:pPr>
              <w:spacing w:before="0" w:after="0" w:line="240" w:lineRule="auto"/>
              <w:jc w:val="center"/>
              <w:rPr>
                <w:rFonts w:ascii="Arial" w:eastAsia="Calibri" w:hAnsi="Arial" w:cs="Arial"/>
                <w:b/>
                <w:bCs/>
                <w:color w:val="FFFFFF"/>
                <w:sz w:val="18"/>
                <w:lang w:val="en-GB"/>
              </w:rPr>
            </w:pPr>
            <w:r w:rsidRPr="003611CF">
              <w:rPr>
                <w:rFonts w:ascii="Arial" w:eastAsia="Calibri" w:hAnsi="Arial" w:cs="Arial"/>
                <w:color w:val="FFFFFF"/>
                <w:sz w:val="18"/>
                <w:lang w:val="en-GB"/>
              </w:rPr>
              <w:t>Iznos traženog pdv kredita</w:t>
            </w:r>
          </w:p>
        </w:tc>
        <w:tc>
          <w:tcPr>
            <w:tcW w:w="4111" w:type="dxa"/>
            <w:gridSpan w:val="3"/>
            <w:tcBorders>
              <w:bottom w:val="single" w:sz="12" w:space="0" w:color="FFFFFF"/>
            </w:tcBorders>
            <w:shd w:val="clear" w:color="auto" w:fill="348DA5"/>
            <w:hideMark/>
          </w:tcPr>
          <w:p w:rsidR="003611CF" w:rsidRPr="003611CF" w:rsidRDefault="003611CF" w:rsidP="003611CF">
            <w:pPr>
              <w:spacing w:before="0" w:after="0" w:line="240" w:lineRule="auto"/>
              <w:jc w:val="center"/>
              <w:rPr>
                <w:rFonts w:ascii="Arial" w:eastAsia="Calibri" w:hAnsi="Arial" w:cs="Arial"/>
                <w:b/>
                <w:bCs/>
                <w:color w:val="FFFFFF"/>
                <w:sz w:val="18"/>
                <w:lang w:val="en-GB"/>
              </w:rPr>
            </w:pPr>
            <w:r w:rsidRPr="003611CF">
              <w:rPr>
                <w:rFonts w:ascii="Arial" w:eastAsia="Calibri" w:hAnsi="Arial" w:cs="Arial"/>
                <w:color w:val="FFFFFF"/>
                <w:sz w:val="18"/>
                <w:lang w:val="en-GB"/>
              </w:rPr>
              <w:t>Ishod inspekcisjkog nadzora po zahtjevima za povraćaj</w:t>
            </w:r>
          </w:p>
        </w:tc>
        <w:tc>
          <w:tcPr>
            <w:tcW w:w="851" w:type="dxa"/>
            <w:vMerge w:val="restart"/>
            <w:tcBorders>
              <w:bottom w:val="single" w:sz="12" w:space="0" w:color="FFFFFF"/>
            </w:tcBorders>
            <w:shd w:val="clear" w:color="auto" w:fill="348DA5"/>
            <w:hideMark/>
          </w:tcPr>
          <w:p w:rsidR="003611CF" w:rsidRPr="003611CF" w:rsidRDefault="003611CF" w:rsidP="003611CF">
            <w:pPr>
              <w:spacing w:before="0" w:after="0" w:line="240" w:lineRule="auto"/>
              <w:jc w:val="center"/>
              <w:rPr>
                <w:rFonts w:ascii="Arial" w:eastAsia="Calibri" w:hAnsi="Arial" w:cs="Arial"/>
                <w:b/>
                <w:bCs/>
                <w:color w:val="FFFFFF"/>
                <w:sz w:val="18"/>
                <w:lang w:val="en-GB"/>
              </w:rPr>
            </w:pPr>
            <w:r w:rsidRPr="003611CF">
              <w:rPr>
                <w:rFonts w:ascii="Arial" w:eastAsia="Calibri" w:hAnsi="Arial" w:cs="Arial"/>
                <w:color w:val="FFFFFF"/>
                <w:sz w:val="18"/>
                <w:lang w:val="en-GB"/>
              </w:rPr>
              <w:t>Odbijen zahtjev za povraćaj</w:t>
            </w:r>
          </w:p>
        </w:tc>
        <w:tc>
          <w:tcPr>
            <w:tcW w:w="1843" w:type="dxa"/>
            <w:gridSpan w:val="2"/>
            <w:tcBorders>
              <w:bottom w:val="single" w:sz="12" w:space="0" w:color="FFFFFF"/>
            </w:tcBorders>
            <w:shd w:val="clear" w:color="auto" w:fill="348DA5"/>
            <w:hideMark/>
          </w:tcPr>
          <w:p w:rsidR="003611CF" w:rsidRPr="003611CF" w:rsidRDefault="003611CF" w:rsidP="003611CF">
            <w:pPr>
              <w:spacing w:before="0" w:after="0" w:line="240" w:lineRule="auto"/>
              <w:jc w:val="center"/>
              <w:rPr>
                <w:rFonts w:ascii="Arial" w:eastAsia="Calibri" w:hAnsi="Arial" w:cs="Arial"/>
                <w:b/>
                <w:bCs/>
                <w:color w:val="FFFFFF"/>
                <w:sz w:val="18"/>
                <w:lang w:val="en-GB"/>
              </w:rPr>
            </w:pPr>
            <w:r w:rsidRPr="003611CF">
              <w:rPr>
                <w:rFonts w:ascii="Arial" w:eastAsia="Calibri" w:hAnsi="Arial" w:cs="Arial"/>
                <w:color w:val="FFFFFF"/>
                <w:sz w:val="18"/>
                <w:lang w:val="en-GB"/>
              </w:rPr>
              <w:t>Napomena</w:t>
            </w:r>
          </w:p>
        </w:tc>
      </w:tr>
      <w:tr w:rsidR="003611CF" w:rsidRPr="003611CF" w:rsidTr="003611CF">
        <w:trPr>
          <w:trHeight w:val="1041"/>
          <w:jc w:val="center"/>
        </w:trPr>
        <w:tc>
          <w:tcPr>
            <w:tcW w:w="993" w:type="dxa"/>
            <w:vMerge/>
            <w:shd w:val="clear" w:color="auto" w:fill="FDE9D9"/>
            <w:hideMark/>
          </w:tcPr>
          <w:p w:rsidR="003611CF" w:rsidRPr="003611CF" w:rsidRDefault="003611CF" w:rsidP="003611CF">
            <w:pPr>
              <w:spacing w:before="0" w:after="0" w:line="240" w:lineRule="auto"/>
              <w:jc w:val="left"/>
              <w:rPr>
                <w:rFonts w:ascii="Arial" w:eastAsia="Calibri" w:hAnsi="Arial" w:cs="Arial"/>
                <w:b/>
                <w:bCs/>
                <w:color w:val="000000"/>
                <w:sz w:val="18"/>
                <w:lang w:val="en-GB"/>
              </w:rPr>
            </w:pPr>
          </w:p>
        </w:tc>
        <w:tc>
          <w:tcPr>
            <w:tcW w:w="850" w:type="dxa"/>
            <w:shd w:val="clear" w:color="auto" w:fill="FDE9D9"/>
            <w:hideMark/>
          </w:tcPr>
          <w:p w:rsidR="003611CF" w:rsidRPr="003611CF" w:rsidRDefault="003611CF" w:rsidP="003611CF">
            <w:pPr>
              <w:spacing w:before="0" w:after="0" w:line="240" w:lineRule="auto"/>
              <w:jc w:val="center"/>
              <w:rPr>
                <w:rFonts w:ascii="Arial" w:eastAsia="Calibri" w:hAnsi="Arial" w:cs="Arial"/>
                <w:bCs/>
                <w:color w:val="000000"/>
                <w:sz w:val="18"/>
                <w:lang w:val="en-GB"/>
              </w:rPr>
            </w:pPr>
            <w:r w:rsidRPr="003611CF">
              <w:rPr>
                <w:rFonts w:ascii="Arial" w:eastAsia="Calibri" w:hAnsi="Arial" w:cs="Arial"/>
                <w:bCs/>
                <w:color w:val="000000"/>
                <w:sz w:val="18"/>
                <w:lang w:val="en-GB"/>
              </w:rPr>
              <w:t>po prijavi (zaokruživanjem da)</w:t>
            </w:r>
          </w:p>
        </w:tc>
        <w:tc>
          <w:tcPr>
            <w:tcW w:w="709" w:type="dxa"/>
            <w:shd w:val="clear" w:color="auto" w:fill="FDE9D9"/>
            <w:hideMark/>
          </w:tcPr>
          <w:p w:rsidR="003611CF" w:rsidRPr="003611CF" w:rsidRDefault="003611CF" w:rsidP="003611CF">
            <w:pPr>
              <w:spacing w:before="0" w:after="0" w:line="240" w:lineRule="auto"/>
              <w:jc w:val="center"/>
              <w:rPr>
                <w:rFonts w:ascii="Arial" w:eastAsia="Calibri" w:hAnsi="Arial" w:cs="Arial"/>
                <w:bCs/>
                <w:color w:val="000000"/>
                <w:sz w:val="18"/>
                <w:lang w:val="en-GB"/>
              </w:rPr>
            </w:pPr>
            <w:r w:rsidRPr="003611CF">
              <w:rPr>
                <w:rFonts w:ascii="Arial" w:eastAsia="Calibri" w:hAnsi="Arial" w:cs="Arial"/>
                <w:bCs/>
                <w:color w:val="000000"/>
                <w:sz w:val="18"/>
                <w:lang w:val="en-GB"/>
              </w:rPr>
              <w:t>po zahtjevu</w:t>
            </w:r>
          </w:p>
        </w:tc>
        <w:tc>
          <w:tcPr>
            <w:tcW w:w="1417" w:type="dxa"/>
            <w:vMerge/>
            <w:shd w:val="clear" w:color="auto" w:fill="FDE9D9"/>
            <w:hideMark/>
          </w:tcPr>
          <w:p w:rsidR="003611CF" w:rsidRPr="003611CF" w:rsidRDefault="003611CF" w:rsidP="003611CF">
            <w:pPr>
              <w:spacing w:before="0" w:after="0" w:line="240" w:lineRule="auto"/>
              <w:jc w:val="left"/>
              <w:rPr>
                <w:rFonts w:ascii="Arial" w:eastAsia="Calibri" w:hAnsi="Arial" w:cs="Arial"/>
                <w:bCs/>
                <w:color w:val="000000"/>
                <w:sz w:val="18"/>
                <w:lang w:val="en-GB"/>
              </w:rPr>
            </w:pPr>
          </w:p>
        </w:tc>
        <w:tc>
          <w:tcPr>
            <w:tcW w:w="1418" w:type="dxa"/>
            <w:shd w:val="clear" w:color="auto" w:fill="FDE9D9"/>
            <w:hideMark/>
          </w:tcPr>
          <w:p w:rsidR="003611CF" w:rsidRPr="003611CF" w:rsidRDefault="003611CF" w:rsidP="003611CF">
            <w:pPr>
              <w:spacing w:before="0" w:after="0" w:line="240" w:lineRule="auto"/>
              <w:jc w:val="center"/>
              <w:rPr>
                <w:rFonts w:ascii="Arial" w:eastAsia="Calibri" w:hAnsi="Arial" w:cs="Arial"/>
                <w:bCs/>
                <w:color w:val="000000"/>
                <w:sz w:val="18"/>
                <w:lang w:val="en-GB"/>
              </w:rPr>
            </w:pPr>
            <w:r w:rsidRPr="003611CF">
              <w:rPr>
                <w:rFonts w:ascii="Arial" w:eastAsia="Calibri" w:hAnsi="Arial" w:cs="Arial"/>
                <w:bCs/>
                <w:color w:val="000000"/>
                <w:sz w:val="18"/>
                <w:lang w:val="en-GB"/>
              </w:rPr>
              <w:t>iznos osnovanog pdva- a</w:t>
            </w:r>
          </w:p>
        </w:tc>
        <w:tc>
          <w:tcPr>
            <w:tcW w:w="1417" w:type="dxa"/>
            <w:shd w:val="clear" w:color="auto" w:fill="FDE9D9"/>
            <w:hideMark/>
          </w:tcPr>
          <w:p w:rsidR="003611CF" w:rsidRPr="003611CF" w:rsidRDefault="003611CF" w:rsidP="003611CF">
            <w:pPr>
              <w:spacing w:before="0" w:after="0" w:line="240" w:lineRule="auto"/>
              <w:jc w:val="center"/>
              <w:rPr>
                <w:rFonts w:ascii="Arial" w:eastAsia="Calibri" w:hAnsi="Arial" w:cs="Arial"/>
                <w:bCs/>
                <w:color w:val="000000"/>
                <w:sz w:val="18"/>
                <w:lang w:val="en-GB"/>
              </w:rPr>
            </w:pPr>
            <w:r w:rsidRPr="003611CF">
              <w:rPr>
                <w:rFonts w:ascii="Arial" w:eastAsia="Calibri" w:hAnsi="Arial" w:cs="Arial"/>
                <w:bCs/>
                <w:color w:val="000000"/>
                <w:sz w:val="18"/>
                <w:lang w:val="en-GB"/>
              </w:rPr>
              <w:t>iznos neosnovanog pdv-a</w:t>
            </w:r>
          </w:p>
        </w:tc>
        <w:tc>
          <w:tcPr>
            <w:tcW w:w="1276" w:type="dxa"/>
            <w:shd w:val="clear" w:color="auto" w:fill="FDE9D9"/>
            <w:hideMark/>
          </w:tcPr>
          <w:p w:rsidR="003611CF" w:rsidRPr="003611CF" w:rsidRDefault="003611CF" w:rsidP="003611CF">
            <w:pPr>
              <w:spacing w:before="0" w:after="0" w:line="240" w:lineRule="auto"/>
              <w:jc w:val="center"/>
              <w:rPr>
                <w:rFonts w:ascii="Arial" w:eastAsia="Calibri" w:hAnsi="Arial" w:cs="Arial"/>
                <w:bCs/>
                <w:color w:val="000000"/>
                <w:sz w:val="18"/>
                <w:lang w:val="en-GB"/>
              </w:rPr>
            </w:pPr>
            <w:r w:rsidRPr="003611CF">
              <w:rPr>
                <w:rFonts w:ascii="Arial" w:eastAsia="Calibri" w:hAnsi="Arial" w:cs="Arial"/>
                <w:bCs/>
                <w:color w:val="000000"/>
                <w:sz w:val="18"/>
                <w:lang w:val="en-GB"/>
              </w:rPr>
              <w:t>iznos preusmjera</w:t>
            </w:r>
          </w:p>
        </w:tc>
        <w:tc>
          <w:tcPr>
            <w:tcW w:w="851" w:type="dxa"/>
            <w:vMerge/>
            <w:shd w:val="clear" w:color="auto" w:fill="FDE9D9"/>
            <w:hideMark/>
          </w:tcPr>
          <w:p w:rsidR="003611CF" w:rsidRPr="003611CF" w:rsidRDefault="003611CF" w:rsidP="003611CF">
            <w:pPr>
              <w:spacing w:before="0" w:after="0" w:line="240" w:lineRule="auto"/>
              <w:jc w:val="left"/>
              <w:rPr>
                <w:rFonts w:ascii="Arial" w:eastAsia="Calibri" w:hAnsi="Arial" w:cs="Arial"/>
                <w:bCs/>
                <w:color w:val="000000"/>
                <w:sz w:val="18"/>
                <w:lang w:val="en-GB"/>
              </w:rPr>
            </w:pPr>
          </w:p>
        </w:tc>
        <w:tc>
          <w:tcPr>
            <w:tcW w:w="992" w:type="dxa"/>
            <w:shd w:val="clear" w:color="auto" w:fill="FDE9D9"/>
            <w:hideMark/>
          </w:tcPr>
          <w:p w:rsidR="003611CF" w:rsidRPr="003611CF" w:rsidRDefault="003611CF" w:rsidP="003611CF">
            <w:pPr>
              <w:spacing w:before="0" w:after="0" w:line="240" w:lineRule="auto"/>
              <w:jc w:val="center"/>
              <w:rPr>
                <w:rFonts w:ascii="Arial" w:eastAsia="Calibri" w:hAnsi="Arial" w:cs="Arial"/>
                <w:bCs/>
                <w:color w:val="000000"/>
                <w:sz w:val="18"/>
                <w:lang w:val="en-GB"/>
              </w:rPr>
            </w:pPr>
            <w:r w:rsidRPr="003611CF">
              <w:rPr>
                <w:rFonts w:ascii="Arial" w:eastAsia="Calibri" w:hAnsi="Arial" w:cs="Arial"/>
                <w:bCs/>
                <w:color w:val="000000"/>
                <w:sz w:val="18"/>
                <w:lang w:val="en-GB"/>
              </w:rPr>
              <w:t>djelimična kontrola</w:t>
            </w:r>
          </w:p>
        </w:tc>
        <w:tc>
          <w:tcPr>
            <w:tcW w:w="851" w:type="dxa"/>
            <w:shd w:val="clear" w:color="auto" w:fill="FDE9D9"/>
            <w:hideMark/>
          </w:tcPr>
          <w:p w:rsidR="003611CF" w:rsidRPr="003611CF" w:rsidRDefault="003611CF" w:rsidP="003611CF">
            <w:pPr>
              <w:spacing w:before="0" w:after="0" w:line="240" w:lineRule="auto"/>
              <w:jc w:val="center"/>
              <w:rPr>
                <w:rFonts w:ascii="Arial" w:eastAsia="Calibri" w:hAnsi="Arial" w:cs="Arial"/>
                <w:bCs/>
                <w:color w:val="000000"/>
                <w:sz w:val="18"/>
                <w:lang w:val="en-GB"/>
              </w:rPr>
            </w:pPr>
            <w:r w:rsidRPr="003611CF">
              <w:rPr>
                <w:rFonts w:ascii="Arial" w:eastAsia="Calibri" w:hAnsi="Arial" w:cs="Arial"/>
                <w:bCs/>
                <w:color w:val="000000"/>
                <w:sz w:val="18"/>
                <w:lang w:val="en-GB"/>
              </w:rPr>
              <w:t>potpuna kontrola</w:t>
            </w:r>
          </w:p>
        </w:tc>
      </w:tr>
      <w:tr w:rsidR="003611CF" w:rsidRPr="003611CF" w:rsidTr="003611CF">
        <w:trPr>
          <w:trHeight w:val="213"/>
          <w:jc w:val="center"/>
        </w:trPr>
        <w:tc>
          <w:tcPr>
            <w:tcW w:w="993" w:type="dxa"/>
            <w:shd w:val="clear" w:color="auto" w:fill="FEF4EC"/>
            <w:noWrap/>
            <w:hideMark/>
          </w:tcPr>
          <w:p w:rsidR="003611CF" w:rsidRPr="003611CF" w:rsidRDefault="003611CF" w:rsidP="003611CF">
            <w:pPr>
              <w:spacing w:before="0" w:after="0" w:line="240" w:lineRule="auto"/>
              <w:jc w:val="center"/>
              <w:rPr>
                <w:rFonts w:ascii="Arial" w:eastAsia="Calibri" w:hAnsi="Arial" w:cs="Arial"/>
                <w:b/>
                <w:bCs/>
                <w:color w:val="000000"/>
                <w:sz w:val="18"/>
                <w:lang w:val="en-GB"/>
              </w:rPr>
            </w:pPr>
            <w:r w:rsidRPr="003611CF">
              <w:rPr>
                <w:rFonts w:ascii="Arial" w:eastAsia="Calibri" w:hAnsi="Arial" w:cs="Arial"/>
                <w:b/>
                <w:color w:val="000000"/>
                <w:sz w:val="18"/>
                <w:lang w:val="en-GB"/>
              </w:rPr>
              <w:t>Ukupno</w:t>
            </w:r>
          </w:p>
        </w:tc>
        <w:tc>
          <w:tcPr>
            <w:tcW w:w="850" w:type="dxa"/>
            <w:shd w:val="clear" w:color="auto" w:fill="FEF4EC"/>
            <w:vAlign w:val="center"/>
          </w:tcPr>
          <w:p w:rsidR="003611CF" w:rsidRPr="003611CF" w:rsidRDefault="003611CF" w:rsidP="003611CF">
            <w:pPr>
              <w:spacing w:before="0" w:after="0" w:line="240" w:lineRule="auto"/>
              <w:jc w:val="center"/>
              <w:rPr>
                <w:rFonts w:ascii="Arial" w:eastAsia="Times New Roman" w:hAnsi="Arial" w:cs="Arial"/>
                <w:b/>
                <w:bCs/>
                <w:sz w:val="18"/>
                <w:lang w:val="hr-HR" w:eastAsia="hr-HR"/>
              </w:rPr>
            </w:pPr>
            <w:r w:rsidRPr="003611CF">
              <w:rPr>
                <w:rFonts w:ascii="Arial" w:eastAsia="Times New Roman" w:hAnsi="Arial" w:cs="Arial"/>
                <w:b/>
                <w:bCs/>
                <w:sz w:val="18"/>
                <w:lang w:val="hr-HR" w:eastAsia="hr-HR"/>
              </w:rPr>
              <w:t>9</w:t>
            </w:r>
          </w:p>
        </w:tc>
        <w:tc>
          <w:tcPr>
            <w:tcW w:w="709" w:type="dxa"/>
            <w:shd w:val="clear" w:color="auto" w:fill="FEF4EC"/>
            <w:vAlign w:val="center"/>
          </w:tcPr>
          <w:p w:rsidR="003611CF" w:rsidRPr="003611CF" w:rsidRDefault="003611CF" w:rsidP="003611CF">
            <w:pPr>
              <w:spacing w:before="0" w:after="0" w:line="240" w:lineRule="auto"/>
              <w:jc w:val="center"/>
              <w:rPr>
                <w:rFonts w:ascii="Arial" w:eastAsia="Times New Roman" w:hAnsi="Arial" w:cs="Arial"/>
                <w:b/>
                <w:bCs/>
                <w:sz w:val="18"/>
                <w:lang w:val="hr-HR" w:eastAsia="hr-HR"/>
              </w:rPr>
            </w:pPr>
            <w:r w:rsidRPr="003611CF">
              <w:rPr>
                <w:rFonts w:ascii="Arial" w:eastAsia="Times New Roman" w:hAnsi="Arial" w:cs="Arial"/>
                <w:b/>
                <w:bCs/>
                <w:sz w:val="18"/>
                <w:lang w:val="hr-HR" w:eastAsia="hr-HR"/>
              </w:rPr>
              <w:t>856</w:t>
            </w:r>
          </w:p>
        </w:tc>
        <w:tc>
          <w:tcPr>
            <w:tcW w:w="1417" w:type="dxa"/>
            <w:shd w:val="clear" w:color="auto" w:fill="FEF4EC"/>
            <w:noWrap/>
            <w:vAlign w:val="center"/>
          </w:tcPr>
          <w:p w:rsidR="003611CF" w:rsidRPr="003611CF" w:rsidRDefault="003611CF" w:rsidP="003611CF">
            <w:pPr>
              <w:spacing w:before="0" w:after="0" w:line="240" w:lineRule="auto"/>
              <w:jc w:val="center"/>
              <w:rPr>
                <w:rFonts w:ascii="Arial" w:eastAsia="Times New Roman" w:hAnsi="Arial" w:cs="Arial"/>
                <w:b/>
                <w:bCs/>
                <w:sz w:val="18"/>
                <w:lang w:val="hr-HR" w:eastAsia="hr-HR"/>
              </w:rPr>
            </w:pPr>
          </w:p>
        </w:tc>
        <w:tc>
          <w:tcPr>
            <w:tcW w:w="1418" w:type="dxa"/>
            <w:shd w:val="clear" w:color="auto" w:fill="FEF4EC"/>
            <w:vAlign w:val="center"/>
          </w:tcPr>
          <w:p w:rsidR="003611CF" w:rsidRPr="003611CF" w:rsidRDefault="003611CF" w:rsidP="003611CF">
            <w:pPr>
              <w:spacing w:before="0" w:after="0" w:line="240" w:lineRule="auto"/>
              <w:jc w:val="center"/>
              <w:rPr>
                <w:rFonts w:ascii="Arial" w:eastAsia="Times New Roman" w:hAnsi="Arial" w:cs="Arial"/>
                <w:b/>
                <w:bCs/>
                <w:sz w:val="18"/>
                <w:lang w:val="hr-HR" w:eastAsia="hr-HR"/>
              </w:rPr>
            </w:pPr>
            <w:r w:rsidRPr="003611CF">
              <w:rPr>
                <w:rFonts w:ascii="Arial" w:eastAsia="Times New Roman" w:hAnsi="Arial" w:cs="Arial"/>
                <w:b/>
                <w:bCs/>
                <w:sz w:val="18"/>
                <w:lang w:val="hr-HR" w:eastAsia="hr-HR"/>
              </w:rPr>
              <w:t>89.196.100,41</w:t>
            </w:r>
          </w:p>
        </w:tc>
        <w:tc>
          <w:tcPr>
            <w:tcW w:w="1417" w:type="dxa"/>
            <w:shd w:val="clear" w:color="auto" w:fill="FEF4EC"/>
            <w:vAlign w:val="center"/>
          </w:tcPr>
          <w:p w:rsidR="003611CF" w:rsidRPr="003611CF" w:rsidRDefault="003611CF" w:rsidP="003611CF">
            <w:pPr>
              <w:spacing w:before="0" w:after="0" w:line="240" w:lineRule="auto"/>
              <w:jc w:val="center"/>
              <w:rPr>
                <w:rFonts w:ascii="Arial" w:eastAsia="Times New Roman" w:hAnsi="Arial" w:cs="Arial"/>
                <w:b/>
                <w:bCs/>
                <w:sz w:val="18"/>
                <w:lang w:val="hr-HR" w:eastAsia="hr-HR"/>
              </w:rPr>
            </w:pPr>
          </w:p>
        </w:tc>
        <w:tc>
          <w:tcPr>
            <w:tcW w:w="1276" w:type="dxa"/>
            <w:shd w:val="clear" w:color="auto" w:fill="FEF4EC"/>
            <w:vAlign w:val="center"/>
          </w:tcPr>
          <w:p w:rsidR="003611CF" w:rsidRPr="003611CF" w:rsidRDefault="003611CF" w:rsidP="003611CF">
            <w:pPr>
              <w:spacing w:before="0" w:after="0" w:line="240" w:lineRule="auto"/>
              <w:jc w:val="center"/>
              <w:rPr>
                <w:rFonts w:ascii="Arial" w:eastAsia="Times New Roman" w:hAnsi="Arial" w:cs="Arial"/>
                <w:b/>
                <w:bCs/>
                <w:sz w:val="18"/>
                <w:lang w:val="hr-HR" w:eastAsia="hr-HR"/>
              </w:rPr>
            </w:pPr>
          </w:p>
        </w:tc>
        <w:tc>
          <w:tcPr>
            <w:tcW w:w="851" w:type="dxa"/>
            <w:shd w:val="clear" w:color="auto" w:fill="FEF4EC"/>
            <w:vAlign w:val="center"/>
          </w:tcPr>
          <w:p w:rsidR="003611CF" w:rsidRPr="003611CF" w:rsidRDefault="003611CF" w:rsidP="003611CF">
            <w:pPr>
              <w:spacing w:before="0" w:after="0" w:line="240" w:lineRule="auto"/>
              <w:jc w:val="center"/>
              <w:rPr>
                <w:rFonts w:ascii="Arial" w:eastAsia="Times New Roman" w:hAnsi="Arial" w:cs="Arial"/>
                <w:b/>
                <w:bCs/>
                <w:sz w:val="18"/>
                <w:lang w:val="hr-HR" w:eastAsia="hr-HR"/>
              </w:rPr>
            </w:pPr>
            <w:r w:rsidRPr="003611CF">
              <w:rPr>
                <w:rFonts w:ascii="Arial" w:eastAsia="Times New Roman" w:hAnsi="Arial" w:cs="Arial"/>
                <w:b/>
                <w:bCs/>
                <w:sz w:val="18"/>
                <w:lang w:val="hr-HR" w:eastAsia="hr-HR"/>
              </w:rPr>
              <w:t>28</w:t>
            </w:r>
          </w:p>
        </w:tc>
        <w:tc>
          <w:tcPr>
            <w:tcW w:w="992" w:type="dxa"/>
            <w:shd w:val="clear" w:color="auto" w:fill="FEF4EC"/>
            <w:vAlign w:val="center"/>
          </w:tcPr>
          <w:p w:rsidR="003611CF" w:rsidRPr="003611CF" w:rsidRDefault="003611CF" w:rsidP="003611CF">
            <w:pPr>
              <w:spacing w:before="0" w:after="0" w:line="240" w:lineRule="auto"/>
              <w:jc w:val="center"/>
              <w:rPr>
                <w:rFonts w:ascii="Arial" w:eastAsia="Times New Roman" w:hAnsi="Arial" w:cs="Arial"/>
                <w:b/>
                <w:bCs/>
                <w:sz w:val="18"/>
                <w:lang w:val="hr-HR" w:eastAsia="hr-HR"/>
              </w:rPr>
            </w:pPr>
            <w:r w:rsidRPr="003611CF">
              <w:rPr>
                <w:rFonts w:ascii="Arial" w:eastAsia="Times New Roman" w:hAnsi="Arial" w:cs="Arial"/>
                <w:b/>
                <w:bCs/>
                <w:sz w:val="18"/>
                <w:lang w:val="hr-HR" w:eastAsia="hr-HR"/>
              </w:rPr>
              <w:t>256</w:t>
            </w:r>
          </w:p>
        </w:tc>
        <w:tc>
          <w:tcPr>
            <w:tcW w:w="851" w:type="dxa"/>
            <w:shd w:val="clear" w:color="auto" w:fill="FEF4EC"/>
            <w:vAlign w:val="center"/>
          </w:tcPr>
          <w:p w:rsidR="003611CF" w:rsidRPr="003611CF" w:rsidRDefault="003611CF" w:rsidP="003611CF">
            <w:pPr>
              <w:spacing w:before="0" w:after="0" w:line="240" w:lineRule="auto"/>
              <w:jc w:val="center"/>
              <w:rPr>
                <w:rFonts w:ascii="Arial" w:eastAsia="Times New Roman" w:hAnsi="Arial" w:cs="Arial"/>
                <w:b/>
                <w:bCs/>
                <w:sz w:val="18"/>
                <w:lang w:val="hr-HR" w:eastAsia="hr-HR"/>
              </w:rPr>
            </w:pPr>
            <w:r w:rsidRPr="003611CF">
              <w:rPr>
                <w:rFonts w:ascii="Arial" w:eastAsia="Times New Roman" w:hAnsi="Arial" w:cs="Arial"/>
                <w:b/>
                <w:bCs/>
                <w:sz w:val="18"/>
                <w:lang w:val="hr-HR" w:eastAsia="hr-HR"/>
              </w:rPr>
              <w:t>609</w:t>
            </w:r>
          </w:p>
        </w:tc>
      </w:tr>
    </w:tbl>
    <w:p w:rsidR="003611CF" w:rsidRPr="003611CF" w:rsidRDefault="003611CF" w:rsidP="003611CF">
      <w:pPr>
        <w:spacing w:before="0" w:after="0" w:line="240" w:lineRule="auto"/>
        <w:rPr>
          <w:rFonts w:ascii="Arial" w:eastAsia="Times New Roman" w:hAnsi="Arial" w:cs="Arial"/>
          <w:b/>
          <w:sz w:val="22"/>
          <w:u w:val="single"/>
          <w:lang w:val="hr-HR" w:eastAsia="hr-HR"/>
        </w:rPr>
      </w:pPr>
    </w:p>
    <w:p w:rsidR="00CB5BEE" w:rsidRDefault="00CB5BEE" w:rsidP="003611CF">
      <w:pPr>
        <w:spacing w:before="0" w:after="0" w:line="240" w:lineRule="auto"/>
        <w:rPr>
          <w:rFonts w:ascii="Calibri" w:eastAsia="Times New Roman" w:hAnsi="Calibri" w:cs="Calibri"/>
          <w:b/>
          <w:szCs w:val="24"/>
          <w:lang w:val="hr-HR" w:eastAsia="hr-HR"/>
        </w:rPr>
      </w:pPr>
    </w:p>
    <w:p w:rsidR="003611CF" w:rsidRPr="00CB5BEE" w:rsidRDefault="003611CF" w:rsidP="00CB5BEE">
      <w:pPr>
        <w:spacing w:before="0" w:line="240" w:lineRule="auto"/>
        <w:rPr>
          <w:rFonts w:ascii="Calibri" w:eastAsia="Times New Roman" w:hAnsi="Calibri" w:cs="Calibri"/>
          <w:b/>
          <w:szCs w:val="24"/>
          <w:lang w:val="hr-HR" w:eastAsia="hr-HR"/>
        </w:rPr>
      </w:pPr>
      <w:r w:rsidRPr="003611CF">
        <w:rPr>
          <w:rFonts w:ascii="Calibri" w:eastAsia="Times New Roman" w:hAnsi="Calibri" w:cs="Calibri"/>
          <w:b/>
          <w:szCs w:val="24"/>
          <w:lang w:val="hr-HR" w:eastAsia="hr-HR"/>
        </w:rPr>
        <w:t xml:space="preserve">ODSJEK  ZA PRAĆENJE SPROVOĐENJA </w:t>
      </w:r>
      <w:r w:rsidR="00CB5BEE">
        <w:rPr>
          <w:rFonts w:ascii="Calibri" w:eastAsia="Times New Roman" w:hAnsi="Calibri" w:cs="Calibri"/>
          <w:b/>
          <w:szCs w:val="24"/>
          <w:lang w:val="hr-HR" w:eastAsia="hr-HR"/>
        </w:rPr>
        <w:t>UPRAVNOG I PREKRŠAJNOG POSTUPKA</w:t>
      </w:r>
    </w:p>
    <w:p w:rsidR="003611CF" w:rsidRPr="003611CF" w:rsidRDefault="003611CF" w:rsidP="004D6CB4">
      <w:pPr>
        <w:numPr>
          <w:ilvl w:val="0"/>
          <w:numId w:val="138"/>
        </w:numPr>
        <w:tabs>
          <w:tab w:val="num" w:pos="0"/>
          <w:tab w:val="left" w:pos="567"/>
        </w:tabs>
        <w:spacing w:before="0" w:after="0" w:line="240" w:lineRule="auto"/>
        <w:ind w:left="0" w:firstLine="180"/>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Praćenje sprovođenja prekršajnog postupka pokrenutom po zahtjevu za sudsko odlučivanje o izdatom prekršajnom nalogu ili zahtjevu za pokretanje prekršajnog postupka</w:t>
      </w:r>
    </w:p>
    <w:p w:rsidR="003611CF" w:rsidRPr="003611CF" w:rsidRDefault="003611CF" w:rsidP="003611CF">
      <w:pPr>
        <w:spacing w:before="0" w:after="0" w:line="240" w:lineRule="auto"/>
        <w:rPr>
          <w:rFonts w:ascii="Calibri" w:eastAsia="Times New Roman" w:hAnsi="Calibri" w:cs="Calibri"/>
          <w:szCs w:val="24"/>
          <w:lang w:val="hr-HR" w:eastAsia="hr-HR"/>
        </w:rPr>
      </w:pPr>
    </w:p>
    <w:p w:rsidR="003611CF" w:rsidRPr="003611CF" w:rsidRDefault="003611CF" w:rsidP="004D6CB4">
      <w:pPr>
        <w:numPr>
          <w:ilvl w:val="1"/>
          <w:numId w:val="119"/>
        </w:numPr>
        <w:spacing w:before="0" w:after="0" w:line="240" w:lineRule="auto"/>
        <w:contextualSpacing/>
        <w:jc w:val="left"/>
        <w:rPr>
          <w:rFonts w:ascii="Calibri" w:eastAsia="Times New Roman" w:hAnsi="Calibri" w:cs="Calibri"/>
          <w:szCs w:val="24"/>
          <w:lang w:val="hr-HR" w:eastAsia="hr-HR"/>
        </w:rPr>
      </w:pPr>
      <w:bookmarkStart w:id="91" w:name="_Hlk61739298"/>
      <w:r w:rsidRPr="003611CF">
        <w:rPr>
          <w:rFonts w:ascii="Calibri" w:eastAsia="Times New Roman" w:hAnsi="Calibri" w:cs="Calibri"/>
          <w:szCs w:val="24"/>
          <w:lang w:val="hr-HR" w:eastAsia="hr-HR"/>
        </w:rPr>
        <w:t>Pregled statusa prekršajnih postupaka pokrenutih po zahtjevima za sudsko odlučivanje o izdatom prekršajnim nalozima po osnovu podataka iz registra novčanih kazni i prekršaja (RNKP) ili zahtjevima za pokretanje prekršajnog postupka, na nivou Poreske uprave CG</w:t>
      </w:r>
    </w:p>
    <w:p w:rsidR="003611CF" w:rsidRPr="003611CF" w:rsidRDefault="003611CF" w:rsidP="003611CF">
      <w:pPr>
        <w:spacing w:before="0" w:after="0" w:line="240" w:lineRule="auto"/>
        <w:ind w:left="360"/>
        <w:contextualSpacing/>
        <w:rPr>
          <w:rFonts w:ascii="Calibri" w:eastAsia="Times New Roman" w:hAnsi="Calibri" w:cs="Calibri"/>
          <w:szCs w:val="24"/>
          <w:lang w:val="hr-HR" w:eastAsia="hr-HR"/>
        </w:rPr>
      </w:pPr>
    </w:p>
    <w:bookmarkEnd w:id="91"/>
    <w:p w:rsidR="003611CF" w:rsidRPr="003611CF" w:rsidRDefault="003611CF" w:rsidP="004D6CB4">
      <w:pPr>
        <w:numPr>
          <w:ilvl w:val="0"/>
          <w:numId w:val="120"/>
        </w:numPr>
        <w:spacing w:before="0" w:after="0" w:line="240" w:lineRule="auto"/>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Na zahtjev dostavljeni podaci iz PJ-Filijala za inspekcijski nadzor</w:t>
      </w:r>
    </w:p>
    <w:p w:rsidR="003611CF" w:rsidRPr="003611CF" w:rsidRDefault="003611CF" w:rsidP="003611CF">
      <w:pPr>
        <w:spacing w:before="0" w:after="0" w:line="240" w:lineRule="auto"/>
        <w:contextualSpacing/>
        <w:rPr>
          <w:rFonts w:ascii="Arial" w:eastAsia="Times New Roman" w:hAnsi="Arial" w:cs="Arial"/>
          <w:sz w:val="22"/>
          <w:lang w:val="hr-HR" w:eastAsia="hr-HR"/>
        </w:rPr>
      </w:pPr>
    </w:p>
    <w:tbl>
      <w:tblPr>
        <w:tblW w:w="11199" w:type="dxa"/>
        <w:tblInd w:w="-601" w:type="dxa"/>
        <w:tblLook w:val="04A0" w:firstRow="1" w:lastRow="0" w:firstColumn="1" w:lastColumn="0" w:noHBand="0" w:noVBand="1"/>
      </w:tblPr>
      <w:tblGrid>
        <w:gridCol w:w="1457"/>
        <w:gridCol w:w="1379"/>
        <w:gridCol w:w="1134"/>
        <w:gridCol w:w="1134"/>
        <w:gridCol w:w="1275"/>
        <w:gridCol w:w="1134"/>
        <w:gridCol w:w="1276"/>
        <w:gridCol w:w="1134"/>
        <w:gridCol w:w="1276"/>
      </w:tblGrid>
      <w:tr w:rsidR="003611CF" w:rsidRPr="003611CF" w:rsidTr="003611CF">
        <w:tc>
          <w:tcPr>
            <w:tcW w:w="1457" w:type="dxa"/>
            <w:tcBorders>
              <w:bottom w:val="single" w:sz="12" w:space="0" w:color="FFFFFF"/>
            </w:tcBorders>
            <w:shd w:val="clear" w:color="auto" w:fill="348DA5"/>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FFFFFF"/>
                <w:sz w:val="18"/>
                <w:szCs w:val="18"/>
                <w:lang w:val="en-GB" w:eastAsia="hr-HR"/>
              </w:rPr>
            </w:pPr>
            <w:bookmarkStart w:id="92" w:name="_Hlk53438447"/>
            <w:r w:rsidRPr="003611CF">
              <w:rPr>
                <w:rFonts w:ascii="Arial" w:eastAsia="Calibri" w:hAnsi="Arial" w:cs="Arial"/>
                <w:color w:val="FFFFFF"/>
                <w:sz w:val="18"/>
                <w:szCs w:val="18"/>
                <w:lang w:val="en-GB" w:eastAsia="hr-HR"/>
              </w:rPr>
              <w:t>Organizaciona jedinica</w:t>
            </w:r>
          </w:p>
        </w:tc>
        <w:tc>
          <w:tcPr>
            <w:tcW w:w="1379" w:type="dxa"/>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Calibri" w:hAnsi="Arial" w:cs="Arial"/>
                <w:bCs/>
                <w:color w:val="FFFFFF"/>
                <w:sz w:val="18"/>
                <w:szCs w:val="18"/>
                <w:lang w:val="en-GB" w:eastAsia="hr-HR"/>
              </w:rPr>
            </w:pPr>
            <w:r w:rsidRPr="003611CF">
              <w:rPr>
                <w:rFonts w:ascii="Arial" w:eastAsia="Calibri" w:hAnsi="Arial" w:cs="Arial"/>
                <w:bCs/>
                <w:color w:val="FFFFFF"/>
                <w:sz w:val="18"/>
                <w:szCs w:val="18"/>
                <w:lang w:val="en-GB" w:eastAsia="hr-HR"/>
              </w:rPr>
              <w:t>Broj zahtjeva za pokretanje prekršajnog postupka</w:t>
            </w:r>
          </w:p>
        </w:tc>
        <w:tc>
          <w:tcPr>
            <w:tcW w:w="1134" w:type="dxa"/>
            <w:tcBorders>
              <w:bottom w:val="single" w:sz="12" w:space="0" w:color="FFFFFF"/>
            </w:tcBorders>
            <w:shd w:val="clear" w:color="auto" w:fill="348DA5"/>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FFFFFF"/>
                <w:sz w:val="18"/>
                <w:szCs w:val="18"/>
                <w:lang w:val="en-GB" w:eastAsia="hr-HR"/>
              </w:rPr>
            </w:pPr>
            <w:r w:rsidRPr="003611CF">
              <w:rPr>
                <w:rFonts w:ascii="Arial" w:eastAsia="Calibri" w:hAnsi="Arial" w:cs="Arial"/>
                <w:color w:val="FFFFFF"/>
                <w:sz w:val="18"/>
                <w:szCs w:val="18"/>
                <w:lang w:val="en-GB" w:eastAsia="hr-HR"/>
              </w:rPr>
              <w:t>Broj izdatih prekršajnih naloga</w:t>
            </w:r>
          </w:p>
        </w:tc>
        <w:tc>
          <w:tcPr>
            <w:tcW w:w="1134" w:type="dxa"/>
            <w:tcBorders>
              <w:bottom w:val="single" w:sz="12" w:space="0" w:color="FFFFFF"/>
            </w:tcBorders>
            <w:shd w:val="clear" w:color="auto" w:fill="348DA5"/>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FFFFFF"/>
                <w:sz w:val="18"/>
                <w:szCs w:val="18"/>
                <w:lang w:val="en-GB" w:eastAsia="hr-HR"/>
              </w:rPr>
            </w:pPr>
            <w:r w:rsidRPr="003611CF">
              <w:rPr>
                <w:rFonts w:ascii="Arial" w:eastAsia="Calibri" w:hAnsi="Arial" w:cs="Arial"/>
                <w:color w:val="FFFFFF"/>
                <w:sz w:val="18"/>
                <w:szCs w:val="18"/>
                <w:lang w:val="en-GB" w:eastAsia="hr-HR"/>
              </w:rPr>
              <w:t>Broj zahtjeva za sudsko odlučivanje</w:t>
            </w:r>
          </w:p>
        </w:tc>
        <w:tc>
          <w:tcPr>
            <w:tcW w:w="1275" w:type="dxa"/>
            <w:tcBorders>
              <w:bottom w:val="single" w:sz="12" w:space="0" w:color="FFFFFF"/>
            </w:tcBorders>
            <w:shd w:val="clear" w:color="auto" w:fill="348DA5"/>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FFFFFF"/>
                <w:sz w:val="18"/>
                <w:szCs w:val="18"/>
                <w:lang w:val="en-GB" w:eastAsia="hr-HR"/>
              </w:rPr>
            </w:pPr>
            <w:r w:rsidRPr="003611CF">
              <w:rPr>
                <w:rFonts w:ascii="Arial" w:eastAsia="Calibri" w:hAnsi="Arial" w:cs="Arial"/>
                <w:color w:val="FFFFFF"/>
                <w:sz w:val="18"/>
                <w:szCs w:val="18"/>
                <w:lang w:val="en-GB" w:eastAsia="hr-HR"/>
              </w:rPr>
              <w:t>Iznos izrečenih novčanih kazni</w:t>
            </w:r>
          </w:p>
        </w:tc>
        <w:tc>
          <w:tcPr>
            <w:tcW w:w="1134" w:type="dxa"/>
            <w:tcBorders>
              <w:bottom w:val="single" w:sz="12" w:space="0" w:color="FFFFFF"/>
            </w:tcBorders>
            <w:shd w:val="clear" w:color="auto" w:fill="348DA5"/>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FFFFFF"/>
                <w:sz w:val="18"/>
                <w:szCs w:val="18"/>
                <w:lang w:val="en-GB" w:eastAsia="hr-HR"/>
              </w:rPr>
            </w:pPr>
            <w:r w:rsidRPr="003611CF">
              <w:rPr>
                <w:rFonts w:ascii="Arial" w:eastAsia="Calibri" w:hAnsi="Arial" w:cs="Arial"/>
                <w:color w:val="FFFFFF"/>
                <w:sz w:val="18"/>
                <w:szCs w:val="18"/>
                <w:lang w:val="en-GB" w:eastAsia="hr-HR"/>
              </w:rPr>
              <w:t>Broj plaćenih prekršajnih naloga</w:t>
            </w:r>
          </w:p>
        </w:tc>
        <w:tc>
          <w:tcPr>
            <w:tcW w:w="1276" w:type="dxa"/>
            <w:tcBorders>
              <w:bottom w:val="single" w:sz="12" w:space="0" w:color="FFFFFF"/>
            </w:tcBorders>
            <w:shd w:val="clear" w:color="auto" w:fill="348DA5"/>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FFFFFF"/>
                <w:sz w:val="18"/>
                <w:szCs w:val="18"/>
                <w:lang w:val="en-GB" w:eastAsia="hr-HR"/>
              </w:rPr>
            </w:pPr>
            <w:r w:rsidRPr="003611CF">
              <w:rPr>
                <w:rFonts w:ascii="Arial" w:eastAsia="Calibri" w:hAnsi="Arial" w:cs="Arial"/>
                <w:color w:val="FFFFFF"/>
                <w:sz w:val="18"/>
                <w:szCs w:val="18"/>
                <w:lang w:val="en-GB" w:eastAsia="hr-HR"/>
              </w:rPr>
              <w:t>Iznos plaćenih prekršajnih naloga</w:t>
            </w:r>
          </w:p>
        </w:tc>
        <w:tc>
          <w:tcPr>
            <w:tcW w:w="1134" w:type="dxa"/>
            <w:tcBorders>
              <w:bottom w:val="single" w:sz="12" w:space="0" w:color="FFFFFF"/>
            </w:tcBorders>
            <w:shd w:val="clear" w:color="auto" w:fill="348DA5"/>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FFFFFF"/>
                <w:sz w:val="18"/>
                <w:szCs w:val="18"/>
                <w:lang w:val="en-GB" w:eastAsia="hr-HR"/>
              </w:rPr>
            </w:pPr>
            <w:r w:rsidRPr="003611CF">
              <w:rPr>
                <w:rFonts w:ascii="Arial" w:eastAsia="Calibri" w:hAnsi="Arial" w:cs="Arial"/>
                <w:color w:val="FFFFFF"/>
                <w:sz w:val="18"/>
                <w:szCs w:val="18"/>
                <w:lang w:val="en-GB" w:eastAsia="hr-HR"/>
              </w:rPr>
              <w:t>Broj neplaćenih kazni po nalozima</w:t>
            </w:r>
          </w:p>
        </w:tc>
        <w:tc>
          <w:tcPr>
            <w:tcW w:w="1276" w:type="dxa"/>
            <w:tcBorders>
              <w:bottom w:val="single" w:sz="12" w:space="0" w:color="FFFFFF"/>
            </w:tcBorders>
            <w:shd w:val="clear" w:color="auto" w:fill="348DA5"/>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FFFFFF"/>
                <w:sz w:val="18"/>
                <w:szCs w:val="18"/>
                <w:lang w:val="en-GB" w:eastAsia="hr-HR"/>
              </w:rPr>
            </w:pPr>
            <w:r w:rsidRPr="003611CF">
              <w:rPr>
                <w:rFonts w:ascii="Arial" w:eastAsia="Calibri" w:hAnsi="Arial" w:cs="Arial"/>
                <w:color w:val="FFFFFF"/>
                <w:sz w:val="18"/>
                <w:szCs w:val="18"/>
                <w:lang w:val="en-GB" w:eastAsia="hr-HR"/>
              </w:rPr>
              <w:t>Iznos neplaćenih</w:t>
            </w:r>
          </w:p>
          <w:p w:rsidR="003611CF" w:rsidRPr="003611CF" w:rsidRDefault="003611CF" w:rsidP="003611CF">
            <w:pPr>
              <w:autoSpaceDE w:val="0"/>
              <w:autoSpaceDN w:val="0"/>
              <w:adjustRightInd w:val="0"/>
              <w:spacing w:before="0" w:after="0" w:line="240" w:lineRule="auto"/>
              <w:jc w:val="center"/>
              <w:rPr>
                <w:rFonts w:ascii="Arial" w:eastAsia="Calibri" w:hAnsi="Arial" w:cs="Arial"/>
                <w:color w:val="FFFFFF"/>
                <w:sz w:val="18"/>
                <w:szCs w:val="18"/>
                <w:lang w:val="en-GB" w:eastAsia="hr-HR"/>
              </w:rPr>
            </w:pPr>
            <w:r w:rsidRPr="003611CF">
              <w:rPr>
                <w:rFonts w:ascii="Arial" w:eastAsia="Calibri" w:hAnsi="Arial" w:cs="Arial"/>
                <w:color w:val="FFFFFF"/>
                <w:sz w:val="18"/>
                <w:szCs w:val="18"/>
                <w:lang w:val="en-GB" w:eastAsia="hr-HR"/>
              </w:rPr>
              <w:t>kazni</w:t>
            </w:r>
          </w:p>
        </w:tc>
      </w:tr>
      <w:tr w:rsidR="003611CF" w:rsidRPr="003611CF" w:rsidTr="003611CF">
        <w:tc>
          <w:tcPr>
            <w:tcW w:w="1457" w:type="dxa"/>
            <w:shd w:val="clear" w:color="auto" w:fill="FDE9D9"/>
          </w:tcPr>
          <w:p w:rsidR="003611CF" w:rsidRPr="003611CF" w:rsidRDefault="003611CF" w:rsidP="003611CF">
            <w:pPr>
              <w:autoSpaceDE w:val="0"/>
              <w:autoSpaceDN w:val="0"/>
              <w:adjustRightInd w:val="0"/>
              <w:spacing w:before="0" w:after="0" w:line="240" w:lineRule="auto"/>
              <w:rPr>
                <w:rFonts w:ascii="Arial" w:eastAsia="Calibri" w:hAnsi="Arial" w:cs="Arial"/>
                <w:bCs/>
                <w:color w:val="000000"/>
                <w:sz w:val="18"/>
                <w:szCs w:val="18"/>
                <w:lang w:val="en-GB" w:eastAsia="hr-HR"/>
              </w:rPr>
            </w:pPr>
            <w:r w:rsidRPr="003611CF">
              <w:rPr>
                <w:rFonts w:ascii="Arial" w:eastAsia="Calibri" w:hAnsi="Arial" w:cs="Arial"/>
                <w:bCs/>
                <w:color w:val="000000"/>
                <w:sz w:val="18"/>
                <w:szCs w:val="18"/>
                <w:lang w:val="en-GB" w:eastAsia="hr-HR"/>
              </w:rPr>
              <w:t>Podgorica</w:t>
            </w:r>
          </w:p>
        </w:tc>
        <w:tc>
          <w:tcPr>
            <w:tcW w:w="1379" w:type="dxa"/>
            <w:shd w:val="clear" w:color="auto" w:fill="FDE9D9"/>
            <w:vAlign w:val="center"/>
          </w:tcPr>
          <w:p w:rsidR="003611CF" w:rsidRPr="003611CF" w:rsidRDefault="003611CF" w:rsidP="003611CF">
            <w:pPr>
              <w:autoSpaceDE w:val="0"/>
              <w:autoSpaceDN w:val="0"/>
              <w:adjustRightInd w:val="0"/>
              <w:spacing w:before="0" w:after="0" w:line="240" w:lineRule="auto"/>
              <w:ind w:left="45"/>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245</w:t>
            </w:r>
          </w:p>
        </w:tc>
        <w:tc>
          <w:tcPr>
            <w:tcW w:w="1134" w:type="dxa"/>
            <w:shd w:val="clear" w:color="auto" w:fill="FDE9D9"/>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48</w:t>
            </w:r>
          </w:p>
        </w:tc>
        <w:tc>
          <w:tcPr>
            <w:tcW w:w="1134" w:type="dxa"/>
            <w:shd w:val="clear" w:color="auto" w:fill="FDE9D9"/>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24</w:t>
            </w:r>
          </w:p>
        </w:tc>
        <w:tc>
          <w:tcPr>
            <w:tcW w:w="1275" w:type="dxa"/>
            <w:shd w:val="clear" w:color="auto" w:fill="FDE9D9"/>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 xml:space="preserve">55.500,00 </w:t>
            </w:r>
          </w:p>
        </w:tc>
        <w:tc>
          <w:tcPr>
            <w:tcW w:w="1134" w:type="dxa"/>
            <w:shd w:val="clear" w:color="auto" w:fill="FDE9D9"/>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13</w:t>
            </w:r>
          </w:p>
        </w:tc>
        <w:tc>
          <w:tcPr>
            <w:tcW w:w="1276" w:type="dxa"/>
            <w:shd w:val="clear" w:color="auto" w:fill="FDE9D9"/>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 xml:space="preserve">9.740,70 </w:t>
            </w:r>
          </w:p>
        </w:tc>
        <w:tc>
          <w:tcPr>
            <w:tcW w:w="1134" w:type="dxa"/>
            <w:shd w:val="clear" w:color="auto" w:fill="FDE9D9"/>
            <w:vAlign w:val="center"/>
          </w:tcPr>
          <w:p w:rsidR="003611CF" w:rsidRPr="003611CF" w:rsidRDefault="003611CF" w:rsidP="003611CF">
            <w:pPr>
              <w:tabs>
                <w:tab w:val="left" w:pos="675"/>
              </w:tabs>
              <w:autoSpaceDE w:val="0"/>
              <w:autoSpaceDN w:val="0"/>
              <w:adjustRightInd w:val="0"/>
              <w:spacing w:before="0" w:after="0" w:line="240" w:lineRule="auto"/>
              <w:jc w:val="center"/>
              <w:rPr>
                <w:rFonts w:ascii="Arial" w:eastAsia="Times New Roman" w:hAnsi="Arial" w:cs="Arial"/>
                <w:bCs/>
                <w:sz w:val="20"/>
                <w:szCs w:val="20"/>
                <w:lang w:val="hr-HR" w:eastAsia="hr-HR"/>
              </w:rPr>
            </w:pPr>
            <w:r w:rsidRPr="003611CF">
              <w:rPr>
                <w:rFonts w:ascii="Arial" w:eastAsia="Times New Roman" w:hAnsi="Arial" w:cs="Arial"/>
                <w:bCs/>
                <w:sz w:val="20"/>
                <w:szCs w:val="20"/>
                <w:lang w:val="hr-HR" w:eastAsia="hr-HR"/>
              </w:rPr>
              <w:t>11</w:t>
            </w:r>
          </w:p>
        </w:tc>
        <w:tc>
          <w:tcPr>
            <w:tcW w:w="1276" w:type="dxa"/>
            <w:shd w:val="clear" w:color="auto" w:fill="FDE9D9"/>
            <w:vAlign w:val="center"/>
          </w:tcPr>
          <w:p w:rsidR="003611CF" w:rsidRPr="003611CF" w:rsidRDefault="003611CF" w:rsidP="003611CF">
            <w:pPr>
              <w:tabs>
                <w:tab w:val="left" w:pos="675"/>
              </w:tabs>
              <w:autoSpaceDE w:val="0"/>
              <w:autoSpaceDN w:val="0"/>
              <w:adjustRightInd w:val="0"/>
              <w:spacing w:before="0" w:after="0" w:line="240" w:lineRule="auto"/>
              <w:jc w:val="center"/>
              <w:rPr>
                <w:rFonts w:ascii="Arial" w:eastAsia="Times New Roman" w:hAnsi="Arial" w:cs="Arial"/>
                <w:bCs/>
                <w:sz w:val="20"/>
                <w:szCs w:val="20"/>
                <w:lang w:val="hr-HR" w:eastAsia="hr-HR"/>
              </w:rPr>
            </w:pPr>
            <w:r w:rsidRPr="003611CF">
              <w:rPr>
                <w:rFonts w:ascii="Arial" w:eastAsia="Times New Roman" w:hAnsi="Arial" w:cs="Arial"/>
                <w:bCs/>
                <w:sz w:val="20"/>
                <w:szCs w:val="20"/>
                <w:lang w:val="hr-HR" w:eastAsia="hr-HR"/>
              </w:rPr>
              <w:t xml:space="preserve">45.759,30 </w:t>
            </w:r>
          </w:p>
        </w:tc>
      </w:tr>
      <w:tr w:rsidR="003611CF" w:rsidRPr="003611CF" w:rsidTr="003611CF">
        <w:tc>
          <w:tcPr>
            <w:tcW w:w="1457" w:type="dxa"/>
            <w:shd w:val="clear" w:color="auto" w:fill="FEF4EC"/>
          </w:tcPr>
          <w:p w:rsidR="003611CF" w:rsidRPr="003611CF" w:rsidRDefault="003611CF" w:rsidP="003611CF">
            <w:pPr>
              <w:autoSpaceDE w:val="0"/>
              <w:autoSpaceDN w:val="0"/>
              <w:adjustRightInd w:val="0"/>
              <w:spacing w:before="0" w:after="0" w:line="240" w:lineRule="auto"/>
              <w:rPr>
                <w:rFonts w:ascii="Arial" w:eastAsia="Calibri" w:hAnsi="Arial" w:cs="Arial"/>
                <w:bCs/>
                <w:color w:val="000000"/>
                <w:sz w:val="18"/>
                <w:szCs w:val="18"/>
                <w:lang w:val="en-GB" w:eastAsia="hr-HR"/>
              </w:rPr>
            </w:pPr>
            <w:r w:rsidRPr="003611CF">
              <w:rPr>
                <w:rFonts w:ascii="Arial" w:eastAsia="Calibri" w:hAnsi="Arial" w:cs="Arial"/>
                <w:bCs/>
                <w:color w:val="000000"/>
                <w:sz w:val="18"/>
                <w:szCs w:val="18"/>
                <w:lang w:val="en-GB" w:eastAsia="hr-HR"/>
              </w:rPr>
              <w:t>Nikšić</w:t>
            </w:r>
          </w:p>
        </w:tc>
        <w:tc>
          <w:tcPr>
            <w:tcW w:w="1379" w:type="dxa"/>
            <w:shd w:val="clear" w:color="auto" w:fill="FEF4EC"/>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79</w:t>
            </w:r>
          </w:p>
        </w:tc>
        <w:tc>
          <w:tcPr>
            <w:tcW w:w="1134" w:type="dxa"/>
            <w:shd w:val="clear" w:color="auto" w:fill="FEF4EC"/>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7</w:t>
            </w:r>
          </w:p>
        </w:tc>
        <w:tc>
          <w:tcPr>
            <w:tcW w:w="1134" w:type="dxa"/>
            <w:shd w:val="clear" w:color="auto" w:fill="FEF4EC"/>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1</w:t>
            </w:r>
          </w:p>
        </w:tc>
        <w:tc>
          <w:tcPr>
            <w:tcW w:w="1275" w:type="dxa"/>
            <w:shd w:val="clear" w:color="auto" w:fill="FEF4EC"/>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 xml:space="preserve">9.780,00 </w:t>
            </w:r>
          </w:p>
        </w:tc>
        <w:tc>
          <w:tcPr>
            <w:tcW w:w="1134" w:type="dxa"/>
            <w:shd w:val="clear" w:color="auto" w:fill="FEF4EC"/>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5</w:t>
            </w:r>
          </w:p>
        </w:tc>
        <w:tc>
          <w:tcPr>
            <w:tcW w:w="1276" w:type="dxa"/>
            <w:shd w:val="clear" w:color="auto" w:fill="FEF4EC"/>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1.417,32</w:t>
            </w:r>
          </w:p>
        </w:tc>
        <w:tc>
          <w:tcPr>
            <w:tcW w:w="1134" w:type="dxa"/>
            <w:shd w:val="clear" w:color="auto" w:fill="FEF4EC"/>
            <w:vAlign w:val="center"/>
          </w:tcPr>
          <w:p w:rsidR="003611CF" w:rsidRPr="003611CF" w:rsidRDefault="003611CF" w:rsidP="003611CF">
            <w:pPr>
              <w:tabs>
                <w:tab w:val="left" w:pos="660"/>
                <w:tab w:val="center" w:pos="1637"/>
              </w:tabs>
              <w:autoSpaceDE w:val="0"/>
              <w:autoSpaceDN w:val="0"/>
              <w:adjustRightInd w:val="0"/>
              <w:spacing w:before="0" w:after="0" w:line="240" w:lineRule="auto"/>
              <w:jc w:val="center"/>
              <w:rPr>
                <w:rFonts w:ascii="Arial" w:eastAsia="Times New Roman" w:hAnsi="Arial" w:cs="Arial"/>
                <w:bCs/>
                <w:sz w:val="20"/>
                <w:szCs w:val="20"/>
                <w:lang w:val="hr-HR" w:eastAsia="hr-HR"/>
              </w:rPr>
            </w:pPr>
            <w:r w:rsidRPr="003611CF">
              <w:rPr>
                <w:rFonts w:ascii="Arial" w:eastAsia="Times New Roman" w:hAnsi="Arial" w:cs="Arial"/>
                <w:bCs/>
                <w:sz w:val="20"/>
                <w:szCs w:val="20"/>
                <w:lang w:val="hr-HR" w:eastAsia="hr-HR"/>
              </w:rPr>
              <w:t>1</w:t>
            </w:r>
          </w:p>
        </w:tc>
        <w:tc>
          <w:tcPr>
            <w:tcW w:w="1276" w:type="dxa"/>
            <w:shd w:val="clear" w:color="auto" w:fill="FEF4EC"/>
            <w:vAlign w:val="center"/>
          </w:tcPr>
          <w:p w:rsidR="003611CF" w:rsidRPr="003611CF" w:rsidRDefault="003611CF" w:rsidP="003611CF">
            <w:pPr>
              <w:tabs>
                <w:tab w:val="left" w:pos="660"/>
                <w:tab w:val="center" w:pos="1637"/>
              </w:tabs>
              <w:autoSpaceDE w:val="0"/>
              <w:autoSpaceDN w:val="0"/>
              <w:adjustRightInd w:val="0"/>
              <w:spacing w:before="0" w:after="0" w:line="240" w:lineRule="auto"/>
              <w:jc w:val="center"/>
              <w:rPr>
                <w:rFonts w:ascii="Arial" w:eastAsia="Times New Roman" w:hAnsi="Arial" w:cs="Arial"/>
                <w:bCs/>
                <w:sz w:val="20"/>
                <w:szCs w:val="20"/>
                <w:lang w:val="hr-HR" w:eastAsia="hr-HR"/>
              </w:rPr>
            </w:pPr>
            <w:r w:rsidRPr="003611CF">
              <w:rPr>
                <w:rFonts w:ascii="Arial" w:eastAsia="Times New Roman" w:hAnsi="Arial" w:cs="Arial"/>
                <w:bCs/>
                <w:sz w:val="20"/>
                <w:szCs w:val="20"/>
                <w:lang w:val="hr-HR" w:eastAsia="hr-HR"/>
              </w:rPr>
              <w:t xml:space="preserve">7.600,00 </w:t>
            </w:r>
          </w:p>
        </w:tc>
      </w:tr>
      <w:tr w:rsidR="003611CF" w:rsidRPr="003611CF" w:rsidTr="003611CF">
        <w:tc>
          <w:tcPr>
            <w:tcW w:w="1457" w:type="dxa"/>
            <w:shd w:val="clear" w:color="auto" w:fill="FDE9D9"/>
          </w:tcPr>
          <w:p w:rsidR="003611CF" w:rsidRPr="003611CF" w:rsidRDefault="003611CF" w:rsidP="003611CF">
            <w:pPr>
              <w:autoSpaceDE w:val="0"/>
              <w:autoSpaceDN w:val="0"/>
              <w:adjustRightInd w:val="0"/>
              <w:spacing w:before="0" w:after="0" w:line="240" w:lineRule="auto"/>
              <w:rPr>
                <w:rFonts w:ascii="Arial" w:eastAsia="Calibri" w:hAnsi="Arial" w:cs="Arial"/>
                <w:bCs/>
                <w:color w:val="000000"/>
                <w:sz w:val="18"/>
                <w:szCs w:val="18"/>
                <w:lang w:val="en-GB" w:eastAsia="hr-HR"/>
              </w:rPr>
            </w:pPr>
            <w:r w:rsidRPr="003611CF">
              <w:rPr>
                <w:rFonts w:ascii="Arial" w:eastAsia="Calibri" w:hAnsi="Arial" w:cs="Arial"/>
                <w:bCs/>
                <w:color w:val="000000"/>
                <w:sz w:val="18"/>
                <w:szCs w:val="18"/>
                <w:lang w:val="en-GB" w:eastAsia="hr-HR"/>
              </w:rPr>
              <w:t>Budva</w:t>
            </w:r>
          </w:p>
        </w:tc>
        <w:tc>
          <w:tcPr>
            <w:tcW w:w="1379" w:type="dxa"/>
            <w:shd w:val="clear" w:color="auto" w:fill="FDE9D9"/>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322</w:t>
            </w:r>
          </w:p>
        </w:tc>
        <w:tc>
          <w:tcPr>
            <w:tcW w:w="1134" w:type="dxa"/>
            <w:shd w:val="clear" w:color="auto" w:fill="FDE9D9"/>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4</w:t>
            </w:r>
          </w:p>
        </w:tc>
        <w:tc>
          <w:tcPr>
            <w:tcW w:w="1134" w:type="dxa"/>
            <w:shd w:val="clear" w:color="auto" w:fill="FDE9D9"/>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w:t>
            </w:r>
          </w:p>
        </w:tc>
        <w:tc>
          <w:tcPr>
            <w:tcW w:w="1275" w:type="dxa"/>
            <w:shd w:val="clear" w:color="auto" w:fill="FDE9D9"/>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 xml:space="preserve">15.000,00 </w:t>
            </w:r>
          </w:p>
        </w:tc>
        <w:tc>
          <w:tcPr>
            <w:tcW w:w="1134" w:type="dxa"/>
            <w:shd w:val="clear" w:color="auto" w:fill="FDE9D9"/>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w:t>
            </w:r>
          </w:p>
        </w:tc>
        <w:tc>
          <w:tcPr>
            <w:tcW w:w="1276" w:type="dxa"/>
            <w:shd w:val="clear" w:color="auto" w:fill="FDE9D9"/>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w:t>
            </w:r>
          </w:p>
        </w:tc>
        <w:tc>
          <w:tcPr>
            <w:tcW w:w="1134" w:type="dxa"/>
            <w:shd w:val="clear" w:color="auto" w:fill="FDE9D9"/>
            <w:vAlign w:val="center"/>
          </w:tcPr>
          <w:p w:rsidR="003611CF" w:rsidRPr="003611CF" w:rsidRDefault="003611CF" w:rsidP="003611CF">
            <w:pPr>
              <w:tabs>
                <w:tab w:val="left" w:pos="300"/>
              </w:tabs>
              <w:autoSpaceDE w:val="0"/>
              <w:autoSpaceDN w:val="0"/>
              <w:adjustRightInd w:val="0"/>
              <w:spacing w:before="0" w:after="0" w:line="240" w:lineRule="auto"/>
              <w:jc w:val="center"/>
              <w:rPr>
                <w:rFonts w:ascii="Arial" w:eastAsia="Times New Roman" w:hAnsi="Arial" w:cs="Arial"/>
                <w:bCs/>
                <w:sz w:val="20"/>
                <w:szCs w:val="20"/>
                <w:lang w:val="hr-HR" w:eastAsia="hr-HR"/>
              </w:rPr>
            </w:pPr>
            <w:r w:rsidRPr="003611CF">
              <w:rPr>
                <w:rFonts w:ascii="Arial" w:eastAsia="Times New Roman" w:hAnsi="Arial" w:cs="Arial"/>
                <w:bCs/>
                <w:sz w:val="20"/>
                <w:szCs w:val="20"/>
                <w:lang w:val="hr-HR" w:eastAsia="hr-HR"/>
              </w:rPr>
              <w:t>4</w:t>
            </w:r>
          </w:p>
        </w:tc>
        <w:tc>
          <w:tcPr>
            <w:tcW w:w="1276" w:type="dxa"/>
            <w:shd w:val="clear" w:color="auto" w:fill="FDE9D9"/>
            <w:vAlign w:val="center"/>
          </w:tcPr>
          <w:p w:rsidR="003611CF" w:rsidRPr="003611CF" w:rsidRDefault="003611CF" w:rsidP="003611CF">
            <w:pPr>
              <w:tabs>
                <w:tab w:val="left" w:pos="300"/>
              </w:tabs>
              <w:autoSpaceDE w:val="0"/>
              <w:autoSpaceDN w:val="0"/>
              <w:adjustRightInd w:val="0"/>
              <w:spacing w:before="0" w:after="0" w:line="240" w:lineRule="auto"/>
              <w:jc w:val="center"/>
              <w:rPr>
                <w:rFonts w:ascii="Arial" w:eastAsia="Times New Roman" w:hAnsi="Arial" w:cs="Arial"/>
                <w:bCs/>
                <w:sz w:val="20"/>
                <w:szCs w:val="20"/>
                <w:lang w:val="hr-HR" w:eastAsia="hr-HR"/>
              </w:rPr>
            </w:pPr>
            <w:r w:rsidRPr="003611CF">
              <w:rPr>
                <w:rFonts w:ascii="Arial" w:eastAsia="Times New Roman" w:hAnsi="Arial" w:cs="Arial"/>
                <w:bCs/>
                <w:sz w:val="20"/>
                <w:szCs w:val="20"/>
                <w:lang w:val="hr-HR" w:eastAsia="hr-HR"/>
              </w:rPr>
              <w:t xml:space="preserve">15.000.00 </w:t>
            </w:r>
          </w:p>
        </w:tc>
      </w:tr>
      <w:tr w:rsidR="003611CF" w:rsidRPr="003611CF" w:rsidTr="003611CF">
        <w:tc>
          <w:tcPr>
            <w:tcW w:w="1457" w:type="dxa"/>
            <w:shd w:val="clear" w:color="auto" w:fill="FEF4EC"/>
          </w:tcPr>
          <w:p w:rsidR="003611CF" w:rsidRPr="003611CF" w:rsidRDefault="003611CF" w:rsidP="003611CF">
            <w:pPr>
              <w:autoSpaceDE w:val="0"/>
              <w:autoSpaceDN w:val="0"/>
              <w:adjustRightInd w:val="0"/>
              <w:spacing w:before="0" w:after="0" w:line="240" w:lineRule="auto"/>
              <w:rPr>
                <w:rFonts w:ascii="Arial" w:eastAsia="Calibri" w:hAnsi="Arial" w:cs="Arial"/>
                <w:bCs/>
                <w:color w:val="000000"/>
                <w:sz w:val="18"/>
                <w:szCs w:val="18"/>
                <w:lang w:val="en-GB" w:eastAsia="hr-HR"/>
              </w:rPr>
            </w:pPr>
            <w:r w:rsidRPr="003611CF">
              <w:rPr>
                <w:rFonts w:ascii="Arial" w:eastAsia="Calibri" w:hAnsi="Arial" w:cs="Arial"/>
                <w:bCs/>
                <w:color w:val="000000"/>
                <w:sz w:val="18"/>
                <w:szCs w:val="18"/>
                <w:lang w:val="en-GB" w:eastAsia="hr-HR"/>
              </w:rPr>
              <w:lastRenderedPageBreak/>
              <w:t>Kotor</w:t>
            </w:r>
          </w:p>
        </w:tc>
        <w:tc>
          <w:tcPr>
            <w:tcW w:w="1379" w:type="dxa"/>
            <w:shd w:val="clear" w:color="auto" w:fill="FEF4EC"/>
            <w:vAlign w:val="center"/>
          </w:tcPr>
          <w:p w:rsidR="003611CF" w:rsidRPr="003611CF" w:rsidRDefault="003611CF" w:rsidP="003611CF">
            <w:pPr>
              <w:autoSpaceDE w:val="0"/>
              <w:autoSpaceDN w:val="0"/>
              <w:adjustRightInd w:val="0"/>
              <w:spacing w:before="0" w:after="0" w:line="240" w:lineRule="auto"/>
              <w:ind w:left="30"/>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63</w:t>
            </w:r>
          </w:p>
        </w:tc>
        <w:tc>
          <w:tcPr>
            <w:tcW w:w="1134" w:type="dxa"/>
            <w:shd w:val="clear" w:color="auto" w:fill="FEF4EC"/>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3</w:t>
            </w:r>
          </w:p>
        </w:tc>
        <w:tc>
          <w:tcPr>
            <w:tcW w:w="1134" w:type="dxa"/>
            <w:shd w:val="clear" w:color="auto" w:fill="FEF4EC"/>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2</w:t>
            </w:r>
          </w:p>
        </w:tc>
        <w:tc>
          <w:tcPr>
            <w:tcW w:w="1275" w:type="dxa"/>
            <w:shd w:val="clear" w:color="auto" w:fill="FEF4EC"/>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4.800,00</w:t>
            </w:r>
          </w:p>
        </w:tc>
        <w:tc>
          <w:tcPr>
            <w:tcW w:w="1134" w:type="dxa"/>
            <w:shd w:val="clear" w:color="auto" w:fill="FEF4EC"/>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w:t>
            </w:r>
          </w:p>
        </w:tc>
        <w:tc>
          <w:tcPr>
            <w:tcW w:w="1276" w:type="dxa"/>
            <w:shd w:val="clear" w:color="auto" w:fill="FEF4EC"/>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w:t>
            </w:r>
          </w:p>
        </w:tc>
        <w:tc>
          <w:tcPr>
            <w:tcW w:w="1134" w:type="dxa"/>
            <w:shd w:val="clear" w:color="auto" w:fill="FEF4EC"/>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bCs/>
                <w:sz w:val="20"/>
                <w:szCs w:val="20"/>
                <w:lang w:val="hr-HR" w:eastAsia="hr-HR"/>
              </w:rPr>
            </w:pPr>
            <w:r w:rsidRPr="003611CF">
              <w:rPr>
                <w:rFonts w:ascii="Arial" w:eastAsia="Times New Roman" w:hAnsi="Arial" w:cs="Arial"/>
                <w:bCs/>
                <w:sz w:val="20"/>
                <w:szCs w:val="20"/>
                <w:lang w:val="hr-HR" w:eastAsia="hr-HR"/>
              </w:rPr>
              <w:t>1</w:t>
            </w:r>
          </w:p>
        </w:tc>
        <w:tc>
          <w:tcPr>
            <w:tcW w:w="1276" w:type="dxa"/>
            <w:shd w:val="clear" w:color="auto" w:fill="FEF4EC"/>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bCs/>
                <w:sz w:val="20"/>
                <w:szCs w:val="20"/>
                <w:lang w:val="hr-HR" w:eastAsia="hr-HR"/>
              </w:rPr>
            </w:pPr>
            <w:r w:rsidRPr="003611CF">
              <w:rPr>
                <w:rFonts w:ascii="Arial" w:eastAsia="Times New Roman" w:hAnsi="Arial" w:cs="Arial"/>
                <w:bCs/>
                <w:sz w:val="20"/>
                <w:szCs w:val="20"/>
                <w:lang w:val="hr-HR" w:eastAsia="hr-HR"/>
              </w:rPr>
              <w:t xml:space="preserve">4.800,00 </w:t>
            </w:r>
          </w:p>
        </w:tc>
      </w:tr>
      <w:tr w:rsidR="003611CF" w:rsidRPr="003611CF" w:rsidTr="003611CF">
        <w:tc>
          <w:tcPr>
            <w:tcW w:w="1457" w:type="dxa"/>
            <w:shd w:val="clear" w:color="auto" w:fill="FDE9D9"/>
          </w:tcPr>
          <w:p w:rsidR="003611CF" w:rsidRPr="003611CF" w:rsidRDefault="003611CF" w:rsidP="003611CF">
            <w:pPr>
              <w:autoSpaceDE w:val="0"/>
              <w:autoSpaceDN w:val="0"/>
              <w:adjustRightInd w:val="0"/>
              <w:spacing w:before="0" w:after="0" w:line="240" w:lineRule="auto"/>
              <w:rPr>
                <w:rFonts w:ascii="Arial" w:eastAsia="Calibri" w:hAnsi="Arial" w:cs="Arial"/>
                <w:bCs/>
                <w:color w:val="000000"/>
                <w:sz w:val="18"/>
                <w:szCs w:val="18"/>
                <w:lang w:val="en-GB" w:eastAsia="hr-HR"/>
              </w:rPr>
            </w:pPr>
            <w:r w:rsidRPr="003611CF">
              <w:rPr>
                <w:rFonts w:ascii="Arial" w:eastAsia="Calibri" w:hAnsi="Arial" w:cs="Arial"/>
                <w:bCs/>
                <w:color w:val="000000"/>
                <w:sz w:val="18"/>
                <w:szCs w:val="18"/>
                <w:lang w:val="en-GB" w:eastAsia="hr-HR"/>
              </w:rPr>
              <w:t>Bar</w:t>
            </w:r>
          </w:p>
        </w:tc>
        <w:tc>
          <w:tcPr>
            <w:tcW w:w="1379" w:type="dxa"/>
            <w:shd w:val="clear" w:color="auto" w:fill="FDE9D9"/>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122</w:t>
            </w:r>
          </w:p>
        </w:tc>
        <w:tc>
          <w:tcPr>
            <w:tcW w:w="1134" w:type="dxa"/>
            <w:shd w:val="clear" w:color="auto" w:fill="FDE9D9"/>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10</w:t>
            </w:r>
          </w:p>
        </w:tc>
        <w:tc>
          <w:tcPr>
            <w:tcW w:w="1134" w:type="dxa"/>
            <w:shd w:val="clear" w:color="auto" w:fill="FDE9D9"/>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6</w:t>
            </w:r>
          </w:p>
        </w:tc>
        <w:tc>
          <w:tcPr>
            <w:tcW w:w="1275" w:type="dxa"/>
            <w:shd w:val="clear" w:color="auto" w:fill="FDE9D9"/>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 xml:space="preserve">24.500,00 </w:t>
            </w:r>
          </w:p>
        </w:tc>
        <w:tc>
          <w:tcPr>
            <w:tcW w:w="1134" w:type="dxa"/>
            <w:shd w:val="clear" w:color="auto" w:fill="FDE9D9"/>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1</w:t>
            </w:r>
          </w:p>
        </w:tc>
        <w:tc>
          <w:tcPr>
            <w:tcW w:w="1276" w:type="dxa"/>
            <w:shd w:val="clear" w:color="auto" w:fill="FDE9D9"/>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 xml:space="preserve">667,00 </w:t>
            </w:r>
          </w:p>
        </w:tc>
        <w:tc>
          <w:tcPr>
            <w:tcW w:w="1134" w:type="dxa"/>
            <w:shd w:val="clear" w:color="auto" w:fill="FDE9D9"/>
            <w:vAlign w:val="center"/>
          </w:tcPr>
          <w:p w:rsidR="003611CF" w:rsidRPr="003611CF" w:rsidRDefault="003611CF" w:rsidP="003611CF">
            <w:pPr>
              <w:tabs>
                <w:tab w:val="left" w:pos="405"/>
                <w:tab w:val="center" w:pos="2163"/>
              </w:tabs>
              <w:autoSpaceDE w:val="0"/>
              <w:autoSpaceDN w:val="0"/>
              <w:adjustRightInd w:val="0"/>
              <w:spacing w:before="0" w:after="0" w:line="240" w:lineRule="auto"/>
              <w:jc w:val="center"/>
              <w:rPr>
                <w:rFonts w:ascii="Arial" w:eastAsia="Times New Roman" w:hAnsi="Arial" w:cs="Arial"/>
                <w:bCs/>
                <w:sz w:val="20"/>
                <w:szCs w:val="20"/>
                <w:lang w:val="hr-HR" w:eastAsia="hr-HR"/>
              </w:rPr>
            </w:pPr>
            <w:r w:rsidRPr="003611CF">
              <w:rPr>
                <w:rFonts w:ascii="Arial" w:eastAsia="Times New Roman" w:hAnsi="Arial" w:cs="Arial"/>
                <w:bCs/>
                <w:sz w:val="20"/>
                <w:szCs w:val="20"/>
                <w:lang w:val="hr-HR" w:eastAsia="hr-HR"/>
              </w:rPr>
              <w:t>3</w:t>
            </w:r>
          </w:p>
        </w:tc>
        <w:tc>
          <w:tcPr>
            <w:tcW w:w="1276" w:type="dxa"/>
            <w:shd w:val="clear" w:color="auto" w:fill="FDE9D9"/>
            <w:vAlign w:val="center"/>
          </w:tcPr>
          <w:p w:rsidR="003611CF" w:rsidRPr="003611CF" w:rsidRDefault="003611CF" w:rsidP="003611CF">
            <w:pPr>
              <w:tabs>
                <w:tab w:val="left" w:pos="405"/>
                <w:tab w:val="center" w:pos="2163"/>
              </w:tabs>
              <w:autoSpaceDE w:val="0"/>
              <w:autoSpaceDN w:val="0"/>
              <w:adjustRightInd w:val="0"/>
              <w:spacing w:before="0" w:after="0" w:line="240" w:lineRule="auto"/>
              <w:jc w:val="center"/>
              <w:rPr>
                <w:rFonts w:ascii="Arial" w:eastAsia="Times New Roman" w:hAnsi="Arial" w:cs="Arial"/>
                <w:bCs/>
                <w:sz w:val="20"/>
                <w:szCs w:val="20"/>
                <w:lang w:val="hr-HR" w:eastAsia="hr-HR"/>
              </w:rPr>
            </w:pPr>
            <w:r w:rsidRPr="003611CF">
              <w:rPr>
                <w:rFonts w:ascii="Arial" w:eastAsia="Times New Roman" w:hAnsi="Arial" w:cs="Arial"/>
                <w:bCs/>
                <w:sz w:val="20"/>
                <w:szCs w:val="20"/>
                <w:lang w:val="hr-HR" w:eastAsia="hr-HR"/>
              </w:rPr>
              <w:t xml:space="preserve">23.833,00 </w:t>
            </w:r>
          </w:p>
        </w:tc>
      </w:tr>
      <w:tr w:rsidR="003611CF" w:rsidRPr="003611CF" w:rsidTr="003611CF">
        <w:tc>
          <w:tcPr>
            <w:tcW w:w="1457" w:type="dxa"/>
            <w:shd w:val="clear" w:color="auto" w:fill="FEF4EC"/>
          </w:tcPr>
          <w:p w:rsidR="003611CF" w:rsidRPr="003611CF" w:rsidRDefault="003611CF" w:rsidP="003611CF">
            <w:pPr>
              <w:autoSpaceDE w:val="0"/>
              <w:autoSpaceDN w:val="0"/>
              <w:adjustRightInd w:val="0"/>
              <w:spacing w:before="0" w:after="0" w:line="240" w:lineRule="auto"/>
              <w:rPr>
                <w:rFonts w:ascii="Arial" w:eastAsia="Calibri" w:hAnsi="Arial" w:cs="Arial"/>
                <w:bCs/>
                <w:color w:val="000000"/>
                <w:sz w:val="18"/>
                <w:szCs w:val="18"/>
                <w:lang w:val="en-GB" w:eastAsia="hr-HR"/>
              </w:rPr>
            </w:pPr>
            <w:r w:rsidRPr="003611CF">
              <w:rPr>
                <w:rFonts w:ascii="Arial" w:eastAsia="Calibri" w:hAnsi="Arial" w:cs="Arial"/>
                <w:bCs/>
                <w:color w:val="000000"/>
                <w:sz w:val="18"/>
                <w:szCs w:val="18"/>
                <w:lang w:val="en-GB" w:eastAsia="hr-HR"/>
              </w:rPr>
              <w:t>Herceg novi</w:t>
            </w:r>
          </w:p>
        </w:tc>
        <w:tc>
          <w:tcPr>
            <w:tcW w:w="1379" w:type="dxa"/>
            <w:shd w:val="clear" w:color="auto" w:fill="FEF4EC"/>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83</w:t>
            </w:r>
          </w:p>
        </w:tc>
        <w:tc>
          <w:tcPr>
            <w:tcW w:w="1134" w:type="dxa"/>
            <w:shd w:val="clear" w:color="auto" w:fill="FEF4EC"/>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bCs/>
                <w:sz w:val="20"/>
                <w:szCs w:val="20"/>
                <w:lang w:val="hr-HR" w:eastAsia="hr-HR"/>
              </w:rPr>
            </w:pPr>
            <w:r w:rsidRPr="003611CF">
              <w:rPr>
                <w:rFonts w:ascii="Arial" w:eastAsia="Times New Roman" w:hAnsi="Arial" w:cs="Arial"/>
                <w:bCs/>
                <w:sz w:val="20"/>
                <w:szCs w:val="20"/>
                <w:lang w:val="hr-HR" w:eastAsia="hr-HR"/>
              </w:rPr>
              <w:t>7</w:t>
            </w:r>
          </w:p>
        </w:tc>
        <w:tc>
          <w:tcPr>
            <w:tcW w:w="1134" w:type="dxa"/>
            <w:shd w:val="clear" w:color="auto" w:fill="FEF4EC"/>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bCs/>
                <w:sz w:val="20"/>
                <w:szCs w:val="20"/>
                <w:lang w:val="hr-HR" w:eastAsia="hr-HR"/>
              </w:rPr>
            </w:pPr>
            <w:r w:rsidRPr="003611CF">
              <w:rPr>
                <w:rFonts w:ascii="Arial" w:eastAsia="Times New Roman" w:hAnsi="Arial" w:cs="Arial"/>
                <w:bCs/>
                <w:sz w:val="20"/>
                <w:szCs w:val="20"/>
                <w:lang w:val="hr-HR" w:eastAsia="hr-HR"/>
              </w:rPr>
              <w:t>5</w:t>
            </w:r>
          </w:p>
        </w:tc>
        <w:tc>
          <w:tcPr>
            <w:tcW w:w="1275" w:type="dxa"/>
            <w:shd w:val="clear" w:color="auto" w:fill="FEF4EC"/>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bCs/>
                <w:sz w:val="20"/>
                <w:szCs w:val="20"/>
                <w:lang w:val="hr-HR" w:eastAsia="hr-HR"/>
              </w:rPr>
            </w:pPr>
            <w:r w:rsidRPr="003611CF">
              <w:rPr>
                <w:rFonts w:ascii="Arial" w:eastAsia="Times New Roman" w:hAnsi="Arial" w:cs="Arial"/>
                <w:bCs/>
                <w:sz w:val="20"/>
                <w:szCs w:val="20"/>
                <w:lang w:val="hr-HR" w:eastAsia="hr-HR"/>
              </w:rPr>
              <w:t xml:space="preserve">29.100,00 </w:t>
            </w:r>
          </w:p>
        </w:tc>
        <w:tc>
          <w:tcPr>
            <w:tcW w:w="1134" w:type="dxa"/>
            <w:shd w:val="clear" w:color="auto" w:fill="FEF4EC"/>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bCs/>
                <w:sz w:val="20"/>
                <w:szCs w:val="20"/>
                <w:lang w:val="hr-HR" w:eastAsia="hr-HR"/>
              </w:rPr>
            </w:pPr>
            <w:r w:rsidRPr="003611CF">
              <w:rPr>
                <w:rFonts w:ascii="Arial" w:eastAsia="Times New Roman" w:hAnsi="Arial" w:cs="Arial"/>
                <w:bCs/>
                <w:sz w:val="20"/>
                <w:szCs w:val="20"/>
                <w:lang w:val="hr-HR" w:eastAsia="hr-HR"/>
              </w:rPr>
              <w:t>2</w:t>
            </w:r>
          </w:p>
        </w:tc>
        <w:tc>
          <w:tcPr>
            <w:tcW w:w="1276" w:type="dxa"/>
            <w:shd w:val="clear" w:color="auto" w:fill="FEF4EC"/>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bCs/>
                <w:sz w:val="20"/>
                <w:szCs w:val="20"/>
                <w:lang w:val="hr-HR" w:eastAsia="hr-HR"/>
              </w:rPr>
            </w:pPr>
            <w:r w:rsidRPr="003611CF">
              <w:rPr>
                <w:rFonts w:ascii="Arial" w:eastAsia="Times New Roman" w:hAnsi="Arial" w:cs="Arial"/>
                <w:bCs/>
                <w:sz w:val="20"/>
                <w:szCs w:val="20"/>
                <w:lang w:val="hr-HR" w:eastAsia="hr-HR"/>
              </w:rPr>
              <w:t>7.500,00</w:t>
            </w:r>
          </w:p>
        </w:tc>
        <w:tc>
          <w:tcPr>
            <w:tcW w:w="1134" w:type="dxa"/>
            <w:shd w:val="clear" w:color="auto" w:fill="FEF4EC"/>
            <w:vAlign w:val="center"/>
          </w:tcPr>
          <w:p w:rsidR="003611CF" w:rsidRPr="003611CF" w:rsidRDefault="003611CF" w:rsidP="003611CF">
            <w:pPr>
              <w:tabs>
                <w:tab w:val="left" w:pos="1230"/>
                <w:tab w:val="center" w:pos="2163"/>
              </w:tabs>
              <w:autoSpaceDE w:val="0"/>
              <w:autoSpaceDN w:val="0"/>
              <w:adjustRightInd w:val="0"/>
              <w:spacing w:before="0" w:after="0" w:line="240" w:lineRule="auto"/>
              <w:jc w:val="center"/>
              <w:rPr>
                <w:rFonts w:ascii="Arial" w:eastAsia="Times New Roman" w:hAnsi="Arial" w:cs="Arial"/>
                <w:bCs/>
                <w:sz w:val="20"/>
                <w:szCs w:val="20"/>
                <w:lang w:val="hr-HR" w:eastAsia="hr-HR"/>
              </w:rPr>
            </w:pPr>
            <w:r w:rsidRPr="003611CF">
              <w:rPr>
                <w:rFonts w:ascii="Arial" w:eastAsia="Times New Roman" w:hAnsi="Arial" w:cs="Arial"/>
                <w:bCs/>
                <w:sz w:val="20"/>
                <w:szCs w:val="20"/>
                <w:lang w:val="hr-HR" w:eastAsia="hr-HR"/>
              </w:rPr>
              <w:t>/</w:t>
            </w:r>
          </w:p>
        </w:tc>
        <w:tc>
          <w:tcPr>
            <w:tcW w:w="1276" w:type="dxa"/>
            <w:shd w:val="clear" w:color="auto" w:fill="FEF4EC"/>
            <w:vAlign w:val="center"/>
          </w:tcPr>
          <w:p w:rsidR="003611CF" w:rsidRPr="003611CF" w:rsidRDefault="003611CF" w:rsidP="003611CF">
            <w:pPr>
              <w:tabs>
                <w:tab w:val="left" w:pos="1230"/>
                <w:tab w:val="center" w:pos="2163"/>
              </w:tabs>
              <w:autoSpaceDE w:val="0"/>
              <w:autoSpaceDN w:val="0"/>
              <w:adjustRightInd w:val="0"/>
              <w:spacing w:before="0" w:after="0" w:line="240" w:lineRule="auto"/>
              <w:jc w:val="center"/>
              <w:rPr>
                <w:rFonts w:ascii="Arial" w:eastAsia="Times New Roman" w:hAnsi="Arial" w:cs="Arial"/>
                <w:bCs/>
                <w:sz w:val="20"/>
                <w:szCs w:val="20"/>
                <w:lang w:val="hr-HR" w:eastAsia="hr-HR"/>
              </w:rPr>
            </w:pPr>
            <w:r w:rsidRPr="003611CF">
              <w:rPr>
                <w:rFonts w:ascii="Arial" w:eastAsia="Times New Roman" w:hAnsi="Arial" w:cs="Arial"/>
                <w:bCs/>
                <w:sz w:val="20"/>
                <w:szCs w:val="20"/>
                <w:lang w:val="hr-HR" w:eastAsia="hr-HR"/>
              </w:rPr>
              <w:t>21.600,00</w:t>
            </w:r>
          </w:p>
        </w:tc>
      </w:tr>
      <w:tr w:rsidR="003611CF" w:rsidRPr="003611CF" w:rsidTr="003611CF">
        <w:tc>
          <w:tcPr>
            <w:tcW w:w="1457" w:type="dxa"/>
            <w:shd w:val="clear" w:color="auto" w:fill="FDE9D9"/>
          </w:tcPr>
          <w:p w:rsidR="003611CF" w:rsidRPr="003611CF" w:rsidRDefault="003611CF" w:rsidP="003611CF">
            <w:pPr>
              <w:autoSpaceDE w:val="0"/>
              <w:autoSpaceDN w:val="0"/>
              <w:adjustRightInd w:val="0"/>
              <w:spacing w:before="0" w:after="0" w:line="240" w:lineRule="auto"/>
              <w:rPr>
                <w:rFonts w:ascii="Arial" w:eastAsia="Calibri" w:hAnsi="Arial" w:cs="Arial"/>
                <w:bCs/>
                <w:color w:val="000000"/>
                <w:sz w:val="18"/>
                <w:szCs w:val="18"/>
                <w:lang w:val="en-GB" w:eastAsia="hr-HR"/>
              </w:rPr>
            </w:pPr>
            <w:r w:rsidRPr="003611CF">
              <w:rPr>
                <w:rFonts w:ascii="Arial" w:eastAsia="Calibri" w:hAnsi="Arial" w:cs="Arial"/>
                <w:bCs/>
                <w:color w:val="000000"/>
                <w:sz w:val="18"/>
                <w:szCs w:val="18"/>
                <w:lang w:val="en-GB" w:eastAsia="hr-HR"/>
              </w:rPr>
              <w:t>Bijelo polje</w:t>
            </w:r>
          </w:p>
        </w:tc>
        <w:tc>
          <w:tcPr>
            <w:tcW w:w="1379" w:type="dxa"/>
            <w:shd w:val="clear" w:color="auto" w:fill="FDE9D9"/>
            <w:vAlign w:val="center"/>
          </w:tcPr>
          <w:p w:rsidR="003611CF" w:rsidRPr="003611CF" w:rsidRDefault="003611CF" w:rsidP="003611CF">
            <w:pPr>
              <w:autoSpaceDE w:val="0"/>
              <w:autoSpaceDN w:val="0"/>
              <w:adjustRightInd w:val="0"/>
              <w:spacing w:before="0" w:after="0" w:line="240" w:lineRule="auto"/>
              <w:ind w:left="60"/>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18</w:t>
            </w:r>
          </w:p>
        </w:tc>
        <w:tc>
          <w:tcPr>
            <w:tcW w:w="1134" w:type="dxa"/>
            <w:shd w:val="clear" w:color="auto" w:fill="FDE9D9"/>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w:t>
            </w:r>
          </w:p>
        </w:tc>
        <w:tc>
          <w:tcPr>
            <w:tcW w:w="1134" w:type="dxa"/>
            <w:shd w:val="clear" w:color="auto" w:fill="FDE9D9"/>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w:t>
            </w:r>
          </w:p>
        </w:tc>
        <w:tc>
          <w:tcPr>
            <w:tcW w:w="1275" w:type="dxa"/>
            <w:shd w:val="clear" w:color="auto" w:fill="FDE9D9"/>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w:t>
            </w:r>
          </w:p>
        </w:tc>
        <w:tc>
          <w:tcPr>
            <w:tcW w:w="1134" w:type="dxa"/>
            <w:shd w:val="clear" w:color="auto" w:fill="FDE9D9"/>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w:t>
            </w:r>
          </w:p>
        </w:tc>
        <w:tc>
          <w:tcPr>
            <w:tcW w:w="1276" w:type="dxa"/>
            <w:shd w:val="clear" w:color="auto" w:fill="FDE9D9"/>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w:t>
            </w:r>
          </w:p>
        </w:tc>
        <w:tc>
          <w:tcPr>
            <w:tcW w:w="1134" w:type="dxa"/>
            <w:shd w:val="clear" w:color="auto" w:fill="FDE9D9"/>
            <w:vAlign w:val="center"/>
          </w:tcPr>
          <w:p w:rsidR="003611CF" w:rsidRPr="003611CF" w:rsidRDefault="003611CF" w:rsidP="003611CF">
            <w:pPr>
              <w:tabs>
                <w:tab w:val="left" w:pos="1470"/>
              </w:tabs>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w:t>
            </w:r>
          </w:p>
        </w:tc>
        <w:tc>
          <w:tcPr>
            <w:tcW w:w="1276" w:type="dxa"/>
            <w:shd w:val="clear" w:color="auto" w:fill="FDE9D9"/>
            <w:vAlign w:val="center"/>
          </w:tcPr>
          <w:p w:rsidR="003611CF" w:rsidRPr="003611CF" w:rsidRDefault="003611CF" w:rsidP="003611CF">
            <w:pPr>
              <w:tabs>
                <w:tab w:val="left" w:pos="1470"/>
              </w:tabs>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w:t>
            </w:r>
          </w:p>
        </w:tc>
      </w:tr>
      <w:tr w:rsidR="003611CF" w:rsidRPr="003611CF" w:rsidTr="003611CF">
        <w:tc>
          <w:tcPr>
            <w:tcW w:w="1457" w:type="dxa"/>
            <w:shd w:val="clear" w:color="auto" w:fill="FEF4EC"/>
          </w:tcPr>
          <w:p w:rsidR="003611CF" w:rsidRPr="003611CF" w:rsidRDefault="003611CF" w:rsidP="003611CF">
            <w:pPr>
              <w:autoSpaceDE w:val="0"/>
              <w:autoSpaceDN w:val="0"/>
              <w:adjustRightInd w:val="0"/>
              <w:spacing w:before="0" w:after="0" w:line="240" w:lineRule="auto"/>
              <w:rPr>
                <w:rFonts w:ascii="Arial" w:eastAsia="Calibri" w:hAnsi="Arial" w:cs="Arial"/>
                <w:bCs/>
                <w:color w:val="000000"/>
                <w:sz w:val="18"/>
                <w:szCs w:val="18"/>
                <w:lang w:val="en-GB" w:eastAsia="hr-HR"/>
              </w:rPr>
            </w:pPr>
            <w:r w:rsidRPr="003611CF">
              <w:rPr>
                <w:rFonts w:ascii="Arial" w:eastAsia="Calibri" w:hAnsi="Arial" w:cs="Arial"/>
                <w:bCs/>
                <w:color w:val="000000"/>
                <w:sz w:val="18"/>
                <w:szCs w:val="18"/>
                <w:lang w:val="en-GB" w:eastAsia="hr-HR"/>
              </w:rPr>
              <w:t>Berane</w:t>
            </w:r>
          </w:p>
        </w:tc>
        <w:tc>
          <w:tcPr>
            <w:tcW w:w="1379" w:type="dxa"/>
            <w:shd w:val="clear" w:color="auto" w:fill="FEF4EC"/>
            <w:vAlign w:val="center"/>
          </w:tcPr>
          <w:p w:rsidR="003611CF" w:rsidRPr="003611CF" w:rsidRDefault="003611CF" w:rsidP="003611CF">
            <w:pPr>
              <w:autoSpaceDE w:val="0"/>
              <w:autoSpaceDN w:val="0"/>
              <w:adjustRightInd w:val="0"/>
              <w:spacing w:before="0" w:after="0" w:line="240" w:lineRule="auto"/>
              <w:ind w:left="15"/>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74</w:t>
            </w:r>
          </w:p>
        </w:tc>
        <w:tc>
          <w:tcPr>
            <w:tcW w:w="1134" w:type="dxa"/>
            <w:shd w:val="clear" w:color="auto" w:fill="FEF4EC"/>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2</w:t>
            </w:r>
          </w:p>
        </w:tc>
        <w:tc>
          <w:tcPr>
            <w:tcW w:w="1134" w:type="dxa"/>
            <w:shd w:val="clear" w:color="auto" w:fill="FEF4EC"/>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2</w:t>
            </w:r>
          </w:p>
        </w:tc>
        <w:tc>
          <w:tcPr>
            <w:tcW w:w="1275" w:type="dxa"/>
            <w:shd w:val="clear" w:color="auto" w:fill="FEF4EC"/>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 xml:space="preserve">12.000,00 </w:t>
            </w:r>
          </w:p>
        </w:tc>
        <w:tc>
          <w:tcPr>
            <w:tcW w:w="1134" w:type="dxa"/>
            <w:shd w:val="clear" w:color="auto" w:fill="FEF4EC"/>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w:t>
            </w:r>
          </w:p>
        </w:tc>
        <w:tc>
          <w:tcPr>
            <w:tcW w:w="1276" w:type="dxa"/>
            <w:shd w:val="clear" w:color="auto" w:fill="FEF4EC"/>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w:t>
            </w:r>
          </w:p>
        </w:tc>
        <w:tc>
          <w:tcPr>
            <w:tcW w:w="1134" w:type="dxa"/>
            <w:shd w:val="clear" w:color="auto" w:fill="FEF4EC"/>
            <w:vAlign w:val="center"/>
          </w:tcPr>
          <w:p w:rsidR="003611CF" w:rsidRPr="003611CF" w:rsidRDefault="003611CF" w:rsidP="003611CF">
            <w:pPr>
              <w:tabs>
                <w:tab w:val="left" w:pos="540"/>
                <w:tab w:val="right" w:pos="3275"/>
              </w:tabs>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w:t>
            </w:r>
          </w:p>
        </w:tc>
        <w:tc>
          <w:tcPr>
            <w:tcW w:w="1276" w:type="dxa"/>
            <w:shd w:val="clear" w:color="auto" w:fill="FEF4EC"/>
            <w:vAlign w:val="center"/>
          </w:tcPr>
          <w:p w:rsidR="003611CF" w:rsidRPr="003611CF" w:rsidRDefault="003611CF" w:rsidP="003611CF">
            <w:pPr>
              <w:tabs>
                <w:tab w:val="left" w:pos="540"/>
                <w:tab w:val="right" w:pos="3275"/>
              </w:tabs>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 xml:space="preserve">12.000,00 </w:t>
            </w:r>
          </w:p>
        </w:tc>
      </w:tr>
      <w:tr w:rsidR="003611CF" w:rsidRPr="003611CF" w:rsidTr="003611CF">
        <w:tc>
          <w:tcPr>
            <w:tcW w:w="1457" w:type="dxa"/>
            <w:shd w:val="clear" w:color="auto" w:fill="FDE9D9"/>
          </w:tcPr>
          <w:p w:rsidR="003611CF" w:rsidRPr="003611CF" w:rsidRDefault="003611CF" w:rsidP="003611CF">
            <w:pPr>
              <w:autoSpaceDE w:val="0"/>
              <w:autoSpaceDN w:val="0"/>
              <w:adjustRightInd w:val="0"/>
              <w:spacing w:before="0" w:after="0" w:line="240" w:lineRule="auto"/>
              <w:rPr>
                <w:rFonts w:ascii="Arial" w:eastAsia="Calibri" w:hAnsi="Arial" w:cs="Arial"/>
                <w:bCs/>
                <w:color w:val="000000"/>
                <w:sz w:val="18"/>
                <w:szCs w:val="18"/>
                <w:lang w:val="en-GB" w:eastAsia="hr-HR"/>
              </w:rPr>
            </w:pPr>
            <w:r w:rsidRPr="003611CF">
              <w:rPr>
                <w:rFonts w:ascii="Arial" w:eastAsia="Calibri" w:hAnsi="Arial" w:cs="Arial"/>
                <w:bCs/>
                <w:color w:val="000000"/>
                <w:sz w:val="18"/>
                <w:szCs w:val="18"/>
                <w:lang w:val="en-GB" w:eastAsia="hr-HR"/>
              </w:rPr>
              <w:t>Pljevlja</w:t>
            </w:r>
          </w:p>
        </w:tc>
        <w:tc>
          <w:tcPr>
            <w:tcW w:w="1379" w:type="dxa"/>
            <w:shd w:val="clear" w:color="auto" w:fill="FDE9D9"/>
            <w:vAlign w:val="center"/>
          </w:tcPr>
          <w:p w:rsidR="003611CF" w:rsidRPr="003611CF" w:rsidRDefault="003611CF" w:rsidP="003611CF">
            <w:pPr>
              <w:autoSpaceDE w:val="0"/>
              <w:autoSpaceDN w:val="0"/>
              <w:adjustRightInd w:val="0"/>
              <w:spacing w:before="0" w:after="0" w:line="240" w:lineRule="auto"/>
              <w:ind w:left="90"/>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10</w:t>
            </w:r>
          </w:p>
        </w:tc>
        <w:tc>
          <w:tcPr>
            <w:tcW w:w="1134" w:type="dxa"/>
            <w:shd w:val="clear" w:color="auto" w:fill="FDE9D9"/>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2</w:t>
            </w:r>
          </w:p>
        </w:tc>
        <w:tc>
          <w:tcPr>
            <w:tcW w:w="1134" w:type="dxa"/>
            <w:shd w:val="clear" w:color="auto" w:fill="FDE9D9"/>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w:t>
            </w:r>
          </w:p>
        </w:tc>
        <w:tc>
          <w:tcPr>
            <w:tcW w:w="1275" w:type="dxa"/>
            <w:shd w:val="clear" w:color="auto" w:fill="FDE9D9"/>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3.800,00</w:t>
            </w:r>
          </w:p>
        </w:tc>
        <w:tc>
          <w:tcPr>
            <w:tcW w:w="1134" w:type="dxa"/>
            <w:shd w:val="clear" w:color="auto" w:fill="FDE9D9"/>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w:t>
            </w:r>
          </w:p>
        </w:tc>
        <w:tc>
          <w:tcPr>
            <w:tcW w:w="1276" w:type="dxa"/>
            <w:shd w:val="clear" w:color="auto" w:fill="FDE9D9"/>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w:t>
            </w:r>
          </w:p>
        </w:tc>
        <w:tc>
          <w:tcPr>
            <w:tcW w:w="1134" w:type="dxa"/>
            <w:shd w:val="clear" w:color="auto" w:fill="FDE9D9"/>
            <w:vAlign w:val="center"/>
          </w:tcPr>
          <w:p w:rsidR="003611CF" w:rsidRPr="003611CF" w:rsidRDefault="003611CF" w:rsidP="003611CF">
            <w:pPr>
              <w:tabs>
                <w:tab w:val="left" w:pos="285"/>
                <w:tab w:val="center" w:pos="2163"/>
              </w:tabs>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2</w:t>
            </w:r>
          </w:p>
        </w:tc>
        <w:tc>
          <w:tcPr>
            <w:tcW w:w="1276" w:type="dxa"/>
            <w:shd w:val="clear" w:color="auto" w:fill="FDE9D9"/>
            <w:vAlign w:val="center"/>
          </w:tcPr>
          <w:p w:rsidR="003611CF" w:rsidRPr="003611CF" w:rsidRDefault="003611CF" w:rsidP="003611CF">
            <w:pPr>
              <w:tabs>
                <w:tab w:val="left" w:pos="285"/>
                <w:tab w:val="center" w:pos="2163"/>
              </w:tabs>
              <w:autoSpaceDE w:val="0"/>
              <w:autoSpaceDN w:val="0"/>
              <w:adjustRightInd w:val="0"/>
              <w:spacing w:before="0" w:after="0" w:line="240" w:lineRule="auto"/>
              <w:jc w:val="center"/>
              <w:rPr>
                <w:rFonts w:ascii="Arial" w:eastAsia="Times New Roman" w:hAnsi="Arial" w:cs="Arial"/>
                <w:sz w:val="20"/>
                <w:szCs w:val="20"/>
                <w:lang w:val="hr-HR" w:eastAsia="hr-HR"/>
              </w:rPr>
            </w:pPr>
            <w:r w:rsidRPr="003611CF">
              <w:rPr>
                <w:rFonts w:ascii="Arial" w:eastAsia="Times New Roman" w:hAnsi="Arial" w:cs="Arial"/>
                <w:sz w:val="20"/>
                <w:szCs w:val="20"/>
                <w:lang w:val="hr-HR" w:eastAsia="hr-HR"/>
              </w:rPr>
              <w:t xml:space="preserve">3.800,00 </w:t>
            </w:r>
          </w:p>
        </w:tc>
      </w:tr>
      <w:tr w:rsidR="003611CF" w:rsidRPr="003611CF" w:rsidTr="003611CF">
        <w:tc>
          <w:tcPr>
            <w:tcW w:w="1457" w:type="dxa"/>
            <w:shd w:val="clear" w:color="auto" w:fill="FEF4EC"/>
          </w:tcPr>
          <w:p w:rsidR="003611CF" w:rsidRPr="003611CF" w:rsidRDefault="003611CF" w:rsidP="003611CF">
            <w:pPr>
              <w:autoSpaceDE w:val="0"/>
              <w:autoSpaceDN w:val="0"/>
              <w:adjustRightInd w:val="0"/>
              <w:spacing w:before="0" w:after="0" w:line="240" w:lineRule="auto"/>
              <w:rPr>
                <w:rFonts w:ascii="Arial" w:eastAsia="Calibri" w:hAnsi="Arial" w:cs="Arial"/>
                <w:b/>
                <w:bCs/>
                <w:color w:val="000000"/>
                <w:sz w:val="18"/>
                <w:szCs w:val="18"/>
                <w:lang w:val="en-GB" w:eastAsia="hr-HR"/>
              </w:rPr>
            </w:pPr>
            <w:r w:rsidRPr="003611CF">
              <w:rPr>
                <w:rFonts w:ascii="Arial" w:eastAsia="Calibri" w:hAnsi="Arial" w:cs="Arial"/>
                <w:b/>
                <w:bCs/>
                <w:color w:val="000000"/>
                <w:sz w:val="18"/>
                <w:szCs w:val="18"/>
                <w:lang w:val="en-GB" w:eastAsia="hr-HR"/>
              </w:rPr>
              <w:t>UKUPNO</w:t>
            </w:r>
          </w:p>
        </w:tc>
        <w:tc>
          <w:tcPr>
            <w:tcW w:w="1379" w:type="dxa"/>
            <w:shd w:val="clear" w:color="auto" w:fill="FEF4EC"/>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b/>
                <w:bCs/>
                <w:sz w:val="20"/>
                <w:szCs w:val="20"/>
                <w:lang w:val="hr-HR" w:eastAsia="hr-HR"/>
              </w:rPr>
            </w:pPr>
            <w:r w:rsidRPr="003611CF">
              <w:rPr>
                <w:rFonts w:ascii="Arial" w:eastAsia="Times New Roman" w:hAnsi="Arial" w:cs="Arial"/>
                <w:b/>
                <w:bCs/>
                <w:sz w:val="20"/>
                <w:szCs w:val="20"/>
                <w:lang w:val="hr-HR" w:eastAsia="hr-HR"/>
              </w:rPr>
              <w:t>1016</w:t>
            </w:r>
          </w:p>
        </w:tc>
        <w:tc>
          <w:tcPr>
            <w:tcW w:w="1134" w:type="dxa"/>
            <w:shd w:val="clear" w:color="auto" w:fill="FEF4EC"/>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b/>
                <w:sz w:val="20"/>
                <w:szCs w:val="20"/>
                <w:lang w:val="hr-HR" w:eastAsia="hr-HR"/>
              </w:rPr>
            </w:pPr>
            <w:r w:rsidRPr="003611CF">
              <w:rPr>
                <w:rFonts w:ascii="Arial" w:eastAsia="Times New Roman" w:hAnsi="Arial" w:cs="Arial"/>
                <w:b/>
                <w:sz w:val="20"/>
                <w:szCs w:val="20"/>
                <w:lang w:val="hr-HR" w:eastAsia="hr-HR"/>
              </w:rPr>
              <w:t>83</w:t>
            </w:r>
          </w:p>
        </w:tc>
        <w:tc>
          <w:tcPr>
            <w:tcW w:w="1134" w:type="dxa"/>
            <w:shd w:val="clear" w:color="auto" w:fill="FEF4EC"/>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b/>
                <w:sz w:val="20"/>
                <w:szCs w:val="20"/>
                <w:lang w:val="hr-HR" w:eastAsia="hr-HR"/>
              </w:rPr>
            </w:pPr>
            <w:r w:rsidRPr="003611CF">
              <w:rPr>
                <w:rFonts w:ascii="Arial" w:eastAsia="Times New Roman" w:hAnsi="Arial" w:cs="Arial"/>
                <w:b/>
                <w:sz w:val="20"/>
                <w:szCs w:val="20"/>
                <w:lang w:val="hr-HR" w:eastAsia="hr-HR"/>
              </w:rPr>
              <w:t>40</w:t>
            </w:r>
          </w:p>
        </w:tc>
        <w:tc>
          <w:tcPr>
            <w:tcW w:w="1275" w:type="dxa"/>
            <w:shd w:val="clear" w:color="auto" w:fill="FEF4EC"/>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b/>
                <w:sz w:val="20"/>
                <w:szCs w:val="20"/>
                <w:lang w:val="hr-HR" w:eastAsia="hr-HR"/>
              </w:rPr>
            </w:pPr>
            <w:r w:rsidRPr="003611CF">
              <w:rPr>
                <w:rFonts w:ascii="Arial" w:eastAsia="Times New Roman" w:hAnsi="Arial" w:cs="Arial"/>
                <w:b/>
                <w:sz w:val="20"/>
                <w:szCs w:val="20"/>
                <w:lang w:val="hr-HR" w:eastAsia="hr-HR"/>
              </w:rPr>
              <w:t>154.480,00</w:t>
            </w:r>
          </w:p>
        </w:tc>
        <w:tc>
          <w:tcPr>
            <w:tcW w:w="1134" w:type="dxa"/>
            <w:shd w:val="clear" w:color="auto" w:fill="FEF4EC"/>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b/>
                <w:sz w:val="20"/>
                <w:szCs w:val="20"/>
                <w:lang w:val="hr-HR" w:eastAsia="hr-HR"/>
              </w:rPr>
            </w:pPr>
            <w:r w:rsidRPr="003611CF">
              <w:rPr>
                <w:rFonts w:ascii="Arial" w:eastAsia="Times New Roman" w:hAnsi="Arial" w:cs="Arial"/>
                <w:b/>
                <w:sz w:val="20"/>
                <w:szCs w:val="20"/>
                <w:lang w:val="hr-HR" w:eastAsia="hr-HR"/>
              </w:rPr>
              <w:t>20</w:t>
            </w:r>
          </w:p>
        </w:tc>
        <w:tc>
          <w:tcPr>
            <w:tcW w:w="1276" w:type="dxa"/>
            <w:shd w:val="clear" w:color="auto" w:fill="FEF4EC"/>
            <w:vAlign w:val="center"/>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b/>
                <w:sz w:val="20"/>
                <w:szCs w:val="20"/>
                <w:lang w:val="hr-HR" w:eastAsia="hr-HR"/>
              </w:rPr>
            </w:pPr>
            <w:r w:rsidRPr="003611CF">
              <w:rPr>
                <w:rFonts w:ascii="Arial" w:eastAsia="Times New Roman" w:hAnsi="Arial" w:cs="Arial"/>
                <w:b/>
                <w:sz w:val="20"/>
                <w:szCs w:val="20"/>
                <w:lang w:val="hr-HR" w:eastAsia="hr-HR"/>
              </w:rPr>
              <w:t xml:space="preserve">19.324,32 </w:t>
            </w:r>
          </w:p>
        </w:tc>
        <w:tc>
          <w:tcPr>
            <w:tcW w:w="1134" w:type="dxa"/>
            <w:shd w:val="clear" w:color="auto" w:fill="FEF4EC"/>
            <w:vAlign w:val="center"/>
          </w:tcPr>
          <w:p w:rsidR="003611CF" w:rsidRPr="003611CF" w:rsidRDefault="003611CF" w:rsidP="003611CF">
            <w:pPr>
              <w:tabs>
                <w:tab w:val="left" w:pos="405"/>
              </w:tabs>
              <w:autoSpaceDE w:val="0"/>
              <w:autoSpaceDN w:val="0"/>
              <w:adjustRightInd w:val="0"/>
              <w:spacing w:before="0" w:after="0" w:line="240" w:lineRule="auto"/>
              <w:jc w:val="center"/>
              <w:rPr>
                <w:rFonts w:ascii="Arial" w:eastAsia="Times New Roman" w:hAnsi="Arial" w:cs="Arial"/>
                <w:b/>
                <w:sz w:val="20"/>
                <w:szCs w:val="20"/>
                <w:lang w:val="hr-HR" w:eastAsia="hr-HR"/>
              </w:rPr>
            </w:pPr>
            <w:r w:rsidRPr="003611CF">
              <w:rPr>
                <w:rFonts w:ascii="Arial" w:eastAsia="Times New Roman" w:hAnsi="Arial" w:cs="Arial"/>
                <w:b/>
                <w:sz w:val="20"/>
                <w:szCs w:val="20"/>
                <w:lang w:val="hr-HR" w:eastAsia="hr-HR"/>
              </w:rPr>
              <w:t>22</w:t>
            </w:r>
          </w:p>
        </w:tc>
        <w:tc>
          <w:tcPr>
            <w:tcW w:w="1276" w:type="dxa"/>
            <w:shd w:val="clear" w:color="auto" w:fill="FEF4EC"/>
            <w:vAlign w:val="center"/>
          </w:tcPr>
          <w:p w:rsidR="003611CF" w:rsidRPr="003611CF" w:rsidRDefault="003611CF" w:rsidP="003611CF">
            <w:pPr>
              <w:tabs>
                <w:tab w:val="left" w:pos="405"/>
              </w:tabs>
              <w:autoSpaceDE w:val="0"/>
              <w:autoSpaceDN w:val="0"/>
              <w:adjustRightInd w:val="0"/>
              <w:spacing w:before="0" w:after="0" w:line="240" w:lineRule="auto"/>
              <w:jc w:val="center"/>
              <w:rPr>
                <w:rFonts w:ascii="Arial" w:eastAsia="Times New Roman" w:hAnsi="Arial" w:cs="Arial"/>
                <w:b/>
                <w:sz w:val="20"/>
                <w:szCs w:val="20"/>
                <w:lang w:val="hr-HR" w:eastAsia="hr-HR"/>
              </w:rPr>
            </w:pPr>
            <w:r w:rsidRPr="003611CF">
              <w:rPr>
                <w:rFonts w:ascii="Arial" w:eastAsia="Times New Roman" w:hAnsi="Arial" w:cs="Arial"/>
                <w:b/>
                <w:sz w:val="20"/>
                <w:szCs w:val="20"/>
                <w:lang w:val="hr-HR" w:eastAsia="hr-HR"/>
              </w:rPr>
              <w:t xml:space="preserve">134.392,30 </w:t>
            </w:r>
          </w:p>
        </w:tc>
      </w:tr>
    </w:tbl>
    <w:p w:rsidR="003611CF" w:rsidRPr="003611CF" w:rsidRDefault="003611CF" w:rsidP="003611CF">
      <w:pPr>
        <w:tabs>
          <w:tab w:val="left" w:pos="2985"/>
        </w:tabs>
        <w:spacing w:before="0" w:after="0" w:line="240" w:lineRule="auto"/>
        <w:rPr>
          <w:rFonts w:ascii="Arial" w:eastAsia="Times New Roman" w:hAnsi="Arial" w:cs="Arial"/>
          <w:sz w:val="22"/>
          <w:lang w:val="hr-HR" w:eastAsia="hr-HR"/>
        </w:rPr>
      </w:pPr>
    </w:p>
    <w:p w:rsidR="003611CF" w:rsidRPr="00CB5BEE" w:rsidRDefault="003611CF" w:rsidP="003611CF">
      <w:pPr>
        <w:spacing w:before="0" w:after="0" w:line="240" w:lineRule="auto"/>
        <w:rPr>
          <w:rFonts w:ascii="Calibri" w:eastAsia="Times New Roman" w:hAnsi="Calibri" w:cs="Calibri"/>
          <w:szCs w:val="24"/>
          <w:lang w:val="hr-HR"/>
        </w:rPr>
      </w:pPr>
      <w:r w:rsidRPr="003611CF">
        <w:rPr>
          <w:rFonts w:ascii="Arial" w:eastAsia="Times New Roman" w:hAnsi="Arial" w:cs="Arial"/>
          <w:sz w:val="22"/>
          <w:lang w:val="hr-HR"/>
        </w:rPr>
        <w:t xml:space="preserve">1.2 </w:t>
      </w:r>
      <w:r w:rsidRPr="003611CF">
        <w:rPr>
          <w:rFonts w:ascii="Calibri" w:eastAsia="Times New Roman" w:hAnsi="Calibri" w:cs="Calibri"/>
          <w:szCs w:val="24"/>
          <w:lang w:val="hr-HR"/>
        </w:rPr>
        <w:t xml:space="preserve">Ishod prekršajnih </w:t>
      </w:r>
      <w:bookmarkEnd w:id="92"/>
      <w:r w:rsidRPr="003611CF">
        <w:rPr>
          <w:rFonts w:ascii="Calibri" w:eastAsia="Times New Roman" w:hAnsi="Calibri" w:cs="Calibri"/>
          <w:szCs w:val="24"/>
          <w:lang w:val="hr-HR"/>
        </w:rPr>
        <w:t>postupaka na nivou  Poreske uprave  – Odluke sudova za prekr</w:t>
      </w:r>
      <w:r w:rsidR="00CB5BEE">
        <w:rPr>
          <w:rFonts w:ascii="Calibri" w:eastAsia="Times New Roman" w:hAnsi="Calibri" w:cs="Calibri"/>
          <w:szCs w:val="24"/>
          <w:lang w:val="hr-HR"/>
        </w:rPr>
        <w:t>šaje/izjavljene žalbe</w:t>
      </w:r>
    </w:p>
    <w:p w:rsidR="003611CF" w:rsidRPr="003611CF" w:rsidRDefault="003611CF" w:rsidP="003611CF">
      <w:pPr>
        <w:spacing w:before="0" w:after="0" w:line="240" w:lineRule="auto"/>
        <w:contextualSpacing/>
        <w:rPr>
          <w:rFonts w:ascii="Calibri" w:eastAsia="Times New Roman" w:hAnsi="Calibri" w:cs="Calibri"/>
          <w:szCs w:val="24"/>
          <w:lang w:val="hr-HR" w:eastAsia="hr-HR"/>
        </w:rPr>
      </w:pPr>
      <w:r w:rsidRPr="003611CF">
        <w:rPr>
          <w:rFonts w:ascii="Calibri" w:eastAsia="Times New Roman" w:hAnsi="Calibri" w:cs="Calibri"/>
          <w:szCs w:val="24"/>
          <w:lang w:val="hr-HR" w:eastAsia="hr-HR"/>
        </w:rPr>
        <w:tab/>
        <w:t xml:space="preserve">Osnovni sudovi za prekršaje u </w:t>
      </w:r>
      <w:r w:rsidRPr="003611CF">
        <w:rPr>
          <w:rFonts w:ascii="Calibri" w:eastAsia="Times New Roman" w:hAnsi="Calibri" w:cs="Calibri"/>
          <w:szCs w:val="24"/>
          <w:lang w:val="hr-HR"/>
        </w:rPr>
        <w:t xml:space="preserve">prekršajnim postupcima pokrenutim po </w:t>
      </w:r>
      <w:r w:rsidRPr="003611CF">
        <w:rPr>
          <w:rFonts w:ascii="Calibri" w:eastAsia="Times New Roman" w:hAnsi="Calibri" w:cs="Calibri"/>
          <w:szCs w:val="24"/>
          <w:lang w:val="hr-HR" w:eastAsia="hr-HR"/>
        </w:rPr>
        <w:t>zahtjevima za sudsko odlučivanje o izdatom prekršajnom nalogu ili zahtjevima za pokretanje prekršajnog postupka dostavili Odsjeku za praćenje sprovođenja upravnog i prekršajnog postupka 1082 rješenje/odluke, kojim su okončani</w:t>
      </w:r>
      <w:r w:rsidR="00CB5BEE">
        <w:rPr>
          <w:rFonts w:ascii="Calibri" w:eastAsia="Times New Roman" w:hAnsi="Calibri" w:cs="Calibri"/>
          <w:szCs w:val="24"/>
          <w:lang w:val="hr-HR" w:eastAsia="hr-HR"/>
        </w:rPr>
        <w:t xml:space="preserve"> prekršajni postupci na način: </w:t>
      </w:r>
    </w:p>
    <w:p w:rsidR="003611CF" w:rsidRPr="003611CF" w:rsidRDefault="003611CF" w:rsidP="004D6CB4">
      <w:pPr>
        <w:numPr>
          <w:ilvl w:val="0"/>
          <w:numId w:val="139"/>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rPr>
        <w:t>292 rješenja kojim se okrivljeni oglašavaju krivim i izriče im se kazna;</w:t>
      </w:r>
    </w:p>
    <w:p w:rsidR="003611CF" w:rsidRPr="003611CF" w:rsidRDefault="003611CF" w:rsidP="004D6CB4">
      <w:pPr>
        <w:numPr>
          <w:ilvl w:val="0"/>
          <w:numId w:val="139"/>
        </w:numPr>
        <w:spacing w:before="0" w:after="0" w:line="240" w:lineRule="auto"/>
        <w:ind w:left="0" w:firstLine="360"/>
        <w:contextualSpacing/>
        <w:jc w:val="left"/>
        <w:rPr>
          <w:rFonts w:ascii="Calibri" w:eastAsia="Times New Roman" w:hAnsi="Calibri" w:cs="Calibri"/>
          <w:szCs w:val="24"/>
          <w:lang w:val="hr-HR"/>
        </w:rPr>
      </w:pPr>
      <w:r w:rsidRPr="003611CF">
        <w:rPr>
          <w:rFonts w:ascii="Calibri" w:eastAsia="Times New Roman" w:hAnsi="Calibri" w:cs="Calibri"/>
          <w:szCs w:val="24"/>
          <w:lang w:val="hr-HR"/>
        </w:rPr>
        <w:t>25 rješenja kojim se okrivljeni oslobađaju krivice;</w:t>
      </w:r>
    </w:p>
    <w:p w:rsidR="003611CF" w:rsidRPr="003611CF" w:rsidRDefault="003611CF" w:rsidP="004D6CB4">
      <w:pPr>
        <w:numPr>
          <w:ilvl w:val="0"/>
          <w:numId w:val="139"/>
        </w:numPr>
        <w:spacing w:before="0" w:after="0" w:line="240" w:lineRule="auto"/>
        <w:ind w:left="0" w:firstLine="360"/>
        <w:contextualSpacing/>
        <w:jc w:val="left"/>
        <w:rPr>
          <w:rFonts w:ascii="Calibri" w:eastAsia="Times New Roman" w:hAnsi="Calibri" w:cs="Calibri"/>
          <w:szCs w:val="24"/>
          <w:lang w:val="hr-HR"/>
        </w:rPr>
      </w:pPr>
      <w:r w:rsidRPr="003611CF">
        <w:rPr>
          <w:rFonts w:ascii="Calibri" w:eastAsia="Times New Roman" w:hAnsi="Calibri" w:cs="Calibri"/>
          <w:szCs w:val="24"/>
          <w:lang w:val="hr-HR"/>
        </w:rPr>
        <w:t>484 rješenja kojim se obustavlja vođenje prekršajnog postupka;</w:t>
      </w:r>
    </w:p>
    <w:p w:rsidR="003611CF" w:rsidRPr="003611CF" w:rsidRDefault="003611CF" w:rsidP="004D6CB4">
      <w:pPr>
        <w:numPr>
          <w:ilvl w:val="0"/>
          <w:numId w:val="139"/>
        </w:numPr>
        <w:spacing w:before="0" w:after="0" w:line="240" w:lineRule="auto"/>
        <w:ind w:left="0" w:firstLine="360"/>
        <w:contextualSpacing/>
        <w:jc w:val="left"/>
        <w:rPr>
          <w:rFonts w:ascii="Calibri" w:eastAsia="Times New Roman" w:hAnsi="Calibri" w:cs="Calibri"/>
          <w:szCs w:val="24"/>
          <w:lang w:val="hr-HR"/>
        </w:rPr>
      </w:pPr>
      <w:r w:rsidRPr="003611CF">
        <w:rPr>
          <w:rFonts w:ascii="Calibri" w:eastAsia="Times New Roman" w:hAnsi="Calibri" w:cs="Calibri"/>
          <w:szCs w:val="24"/>
          <w:lang w:val="hr-HR"/>
        </w:rPr>
        <w:t>109 rješenja kojim se okrivljenima izriče opomena;</w:t>
      </w:r>
    </w:p>
    <w:p w:rsidR="003611CF" w:rsidRPr="003611CF" w:rsidRDefault="003611CF" w:rsidP="004D6CB4">
      <w:pPr>
        <w:numPr>
          <w:ilvl w:val="0"/>
          <w:numId w:val="139"/>
        </w:numPr>
        <w:spacing w:before="0" w:after="0" w:line="240" w:lineRule="auto"/>
        <w:ind w:left="0" w:firstLine="360"/>
        <w:contextualSpacing/>
        <w:jc w:val="left"/>
        <w:rPr>
          <w:rFonts w:ascii="Calibri" w:eastAsia="Times New Roman" w:hAnsi="Calibri" w:cs="Calibri"/>
          <w:szCs w:val="24"/>
          <w:lang w:val="hr-HR"/>
        </w:rPr>
      </w:pPr>
      <w:r w:rsidRPr="003611CF">
        <w:rPr>
          <w:rFonts w:ascii="Calibri" w:eastAsia="Times New Roman" w:hAnsi="Calibri" w:cs="Calibri"/>
          <w:szCs w:val="24"/>
          <w:lang w:val="hr-HR"/>
        </w:rPr>
        <w:t>111 rješenja kojim se odbacuje zahtjev za vođenje prekršajnog postupka;</w:t>
      </w:r>
    </w:p>
    <w:p w:rsidR="003611CF" w:rsidRPr="003611CF" w:rsidRDefault="003611CF" w:rsidP="004D6CB4">
      <w:pPr>
        <w:numPr>
          <w:ilvl w:val="0"/>
          <w:numId w:val="139"/>
        </w:numPr>
        <w:spacing w:before="0" w:after="0" w:line="240" w:lineRule="auto"/>
        <w:ind w:left="0" w:firstLine="360"/>
        <w:contextualSpacing/>
        <w:jc w:val="left"/>
        <w:rPr>
          <w:rFonts w:ascii="Calibri" w:eastAsia="Times New Roman" w:hAnsi="Calibri" w:cs="Calibri"/>
          <w:szCs w:val="24"/>
          <w:lang w:val="hr-HR"/>
        </w:rPr>
      </w:pPr>
      <w:r w:rsidRPr="003611CF">
        <w:rPr>
          <w:rFonts w:ascii="Calibri" w:eastAsia="Times New Roman" w:hAnsi="Calibri" w:cs="Calibri"/>
          <w:szCs w:val="24"/>
          <w:lang w:val="hr-HR"/>
        </w:rPr>
        <w:t>15 rješenja kojim se odgovorno lice oglašava krivim i izriče kazna/pravno lice u stečaju;</w:t>
      </w:r>
    </w:p>
    <w:p w:rsidR="003611CF" w:rsidRPr="003611CF" w:rsidRDefault="003611CF" w:rsidP="004D6CB4">
      <w:pPr>
        <w:numPr>
          <w:ilvl w:val="0"/>
          <w:numId w:val="139"/>
        </w:numPr>
        <w:spacing w:before="0" w:after="0" w:line="240" w:lineRule="auto"/>
        <w:ind w:left="0" w:firstLine="360"/>
        <w:contextualSpacing/>
        <w:jc w:val="left"/>
        <w:rPr>
          <w:rFonts w:ascii="Calibri" w:eastAsia="Times New Roman" w:hAnsi="Calibri" w:cs="Calibri"/>
          <w:szCs w:val="24"/>
          <w:lang w:val="hr-HR"/>
        </w:rPr>
      </w:pPr>
      <w:r w:rsidRPr="003611CF">
        <w:rPr>
          <w:rFonts w:ascii="Calibri" w:eastAsia="Times New Roman" w:hAnsi="Calibri" w:cs="Calibri"/>
          <w:szCs w:val="24"/>
          <w:lang w:val="hr-HR"/>
        </w:rPr>
        <w:t>2 rješenja kojim se pravnom licu izriče kazna/odgovorno lice oslobađa;</w:t>
      </w:r>
    </w:p>
    <w:p w:rsidR="003611CF" w:rsidRPr="003611CF" w:rsidRDefault="003611CF" w:rsidP="004D6CB4">
      <w:pPr>
        <w:numPr>
          <w:ilvl w:val="0"/>
          <w:numId w:val="139"/>
        </w:numPr>
        <w:spacing w:before="0" w:after="0" w:line="240" w:lineRule="auto"/>
        <w:ind w:left="0" w:firstLine="360"/>
        <w:contextualSpacing/>
        <w:jc w:val="left"/>
        <w:rPr>
          <w:rFonts w:ascii="Calibri" w:eastAsia="Times New Roman" w:hAnsi="Calibri" w:cs="Calibri"/>
          <w:szCs w:val="24"/>
          <w:lang w:val="hr-HR"/>
        </w:rPr>
      </w:pPr>
      <w:r w:rsidRPr="003611CF">
        <w:rPr>
          <w:rFonts w:ascii="Calibri" w:eastAsia="Times New Roman" w:hAnsi="Calibri" w:cs="Calibri"/>
          <w:szCs w:val="24"/>
          <w:lang w:val="hr-HR"/>
        </w:rPr>
        <w:t>4 rješenje kojim se pravnom licu izriče kazna/odgovornom opomena;</w:t>
      </w:r>
    </w:p>
    <w:p w:rsidR="003611CF" w:rsidRPr="003611CF" w:rsidRDefault="003611CF" w:rsidP="004D6CB4">
      <w:pPr>
        <w:numPr>
          <w:ilvl w:val="0"/>
          <w:numId w:val="139"/>
        </w:numPr>
        <w:spacing w:before="0" w:after="0" w:line="240" w:lineRule="auto"/>
        <w:ind w:left="0" w:firstLine="360"/>
        <w:contextualSpacing/>
        <w:jc w:val="left"/>
        <w:rPr>
          <w:rFonts w:ascii="Calibri" w:eastAsia="Times New Roman" w:hAnsi="Calibri" w:cs="Calibri"/>
          <w:szCs w:val="24"/>
          <w:lang w:val="hr-HR"/>
        </w:rPr>
      </w:pPr>
      <w:r w:rsidRPr="003611CF">
        <w:rPr>
          <w:rFonts w:ascii="Calibri" w:eastAsia="Times New Roman" w:hAnsi="Calibri" w:cs="Calibri"/>
          <w:szCs w:val="24"/>
          <w:lang w:val="hr-HR"/>
        </w:rPr>
        <w:t>1 rješenje kojim se pravnom licu izriče kazna/protiv odgovornog lica obustavlja postupak;</w:t>
      </w:r>
    </w:p>
    <w:p w:rsidR="003611CF" w:rsidRPr="003611CF" w:rsidRDefault="003611CF" w:rsidP="004D6CB4">
      <w:pPr>
        <w:numPr>
          <w:ilvl w:val="0"/>
          <w:numId w:val="139"/>
        </w:numPr>
        <w:spacing w:before="0" w:after="0" w:line="240" w:lineRule="auto"/>
        <w:ind w:left="0" w:firstLine="360"/>
        <w:contextualSpacing/>
        <w:jc w:val="left"/>
        <w:rPr>
          <w:rFonts w:ascii="Calibri" w:eastAsia="Times New Roman" w:hAnsi="Calibri" w:cs="Calibri"/>
          <w:szCs w:val="24"/>
          <w:lang w:val="hr-HR"/>
        </w:rPr>
      </w:pPr>
      <w:r w:rsidRPr="003611CF">
        <w:rPr>
          <w:rFonts w:ascii="Calibri" w:eastAsia="Times New Roman" w:hAnsi="Calibri" w:cs="Calibri"/>
          <w:szCs w:val="24"/>
          <w:lang w:val="hr-HR"/>
        </w:rPr>
        <w:t>1 rješenje kojim se pravno lice oslobađa krivice/odgovornom izriče kazna;</w:t>
      </w:r>
    </w:p>
    <w:p w:rsidR="003611CF" w:rsidRPr="003611CF" w:rsidRDefault="003611CF" w:rsidP="004D6CB4">
      <w:pPr>
        <w:numPr>
          <w:ilvl w:val="0"/>
          <w:numId w:val="139"/>
        </w:numPr>
        <w:spacing w:before="0" w:after="0" w:line="240" w:lineRule="auto"/>
        <w:ind w:left="0" w:firstLine="360"/>
        <w:contextualSpacing/>
        <w:jc w:val="left"/>
        <w:rPr>
          <w:rFonts w:ascii="Calibri" w:eastAsia="Times New Roman" w:hAnsi="Calibri" w:cs="Calibri"/>
          <w:szCs w:val="24"/>
          <w:lang w:val="hr-HR"/>
        </w:rPr>
      </w:pPr>
      <w:r w:rsidRPr="003611CF">
        <w:rPr>
          <w:rFonts w:ascii="Calibri" w:eastAsia="Times New Roman" w:hAnsi="Calibri" w:cs="Calibri"/>
          <w:szCs w:val="24"/>
          <w:lang w:val="hr-HR"/>
        </w:rPr>
        <w:t>3 rješenja kojim se obustavlja vođenje prekršajnog postupka protiv pravnog lica/odgovorno lice se oglašava krivim;</w:t>
      </w:r>
    </w:p>
    <w:p w:rsidR="003611CF" w:rsidRPr="003611CF" w:rsidRDefault="003611CF" w:rsidP="004D6CB4">
      <w:pPr>
        <w:numPr>
          <w:ilvl w:val="0"/>
          <w:numId w:val="139"/>
        </w:numPr>
        <w:spacing w:before="0" w:after="0" w:line="240" w:lineRule="auto"/>
        <w:ind w:left="0" w:firstLine="360"/>
        <w:contextualSpacing/>
        <w:jc w:val="left"/>
        <w:rPr>
          <w:rFonts w:ascii="Calibri" w:eastAsia="Times New Roman" w:hAnsi="Calibri" w:cs="Calibri"/>
          <w:szCs w:val="24"/>
          <w:lang w:val="hr-HR"/>
        </w:rPr>
      </w:pPr>
      <w:r w:rsidRPr="003611CF">
        <w:rPr>
          <w:rFonts w:ascii="Calibri" w:eastAsia="Times New Roman" w:hAnsi="Calibri" w:cs="Calibri"/>
          <w:szCs w:val="24"/>
          <w:lang w:val="hr-HR"/>
        </w:rPr>
        <w:t>10 rješenja kojim se obustavlja vođenje prekršajnog postupka prema pravnom licu/odgovornom licu izriče opomena;</w:t>
      </w:r>
    </w:p>
    <w:p w:rsidR="003611CF" w:rsidRPr="003611CF" w:rsidRDefault="003611CF" w:rsidP="004D6CB4">
      <w:pPr>
        <w:numPr>
          <w:ilvl w:val="0"/>
          <w:numId w:val="139"/>
        </w:numPr>
        <w:spacing w:before="0" w:after="0" w:line="240" w:lineRule="auto"/>
        <w:ind w:left="0" w:firstLine="360"/>
        <w:contextualSpacing/>
        <w:jc w:val="left"/>
        <w:rPr>
          <w:rFonts w:ascii="Calibri" w:eastAsia="Times New Roman" w:hAnsi="Calibri" w:cs="Calibri"/>
          <w:szCs w:val="24"/>
          <w:lang w:val="hr-HR"/>
        </w:rPr>
      </w:pPr>
      <w:r w:rsidRPr="003611CF">
        <w:rPr>
          <w:rFonts w:ascii="Calibri" w:eastAsia="Times New Roman" w:hAnsi="Calibri" w:cs="Calibri"/>
          <w:szCs w:val="24"/>
          <w:lang w:val="hr-HR"/>
        </w:rPr>
        <w:t>1 rješenje kojim se obustavlja postupak prema pravnom licu/odgovorno se oslobađa krivice;</w:t>
      </w:r>
    </w:p>
    <w:p w:rsidR="003611CF" w:rsidRPr="003611CF" w:rsidRDefault="003611CF" w:rsidP="004D6CB4">
      <w:pPr>
        <w:numPr>
          <w:ilvl w:val="0"/>
          <w:numId w:val="139"/>
        </w:numPr>
        <w:spacing w:before="0" w:after="0" w:line="240" w:lineRule="auto"/>
        <w:ind w:left="0" w:firstLine="360"/>
        <w:contextualSpacing/>
        <w:jc w:val="left"/>
        <w:rPr>
          <w:rFonts w:ascii="Calibri" w:eastAsia="Times New Roman" w:hAnsi="Calibri" w:cs="Calibri"/>
          <w:szCs w:val="24"/>
          <w:lang w:val="hr-HR"/>
        </w:rPr>
      </w:pPr>
      <w:bookmarkStart w:id="93" w:name="_Hlk61735013"/>
      <w:r w:rsidRPr="003611CF">
        <w:rPr>
          <w:rFonts w:ascii="Calibri" w:eastAsia="Times New Roman" w:hAnsi="Calibri" w:cs="Calibri"/>
          <w:szCs w:val="24"/>
          <w:lang w:val="hr-HR"/>
        </w:rPr>
        <w:t>1 rješenje kojim se pravnom licu izriče opomena/odgovorno lice oslobađa krivice</w:t>
      </w:r>
      <w:bookmarkEnd w:id="93"/>
      <w:r w:rsidRPr="003611CF">
        <w:rPr>
          <w:rFonts w:ascii="Calibri" w:eastAsia="Times New Roman" w:hAnsi="Calibri" w:cs="Calibri"/>
          <w:szCs w:val="24"/>
          <w:lang w:val="hr-HR"/>
        </w:rPr>
        <w:t>;</w:t>
      </w:r>
    </w:p>
    <w:p w:rsidR="003611CF" w:rsidRPr="003611CF" w:rsidRDefault="003611CF" w:rsidP="004D6CB4">
      <w:pPr>
        <w:numPr>
          <w:ilvl w:val="0"/>
          <w:numId w:val="139"/>
        </w:numPr>
        <w:spacing w:before="0" w:after="0" w:line="240" w:lineRule="auto"/>
        <w:ind w:left="0" w:firstLine="360"/>
        <w:contextualSpacing/>
        <w:jc w:val="left"/>
        <w:rPr>
          <w:rFonts w:ascii="Calibri" w:eastAsia="Times New Roman" w:hAnsi="Calibri" w:cs="Calibri"/>
          <w:szCs w:val="24"/>
          <w:lang w:val="hr-HR"/>
        </w:rPr>
      </w:pPr>
      <w:r w:rsidRPr="003611CF">
        <w:rPr>
          <w:rFonts w:ascii="Calibri" w:eastAsia="Times New Roman" w:hAnsi="Calibri" w:cs="Calibri"/>
          <w:szCs w:val="24"/>
          <w:lang w:val="hr-HR"/>
        </w:rPr>
        <w:t>1 rješenje kojim se pravnom licu izriče opomena/odgovorno lice oglašava krivim;</w:t>
      </w:r>
    </w:p>
    <w:p w:rsidR="003611CF" w:rsidRPr="003611CF" w:rsidRDefault="003611CF" w:rsidP="004D6CB4">
      <w:pPr>
        <w:numPr>
          <w:ilvl w:val="0"/>
          <w:numId w:val="139"/>
        </w:numPr>
        <w:spacing w:before="0" w:after="0" w:line="240" w:lineRule="auto"/>
        <w:ind w:left="0" w:firstLine="360"/>
        <w:contextualSpacing/>
        <w:jc w:val="left"/>
        <w:rPr>
          <w:rFonts w:ascii="Calibri" w:eastAsia="Times New Roman" w:hAnsi="Calibri" w:cs="Calibri"/>
          <w:szCs w:val="24"/>
          <w:lang w:val="hr-HR"/>
        </w:rPr>
      </w:pPr>
      <w:r w:rsidRPr="003611CF">
        <w:rPr>
          <w:rFonts w:ascii="Calibri" w:eastAsia="Times New Roman" w:hAnsi="Calibri" w:cs="Calibri"/>
          <w:szCs w:val="24"/>
          <w:lang w:val="hr-HR"/>
        </w:rPr>
        <w:t>3 rješenje kojim se usvaja zahtjev okrivljenih za ponovno vođenje postupka;</w:t>
      </w:r>
    </w:p>
    <w:p w:rsidR="003611CF" w:rsidRPr="003611CF" w:rsidRDefault="003611CF" w:rsidP="004D6CB4">
      <w:pPr>
        <w:numPr>
          <w:ilvl w:val="0"/>
          <w:numId w:val="139"/>
        </w:numPr>
        <w:spacing w:before="0" w:after="0" w:line="240" w:lineRule="auto"/>
        <w:ind w:left="0" w:firstLine="360"/>
        <w:contextualSpacing/>
        <w:jc w:val="left"/>
        <w:rPr>
          <w:rFonts w:ascii="Calibri" w:eastAsia="Times New Roman" w:hAnsi="Calibri" w:cs="Calibri"/>
          <w:szCs w:val="24"/>
          <w:lang w:val="hr-HR"/>
        </w:rPr>
      </w:pPr>
      <w:r w:rsidRPr="003611CF">
        <w:rPr>
          <w:rFonts w:ascii="Calibri" w:eastAsia="Times New Roman" w:hAnsi="Calibri" w:cs="Calibri"/>
          <w:szCs w:val="24"/>
          <w:lang w:val="hr-HR"/>
        </w:rPr>
        <w:t>1 rješenje kojim se sud oglašava mjesno nenadležnim;</w:t>
      </w:r>
    </w:p>
    <w:p w:rsidR="003611CF" w:rsidRPr="003611CF" w:rsidRDefault="003611CF" w:rsidP="004D6CB4">
      <w:pPr>
        <w:numPr>
          <w:ilvl w:val="0"/>
          <w:numId w:val="139"/>
        </w:numPr>
        <w:spacing w:before="0" w:after="0" w:line="240" w:lineRule="auto"/>
        <w:ind w:left="0" w:firstLine="360"/>
        <w:contextualSpacing/>
        <w:jc w:val="left"/>
        <w:rPr>
          <w:rFonts w:ascii="Calibri" w:eastAsia="Times New Roman" w:hAnsi="Calibri" w:cs="Calibri"/>
          <w:szCs w:val="24"/>
          <w:lang w:val="hr-HR"/>
        </w:rPr>
      </w:pPr>
      <w:r w:rsidRPr="003611CF">
        <w:rPr>
          <w:rFonts w:ascii="Calibri" w:eastAsia="Times New Roman" w:hAnsi="Calibri" w:cs="Calibri"/>
          <w:szCs w:val="24"/>
          <w:lang w:val="hr-HR"/>
        </w:rPr>
        <w:t>1 rješenje kojim se vrši spajanje postupaka po prekršajnim predmetima;</w:t>
      </w:r>
    </w:p>
    <w:p w:rsidR="003611CF" w:rsidRPr="003611CF" w:rsidRDefault="003611CF" w:rsidP="004D6CB4">
      <w:pPr>
        <w:numPr>
          <w:ilvl w:val="0"/>
          <w:numId w:val="139"/>
        </w:numPr>
        <w:spacing w:before="0" w:after="0" w:line="240" w:lineRule="auto"/>
        <w:ind w:left="0" w:firstLine="360"/>
        <w:contextualSpacing/>
        <w:jc w:val="left"/>
        <w:rPr>
          <w:rFonts w:ascii="Calibri" w:eastAsia="Times New Roman" w:hAnsi="Calibri" w:cs="Calibri"/>
          <w:szCs w:val="24"/>
          <w:lang w:val="hr-HR"/>
        </w:rPr>
      </w:pPr>
      <w:r w:rsidRPr="003611CF">
        <w:rPr>
          <w:rFonts w:ascii="Calibri" w:eastAsia="Times New Roman" w:hAnsi="Calibri" w:cs="Calibri"/>
          <w:szCs w:val="24"/>
          <w:lang w:val="hr-HR"/>
        </w:rPr>
        <w:t>8 rješenja kojim se vrši ispravka prvostepenih rješenja;</w:t>
      </w:r>
    </w:p>
    <w:p w:rsidR="003611CF" w:rsidRPr="003611CF" w:rsidRDefault="003611CF" w:rsidP="004D6CB4">
      <w:pPr>
        <w:numPr>
          <w:ilvl w:val="0"/>
          <w:numId w:val="139"/>
        </w:numPr>
        <w:spacing w:before="0" w:after="0" w:line="240" w:lineRule="auto"/>
        <w:ind w:left="0" w:firstLine="360"/>
        <w:contextualSpacing/>
        <w:jc w:val="left"/>
        <w:rPr>
          <w:rFonts w:ascii="Calibri" w:eastAsia="Times New Roman" w:hAnsi="Calibri" w:cs="Calibri"/>
          <w:szCs w:val="24"/>
          <w:lang w:val="hr-HR"/>
        </w:rPr>
      </w:pPr>
      <w:r w:rsidRPr="003611CF">
        <w:rPr>
          <w:rFonts w:ascii="Calibri" w:eastAsia="Times New Roman" w:hAnsi="Calibri" w:cs="Calibri"/>
          <w:szCs w:val="24"/>
          <w:lang w:val="hr-HR"/>
        </w:rPr>
        <w:t>9 rješenja kojim se prekršajni nalozi oglašavaju konačnim i izvršnim.</w:t>
      </w:r>
    </w:p>
    <w:p w:rsidR="003611CF" w:rsidRPr="003611CF" w:rsidRDefault="003611CF" w:rsidP="003611CF">
      <w:pPr>
        <w:spacing w:before="0" w:after="0" w:line="240" w:lineRule="auto"/>
        <w:ind w:left="720"/>
        <w:contextualSpacing/>
        <w:rPr>
          <w:rFonts w:ascii="Calibri" w:eastAsia="Times New Roman" w:hAnsi="Calibri" w:cs="Calibri"/>
          <w:szCs w:val="24"/>
          <w:lang w:val="hr-HR"/>
        </w:rPr>
      </w:pPr>
    </w:p>
    <w:p w:rsidR="003611CF" w:rsidRPr="003611CF" w:rsidRDefault="003611CF" w:rsidP="004D6CB4">
      <w:pPr>
        <w:numPr>
          <w:ilvl w:val="0"/>
          <w:numId w:val="122"/>
        </w:numPr>
        <w:spacing w:before="0" w:after="0" w:line="240" w:lineRule="auto"/>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 xml:space="preserve">Ovlašćeni službenik </w:t>
      </w:r>
      <w:bookmarkStart w:id="94" w:name="_Hlk53438265"/>
      <w:r w:rsidRPr="003611CF">
        <w:rPr>
          <w:rFonts w:ascii="Calibri" w:eastAsia="Times New Roman" w:hAnsi="Calibri" w:cs="Calibri"/>
          <w:szCs w:val="24"/>
          <w:lang w:val="hr-HR" w:eastAsia="hr-HR"/>
        </w:rPr>
        <w:t xml:space="preserve">Odsjeka za sprovođenje upravnog i prekršajnog postupka </w:t>
      </w:r>
      <w:bookmarkEnd w:id="94"/>
      <w:r w:rsidRPr="003611CF">
        <w:rPr>
          <w:rFonts w:ascii="Calibri" w:eastAsia="Times New Roman" w:hAnsi="Calibri" w:cs="Calibri"/>
          <w:szCs w:val="24"/>
          <w:lang w:val="hr-HR" w:eastAsia="hr-HR"/>
        </w:rPr>
        <w:t>izjavio je:</w:t>
      </w:r>
    </w:p>
    <w:p w:rsidR="003611CF" w:rsidRPr="003611CF" w:rsidRDefault="003611CF" w:rsidP="004D6CB4">
      <w:pPr>
        <w:numPr>
          <w:ilvl w:val="0"/>
          <w:numId w:val="158"/>
        </w:numPr>
        <w:spacing w:before="0" w:after="0" w:line="240" w:lineRule="auto"/>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161 žalbu protiv rješenja Sudova za prekršaje donijetih u prvom stepenu;</w:t>
      </w:r>
    </w:p>
    <w:p w:rsidR="003611CF" w:rsidRPr="003611CF" w:rsidRDefault="003611CF" w:rsidP="004D6CB4">
      <w:pPr>
        <w:numPr>
          <w:ilvl w:val="0"/>
          <w:numId w:val="122"/>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Osnovni sudovi za prekršaje dostavili Odsjeku za praćenje sprovođenja upravnog i prekršajnog postupka 177 rješenja Višeg suda za prekršaje, donijetih u postupku rješavanja po žalbama protiv rješenja donijetih u prvom stepenu:</w:t>
      </w:r>
    </w:p>
    <w:p w:rsidR="003611CF" w:rsidRPr="003611CF" w:rsidRDefault="003611CF" w:rsidP="004D6CB4">
      <w:pPr>
        <w:numPr>
          <w:ilvl w:val="0"/>
          <w:numId w:val="157"/>
        </w:numPr>
        <w:spacing w:before="0" w:after="0" w:line="240" w:lineRule="auto"/>
        <w:ind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152 rješenja kojim se odbijaju žalbe podnosioca zahtjeva za pokretanje prekršajnog postupka/izdavaoca prekršajnog naloga Poreske uprave CG kao neosnovane i potvrđuju odluke Sudova za prekršaje donijetih u prvom stepenu;</w:t>
      </w:r>
    </w:p>
    <w:p w:rsidR="003611CF" w:rsidRPr="003611CF" w:rsidRDefault="003611CF" w:rsidP="004D6CB4">
      <w:pPr>
        <w:numPr>
          <w:ilvl w:val="0"/>
          <w:numId w:val="157"/>
        </w:numPr>
        <w:spacing w:before="0" w:after="0" w:line="240" w:lineRule="auto"/>
        <w:ind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7 rješenja kojim se odbijaju žalbe okrivljenih i potvrđuju odluka Sudova za prekršaje donijetih u prvom stepenu;</w:t>
      </w:r>
    </w:p>
    <w:p w:rsidR="003611CF" w:rsidRPr="003611CF" w:rsidRDefault="003611CF" w:rsidP="004D6CB4">
      <w:pPr>
        <w:numPr>
          <w:ilvl w:val="0"/>
          <w:numId w:val="157"/>
        </w:numPr>
        <w:spacing w:before="0" w:after="0" w:line="240" w:lineRule="auto"/>
        <w:ind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1 rješenje kojim se uvažava žalba poreskog organa i predmet vraća prvostepenom sudu na ponovni postupak;</w:t>
      </w:r>
    </w:p>
    <w:p w:rsidR="003611CF" w:rsidRPr="003611CF" w:rsidRDefault="003611CF" w:rsidP="004D6CB4">
      <w:pPr>
        <w:numPr>
          <w:ilvl w:val="0"/>
          <w:numId w:val="157"/>
        </w:numPr>
        <w:spacing w:before="0" w:after="0" w:line="240" w:lineRule="auto"/>
        <w:ind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lastRenderedPageBreak/>
        <w:t>1 rješenje kojim se uvažava žalba okrivljenog i predmet vraća prvostepenom sudu na ponovni postupak;</w:t>
      </w:r>
    </w:p>
    <w:p w:rsidR="003611CF" w:rsidRPr="003611CF" w:rsidRDefault="003611CF" w:rsidP="004D6CB4">
      <w:pPr>
        <w:numPr>
          <w:ilvl w:val="0"/>
          <w:numId w:val="157"/>
        </w:numPr>
        <w:spacing w:before="0" w:after="0" w:line="240" w:lineRule="auto"/>
        <w:ind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15 rješenja kojim se prinačavaju rješenja Sudova za prekršaje donijetih u prvom stepenu, tako što se protiv okrivljenih obustavlja prekršajni postupak;</w:t>
      </w:r>
    </w:p>
    <w:p w:rsidR="003611CF" w:rsidRPr="003611CF" w:rsidRDefault="003611CF" w:rsidP="004D6CB4">
      <w:pPr>
        <w:numPr>
          <w:ilvl w:val="0"/>
          <w:numId w:val="157"/>
        </w:numPr>
        <w:spacing w:before="0" w:after="0" w:line="240" w:lineRule="auto"/>
        <w:ind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1 rješenje kojim se ukida rješenje Suda za prekršaje donijetog u prvom stepenu i predmet vraća prvostepenom sudu na ponovno odlučivanje;</w:t>
      </w:r>
    </w:p>
    <w:p w:rsidR="003611CF" w:rsidRPr="003611CF" w:rsidRDefault="003611CF" w:rsidP="003611CF">
      <w:pPr>
        <w:spacing w:before="0" w:after="0" w:line="240" w:lineRule="auto"/>
        <w:rPr>
          <w:rFonts w:ascii="Calibri" w:eastAsia="Times New Roman" w:hAnsi="Calibri" w:cs="Calibri"/>
          <w:b/>
          <w:szCs w:val="24"/>
          <w:lang w:val="hr-HR" w:eastAsia="hr-HR"/>
        </w:rPr>
      </w:pPr>
    </w:p>
    <w:p w:rsidR="003611CF" w:rsidRPr="003611CF" w:rsidRDefault="003611CF" w:rsidP="00CB5BEE">
      <w:pPr>
        <w:spacing w:before="0" w:after="0" w:line="240" w:lineRule="auto"/>
        <w:rPr>
          <w:rFonts w:ascii="Calibri" w:eastAsia="Times New Roman" w:hAnsi="Calibri" w:cs="Calibri"/>
          <w:b/>
          <w:szCs w:val="24"/>
          <w:lang w:val="hr-HR" w:eastAsia="hr-HR"/>
        </w:rPr>
      </w:pPr>
      <w:r w:rsidRPr="003611CF">
        <w:rPr>
          <w:rFonts w:ascii="Calibri" w:eastAsia="Times New Roman" w:hAnsi="Calibri" w:cs="Calibri"/>
          <w:szCs w:val="24"/>
          <w:lang w:val="hr-HR"/>
        </w:rPr>
        <w:t xml:space="preserve">1.3 </w:t>
      </w:r>
      <w:r w:rsidRPr="003611CF">
        <w:rPr>
          <w:rFonts w:ascii="Calibri" w:eastAsia="Times New Roman" w:hAnsi="Calibri" w:cs="Calibri"/>
          <w:szCs w:val="24"/>
          <w:lang w:val="hr-HR" w:eastAsia="hr-HR"/>
        </w:rPr>
        <w:t>Zastupanje poreskog organa pred Sudom za prekršaje</w:t>
      </w:r>
    </w:p>
    <w:p w:rsidR="003611CF" w:rsidRPr="003611CF" w:rsidRDefault="003611CF" w:rsidP="004D6CB4">
      <w:pPr>
        <w:numPr>
          <w:ilvl w:val="0"/>
          <w:numId w:val="118"/>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 xml:space="preserve">Ovlašćeni predstavnici Odsjeka za sprovođenje upravnog i prekršajnog postupka odazvali su se na poziv Suda za prekršaje u Podgorici sa odjeljenjima u Prijestonici Cetinju i Danilovgradu u 2.512 prekršajnih postupaka, u toku čijeg sprovođenja je: </w:t>
      </w:r>
    </w:p>
    <w:p w:rsidR="003611CF" w:rsidRPr="003611CF" w:rsidRDefault="003611CF" w:rsidP="004D6CB4">
      <w:pPr>
        <w:numPr>
          <w:ilvl w:val="0"/>
          <w:numId w:val="159"/>
        </w:numPr>
        <w:spacing w:before="0" w:after="0" w:line="240" w:lineRule="auto"/>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odložen pretres kod 2.245 postupaka,</w:t>
      </w:r>
    </w:p>
    <w:p w:rsidR="003611CF" w:rsidRPr="003611CF" w:rsidRDefault="003611CF" w:rsidP="004D6CB4">
      <w:pPr>
        <w:numPr>
          <w:ilvl w:val="0"/>
          <w:numId w:val="159"/>
        </w:numPr>
        <w:spacing w:before="0" w:after="0" w:line="240" w:lineRule="auto"/>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završen pretres kod 267 postupaka.</w:t>
      </w:r>
    </w:p>
    <w:p w:rsidR="003611CF" w:rsidRPr="003611CF" w:rsidRDefault="003611CF" w:rsidP="003611CF">
      <w:pPr>
        <w:spacing w:before="0" w:after="0" w:line="240" w:lineRule="auto"/>
        <w:ind w:left="720"/>
        <w:rPr>
          <w:rFonts w:ascii="Calibri" w:eastAsia="Times New Roman" w:hAnsi="Calibri" w:cs="Calibri"/>
          <w:szCs w:val="24"/>
          <w:lang w:val="hr-HR" w:eastAsia="hr-HR"/>
        </w:rPr>
      </w:pPr>
    </w:p>
    <w:p w:rsidR="003611CF" w:rsidRPr="00CB5BEE" w:rsidRDefault="003611CF" w:rsidP="003611CF">
      <w:pPr>
        <w:spacing w:before="0" w:after="0" w:line="240" w:lineRule="auto"/>
        <w:rPr>
          <w:rFonts w:ascii="Calibri" w:eastAsia="Times New Roman" w:hAnsi="Calibri" w:cs="Calibri"/>
          <w:szCs w:val="24"/>
          <w:lang w:val="hr-HR" w:eastAsia="hr-HR"/>
        </w:rPr>
      </w:pPr>
      <w:r w:rsidRPr="003611CF">
        <w:rPr>
          <w:rFonts w:ascii="Calibri" w:eastAsia="Times New Roman" w:hAnsi="Calibri" w:cs="Calibri"/>
          <w:szCs w:val="24"/>
          <w:lang w:val="hr-HR" w:eastAsia="hr-HR"/>
        </w:rPr>
        <w:t>1.4 Ostale aktivnosti u vezi sa sp</w:t>
      </w:r>
      <w:r w:rsidR="00CB5BEE">
        <w:rPr>
          <w:rFonts w:ascii="Calibri" w:eastAsia="Times New Roman" w:hAnsi="Calibri" w:cs="Calibri"/>
          <w:szCs w:val="24"/>
          <w:lang w:val="hr-HR" w:eastAsia="hr-HR"/>
        </w:rPr>
        <w:t>rovođenjem prekršajnog postupka</w:t>
      </w:r>
    </w:p>
    <w:p w:rsidR="003611CF" w:rsidRPr="003611CF" w:rsidRDefault="003611CF" w:rsidP="004D6CB4">
      <w:pPr>
        <w:numPr>
          <w:ilvl w:val="0"/>
          <w:numId w:val="118"/>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 xml:space="preserve">Proslijeđeni zahtjevi svim predsjednicima Sudova za prekršaje da se sva sudska rješenja nakon okončanja prekršajnih postupaka u kojima se poreski organ pojavljuje kao stranka/učesnik u postupku dostavljaju Odsjeku za praćenje i sprovođenje upravnog postupka na dalju nadležnost; </w:t>
      </w:r>
    </w:p>
    <w:p w:rsidR="003611CF" w:rsidRPr="003611CF" w:rsidRDefault="003611CF" w:rsidP="004D6CB4">
      <w:pPr>
        <w:numPr>
          <w:ilvl w:val="0"/>
          <w:numId w:val="118"/>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Analiza i vođenje evidencija o sprovedenom prekršajnom postupku na nivou Poreske uprave CG;</w:t>
      </w:r>
    </w:p>
    <w:p w:rsidR="003611CF" w:rsidRPr="003611CF" w:rsidRDefault="003611CF" w:rsidP="004D6CB4">
      <w:pPr>
        <w:numPr>
          <w:ilvl w:val="0"/>
          <w:numId w:val="118"/>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 xml:space="preserve">Primljeno, evidentirano i proslijeđeno 1259 rješenje Osnovnih sudova za prekršaje i Višeg suda za prekršaje nadležnim PJ- Filijalama za inspekcijski nadzor; </w:t>
      </w:r>
    </w:p>
    <w:p w:rsidR="003611CF" w:rsidRPr="003611CF" w:rsidRDefault="003611CF" w:rsidP="004D6CB4">
      <w:pPr>
        <w:numPr>
          <w:ilvl w:val="0"/>
          <w:numId w:val="118"/>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Prosljeđivanje zahtjeva za uređenje prekršajnih naloga dobijenih od Suda za prekršaje u Podgorici sa odjeljenjima u Prijestonici Cetinju i Danilovgradu, na postupanje nadležnim PJ-Filijalama za inspekcijski nadzor;</w:t>
      </w:r>
    </w:p>
    <w:p w:rsidR="003611CF" w:rsidRPr="003611CF" w:rsidRDefault="003611CF" w:rsidP="004D6CB4">
      <w:pPr>
        <w:numPr>
          <w:ilvl w:val="0"/>
          <w:numId w:val="118"/>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 xml:space="preserve">Prosljeđivanje poziva za svjedoke od strane Suda za prekršaje u Podgorici sa odjeljenjima u Prijestonici Cetinju i Danilovgradu, nadležnim inspektorima PJ-Filijala za inspekcijski nadzor; </w:t>
      </w:r>
    </w:p>
    <w:p w:rsidR="003611CF" w:rsidRPr="003611CF" w:rsidRDefault="003611CF" w:rsidP="004D6CB4">
      <w:pPr>
        <w:numPr>
          <w:ilvl w:val="0"/>
          <w:numId w:val="118"/>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 xml:space="preserve">Sačinjavanje nedjeljnih rasporeda zakazanih ročišta pred Sudom za prekršaje sa odjeljenjima u Prijestonici Cetinju i Danilovgradu;  </w:t>
      </w:r>
    </w:p>
    <w:p w:rsidR="003611CF" w:rsidRPr="003611CF" w:rsidRDefault="003611CF" w:rsidP="004D6CB4">
      <w:pPr>
        <w:numPr>
          <w:ilvl w:val="0"/>
          <w:numId w:val="118"/>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Izdate 3 serije prekršajnih naloga inspektoru PJ Filijala za inspekcijski nadzor: Herceg Novi, Budva i Podgorica;</w:t>
      </w:r>
    </w:p>
    <w:p w:rsidR="003611CF" w:rsidRPr="003611CF" w:rsidRDefault="003611CF" w:rsidP="004D6CB4">
      <w:pPr>
        <w:numPr>
          <w:ilvl w:val="0"/>
          <w:numId w:val="118"/>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Izrada zahtijevanih izvještaja;</w:t>
      </w:r>
    </w:p>
    <w:p w:rsidR="003611CF" w:rsidRPr="003611CF" w:rsidRDefault="003611CF" w:rsidP="004D6CB4">
      <w:pPr>
        <w:numPr>
          <w:ilvl w:val="0"/>
          <w:numId w:val="118"/>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Arhiviranje.</w:t>
      </w:r>
    </w:p>
    <w:p w:rsidR="003611CF" w:rsidRPr="003611CF" w:rsidRDefault="003611CF" w:rsidP="003611CF">
      <w:pPr>
        <w:spacing w:before="0" w:after="0" w:line="240" w:lineRule="auto"/>
        <w:rPr>
          <w:rFonts w:ascii="Calibri" w:eastAsia="Times New Roman" w:hAnsi="Calibri" w:cs="Calibri"/>
          <w:b/>
          <w:szCs w:val="24"/>
          <w:lang w:val="hr-HR" w:eastAsia="hr-HR"/>
        </w:rPr>
      </w:pPr>
    </w:p>
    <w:p w:rsidR="003611CF" w:rsidRPr="00CB5BEE" w:rsidRDefault="003611CF" w:rsidP="004D6CB4">
      <w:pPr>
        <w:numPr>
          <w:ilvl w:val="0"/>
          <w:numId w:val="138"/>
        </w:numPr>
        <w:spacing w:before="0" w:after="0" w:line="240" w:lineRule="auto"/>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POSTUPAK PO ZAHTJEVIMA ZA SLOBODAN PRISTUP INFORMACIJAMA</w:t>
      </w:r>
    </w:p>
    <w:p w:rsidR="003611CF" w:rsidRPr="003611CF" w:rsidRDefault="003611CF" w:rsidP="004D6CB4">
      <w:pPr>
        <w:numPr>
          <w:ilvl w:val="0"/>
          <w:numId w:val="121"/>
        </w:numPr>
        <w:spacing w:before="0" w:after="0" w:line="240" w:lineRule="auto"/>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Donijeto 256 rješenja po zahtjevima za slobodan pristup informacijama:</w:t>
      </w:r>
    </w:p>
    <w:p w:rsidR="003611CF" w:rsidRPr="003611CF" w:rsidRDefault="003611CF" w:rsidP="003611CF">
      <w:pPr>
        <w:spacing w:before="0" w:after="0" w:line="240" w:lineRule="auto"/>
        <w:ind w:left="720"/>
        <w:contextualSpacing/>
        <w:rPr>
          <w:rFonts w:ascii="Calibri" w:eastAsia="Times New Roman" w:hAnsi="Calibri" w:cs="Calibri"/>
          <w:szCs w:val="24"/>
          <w:lang w:val="hr-HR" w:eastAsia="hr-HR"/>
        </w:rPr>
      </w:pPr>
      <w:r w:rsidRPr="003611CF">
        <w:rPr>
          <w:rFonts w:ascii="Calibri" w:eastAsia="Times New Roman" w:hAnsi="Calibri" w:cs="Calibri"/>
          <w:szCs w:val="24"/>
          <w:lang w:val="hr-HR" w:eastAsia="hr-HR"/>
        </w:rPr>
        <w:t>-214 rješenja kojim se usvaja zahtjev za slobodan pristup informacijama;</w:t>
      </w:r>
    </w:p>
    <w:p w:rsidR="003611CF" w:rsidRPr="003611CF" w:rsidRDefault="003611CF" w:rsidP="003611CF">
      <w:pPr>
        <w:spacing w:before="0" w:after="0" w:line="240" w:lineRule="auto"/>
        <w:ind w:left="720"/>
        <w:contextualSpacing/>
        <w:rPr>
          <w:rFonts w:ascii="Calibri" w:eastAsia="Times New Roman" w:hAnsi="Calibri" w:cs="Calibri"/>
          <w:szCs w:val="24"/>
          <w:lang w:val="hr-HR" w:eastAsia="hr-HR"/>
        </w:rPr>
      </w:pPr>
      <w:r w:rsidRPr="003611CF">
        <w:rPr>
          <w:rFonts w:ascii="Calibri" w:eastAsia="Times New Roman" w:hAnsi="Calibri" w:cs="Calibri"/>
          <w:szCs w:val="24"/>
          <w:lang w:val="hr-HR" w:eastAsia="hr-HR"/>
        </w:rPr>
        <w:t>-42 rješenje kojim se odbija zahtjev za slobodan pristup informacijama;</w:t>
      </w:r>
    </w:p>
    <w:p w:rsidR="003611CF" w:rsidRPr="003611CF" w:rsidRDefault="003611CF" w:rsidP="004D6CB4">
      <w:pPr>
        <w:numPr>
          <w:ilvl w:val="0"/>
          <w:numId w:val="121"/>
        </w:numPr>
        <w:spacing w:before="0" w:after="0" w:line="240" w:lineRule="auto"/>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Donijeto:</w:t>
      </w:r>
    </w:p>
    <w:p w:rsidR="003611CF" w:rsidRPr="003611CF" w:rsidRDefault="003611CF" w:rsidP="003611CF">
      <w:pPr>
        <w:spacing w:before="0" w:after="0" w:line="240" w:lineRule="auto"/>
        <w:ind w:left="720"/>
        <w:contextualSpacing/>
        <w:rPr>
          <w:rFonts w:ascii="Calibri" w:eastAsia="Times New Roman" w:hAnsi="Calibri" w:cs="Calibri"/>
          <w:szCs w:val="24"/>
          <w:lang w:val="hr-HR" w:eastAsia="hr-HR"/>
        </w:rPr>
      </w:pPr>
      <w:r w:rsidRPr="003611CF">
        <w:rPr>
          <w:rFonts w:ascii="Calibri" w:eastAsia="Times New Roman" w:hAnsi="Calibri" w:cs="Calibri"/>
          <w:szCs w:val="24"/>
          <w:lang w:val="hr-HR" w:eastAsia="hr-HR"/>
        </w:rPr>
        <w:t>-8 rješenja u ponovnom postupku, po osnovu odluke drugostepenog organa kojim je poništeno prvostepeno rješenje i predmet vraćen na ponovno odlučivanja;</w:t>
      </w:r>
    </w:p>
    <w:p w:rsidR="003611CF" w:rsidRPr="003611CF" w:rsidRDefault="003611CF" w:rsidP="004D6CB4">
      <w:pPr>
        <w:numPr>
          <w:ilvl w:val="0"/>
          <w:numId w:val="121"/>
        </w:numPr>
        <w:spacing w:before="0" w:after="0" w:line="240" w:lineRule="auto"/>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Primljene i proslijeđene Agenciji za zaštitu ličnih podataka i slobodan pristup informacijama:</w:t>
      </w:r>
    </w:p>
    <w:p w:rsidR="003611CF" w:rsidRPr="003611CF" w:rsidRDefault="003611CF" w:rsidP="003611CF">
      <w:pPr>
        <w:spacing w:before="0" w:after="0" w:line="240" w:lineRule="auto"/>
        <w:ind w:left="720"/>
        <w:rPr>
          <w:rFonts w:ascii="Calibri" w:eastAsia="Times New Roman" w:hAnsi="Calibri" w:cs="Calibri"/>
          <w:szCs w:val="24"/>
          <w:lang w:val="hr-HR" w:eastAsia="hr-HR"/>
        </w:rPr>
      </w:pPr>
      <w:r w:rsidRPr="003611CF">
        <w:rPr>
          <w:rFonts w:ascii="Calibri" w:eastAsia="Times New Roman" w:hAnsi="Calibri" w:cs="Calibri"/>
          <w:szCs w:val="24"/>
          <w:lang w:val="hr-HR" w:eastAsia="hr-HR"/>
        </w:rPr>
        <w:t>-50 žalbi stranaka, izjavljene protiv rješenja donijetim u postupcima po zahtjevima za slobodan pristup informacijama;</w:t>
      </w:r>
    </w:p>
    <w:p w:rsidR="003611CF" w:rsidRPr="003611CF" w:rsidRDefault="003611CF" w:rsidP="004D6CB4">
      <w:pPr>
        <w:numPr>
          <w:ilvl w:val="0"/>
          <w:numId w:val="121"/>
        </w:numPr>
        <w:spacing w:before="0" w:after="0" w:line="240" w:lineRule="auto"/>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Agencija za zaštitu ličnih podataka i slobodan pristup informacijama kao drugostepeni organ u postupcima po žalbama izjavljenim protiv rješenja prvostepenog organa donijela/dostavila Odsjeku 55 rješenja:</w:t>
      </w:r>
    </w:p>
    <w:p w:rsidR="003611CF" w:rsidRPr="003611CF" w:rsidRDefault="003611CF" w:rsidP="003611CF">
      <w:pPr>
        <w:spacing w:before="0" w:after="0" w:line="240" w:lineRule="auto"/>
        <w:ind w:left="720"/>
        <w:contextualSpacing/>
        <w:rPr>
          <w:rFonts w:ascii="Calibri" w:eastAsia="Times New Roman" w:hAnsi="Calibri" w:cs="Calibri"/>
          <w:szCs w:val="24"/>
          <w:lang w:val="hr-HR" w:eastAsia="hr-HR"/>
        </w:rPr>
      </w:pPr>
      <w:r w:rsidRPr="003611CF">
        <w:rPr>
          <w:rFonts w:ascii="Calibri" w:eastAsia="Times New Roman" w:hAnsi="Calibri" w:cs="Calibri"/>
          <w:szCs w:val="24"/>
          <w:lang w:val="hr-HR" w:eastAsia="hr-HR"/>
        </w:rPr>
        <w:lastRenderedPageBreak/>
        <w:t>-32 rješenje kojim se žalba odbija kao neosnovana;</w:t>
      </w:r>
    </w:p>
    <w:p w:rsidR="003611CF" w:rsidRPr="003611CF" w:rsidRDefault="003611CF" w:rsidP="003611CF">
      <w:pPr>
        <w:spacing w:before="0" w:after="0" w:line="240" w:lineRule="auto"/>
        <w:ind w:left="720"/>
        <w:contextualSpacing/>
        <w:rPr>
          <w:rFonts w:ascii="Calibri" w:eastAsia="Times New Roman" w:hAnsi="Calibri" w:cs="Calibri"/>
          <w:szCs w:val="24"/>
          <w:lang w:val="hr-HR" w:eastAsia="hr-HR"/>
        </w:rPr>
      </w:pPr>
      <w:r w:rsidRPr="003611CF">
        <w:rPr>
          <w:rFonts w:ascii="Calibri" w:eastAsia="Times New Roman" w:hAnsi="Calibri" w:cs="Calibri"/>
          <w:szCs w:val="24"/>
          <w:lang w:val="hr-HR" w:eastAsia="hr-HR"/>
        </w:rPr>
        <w:t>-8 rješenja kojim se poništava prvostepeno rješenje i predmet vraća na ponovno odlučivanje;</w:t>
      </w:r>
    </w:p>
    <w:p w:rsidR="003611CF" w:rsidRPr="003611CF" w:rsidRDefault="003611CF" w:rsidP="003611CF">
      <w:pPr>
        <w:spacing w:before="0" w:after="0" w:line="240" w:lineRule="auto"/>
        <w:ind w:left="720"/>
        <w:contextualSpacing/>
        <w:rPr>
          <w:rFonts w:ascii="Calibri" w:eastAsia="Times New Roman" w:hAnsi="Calibri" w:cs="Calibri"/>
          <w:szCs w:val="24"/>
          <w:lang w:val="hr-HR" w:eastAsia="hr-HR"/>
        </w:rPr>
      </w:pPr>
      <w:r w:rsidRPr="003611CF">
        <w:rPr>
          <w:rFonts w:ascii="Calibri" w:eastAsia="Times New Roman" w:hAnsi="Calibri" w:cs="Calibri"/>
          <w:szCs w:val="24"/>
          <w:lang w:val="hr-HR" w:eastAsia="hr-HR"/>
        </w:rPr>
        <w:t>-15 rješenja kojim se obustavlja postupak zbog odustanka od žalbe;</w:t>
      </w:r>
    </w:p>
    <w:p w:rsidR="003611CF" w:rsidRPr="003611CF" w:rsidRDefault="003611CF" w:rsidP="004D6CB4">
      <w:pPr>
        <w:numPr>
          <w:ilvl w:val="0"/>
          <w:numId w:val="121"/>
        </w:numPr>
        <w:spacing w:before="0" w:after="0" w:line="240" w:lineRule="auto"/>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Upravni sud po tužbi stranke donio/dostavio Odsjeku:</w:t>
      </w:r>
    </w:p>
    <w:p w:rsidR="003611CF" w:rsidRPr="003611CF" w:rsidRDefault="003611CF" w:rsidP="003611CF">
      <w:pPr>
        <w:spacing w:before="0" w:after="0" w:line="240" w:lineRule="auto"/>
        <w:ind w:left="720"/>
        <w:contextualSpacing/>
        <w:rPr>
          <w:rFonts w:ascii="Calibri" w:eastAsia="Times New Roman" w:hAnsi="Calibri" w:cs="Calibri"/>
          <w:szCs w:val="24"/>
          <w:lang w:val="hr-HR" w:eastAsia="hr-HR"/>
        </w:rPr>
      </w:pPr>
      <w:r w:rsidRPr="003611CF">
        <w:rPr>
          <w:rFonts w:ascii="Calibri" w:eastAsia="Times New Roman" w:hAnsi="Calibri" w:cs="Calibri"/>
          <w:szCs w:val="24"/>
          <w:lang w:val="hr-HR" w:eastAsia="hr-HR"/>
        </w:rPr>
        <w:t>-1 presudu kojom se tužba stranke odbija kao neblagovremena;</w:t>
      </w:r>
    </w:p>
    <w:p w:rsidR="003611CF" w:rsidRPr="003611CF" w:rsidRDefault="003611CF" w:rsidP="004D6CB4">
      <w:pPr>
        <w:numPr>
          <w:ilvl w:val="0"/>
          <w:numId w:val="121"/>
        </w:numPr>
        <w:spacing w:before="0" w:after="0" w:line="240" w:lineRule="auto"/>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Sačinjeno 505 dopisa u postupcima po zahtjevima za slobodan pristup informacijama (odgovori na žalbe i tužbe i izjašnjenja Agenciji za zaštitu ličnih podataka i slobodan pristup informacijama povodom žalbe, obavještenja stranci, obavještenja Agenciji, nalozi, urgencije, dostavljanje informacija...);</w:t>
      </w:r>
    </w:p>
    <w:p w:rsidR="003611CF" w:rsidRPr="003611CF" w:rsidRDefault="003611CF" w:rsidP="004D6CB4">
      <w:pPr>
        <w:numPr>
          <w:ilvl w:val="0"/>
          <w:numId w:val="121"/>
        </w:numPr>
        <w:spacing w:before="0" w:after="0" w:line="240" w:lineRule="auto"/>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Data 2 izjašnjenja na zahtjev Ministarstva javne uprave u vezi sa inicijativom MANSA-a za vršenje upravnog nadzora nad radom ovlašćenog službenika koji je sproveo postupak po zahtjevima za slobodan pristup informacijama i donio rješenja;</w:t>
      </w:r>
    </w:p>
    <w:p w:rsidR="003611CF" w:rsidRPr="003611CF" w:rsidRDefault="003611CF" w:rsidP="004D6CB4">
      <w:pPr>
        <w:numPr>
          <w:ilvl w:val="0"/>
          <w:numId w:val="121"/>
        </w:numPr>
        <w:spacing w:before="0" w:after="0" w:line="240" w:lineRule="auto"/>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Donijeto:</w:t>
      </w:r>
    </w:p>
    <w:p w:rsidR="003611CF" w:rsidRPr="003611CF" w:rsidRDefault="003611CF" w:rsidP="003611CF">
      <w:pPr>
        <w:spacing w:before="0" w:after="0" w:line="240" w:lineRule="auto"/>
        <w:ind w:left="720"/>
        <w:contextualSpacing/>
        <w:rPr>
          <w:rFonts w:ascii="Calibri" w:eastAsia="Times New Roman" w:hAnsi="Calibri" w:cs="Calibri"/>
          <w:szCs w:val="24"/>
          <w:lang w:val="hr-HR" w:eastAsia="hr-HR"/>
        </w:rPr>
      </w:pPr>
      <w:r w:rsidRPr="003611CF">
        <w:rPr>
          <w:rFonts w:ascii="Calibri" w:eastAsia="Times New Roman" w:hAnsi="Calibri" w:cs="Calibri"/>
          <w:szCs w:val="24"/>
          <w:lang w:val="hr-HR" w:eastAsia="hr-HR"/>
        </w:rPr>
        <w:t>-17 rješenja kojim se obustavlja izvršenje (rješenja već izvršena) po predlozima za upravno izvršenje;</w:t>
      </w:r>
    </w:p>
    <w:p w:rsidR="003611CF" w:rsidRPr="003611CF" w:rsidRDefault="003611CF" w:rsidP="004D6CB4">
      <w:pPr>
        <w:numPr>
          <w:ilvl w:val="0"/>
          <w:numId w:val="121"/>
        </w:numPr>
        <w:spacing w:before="0" w:after="0" w:line="240" w:lineRule="auto"/>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Ostale aktivnosti tokom sprovođenja postupka slobodnog pristupa informacijama:</w:t>
      </w:r>
    </w:p>
    <w:p w:rsidR="003611CF" w:rsidRPr="003611CF" w:rsidRDefault="003611CF" w:rsidP="003611CF">
      <w:pPr>
        <w:spacing w:before="0" w:after="0" w:line="240" w:lineRule="auto"/>
        <w:ind w:left="737"/>
        <w:rPr>
          <w:rFonts w:ascii="Calibri" w:eastAsia="Times New Roman" w:hAnsi="Calibri" w:cs="Calibri"/>
          <w:szCs w:val="24"/>
          <w:lang w:val="hr-HR" w:eastAsia="hr-HR"/>
        </w:rPr>
      </w:pPr>
      <w:r w:rsidRPr="003611CF">
        <w:rPr>
          <w:rFonts w:ascii="Calibri" w:eastAsia="Times New Roman" w:hAnsi="Calibri" w:cs="Calibri"/>
          <w:szCs w:val="24"/>
          <w:lang w:val="hr-HR" w:eastAsia="hr-HR"/>
        </w:rPr>
        <w:t>- Evidentiranje podataka u Evidencije donesenih rješenja po zahtjevima za slobodan pristup informacijama Agencije za zaštitu  ličnih podataka i slobodan pristup informacijama – u kontinuitetu;</w:t>
      </w:r>
    </w:p>
    <w:p w:rsidR="003611CF" w:rsidRPr="003611CF" w:rsidRDefault="003611CF" w:rsidP="003611CF">
      <w:pPr>
        <w:spacing w:before="0" w:after="0" w:line="240" w:lineRule="auto"/>
        <w:ind w:left="720"/>
        <w:rPr>
          <w:rFonts w:ascii="Calibri" w:eastAsia="Times New Roman" w:hAnsi="Calibri" w:cs="Calibri"/>
          <w:szCs w:val="24"/>
          <w:lang w:val="hr-HR" w:eastAsia="hr-HR"/>
        </w:rPr>
      </w:pPr>
      <w:r w:rsidRPr="003611CF">
        <w:rPr>
          <w:rFonts w:ascii="Calibri" w:eastAsia="Times New Roman" w:hAnsi="Calibri" w:cs="Calibri"/>
          <w:szCs w:val="24"/>
          <w:lang w:val="hr-HR" w:eastAsia="hr-HR"/>
        </w:rPr>
        <w:t>-Objavljivanje informacija kojima je po zahtjevu pristup dozvoljen, na internet stranici Poreske uprave-u kontinuitetu;</w:t>
      </w:r>
    </w:p>
    <w:p w:rsidR="003611CF" w:rsidRPr="003611CF" w:rsidRDefault="003611CF" w:rsidP="003611CF">
      <w:pPr>
        <w:spacing w:before="0" w:after="0" w:line="240" w:lineRule="auto"/>
        <w:ind w:left="720"/>
        <w:rPr>
          <w:rFonts w:ascii="Calibri" w:eastAsia="Times New Roman" w:hAnsi="Calibri" w:cs="Calibri"/>
          <w:szCs w:val="24"/>
          <w:lang w:val="hr-HR" w:eastAsia="hr-HR"/>
        </w:rPr>
      </w:pPr>
      <w:r w:rsidRPr="003611CF">
        <w:rPr>
          <w:rFonts w:ascii="Calibri" w:eastAsia="Times New Roman" w:hAnsi="Calibri" w:cs="Calibri"/>
          <w:szCs w:val="24"/>
          <w:lang w:val="hr-HR" w:eastAsia="hr-HR"/>
        </w:rPr>
        <w:t>-Ažuriranje internet starnice Poreske uprave, koja se odnosi na Vodič za slobodan pristup informacijama – u kontinuitetu;</w:t>
      </w:r>
    </w:p>
    <w:p w:rsidR="003611CF" w:rsidRPr="003611CF" w:rsidRDefault="003611CF" w:rsidP="003611CF">
      <w:pPr>
        <w:spacing w:before="0" w:after="0" w:line="240" w:lineRule="auto"/>
        <w:rPr>
          <w:rFonts w:ascii="Calibri" w:eastAsia="Times New Roman" w:hAnsi="Calibri" w:cs="Calibri"/>
          <w:szCs w:val="24"/>
          <w:lang w:val="hr-HR" w:eastAsia="hr-HR"/>
        </w:rPr>
      </w:pPr>
      <w:r w:rsidRPr="003611CF">
        <w:rPr>
          <w:rFonts w:ascii="Calibri" w:eastAsia="Times New Roman" w:hAnsi="Calibri" w:cs="Calibri"/>
          <w:szCs w:val="24"/>
          <w:lang w:val="hr-HR" w:eastAsia="hr-HR"/>
        </w:rPr>
        <w:t xml:space="preserve">             -Kontakti sa strankama putem g-maila i telefona;</w:t>
      </w:r>
    </w:p>
    <w:p w:rsidR="003611CF" w:rsidRPr="003611CF" w:rsidRDefault="003611CF" w:rsidP="003611CF">
      <w:pPr>
        <w:spacing w:before="0" w:after="0" w:line="240" w:lineRule="auto"/>
        <w:rPr>
          <w:rFonts w:ascii="Calibri" w:eastAsia="Times New Roman" w:hAnsi="Calibri" w:cs="Calibri"/>
          <w:szCs w:val="24"/>
          <w:lang w:val="hr-HR" w:eastAsia="hr-HR"/>
        </w:rPr>
      </w:pPr>
      <w:r w:rsidRPr="003611CF">
        <w:rPr>
          <w:rFonts w:ascii="Calibri" w:eastAsia="Times New Roman" w:hAnsi="Calibri" w:cs="Calibri"/>
          <w:szCs w:val="24"/>
          <w:lang w:val="hr-HR" w:eastAsia="hr-HR"/>
        </w:rPr>
        <w:t xml:space="preserve">             -Izrada zahtjevanih izvještaja;</w:t>
      </w:r>
    </w:p>
    <w:p w:rsidR="003611CF" w:rsidRPr="003611CF" w:rsidRDefault="003611CF" w:rsidP="003611CF">
      <w:pPr>
        <w:spacing w:before="0" w:after="0" w:line="240" w:lineRule="auto"/>
        <w:rPr>
          <w:rFonts w:ascii="Calibri" w:eastAsia="Times New Roman" w:hAnsi="Calibri" w:cs="Calibri"/>
          <w:b/>
          <w:szCs w:val="24"/>
          <w:lang w:val="hr-HR" w:eastAsia="hr-HR"/>
        </w:rPr>
      </w:pPr>
    </w:p>
    <w:p w:rsidR="003611CF" w:rsidRPr="00CB5BEE" w:rsidRDefault="003611CF" w:rsidP="004D6CB4">
      <w:pPr>
        <w:numPr>
          <w:ilvl w:val="0"/>
          <w:numId w:val="138"/>
        </w:numPr>
        <w:spacing w:before="0" w:after="0" w:line="240" w:lineRule="auto"/>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POSTUPAK  OSLOBAĐANJA OD PLAĆANJA PDV-A</w:t>
      </w:r>
    </w:p>
    <w:p w:rsidR="003611CF" w:rsidRPr="003611CF" w:rsidRDefault="003611CF" w:rsidP="003611CF">
      <w:pPr>
        <w:spacing w:before="0" w:after="0" w:line="240" w:lineRule="auto"/>
        <w:ind w:left="720"/>
        <w:contextualSpacing/>
        <w:rPr>
          <w:rFonts w:ascii="Calibri" w:eastAsia="Times New Roman" w:hAnsi="Calibri" w:cs="Calibri"/>
          <w:b/>
          <w:szCs w:val="24"/>
          <w:lang w:val="hr-HR"/>
        </w:rPr>
      </w:pPr>
      <w:r w:rsidRPr="003611CF">
        <w:rPr>
          <w:rFonts w:ascii="Calibri" w:eastAsia="Times New Roman" w:hAnsi="Calibri" w:cs="Calibri"/>
          <w:szCs w:val="24"/>
          <w:lang w:val="hr-HR"/>
        </w:rPr>
        <w:t>3.1 Sprovođenje postupka oslobađanja od plaćanja pdv korisnika novčanih sredstava/investitora/kontrolne markice</w:t>
      </w:r>
    </w:p>
    <w:p w:rsidR="003611CF" w:rsidRPr="003611CF" w:rsidRDefault="003611CF" w:rsidP="003611CF">
      <w:pPr>
        <w:spacing w:before="0" w:after="0" w:line="240" w:lineRule="auto"/>
        <w:ind w:left="720"/>
        <w:contextualSpacing/>
        <w:rPr>
          <w:rFonts w:ascii="Calibri" w:eastAsia="Times New Roman" w:hAnsi="Calibri" w:cs="Calibri"/>
          <w:b/>
          <w:szCs w:val="24"/>
          <w:lang w:val="hr-HR"/>
        </w:rPr>
      </w:pPr>
    </w:p>
    <w:p w:rsidR="003611CF" w:rsidRPr="003611CF" w:rsidRDefault="003611CF" w:rsidP="004D6CB4">
      <w:pPr>
        <w:numPr>
          <w:ilvl w:val="0"/>
          <w:numId w:val="121"/>
        </w:numPr>
        <w:spacing w:before="0" w:after="0" w:line="240" w:lineRule="auto"/>
        <w:ind w:left="0" w:firstLine="360"/>
        <w:contextualSpacing/>
        <w:jc w:val="left"/>
        <w:rPr>
          <w:rFonts w:ascii="Calibri" w:eastAsia="Times New Roman" w:hAnsi="Calibri" w:cs="Calibri"/>
          <w:szCs w:val="24"/>
          <w:lang w:val="hr-HR"/>
        </w:rPr>
      </w:pPr>
      <w:r w:rsidRPr="003611CF">
        <w:rPr>
          <w:rFonts w:ascii="Calibri" w:eastAsia="Times New Roman" w:hAnsi="Calibri" w:cs="Calibri"/>
          <w:szCs w:val="24"/>
          <w:lang w:val="hr-HR"/>
        </w:rPr>
        <w:t>Donijeto 77 rješenja u postupcima po zahtjevima korisnika novčanih sredstava/investitora za oslobađanje od plaćanja PDV-a:</w:t>
      </w:r>
    </w:p>
    <w:p w:rsidR="003611CF" w:rsidRPr="003611CF" w:rsidRDefault="003611CF" w:rsidP="003611CF">
      <w:pPr>
        <w:spacing w:before="0" w:after="0" w:line="240" w:lineRule="auto"/>
        <w:ind w:left="720"/>
        <w:contextualSpacing/>
        <w:rPr>
          <w:rFonts w:ascii="Calibri" w:eastAsia="Times New Roman" w:hAnsi="Calibri" w:cs="Calibri"/>
          <w:szCs w:val="24"/>
          <w:lang w:val="hr-HR"/>
        </w:rPr>
      </w:pPr>
      <w:r w:rsidRPr="003611CF">
        <w:rPr>
          <w:rFonts w:ascii="Calibri" w:eastAsia="Times New Roman" w:hAnsi="Calibri" w:cs="Calibri"/>
          <w:szCs w:val="24"/>
          <w:lang w:val="hr-HR"/>
        </w:rPr>
        <w:t>-72 rješenja kojim se usvaja zahtjev korisnika novčanih sredstava za oslobađanje od plaćanja PDV-a;</w:t>
      </w:r>
    </w:p>
    <w:p w:rsidR="003611CF" w:rsidRPr="003611CF" w:rsidRDefault="003611CF" w:rsidP="003611CF">
      <w:pPr>
        <w:spacing w:before="0" w:after="0" w:line="240" w:lineRule="auto"/>
        <w:ind w:left="720"/>
        <w:contextualSpacing/>
        <w:rPr>
          <w:rFonts w:ascii="Calibri" w:eastAsia="Times New Roman" w:hAnsi="Calibri" w:cs="Calibri"/>
          <w:szCs w:val="24"/>
          <w:lang w:val="hr-HR"/>
        </w:rPr>
      </w:pPr>
      <w:r w:rsidRPr="003611CF">
        <w:rPr>
          <w:rFonts w:ascii="Calibri" w:eastAsia="Times New Roman" w:hAnsi="Calibri" w:cs="Calibri"/>
          <w:szCs w:val="24"/>
          <w:lang w:val="hr-HR"/>
        </w:rPr>
        <w:t>-2 rješenje kojim se usvaja zahtjev investitora za oslobađanje od plaćanja PDV-a za gradnju i opremanje hotela kategorije 5* i više;</w:t>
      </w:r>
    </w:p>
    <w:p w:rsidR="003611CF" w:rsidRPr="003611CF" w:rsidRDefault="003611CF" w:rsidP="003611CF">
      <w:pPr>
        <w:spacing w:before="0" w:after="0" w:line="240" w:lineRule="auto"/>
        <w:ind w:left="720"/>
        <w:contextualSpacing/>
        <w:rPr>
          <w:rFonts w:ascii="Calibri" w:eastAsia="Times New Roman" w:hAnsi="Calibri" w:cs="Calibri"/>
          <w:szCs w:val="24"/>
          <w:lang w:val="hr-HR"/>
        </w:rPr>
      </w:pPr>
      <w:r w:rsidRPr="003611CF">
        <w:rPr>
          <w:rFonts w:ascii="Calibri" w:eastAsia="Times New Roman" w:hAnsi="Calibri" w:cs="Calibri"/>
          <w:szCs w:val="24"/>
          <w:lang w:val="hr-HR"/>
        </w:rPr>
        <w:t>-1 rješenje kojim se odbija zahtjev korisnika novčanih sredstava za oslobađanje od plaćanja PDV-a kao neosnovan;</w:t>
      </w:r>
    </w:p>
    <w:p w:rsidR="003611CF" w:rsidRPr="003611CF" w:rsidRDefault="003611CF" w:rsidP="003611CF">
      <w:pPr>
        <w:spacing w:before="0" w:after="0" w:line="240" w:lineRule="auto"/>
        <w:ind w:left="720"/>
        <w:contextualSpacing/>
        <w:rPr>
          <w:rFonts w:ascii="Calibri" w:eastAsia="Times New Roman" w:hAnsi="Calibri" w:cs="Calibri"/>
          <w:szCs w:val="24"/>
          <w:lang w:val="hr-HR"/>
        </w:rPr>
      </w:pPr>
      <w:r w:rsidRPr="003611CF">
        <w:rPr>
          <w:rFonts w:ascii="Calibri" w:eastAsia="Times New Roman" w:hAnsi="Calibri" w:cs="Calibri"/>
          <w:szCs w:val="24"/>
          <w:lang w:val="hr-HR"/>
        </w:rPr>
        <w:t>-1 rješenje u ponovljenom postupku kojim se ukida rješenje PU i vrši oslobađanje od plaćanja od PDV-a korisnika novčanih sredstava;</w:t>
      </w:r>
    </w:p>
    <w:p w:rsidR="003611CF" w:rsidRPr="003611CF" w:rsidRDefault="003611CF" w:rsidP="003611CF">
      <w:pPr>
        <w:spacing w:before="0" w:after="0" w:line="240" w:lineRule="auto"/>
        <w:ind w:left="720"/>
        <w:contextualSpacing/>
        <w:rPr>
          <w:rFonts w:ascii="Calibri" w:eastAsia="Times New Roman" w:hAnsi="Calibri" w:cs="Calibri"/>
          <w:szCs w:val="24"/>
          <w:lang w:val="hr-HR"/>
        </w:rPr>
      </w:pPr>
      <w:r w:rsidRPr="003611CF">
        <w:rPr>
          <w:rFonts w:ascii="Calibri" w:eastAsia="Times New Roman" w:hAnsi="Calibri" w:cs="Calibri"/>
          <w:szCs w:val="24"/>
          <w:lang w:val="hr-HR"/>
        </w:rPr>
        <w:t>-1 rješenje kojim se odbija zahtjev korisnika novčanih sredstava kao neuredan;</w:t>
      </w:r>
    </w:p>
    <w:p w:rsidR="003611CF" w:rsidRPr="003611CF" w:rsidRDefault="003611CF" w:rsidP="004D6CB4">
      <w:pPr>
        <w:numPr>
          <w:ilvl w:val="0"/>
          <w:numId w:val="122"/>
        </w:numPr>
        <w:spacing w:before="0" w:after="0" w:line="240" w:lineRule="auto"/>
        <w:contextualSpacing/>
        <w:jc w:val="left"/>
        <w:rPr>
          <w:rFonts w:ascii="Calibri" w:eastAsia="Times New Roman" w:hAnsi="Calibri" w:cs="Calibri"/>
          <w:szCs w:val="24"/>
          <w:lang w:val="hr-HR"/>
        </w:rPr>
      </w:pPr>
      <w:r w:rsidRPr="003611CF">
        <w:rPr>
          <w:rFonts w:ascii="Calibri" w:eastAsia="Times New Roman" w:hAnsi="Calibri" w:cs="Calibri"/>
          <w:szCs w:val="24"/>
          <w:lang w:val="hr-HR"/>
        </w:rPr>
        <w:t>Donijeto:</w:t>
      </w:r>
    </w:p>
    <w:p w:rsidR="003611CF" w:rsidRPr="003611CF" w:rsidRDefault="003611CF" w:rsidP="003611CF">
      <w:pPr>
        <w:spacing w:before="0" w:after="0" w:line="240" w:lineRule="auto"/>
        <w:ind w:left="720"/>
        <w:contextualSpacing/>
        <w:rPr>
          <w:rFonts w:ascii="Calibri" w:eastAsia="Times New Roman" w:hAnsi="Calibri" w:cs="Calibri"/>
          <w:szCs w:val="24"/>
          <w:lang w:val="hr-HR"/>
        </w:rPr>
      </w:pPr>
      <w:r w:rsidRPr="003611CF">
        <w:rPr>
          <w:rFonts w:ascii="Calibri" w:eastAsia="Times New Roman" w:hAnsi="Calibri" w:cs="Calibri"/>
          <w:szCs w:val="24"/>
          <w:lang w:val="hr-HR"/>
        </w:rPr>
        <w:t>-1 rješenje kojim se dozvoljava ponavljanje postupka po zahtjevu korisnika novčanih sredstava za ponavljanje postupka;</w:t>
      </w:r>
    </w:p>
    <w:p w:rsidR="003611CF" w:rsidRPr="003611CF" w:rsidRDefault="003611CF" w:rsidP="003611CF">
      <w:pPr>
        <w:spacing w:before="0" w:after="0" w:line="240" w:lineRule="auto"/>
        <w:ind w:left="720"/>
        <w:contextualSpacing/>
        <w:rPr>
          <w:rFonts w:ascii="Calibri" w:eastAsia="Times New Roman" w:hAnsi="Calibri" w:cs="Calibri"/>
          <w:szCs w:val="24"/>
          <w:lang w:val="hr-HR"/>
        </w:rPr>
      </w:pPr>
      <w:r w:rsidRPr="003611CF">
        <w:rPr>
          <w:rFonts w:ascii="Calibri" w:eastAsia="Times New Roman" w:hAnsi="Calibri" w:cs="Calibri"/>
          <w:szCs w:val="24"/>
          <w:lang w:val="hr-HR"/>
        </w:rPr>
        <w:t>-1 rješenje o prekidu postupka;</w:t>
      </w:r>
    </w:p>
    <w:p w:rsidR="003611CF" w:rsidRPr="003611CF" w:rsidRDefault="003611CF" w:rsidP="003611CF">
      <w:pPr>
        <w:spacing w:before="0" w:after="0" w:line="240" w:lineRule="auto"/>
        <w:ind w:left="720"/>
        <w:contextualSpacing/>
        <w:rPr>
          <w:rFonts w:ascii="Calibri" w:eastAsia="Times New Roman" w:hAnsi="Calibri" w:cs="Calibri"/>
          <w:szCs w:val="24"/>
          <w:lang w:val="hr-HR"/>
        </w:rPr>
      </w:pPr>
      <w:r w:rsidRPr="003611CF">
        <w:rPr>
          <w:rFonts w:ascii="Calibri" w:eastAsia="Times New Roman" w:hAnsi="Calibri" w:cs="Calibri"/>
          <w:szCs w:val="24"/>
          <w:lang w:val="hr-HR"/>
        </w:rPr>
        <w:t>-1 rješenje o ispravci greške;</w:t>
      </w:r>
    </w:p>
    <w:p w:rsidR="003611CF" w:rsidRPr="003611CF" w:rsidRDefault="003611CF" w:rsidP="004D6CB4">
      <w:pPr>
        <w:numPr>
          <w:ilvl w:val="0"/>
          <w:numId w:val="122"/>
        </w:numPr>
        <w:spacing w:before="0" w:after="0" w:line="240" w:lineRule="auto"/>
        <w:contextualSpacing/>
        <w:jc w:val="left"/>
        <w:rPr>
          <w:rFonts w:ascii="Calibri" w:eastAsia="Times New Roman" w:hAnsi="Calibri" w:cs="Calibri"/>
          <w:szCs w:val="24"/>
          <w:lang w:val="hr-HR"/>
        </w:rPr>
      </w:pPr>
      <w:r w:rsidRPr="003611CF">
        <w:rPr>
          <w:rFonts w:ascii="Calibri" w:eastAsia="Times New Roman" w:hAnsi="Calibri" w:cs="Calibri"/>
          <w:szCs w:val="24"/>
          <w:lang w:val="hr-HR"/>
        </w:rPr>
        <w:t>Upućena:</w:t>
      </w:r>
    </w:p>
    <w:p w:rsidR="003611CF" w:rsidRPr="003611CF" w:rsidRDefault="003611CF" w:rsidP="003611CF">
      <w:pPr>
        <w:spacing w:before="0" w:after="0" w:line="240" w:lineRule="auto"/>
        <w:ind w:left="720"/>
        <w:contextualSpacing/>
        <w:rPr>
          <w:rFonts w:ascii="Calibri" w:eastAsia="Times New Roman" w:hAnsi="Calibri" w:cs="Calibri"/>
          <w:szCs w:val="24"/>
          <w:lang w:val="hr-HR"/>
        </w:rPr>
      </w:pPr>
      <w:r w:rsidRPr="003611CF">
        <w:rPr>
          <w:rFonts w:ascii="Calibri" w:eastAsia="Times New Roman" w:hAnsi="Calibri" w:cs="Calibri"/>
          <w:szCs w:val="24"/>
          <w:lang w:val="hr-HR"/>
        </w:rPr>
        <w:t>-24 zahtjeva korisniku novčanih sredstava za dopunu podneska za oslobađanje od plaćanja PDV-a;</w:t>
      </w:r>
    </w:p>
    <w:p w:rsidR="003611CF" w:rsidRPr="003611CF" w:rsidRDefault="003611CF" w:rsidP="003611CF">
      <w:pPr>
        <w:spacing w:before="0" w:after="0" w:line="240" w:lineRule="auto"/>
        <w:ind w:left="720"/>
        <w:contextualSpacing/>
        <w:rPr>
          <w:rFonts w:ascii="Calibri" w:eastAsia="Times New Roman" w:hAnsi="Calibri" w:cs="Calibri"/>
          <w:szCs w:val="24"/>
          <w:lang w:val="hr-HR"/>
        </w:rPr>
      </w:pPr>
      <w:r w:rsidRPr="003611CF">
        <w:rPr>
          <w:rFonts w:ascii="Calibri" w:eastAsia="Times New Roman" w:hAnsi="Calibri" w:cs="Calibri"/>
          <w:szCs w:val="24"/>
          <w:lang w:val="hr-HR"/>
        </w:rPr>
        <w:lastRenderedPageBreak/>
        <w:t>-3 zahtjeva investitoru za dopunu podneska za oslobađanje od plaćanja PDV-a;</w:t>
      </w:r>
    </w:p>
    <w:p w:rsidR="003611CF" w:rsidRPr="003611CF" w:rsidRDefault="003611CF" w:rsidP="003611CF">
      <w:pPr>
        <w:spacing w:before="0" w:after="0" w:line="240" w:lineRule="auto"/>
        <w:ind w:left="720"/>
        <w:contextualSpacing/>
        <w:rPr>
          <w:rFonts w:ascii="Calibri" w:eastAsia="Times New Roman" w:hAnsi="Calibri" w:cs="Calibri"/>
          <w:szCs w:val="24"/>
          <w:lang w:val="hr-HR"/>
        </w:rPr>
      </w:pPr>
      <w:r w:rsidRPr="003611CF">
        <w:rPr>
          <w:rFonts w:ascii="Calibri" w:eastAsia="Times New Roman" w:hAnsi="Calibri" w:cs="Calibri"/>
          <w:szCs w:val="24"/>
          <w:lang w:val="hr-HR"/>
        </w:rPr>
        <w:t xml:space="preserve">-5 zahtjeva nadležnim organima zaduženim za implementaciju projekata za izmjenu i dostavljanje 48 potvrda za oslobađanje od plaćanja PDV-a izdatim u skladu sa zakonom, radi evidentiranja istih; </w:t>
      </w:r>
    </w:p>
    <w:p w:rsidR="003611CF" w:rsidRPr="003611CF" w:rsidRDefault="003611CF" w:rsidP="004D6CB4">
      <w:pPr>
        <w:numPr>
          <w:ilvl w:val="0"/>
          <w:numId w:val="122"/>
        </w:numPr>
        <w:spacing w:before="0" w:after="0" w:line="240" w:lineRule="auto"/>
        <w:contextualSpacing/>
        <w:jc w:val="left"/>
        <w:rPr>
          <w:rFonts w:ascii="Calibri" w:eastAsia="Times New Roman" w:hAnsi="Calibri" w:cs="Calibri"/>
          <w:szCs w:val="24"/>
          <w:lang w:val="hr-HR"/>
        </w:rPr>
      </w:pPr>
      <w:r w:rsidRPr="003611CF">
        <w:rPr>
          <w:rFonts w:ascii="Calibri" w:eastAsia="Times New Roman" w:hAnsi="Calibri" w:cs="Calibri"/>
          <w:szCs w:val="24"/>
          <w:lang w:val="hr-HR"/>
        </w:rPr>
        <w:t>Upućena:</w:t>
      </w:r>
    </w:p>
    <w:p w:rsidR="003611CF" w:rsidRPr="003611CF" w:rsidRDefault="003611CF" w:rsidP="003611CF">
      <w:pPr>
        <w:spacing w:before="0" w:after="0" w:line="240" w:lineRule="auto"/>
        <w:ind w:left="720"/>
        <w:contextualSpacing/>
        <w:rPr>
          <w:rFonts w:ascii="Calibri" w:eastAsia="Times New Roman" w:hAnsi="Calibri" w:cs="Calibri"/>
          <w:szCs w:val="24"/>
          <w:lang w:val="hr-HR"/>
        </w:rPr>
      </w:pPr>
      <w:r w:rsidRPr="003611CF">
        <w:rPr>
          <w:rFonts w:ascii="Calibri" w:eastAsia="Times New Roman" w:hAnsi="Calibri" w:cs="Calibri"/>
          <w:szCs w:val="24"/>
          <w:lang w:val="hr-HR"/>
        </w:rPr>
        <w:t>-2 zahtjeva za dobijanje mišljenja-Ministarstvu održivog razvoja i turizma;</w:t>
      </w:r>
    </w:p>
    <w:p w:rsidR="003611CF" w:rsidRPr="003611CF" w:rsidRDefault="003611CF" w:rsidP="003611CF">
      <w:pPr>
        <w:spacing w:before="0" w:after="0" w:line="240" w:lineRule="auto"/>
        <w:ind w:left="720"/>
        <w:contextualSpacing/>
        <w:rPr>
          <w:rFonts w:ascii="Calibri" w:eastAsia="Times New Roman" w:hAnsi="Calibri" w:cs="Calibri"/>
          <w:szCs w:val="24"/>
          <w:lang w:val="hr-HR"/>
        </w:rPr>
      </w:pPr>
      <w:r w:rsidRPr="003611CF">
        <w:rPr>
          <w:rFonts w:ascii="Calibri" w:eastAsia="Times New Roman" w:hAnsi="Calibri" w:cs="Calibri"/>
          <w:szCs w:val="24"/>
          <w:lang w:val="hr-HR"/>
        </w:rPr>
        <w:t>-3 zahtjeva za dobijanje mišljenja Ministarstvu finansija-Direktoratu za upravni i carinski postupak;</w:t>
      </w:r>
    </w:p>
    <w:p w:rsidR="003611CF" w:rsidRPr="003611CF" w:rsidRDefault="003611CF" w:rsidP="003611CF">
      <w:pPr>
        <w:spacing w:before="0" w:after="0" w:line="240" w:lineRule="auto"/>
        <w:ind w:left="720"/>
        <w:contextualSpacing/>
        <w:rPr>
          <w:rFonts w:ascii="Calibri" w:eastAsia="Times New Roman" w:hAnsi="Calibri" w:cs="Calibri"/>
          <w:szCs w:val="24"/>
          <w:lang w:val="hr-HR"/>
        </w:rPr>
      </w:pPr>
      <w:r w:rsidRPr="003611CF">
        <w:rPr>
          <w:rFonts w:ascii="Calibri" w:eastAsia="Times New Roman" w:hAnsi="Calibri" w:cs="Calibri"/>
          <w:szCs w:val="24"/>
          <w:lang w:val="hr-HR"/>
        </w:rPr>
        <w:t>-2 zahtjeva za dobijanje informacija- Ministarstvu održivog razvoja i turizma;</w:t>
      </w:r>
    </w:p>
    <w:p w:rsidR="003611CF" w:rsidRPr="003611CF" w:rsidRDefault="003611CF" w:rsidP="003611CF">
      <w:pPr>
        <w:spacing w:before="0" w:after="0" w:line="240" w:lineRule="auto"/>
        <w:ind w:left="720"/>
        <w:contextualSpacing/>
        <w:rPr>
          <w:rFonts w:ascii="Calibri" w:eastAsia="Times New Roman" w:hAnsi="Calibri" w:cs="Calibri"/>
          <w:szCs w:val="24"/>
          <w:lang w:val="hr-HR"/>
        </w:rPr>
      </w:pPr>
      <w:r w:rsidRPr="003611CF">
        <w:rPr>
          <w:rFonts w:ascii="Calibri" w:eastAsia="Times New Roman" w:hAnsi="Calibri" w:cs="Calibri"/>
          <w:szCs w:val="24"/>
          <w:lang w:val="hr-HR"/>
        </w:rPr>
        <w:t>-2 zahtjeva za dobijanje informacija-Ministarstvu saobraćaja i pomorstva;</w:t>
      </w:r>
    </w:p>
    <w:p w:rsidR="003611CF" w:rsidRPr="003611CF" w:rsidRDefault="003611CF" w:rsidP="004D6CB4">
      <w:pPr>
        <w:numPr>
          <w:ilvl w:val="0"/>
          <w:numId w:val="122"/>
        </w:numPr>
        <w:spacing w:before="0" w:after="0" w:line="240" w:lineRule="auto"/>
        <w:contextualSpacing/>
        <w:jc w:val="left"/>
        <w:rPr>
          <w:rFonts w:ascii="Calibri" w:eastAsia="Times New Roman" w:hAnsi="Calibri" w:cs="Calibri"/>
          <w:szCs w:val="24"/>
          <w:lang w:val="hr-HR"/>
        </w:rPr>
      </w:pPr>
      <w:r w:rsidRPr="003611CF">
        <w:rPr>
          <w:rFonts w:ascii="Calibri" w:eastAsia="Times New Roman" w:hAnsi="Calibri" w:cs="Calibri"/>
          <w:szCs w:val="24"/>
          <w:lang w:val="hr-HR"/>
        </w:rPr>
        <w:t>Sačinjeno:</w:t>
      </w:r>
    </w:p>
    <w:p w:rsidR="003611CF" w:rsidRPr="003611CF" w:rsidRDefault="003611CF" w:rsidP="003611CF">
      <w:pPr>
        <w:spacing w:before="0" w:after="0" w:line="240" w:lineRule="auto"/>
        <w:ind w:left="720"/>
        <w:contextualSpacing/>
        <w:rPr>
          <w:rFonts w:ascii="Calibri" w:eastAsia="Times New Roman" w:hAnsi="Calibri" w:cs="Calibri"/>
          <w:szCs w:val="24"/>
          <w:lang w:val="hr-HR"/>
        </w:rPr>
      </w:pPr>
      <w:r w:rsidRPr="003611CF">
        <w:rPr>
          <w:rFonts w:ascii="Calibri" w:eastAsia="Times New Roman" w:hAnsi="Calibri" w:cs="Calibri"/>
          <w:szCs w:val="24"/>
          <w:lang w:val="hr-HR"/>
        </w:rPr>
        <w:t>-6 službenih zabilješki;</w:t>
      </w:r>
    </w:p>
    <w:p w:rsidR="003611CF" w:rsidRPr="003611CF" w:rsidRDefault="003611CF" w:rsidP="003611CF">
      <w:pPr>
        <w:spacing w:before="0" w:after="0" w:line="240" w:lineRule="auto"/>
        <w:ind w:left="720"/>
        <w:contextualSpacing/>
        <w:rPr>
          <w:rFonts w:ascii="Calibri" w:eastAsia="Times New Roman" w:hAnsi="Calibri" w:cs="Calibri"/>
          <w:szCs w:val="24"/>
          <w:lang w:val="hr-HR"/>
        </w:rPr>
      </w:pPr>
    </w:p>
    <w:p w:rsidR="003611CF" w:rsidRPr="003611CF" w:rsidRDefault="003611CF" w:rsidP="003611CF">
      <w:pPr>
        <w:spacing w:before="0" w:after="0" w:line="240" w:lineRule="auto"/>
        <w:ind w:left="720"/>
        <w:contextualSpacing/>
        <w:rPr>
          <w:rFonts w:ascii="Calibri" w:eastAsia="Times New Roman" w:hAnsi="Calibri" w:cs="Calibri"/>
          <w:b/>
          <w:szCs w:val="24"/>
          <w:lang w:val="hr-HR"/>
        </w:rPr>
      </w:pPr>
      <w:r w:rsidRPr="003611CF">
        <w:rPr>
          <w:rFonts w:ascii="Calibri" w:eastAsia="Times New Roman" w:hAnsi="Calibri" w:cs="Calibri"/>
          <w:szCs w:val="24"/>
          <w:lang w:val="hr-HR"/>
        </w:rPr>
        <w:t>3.2 Evidencija izdatih, iskorišćenih (po isporučiocu, postupku uvoza, serijskom broju kontrolne markice i vrijednosti nabavke) oštećenih, neiskorišćenih i uništenih kontrolnih markica:</w:t>
      </w:r>
    </w:p>
    <w:p w:rsidR="003611CF" w:rsidRPr="003611CF" w:rsidRDefault="003611CF" w:rsidP="004D6CB4">
      <w:pPr>
        <w:numPr>
          <w:ilvl w:val="0"/>
          <w:numId w:val="121"/>
        </w:numPr>
        <w:spacing w:before="0" w:after="0" w:line="240" w:lineRule="auto"/>
        <w:contextualSpacing/>
        <w:jc w:val="left"/>
        <w:rPr>
          <w:rFonts w:ascii="Calibri" w:eastAsia="Times New Roman" w:hAnsi="Calibri" w:cs="Calibri"/>
          <w:b/>
          <w:szCs w:val="24"/>
          <w:lang w:val="hr-HR"/>
        </w:rPr>
      </w:pPr>
      <w:r w:rsidRPr="003611CF">
        <w:rPr>
          <w:rFonts w:ascii="Calibri" w:eastAsia="Times New Roman" w:hAnsi="Calibri" w:cs="Calibri"/>
          <w:szCs w:val="24"/>
          <w:lang w:val="hr-HR"/>
        </w:rPr>
        <w:t>Izdato 6 uvjerenja o primopredaji izdatih kontrolnih markica;</w:t>
      </w:r>
    </w:p>
    <w:p w:rsidR="003611CF" w:rsidRPr="003611CF" w:rsidRDefault="003611CF" w:rsidP="003611CF">
      <w:pPr>
        <w:spacing w:before="0" w:after="0" w:line="240" w:lineRule="auto"/>
        <w:ind w:left="720"/>
        <w:contextualSpacing/>
        <w:rPr>
          <w:rFonts w:ascii="Calibri" w:eastAsia="Times New Roman" w:hAnsi="Calibri" w:cs="Calibri"/>
          <w:szCs w:val="24"/>
          <w:lang w:val="hr-HR"/>
        </w:rPr>
      </w:pPr>
      <w:r w:rsidRPr="003611CF">
        <w:rPr>
          <w:rFonts w:ascii="Calibri" w:eastAsia="Times New Roman" w:hAnsi="Calibri" w:cs="Calibri"/>
          <w:szCs w:val="24"/>
          <w:lang w:val="hr-HR"/>
        </w:rPr>
        <w:t>-5 uvjerenja o primopredaji izdatih kontrolnih markica investitoru za gradnju i opremanje hotela;</w:t>
      </w:r>
    </w:p>
    <w:p w:rsidR="003611CF" w:rsidRPr="003611CF" w:rsidRDefault="003611CF" w:rsidP="003611CF">
      <w:pPr>
        <w:spacing w:before="0" w:after="0" w:line="240" w:lineRule="auto"/>
        <w:ind w:left="720"/>
        <w:contextualSpacing/>
        <w:rPr>
          <w:rFonts w:ascii="Calibri" w:eastAsia="Times New Roman" w:hAnsi="Calibri" w:cs="Calibri"/>
          <w:szCs w:val="24"/>
          <w:lang w:val="hr-HR"/>
        </w:rPr>
      </w:pPr>
      <w:r w:rsidRPr="003611CF">
        <w:rPr>
          <w:rFonts w:ascii="Calibri" w:eastAsia="Times New Roman" w:hAnsi="Calibri" w:cs="Calibri"/>
          <w:szCs w:val="24"/>
          <w:lang w:val="hr-HR"/>
        </w:rPr>
        <w:t>-1 uvjerenje  o primopredaji izdatih kontrolnih markica izvođaču radova CRBC za gradnju autoputa Bar-Boljare;</w:t>
      </w:r>
    </w:p>
    <w:p w:rsidR="003611CF" w:rsidRPr="003611CF" w:rsidRDefault="003611CF" w:rsidP="003611CF">
      <w:pPr>
        <w:spacing w:before="0" w:after="0" w:line="240" w:lineRule="auto"/>
        <w:ind w:left="720"/>
        <w:contextualSpacing/>
        <w:rPr>
          <w:rFonts w:ascii="Arial" w:eastAsia="Times New Roman" w:hAnsi="Arial" w:cs="Arial"/>
          <w:sz w:val="22"/>
          <w:lang w:val="hr-HR"/>
        </w:rPr>
      </w:pPr>
    </w:p>
    <w:tbl>
      <w:tblPr>
        <w:tblW w:w="0" w:type="auto"/>
        <w:tblLook w:val="04A0" w:firstRow="1" w:lastRow="0" w:firstColumn="1" w:lastColumn="0" w:noHBand="0" w:noVBand="1"/>
      </w:tblPr>
      <w:tblGrid>
        <w:gridCol w:w="1803"/>
        <w:gridCol w:w="1266"/>
        <w:gridCol w:w="2858"/>
        <w:gridCol w:w="2076"/>
        <w:gridCol w:w="1635"/>
      </w:tblGrid>
      <w:tr w:rsidR="003611CF" w:rsidRPr="003611CF" w:rsidTr="003611CF">
        <w:tc>
          <w:tcPr>
            <w:tcW w:w="9854" w:type="dxa"/>
            <w:gridSpan w:val="5"/>
            <w:tcBorders>
              <w:bottom w:val="single" w:sz="12" w:space="0" w:color="FFFFFF"/>
            </w:tcBorders>
            <w:shd w:val="clear" w:color="auto" w:fill="348DA5"/>
          </w:tcPr>
          <w:p w:rsidR="003611CF" w:rsidRPr="003611CF" w:rsidRDefault="003611CF" w:rsidP="003611CF">
            <w:pPr>
              <w:tabs>
                <w:tab w:val="left" w:pos="993"/>
              </w:tabs>
              <w:spacing w:before="0" w:after="0" w:line="240" w:lineRule="auto"/>
              <w:jc w:val="center"/>
              <w:rPr>
                <w:rFonts w:ascii="Arial" w:eastAsia="Calibri" w:hAnsi="Arial" w:cs="Arial"/>
                <w:bCs/>
                <w:color w:val="FFFFFF"/>
                <w:sz w:val="20"/>
                <w:lang w:val="en-GB" w:eastAsia="en-GB"/>
              </w:rPr>
            </w:pPr>
            <w:r w:rsidRPr="003611CF">
              <w:rPr>
                <w:rFonts w:ascii="Arial" w:eastAsia="Calibri" w:hAnsi="Arial" w:cs="Arial"/>
                <w:color w:val="FFFFFF"/>
                <w:sz w:val="20"/>
                <w:lang w:val="en-US" w:eastAsia="en-GB"/>
              </w:rPr>
              <w:t xml:space="preserve">Izdate kontrolne markice - CRBC 01.01-31.12.2020. </w:t>
            </w:r>
          </w:p>
        </w:tc>
      </w:tr>
      <w:tr w:rsidR="003611CF" w:rsidRPr="003611CF" w:rsidTr="003611CF">
        <w:tc>
          <w:tcPr>
            <w:tcW w:w="1809" w:type="dxa"/>
            <w:shd w:val="clear" w:color="auto" w:fill="FDE9D9"/>
          </w:tcPr>
          <w:p w:rsidR="003611CF" w:rsidRPr="003611CF" w:rsidRDefault="003611CF" w:rsidP="003611CF">
            <w:pPr>
              <w:spacing w:before="0" w:after="0" w:line="240" w:lineRule="auto"/>
              <w:jc w:val="center"/>
              <w:rPr>
                <w:rFonts w:ascii="Arial" w:eastAsia="Calibri" w:hAnsi="Arial" w:cs="Arial"/>
                <w:b/>
                <w:bCs/>
                <w:color w:val="000000"/>
                <w:sz w:val="20"/>
                <w:lang w:val="en-US" w:eastAsia="en-GB"/>
              </w:rPr>
            </w:pPr>
            <w:r w:rsidRPr="003611CF">
              <w:rPr>
                <w:rFonts w:ascii="Arial" w:eastAsia="Calibri" w:hAnsi="Arial" w:cs="Arial"/>
                <w:b/>
                <w:bCs/>
                <w:color w:val="000000"/>
                <w:sz w:val="20"/>
                <w:lang w:val="en-US" w:eastAsia="en-GB"/>
              </w:rPr>
              <w:t>Naziv</w:t>
            </w:r>
          </w:p>
        </w:tc>
        <w:tc>
          <w:tcPr>
            <w:tcW w:w="1276" w:type="dxa"/>
            <w:shd w:val="clear" w:color="auto" w:fill="FDE9D9"/>
          </w:tcPr>
          <w:p w:rsidR="003611CF" w:rsidRPr="003611CF" w:rsidRDefault="003611CF" w:rsidP="003611CF">
            <w:pPr>
              <w:spacing w:before="0" w:after="0" w:line="240" w:lineRule="auto"/>
              <w:jc w:val="center"/>
              <w:rPr>
                <w:rFonts w:ascii="Arial" w:eastAsia="Calibri" w:hAnsi="Arial" w:cs="Arial"/>
                <w:b/>
                <w:color w:val="000000"/>
                <w:sz w:val="20"/>
                <w:lang w:val="en-US" w:eastAsia="en-GB"/>
              </w:rPr>
            </w:pPr>
            <w:r w:rsidRPr="003611CF">
              <w:rPr>
                <w:rFonts w:ascii="Arial" w:eastAsia="Calibri" w:hAnsi="Arial" w:cs="Arial"/>
                <w:b/>
                <w:color w:val="000000"/>
                <w:sz w:val="20"/>
                <w:lang w:val="en-US" w:eastAsia="en-GB"/>
              </w:rPr>
              <w:t>PIB</w:t>
            </w:r>
          </w:p>
        </w:tc>
        <w:tc>
          <w:tcPr>
            <w:tcW w:w="2977" w:type="dxa"/>
            <w:shd w:val="clear" w:color="auto" w:fill="FDE9D9"/>
          </w:tcPr>
          <w:p w:rsidR="003611CF" w:rsidRPr="003611CF" w:rsidRDefault="003611CF" w:rsidP="003611CF">
            <w:pPr>
              <w:spacing w:before="0" w:after="0" w:line="240" w:lineRule="auto"/>
              <w:jc w:val="center"/>
              <w:rPr>
                <w:rFonts w:ascii="Arial" w:eastAsia="Calibri" w:hAnsi="Arial" w:cs="Arial"/>
                <w:b/>
                <w:color w:val="000000"/>
                <w:sz w:val="20"/>
                <w:lang w:val="en-US" w:eastAsia="en-GB"/>
              </w:rPr>
            </w:pPr>
            <w:r w:rsidRPr="003611CF">
              <w:rPr>
                <w:rFonts w:ascii="Arial" w:eastAsia="Calibri" w:hAnsi="Arial" w:cs="Arial"/>
                <w:b/>
                <w:color w:val="000000"/>
                <w:sz w:val="20"/>
                <w:lang w:val="en-US" w:eastAsia="en-GB"/>
              </w:rPr>
              <w:t>Serija  brojeva</w:t>
            </w:r>
          </w:p>
        </w:tc>
        <w:tc>
          <w:tcPr>
            <w:tcW w:w="2126" w:type="dxa"/>
            <w:shd w:val="clear" w:color="auto" w:fill="FDE9D9"/>
          </w:tcPr>
          <w:p w:rsidR="003611CF" w:rsidRPr="003611CF" w:rsidRDefault="003611CF" w:rsidP="003611CF">
            <w:pPr>
              <w:spacing w:before="0" w:after="0" w:line="240" w:lineRule="auto"/>
              <w:jc w:val="center"/>
              <w:rPr>
                <w:rFonts w:ascii="Arial" w:eastAsia="Calibri" w:hAnsi="Arial" w:cs="Arial"/>
                <w:b/>
                <w:color w:val="000000"/>
                <w:sz w:val="20"/>
                <w:lang w:val="en-US" w:eastAsia="en-GB"/>
              </w:rPr>
            </w:pPr>
            <w:r w:rsidRPr="003611CF">
              <w:rPr>
                <w:rFonts w:ascii="Arial" w:eastAsia="Calibri" w:hAnsi="Arial" w:cs="Arial"/>
                <w:b/>
                <w:color w:val="000000"/>
                <w:sz w:val="20"/>
                <w:lang w:val="en-US" w:eastAsia="en-GB"/>
              </w:rPr>
              <w:t>Datum izdavanja</w:t>
            </w:r>
          </w:p>
        </w:tc>
        <w:tc>
          <w:tcPr>
            <w:tcW w:w="1666" w:type="dxa"/>
            <w:shd w:val="clear" w:color="auto" w:fill="FDE9D9"/>
          </w:tcPr>
          <w:p w:rsidR="003611CF" w:rsidRPr="003611CF" w:rsidRDefault="003611CF" w:rsidP="003611CF">
            <w:pPr>
              <w:spacing w:before="0" w:after="0" w:line="240" w:lineRule="auto"/>
              <w:jc w:val="center"/>
              <w:rPr>
                <w:rFonts w:ascii="Arial" w:eastAsia="Calibri" w:hAnsi="Arial" w:cs="Arial"/>
                <w:b/>
                <w:color w:val="000000"/>
                <w:sz w:val="20"/>
                <w:lang w:val="en-US" w:eastAsia="en-GB"/>
              </w:rPr>
            </w:pPr>
            <w:r w:rsidRPr="003611CF">
              <w:rPr>
                <w:rFonts w:ascii="Arial" w:eastAsia="Calibri" w:hAnsi="Arial" w:cs="Arial"/>
                <w:b/>
                <w:color w:val="000000"/>
                <w:sz w:val="20"/>
                <w:lang w:val="en-US" w:eastAsia="en-GB"/>
              </w:rPr>
              <w:t>Kompleta</w:t>
            </w:r>
          </w:p>
        </w:tc>
      </w:tr>
      <w:tr w:rsidR="003611CF" w:rsidRPr="003611CF" w:rsidTr="003611CF">
        <w:trPr>
          <w:trHeight w:val="1553"/>
        </w:trPr>
        <w:tc>
          <w:tcPr>
            <w:tcW w:w="1809" w:type="dxa"/>
            <w:shd w:val="clear" w:color="auto" w:fill="FEF4EC"/>
          </w:tcPr>
          <w:p w:rsidR="003611CF" w:rsidRPr="003611CF" w:rsidRDefault="003611CF" w:rsidP="003611CF">
            <w:pPr>
              <w:spacing w:before="0" w:after="0" w:line="240" w:lineRule="auto"/>
              <w:rPr>
                <w:rFonts w:ascii="Arial" w:eastAsia="Calibri" w:hAnsi="Arial" w:cs="Arial"/>
                <w:bCs/>
                <w:color w:val="000000"/>
                <w:sz w:val="20"/>
                <w:lang w:val="en-US" w:eastAsia="en-GB"/>
              </w:rPr>
            </w:pPr>
            <w:r w:rsidRPr="003611CF">
              <w:rPr>
                <w:rFonts w:ascii="Arial" w:eastAsia="Calibri" w:hAnsi="Arial" w:cs="Arial"/>
                <w:bCs/>
                <w:color w:val="000000"/>
                <w:sz w:val="20"/>
                <w:lang w:val="en-US" w:eastAsia="en-GB"/>
              </w:rPr>
              <w:t>CHINA ROAD &amp; BRIDGE CORPORATION DOO</w:t>
            </w:r>
          </w:p>
        </w:tc>
        <w:tc>
          <w:tcPr>
            <w:tcW w:w="1276"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lang w:val="en-US" w:eastAsia="en-GB"/>
              </w:rPr>
            </w:pPr>
            <w:r w:rsidRPr="003611CF">
              <w:rPr>
                <w:rFonts w:ascii="Arial" w:eastAsia="Calibri" w:hAnsi="Arial" w:cs="Arial"/>
                <w:color w:val="000000"/>
                <w:sz w:val="20"/>
                <w:lang w:val="en-US" w:eastAsia="en-GB"/>
              </w:rPr>
              <w:t>03016480</w:t>
            </w:r>
          </w:p>
        </w:tc>
        <w:tc>
          <w:tcPr>
            <w:tcW w:w="2977" w:type="dxa"/>
            <w:shd w:val="clear" w:color="auto" w:fill="FEF4EC"/>
          </w:tcPr>
          <w:p w:rsidR="003611CF" w:rsidRPr="003611CF" w:rsidRDefault="003611CF" w:rsidP="003611CF">
            <w:pPr>
              <w:spacing w:before="0" w:after="0" w:line="240" w:lineRule="auto"/>
              <w:rPr>
                <w:rFonts w:ascii="Arial" w:eastAsia="Times New Roman" w:hAnsi="Arial" w:cs="Arial"/>
                <w:sz w:val="20"/>
                <w:lang w:val="en-US"/>
              </w:rPr>
            </w:pPr>
            <w:r w:rsidRPr="003611CF">
              <w:rPr>
                <w:rFonts w:ascii="Arial" w:eastAsia="Times New Roman" w:hAnsi="Arial" w:cs="Arial"/>
                <w:sz w:val="20"/>
                <w:lang w:val="en-US"/>
              </w:rPr>
              <w:t xml:space="preserve">A od broja 08001 do   10 000    </w:t>
            </w:r>
            <w:r w:rsidRPr="003611CF">
              <w:rPr>
                <w:rFonts w:ascii="Arial" w:eastAsia="Times New Roman" w:hAnsi="Arial" w:cs="Arial"/>
                <w:sz w:val="20"/>
                <w:lang w:val="en-US"/>
              </w:rPr>
              <w:br/>
              <w:t xml:space="preserve">B  od broja 08001 do  10 000   </w:t>
            </w:r>
            <w:r w:rsidRPr="003611CF">
              <w:rPr>
                <w:rFonts w:ascii="Arial" w:eastAsia="Times New Roman" w:hAnsi="Arial" w:cs="Arial"/>
                <w:sz w:val="20"/>
                <w:lang w:val="en-US"/>
              </w:rPr>
              <w:br/>
              <w:t>C  od broja  07001  do 08 000</w:t>
            </w:r>
          </w:p>
          <w:p w:rsidR="003611CF" w:rsidRPr="003611CF" w:rsidRDefault="003611CF" w:rsidP="003611CF">
            <w:pPr>
              <w:spacing w:before="0" w:after="0" w:line="240" w:lineRule="auto"/>
              <w:rPr>
                <w:rFonts w:ascii="Arial" w:eastAsia="Times New Roman" w:hAnsi="Arial" w:cs="Arial"/>
                <w:sz w:val="20"/>
                <w:lang w:val="en-US"/>
              </w:rPr>
            </w:pPr>
          </w:p>
          <w:p w:rsidR="003611CF" w:rsidRPr="003611CF" w:rsidRDefault="003611CF" w:rsidP="003611CF">
            <w:pPr>
              <w:spacing w:before="0" w:after="0" w:line="240" w:lineRule="auto"/>
              <w:rPr>
                <w:rFonts w:ascii="Arial" w:eastAsia="Times New Roman" w:hAnsi="Arial" w:cs="Arial"/>
                <w:sz w:val="20"/>
                <w:lang w:val="en-US"/>
              </w:rPr>
            </w:pPr>
            <w:r w:rsidRPr="003611CF">
              <w:rPr>
                <w:rFonts w:ascii="Arial" w:eastAsia="Times New Roman" w:hAnsi="Arial" w:cs="Arial"/>
                <w:sz w:val="20"/>
                <w:lang w:val="en-US"/>
              </w:rPr>
              <w:t xml:space="preserve">A od broja 10001 do   12000  </w:t>
            </w:r>
          </w:p>
          <w:p w:rsidR="003611CF" w:rsidRPr="003611CF" w:rsidRDefault="003611CF" w:rsidP="003611CF">
            <w:pPr>
              <w:spacing w:before="0" w:after="0" w:line="240" w:lineRule="auto"/>
              <w:rPr>
                <w:rFonts w:ascii="Arial" w:eastAsia="Times New Roman" w:hAnsi="Arial" w:cs="Arial"/>
                <w:sz w:val="20"/>
                <w:lang w:val="en-US"/>
              </w:rPr>
            </w:pPr>
            <w:r w:rsidRPr="003611CF">
              <w:rPr>
                <w:rFonts w:ascii="Arial" w:eastAsia="Times New Roman" w:hAnsi="Arial" w:cs="Arial"/>
                <w:sz w:val="20"/>
                <w:lang w:val="en-US"/>
              </w:rPr>
              <w:t xml:space="preserve">B  od broja 08001 do  10 000   </w:t>
            </w:r>
          </w:p>
          <w:p w:rsidR="003611CF" w:rsidRPr="003611CF" w:rsidRDefault="003611CF" w:rsidP="003611CF">
            <w:pPr>
              <w:spacing w:before="0" w:after="0" w:line="240" w:lineRule="auto"/>
              <w:rPr>
                <w:rFonts w:ascii="Arial" w:eastAsia="Times New Roman" w:hAnsi="Arial" w:cs="Arial"/>
                <w:sz w:val="20"/>
                <w:lang w:val="en-US"/>
              </w:rPr>
            </w:pPr>
            <w:r w:rsidRPr="003611CF">
              <w:rPr>
                <w:rFonts w:ascii="Arial" w:eastAsia="Times New Roman" w:hAnsi="Arial" w:cs="Arial"/>
                <w:sz w:val="20"/>
                <w:lang w:val="en-US"/>
              </w:rPr>
              <w:t>C  od broja  07001  do 08 000</w:t>
            </w:r>
          </w:p>
        </w:tc>
        <w:tc>
          <w:tcPr>
            <w:tcW w:w="2126"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lang w:val="en-US" w:eastAsia="en-GB"/>
              </w:rPr>
            </w:pPr>
            <w:r w:rsidRPr="003611CF">
              <w:rPr>
                <w:rFonts w:ascii="Arial" w:eastAsia="Calibri" w:hAnsi="Arial" w:cs="Arial"/>
                <w:color w:val="000000"/>
                <w:sz w:val="20"/>
                <w:lang w:val="en-US" w:eastAsia="en-GB"/>
              </w:rPr>
              <w:t>22.1.2020.</w:t>
            </w:r>
          </w:p>
          <w:p w:rsidR="003611CF" w:rsidRPr="003611CF" w:rsidRDefault="003611CF" w:rsidP="003611CF">
            <w:pPr>
              <w:spacing w:before="0" w:after="0" w:line="240" w:lineRule="auto"/>
              <w:jc w:val="center"/>
              <w:rPr>
                <w:rFonts w:ascii="Arial" w:eastAsia="Calibri" w:hAnsi="Arial" w:cs="Arial"/>
                <w:color w:val="000000"/>
                <w:sz w:val="20"/>
                <w:lang w:val="en-US" w:eastAsia="en-GB"/>
              </w:rPr>
            </w:pPr>
          </w:p>
          <w:p w:rsidR="003611CF" w:rsidRPr="003611CF" w:rsidRDefault="003611CF" w:rsidP="003611CF">
            <w:pPr>
              <w:spacing w:before="0" w:after="0" w:line="240" w:lineRule="auto"/>
              <w:jc w:val="center"/>
              <w:rPr>
                <w:rFonts w:ascii="Arial" w:eastAsia="Calibri" w:hAnsi="Arial" w:cs="Arial"/>
                <w:color w:val="000000"/>
                <w:sz w:val="20"/>
                <w:lang w:val="en-US" w:eastAsia="en-GB"/>
              </w:rPr>
            </w:pPr>
          </w:p>
          <w:p w:rsidR="003611CF" w:rsidRPr="003611CF" w:rsidRDefault="003611CF" w:rsidP="003611CF">
            <w:pPr>
              <w:spacing w:before="0" w:after="0" w:line="240" w:lineRule="auto"/>
              <w:jc w:val="center"/>
              <w:rPr>
                <w:rFonts w:ascii="Arial" w:eastAsia="Calibri" w:hAnsi="Arial" w:cs="Arial"/>
                <w:color w:val="000000"/>
                <w:sz w:val="20"/>
                <w:lang w:val="en-US" w:eastAsia="en-GB"/>
              </w:rPr>
            </w:pPr>
          </w:p>
          <w:p w:rsidR="003611CF" w:rsidRPr="003611CF" w:rsidRDefault="003611CF" w:rsidP="003611CF">
            <w:pPr>
              <w:spacing w:before="0" w:after="0" w:line="240" w:lineRule="auto"/>
              <w:jc w:val="center"/>
              <w:rPr>
                <w:rFonts w:ascii="Arial" w:eastAsia="Calibri" w:hAnsi="Arial" w:cs="Arial"/>
                <w:color w:val="000000"/>
                <w:sz w:val="20"/>
                <w:lang w:val="en-US" w:eastAsia="en-GB"/>
              </w:rPr>
            </w:pPr>
            <w:r w:rsidRPr="003611CF">
              <w:rPr>
                <w:rFonts w:ascii="Arial" w:eastAsia="Calibri" w:hAnsi="Arial" w:cs="Arial"/>
                <w:color w:val="000000"/>
                <w:sz w:val="20"/>
                <w:lang w:val="en-US" w:eastAsia="en-GB"/>
              </w:rPr>
              <w:t>21.12.2020.</w:t>
            </w:r>
          </w:p>
        </w:tc>
        <w:tc>
          <w:tcPr>
            <w:tcW w:w="1666"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lang w:val="en-US" w:eastAsia="en-GB"/>
              </w:rPr>
            </w:pPr>
            <w:r w:rsidRPr="003611CF">
              <w:rPr>
                <w:rFonts w:ascii="Arial" w:eastAsia="Calibri" w:hAnsi="Arial" w:cs="Arial"/>
                <w:color w:val="000000"/>
                <w:sz w:val="20"/>
                <w:lang w:val="en-US" w:eastAsia="en-GB"/>
              </w:rPr>
              <w:t>2.000</w:t>
            </w:r>
            <w:r w:rsidRPr="003611CF">
              <w:rPr>
                <w:rFonts w:ascii="Arial" w:eastAsia="Calibri" w:hAnsi="Arial" w:cs="Arial"/>
                <w:color w:val="000000"/>
                <w:sz w:val="20"/>
                <w:lang w:val="en-US" w:eastAsia="en-GB"/>
              </w:rPr>
              <w:br/>
              <w:t>2.000</w:t>
            </w:r>
            <w:r w:rsidRPr="003611CF">
              <w:rPr>
                <w:rFonts w:ascii="Arial" w:eastAsia="Calibri" w:hAnsi="Arial" w:cs="Arial"/>
                <w:color w:val="000000"/>
                <w:sz w:val="20"/>
                <w:lang w:val="en-US" w:eastAsia="en-GB"/>
              </w:rPr>
              <w:br/>
              <w:t>1.000</w:t>
            </w:r>
            <w:r w:rsidRPr="003611CF">
              <w:rPr>
                <w:rFonts w:ascii="Arial" w:eastAsia="Calibri" w:hAnsi="Arial" w:cs="Arial"/>
                <w:color w:val="000000"/>
                <w:sz w:val="20"/>
                <w:lang w:val="en-US" w:eastAsia="en-GB"/>
              </w:rPr>
              <w:br/>
            </w:r>
          </w:p>
          <w:p w:rsidR="003611CF" w:rsidRPr="003611CF" w:rsidRDefault="003611CF" w:rsidP="003611CF">
            <w:pPr>
              <w:spacing w:before="0" w:after="0" w:line="240" w:lineRule="auto"/>
              <w:jc w:val="center"/>
              <w:rPr>
                <w:rFonts w:ascii="Arial" w:eastAsia="Calibri" w:hAnsi="Arial" w:cs="Arial"/>
                <w:color w:val="000000"/>
                <w:sz w:val="20"/>
                <w:lang w:val="en-US" w:eastAsia="en-GB"/>
              </w:rPr>
            </w:pPr>
            <w:r w:rsidRPr="003611CF">
              <w:rPr>
                <w:rFonts w:ascii="Arial" w:eastAsia="Calibri" w:hAnsi="Arial" w:cs="Arial"/>
                <w:color w:val="000000"/>
                <w:sz w:val="20"/>
                <w:lang w:val="en-US" w:eastAsia="en-GB"/>
              </w:rPr>
              <w:t>2.000</w:t>
            </w:r>
          </w:p>
          <w:p w:rsidR="003611CF" w:rsidRPr="003611CF" w:rsidRDefault="003611CF" w:rsidP="003611CF">
            <w:pPr>
              <w:spacing w:before="0" w:after="0" w:line="240" w:lineRule="auto"/>
              <w:jc w:val="center"/>
              <w:rPr>
                <w:rFonts w:ascii="Arial" w:eastAsia="Calibri" w:hAnsi="Arial" w:cs="Arial"/>
                <w:color w:val="000000"/>
                <w:sz w:val="20"/>
                <w:lang w:val="en-US" w:eastAsia="en-GB"/>
              </w:rPr>
            </w:pPr>
            <w:r w:rsidRPr="003611CF">
              <w:rPr>
                <w:rFonts w:ascii="Arial" w:eastAsia="Calibri" w:hAnsi="Arial" w:cs="Arial"/>
                <w:color w:val="000000"/>
                <w:sz w:val="20"/>
                <w:lang w:val="en-US" w:eastAsia="en-GB"/>
              </w:rPr>
              <w:t>2.000</w:t>
            </w:r>
            <w:r w:rsidRPr="003611CF">
              <w:rPr>
                <w:rFonts w:ascii="Arial" w:eastAsia="Calibri" w:hAnsi="Arial" w:cs="Arial"/>
                <w:color w:val="000000"/>
                <w:sz w:val="20"/>
                <w:lang w:val="en-US" w:eastAsia="en-GB"/>
              </w:rPr>
              <w:br/>
              <w:t>1.000</w:t>
            </w:r>
          </w:p>
        </w:tc>
      </w:tr>
      <w:tr w:rsidR="003611CF" w:rsidRPr="003611CF" w:rsidTr="003611CF">
        <w:tc>
          <w:tcPr>
            <w:tcW w:w="9854" w:type="dxa"/>
            <w:gridSpan w:val="5"/>
            <w:shd w:val="clear" w:color="auto" w:fill="FDE9D9"/>
          </w:tcPr>
          <w:p w:rsidR="003611CF" w:rsidRPr="003611CF" w:rsidRDefault="003611CF" w:rsidP="003611CF">
            <w:pPr>
              <w:spacing w:before="0" w:after="0" w:line="240" w:lineRule="auto"/>
              <w:rPr>
                <w:rFonts w:ascii="Arial" w:eastAsia="Calibri" w:hAnsi="Arial" w:cs="Arial"/>
                <w:b/>
                <w:bCs/>
                <w:color w:val="000000"/>
                <w:sz w:val="20"/>
                <w:lang w:val="en-US" w:eastAsia="en-GB"/>
              </w:rPr>
            </w:pPr>
            <w:r w:rsidRPr="003611CF">
              <w:rPr>
                <w:rFonts w:ascii="Arial" w:eastAsia="Calibri" w:hAnsi="Arial" w:cs="Arial"/>
                <w:b/>
                <w:bCs/>
                <w:color w:val="000000"/>
                <w:sz w:val="20"/>
                <w:lang w:val="en-US" w:eastAsia="en-GB"/>
              </w:rPr>
              <w:t>Ukupno izdato 10.000 komada kontrolnih markica</w:t>
            </w:r>
          </w:p>
        </w:tc>
      </w:tr>
    </w:tbl>
    <w:p w:rsidR="003611CF" w:rsidRPr="003611CF" w:rsidRDefault="003611CF" w:rsidP="003611CF">
      <w:pPr>
        <w:spacing w:before="0" w:after="0" w:line="240" w:lineRule="auto"/>
        <w:ind w:left="720"/>
        <w:contextualSpacing/>
        <w:rPr>
          <w:rFonts w:ascii="Arial" w:eastAsia="Times New Roman" w:hAnsi="Arial" w:cs="Arial"/>
          <w:sz w:val="22"/>
          <w:lang w:val="hr-HR"/>
        </w:rPr>
      </w:pPr>
    </w:p>
    <w:tbl>
      <w:tblPr>
        <w:tblW w:w="0" w:type="auto"/>
        <w:tblLayout w:type="fixed"/>
        <w:tblLook w:val="04A0" w:firstRow="1" w:lastRow="0" w:firstColumn="1" w:lastColumn="0" w:noHBand="0" w:noVBand="1"/>
      </w:tblPr>
      <w:tblGrid>
        <w:gridCol w:w="534"/>
        <w:gridCol w:w="3969"/>
        <w:gridCol w:w="1275"/>
        <w:gridCol w:w="2127"/>
        <w:gridCol w:w="1275"/>
        <w:gridCol w:w="674"/>
      </w:tblGrid>
      <w:tr w:rsidR="003611CF" w:rsidRPr="003611CF" w:rsidTr="003611CF">
        <w:tc>
          <w:tcPr>
            <w:tcW w:w="9854" w:type="dxa"/>
            <w:gridSpan w:val="6"/>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Calibri" w:hAnsi="Arial" w:cs="Arial"/>
                <w:b/>
                <w:bCs/>
                <w:color w:val="FFFFFF"/>
                <w:sz w:val="20"/>
                <w:szCs w:val="20"/>
                <w:lang w:val="hr-HR"/>
              </w:rPr>
            </w:pPr>
            <w:r w:rsidRPr="003611CF">
              <w:rPr>
                <w:rFonts w:ascii="Arial" w:eastAsia="Calibri" w:hAnsi="Arial" w:cs="Arial"/>
                <w:b/>
                <w:bCs/>
                <w:color w:val="FFFFFF"/>
                <w:sz w:val="20"/>
                <w:szCs w:val="20"/>
                <w:lang w:val="hr-HR"/>
              </w:rPr>
              <w:t xml:space="preserve">Izdate kontrolne markice/hoteli 01.01-31.12.2020. </w:t>
            </w:r>
          </w:p>
        </w:tc>
      </w:tr>
      <w:tr w:rsidR="003611CF" w:rsidRPr="003611CF" w:rsidTr="003611CF">
        <w:trPr>
          <w:trHeight w:val="383"/>
        </w:trPr>
        <w:tc>
          <w:tcPr>
            <w:tcW w:w="534"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000000"/>
                <w:sz w:val="20"/>
                <w:szCs w:val="20"/>
                <w:lang w:val="hr-HR"/>
              </w:rPr>
            </w:pPr>
            <w:r w:rsidRPr="003611CF">
              <w:rPr>
                <w:rFonts w:ascii="Arial" w:eastAsia="Calibri" w:hAnsi="Arial" w:cs="Arial"/>
                <w:bCs/>
                <w:color w:val="000000"/>
                <w:sz w:val="20"/>
                <w:szCs w:val="20"/>
                <w:lang w:val="hr-HR"/>
              </w:rPr>
              <w:t>Rb</w:t>
            </w:r>
          </w:p>
        </w:tc>
        <w:tc>
          <w:tcPr>
            <w:tcW w:w="3969"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000000"/>
                <w:sz w:val="20"/>
                <w:szCs w:val="20"/>
                <w:lang w:val="hr-HR"/>
              </w:rPr>
            </w:pPr>
            <w:r w:rsidRPr="003611CF">
              <w:rPr>
                <w:rFonts w:ascii="Arial" w:eastAsia="Calibri" w:hAnsi="Arial" w:cs="Arial"/>
                <w:color w:val="000000"/>
                <w:sz w:val="20"/>
                <w:szCs w:val="20"/>
                <w:lang w:val="hr-HR"/>
              </w:rPr>
              <w:t>Naziv</w:t>
            </w:r>
          </w:p>
        </w:tc>
        <w:tc>
          <w:tcPr>
            <w:tcW w:w="1275"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000000"/>
                <w:sz w:val="20"/>
                <w:szCs w:val="20"/>
                <w:lang w:val="hr-HR"/>
              </w:rPr>
            </w:pPr>
            <w:r w:rsidRPr="003611CF">
              <w:rPr>
                <w:rFonts w:ascii="Arial" w:eastAsia="Calibri" w:hAnsi="Arial" w:cs="Arial"/>
                <w:color w:val="000000"/>
                <w:sz w:val="20"/>
                <w:szCs w:val="20"/>
                <w:lang w:val="hr-HR"/>
              </w:rPr>
              <w:t>PIB</w:t>
            </w:r>
          </w:p>
        </w:tc>
        <w:tc>
          <w:tcPr>
            <w:tcW w:w="2127"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000000"/>
                <w:sz w:val="20"/>
                <w:szCs w:val="20"/>
                <w:lang w:val="hr-HR"/>
              </w:rPr>
            </w:pPr>
            <w:r w:rsidRPr="003611CF">
              <w:rPr>
                <w:rFonts w:ascii="Arial" w:eastAsia="Calibri" w:hAnsi="Arial" w:cs="Arial"/>
                <w:color w:val="000000"/>
                <w:sz w:val="20"/>
                <w:szCs w:val="20"/>
                <w:lang w:val="hr-HR"/>
              </w:rPr>
              <w:t>Serija brojeva</w:t>
            </w:r>
          </w:p>
        </w:tc>
        <w:tc>
          <w:tcPr>
            <w:tcW w:w="1275"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000000"/>
                <w:sz w:val="20"/>
                <w:szCs w:val="20"/>
                <w:lang w:val="hr-HR"/>
              </w:rPr>
            </w:pPr>
            <w:r w:rsidRPr="003611CF">
              <w:rPr>
                <w:rFonts w:ascii="Arial" w:eastAsia="Calibri" w:hAnsi="Arial" w:cs="Arial"/>
                <w:color w:val="000000"/>
                <w:sz w:val="20"/>
                <w:szCs w:val="20"/>
                <w:lang w:val="hr-HR"/>
              </w:rPr>
              <w:t>Datum izdavanja</w:t>
            </w:r>
          </w:p>
        </w:tc>
        <w:tc>
          <w:tcPr>
            <w:tcW w:w="674"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000000"/>
                <w:sz w:val="20"/>
                <w:szCs w:val="20"/>
                <w:lang w:val="hr-HR"/>
              </w:rPr>
            </w:pPr>
            <w:r w:rsidRPr="003611CF">
              <w:rPr>
                <w:rFonts w:ascii="Arial" w:eastAsia="Calibri" w:hAnsi="Arial" w:cs="Arial"/>
                <w:color w:val="000000"/>
                <w:sz w:val="20"/>
                <w:szCs w:val="20"/>
                <w:lang w:val="hr-HR"/>
              </w:rPr>
              <w:t>Kom</w:t>
            </w:r>
          </w:p>
        </w:tc>
      </w:tr>
      <w:tr w:rsidR="003611CF" w:rsidRPr="003611CF" w:rsidTr="003611CF">
        <w:tc>
          <w:tcPr>
            <w:tcW w:w="534" w:type="dxa"/>
            <w:shd w:val="clear" w:color="auto" w:fill="FEF4EC"/>
          </w:tcPr>
          <w:p w:rsidR="003611CF" w:rsidRPr="003611CF" w:rsidRDefault="003611CF" w:rsidP="003611CF">
            <w:pPr>
              <w:autoSpaceDE w:val="0"/>
              <w:autoSpaceDN w:val="0"/>
              <w:adjustRightInd w:val="0"/>
              <w:spacing w:before="0" w:after="0" w:line="240" w:lineRule="auto"/>
              <w:rPr>
                <w:rFonts w:ascii="Arial" w:eastAsia="Calibri" w:hAnsi="Arial" w:cs="Arial"/>
                <w:bCs/>
                <w:color w:val="000000"/>
                <w:sz w:val="20"/>
                <w:szCs w:val="20"/>
                <w:lang w:val="hr-HR"/>
              </w:rPr>
            </w:pPr>
            <w:r w:rsidRPr="003611CF">
              <w:rPr>
                <w:rFonts w:ascii="Arial" w:eastAsia="Calibri" w:hAnsi="Arial" w:cs="Arial"/>
                <w:bCs/>
                <w:color w:val="000000"/>
                <w:sz w:val="20"/>
                <w:szCs w:val="20"/>
                <w:lang w:val="hr-HR"/>
              </w:rPr>
              <w:t>1.</w:t>
            </w:r>
          </w:p>
        </w:tc>
        <w:tc>
          <w:tcPr>
            <w:tcW w:w="3969" w:type="dxa"/>
            <w:shd w:val="clear" w:color="auto" w:fill="FEF4EC"/>
          </w:tcPr>
          <w:p w:rsidR="003611CF" w:rsidRPr="003611CF" w:rsidRDefault="003611CF" w:rsidP="003611CF">
            <w:pPr>
              <w:autoSpaceDE w:val="0"/>
              <w:autoSpaceDN w:val="0"/>
              <w:adjustRightInd w:val="0"/>
              <w:spacing w:before="0" w:after="0" w:line="240" w:lineRule="auto"/>
              <w:rPr>
                <w:rFonts w:ascii="Arial" w:eastAsia="Calibri" w:hAnsi="Arial" w:cs="Arial"/>
                <w:color w:val="000000"/>
                <w:sz w:val="20"/>
                <w:szCs w:val="20"/>
                <w:lang w:val="hr-HR"/>
              </w:rPr>
            </w:pPr>
            <w:r w:rsidRPr="003611CF">
              <w:rPr>
                <w:rFonts w:ascii="Arial" w:eastAsia="Calibri" w:hAnsi="Arial" w:cs="Arial"/>
                <w:color w:val="000000"/>
                <w:sz w:val="20"/>
                <w:szCs w:val="20"/>
                <w:lang w:val="hr-HR"/>
              </w:rPr>
              <w:t>" SLAVIJA" DOO</w:t>
            </w:r>
          </w:p>
        </w:tc>
        <w:tc>
          <w:tcPr>
            <w:tcW w:w="1275" w:type="dxa"/>
            <w:shd w:val="clear" w:color="auto" w:fill="FEF4EC"/>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000000"/>
                <w:sz w:val="20"/>
                <w:szCs w:val="20"/>
                <w:lang w:val="hr-HR"/>
              </w:rPr>
            </w:pPr>
            <w:r w:rsidRPr="003611CF">
              <w:rPr>
                <w:rFonts w:ascii="Arial" w:eastAsia="Calibri" w:hAnsi="Arial" w:cs="Arial"/>
                <w:color w:val="000000"/>
                <w:sz w:val="20"/>
                <w:szCs w:val="20"/>
                <w:lang w:val="hr-HR"/>
              </w:rPr>
              <w:t>02415216</w:t>
            </w:r>
          </w:p>
        </w:tc>
        <w:tc>
          <w:tcPr>
            <w:tcW w:w="2127" w:type="dxa"/>
            <w:shd w:val="clear" w:color="auto" w:fill="FEF4EC"/>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000000"/>
                <w:sz w:val="20"/>
                <w:szCs w:val="20"/>
                <w:lang w:val="hr-HR"/>
              </w:rPr>
            </w:pPr>
            <w:r w:rsidRPr="003611CF">
              <w:rPr>
                <w:rFonts w:ascii="Arial" w:eastAsia="Calibri" w:hAnsi="Arial" w:cs="Arial"/>
                <w:color w:val="000000"/>
                <w:sz w:val="20"/>
                <w:szCs w:val="20"/>
                <w:lang w:val="hr-HR"/>
              </w:rPr>
              <w:t>UO 08967 do 09016</w:t>
            </w:r>
          </w:p>
        </w:tc>
        <w:tc>
          <w:tcPr>
            <w:tcW w:w="1275" w:type="dxa"/>
            <w:shd w:val="clear" w:color="auto" w:fill="FEF4EC"/>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000000"/>
                <w:sz w:val="20"/>
                <w:szCs w:val="20"/>
                <w:lang w:val="hr-HR"/>
              </w:rPr>
            </w:pPr>
            <w:r w:rsidRPr="003611CF">
              <w:rPr>
                <w:rFonts w:ascii="Arial" w:eastAsia="Calibri" w:hAnsi="Arial" w:cs="Arial"/>
                <w:color w:val="000000"/>
                <w:sz w:val="20"/>
                <w:szCs w:val="20"/>
                <w:lang w:val="hr-HR"/>
              </w:rPr>
              <w:t>13.03.2020.</w:t>
            </w:r>
          </w:p>
        </w:tc>
        <w:tc>
          <w:tcPr>
            <w:tcW w:w="674" w:type="dxa"/>
            <w:shd w:val="clear" w:color="auto" w:fill="FEF4EC"/>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000000"/>
                <w:sz w:val="20"/>
                <w:szCs w:val="20"/>
                <w:lang w:val="hr-HR"/>
              </w:rPr>
            </w:pPr>
            <w:r w:rsidRPr="003611CF">
              <w:rPr>
                <w:rFonts w:ascii="Arial" w:eastAsia="Calibri" w:hAnsi="Arial" w:cs="Arial"/>
                <w:color w:val="000000"/>
                <w:sz w:val="20"/>
                <w:szCs w:val="20"/>
                <w:lang w:val="hr-HR"/>
              </w:rPr>
              <w:t>50</w:t>
            </w:r>
          </w:p>
        </w:tc>
      </w:tr>
      <w:tr w:rsidR="003611CF" w:rsidRPr="003611CF" w:rsidTr="003611CF">
        <w:tc>
          <w:tcPr>
            <w:tcW w:w="534" w:type="dxa"/>
            <w:shd w:val="clear" w:color="auto" w:fill="FDE9D9"/>
          </w:tcPr>
          <w:p w:rsidR="003611CF" w:rsidRPr="003611CF" w:rsidRDefault="003611CF" w:rsidP="003611CF">
            <w:pPr>
              <w:autoSpaceDE w:val="0"/>
              <w:autoSpaceDN w:val="0"/>
              <w:adjustRightInd w:val="0"/>
              <w:spacing w:before="0" w:after="0" w:line="240" w:lineRule="auto"/>
              <w:rPr>
                <w:rFonts w:ascii="Arial" w:eastAsia="Calibri" w:hAnsi="Arial" w:cs="Arial"/>
                <w:bCs/>
                <w:color w:val="000000"/>
                <w:sz w:val="20"/>
                <w:szCs w:val="20"/>
                <w:lang w:val="hr-HR"/>
              </w:rPr>
            </w:pPr>
            <w:r w:rsidRPr="003611CF">
              <w:rPr>
                <w:rFonts w:ascii="Arial" w:eastAsia="Calibri" w:hAnsi="Arial" w:cs="Arial"/>
                <w:bCs/>
                <w:color w:val="000000"/>
                <w:sz w:val="20"/>
                <w:szCs w:val="20"/>
                <w:lang w:val="hr-HR"/>
              </w:rPr>
              <w:t>2.</w:t>
            </w:r>
          </w:p>
        </w:tc>
        <w:tc>
          <w:tcPr>
            <w:tcW w:w="3969" w:type="dxa"/>
            <w:shd w:val="clear" w:color="auto" w:fill="FDE9D9"/>
          </w:tcPr>
          <w:p w:rsidR="003611CF" w:rsidRPr="003611CF" w:rsidRDefault="003611CF" w:rsidP="003611CF">
            <w:pPr>
              <w:autoSpaceDE w:val="0"/>
              <w:autoSpaceDN w:val="0"/>
              <w:adjustRightInd w:val="0"/>
              <w:spacing w:before="0" w:after="0" w:line="240" w:lineRule="auto"/>
              <w:rPr>
                <w:rFonts w:ascii="Arial" w:eastAsia="Calibri" w:hAnsi="Arial" w:cs="Arial"/>
                <w:color w:val="000000"/>
                <w:sz w:val="20"/>
                <w:szCs w:val="20"/>
                <w:lang w:val="hr-HR"/>
              </w:rPr>
            </w:pPr>
            <w:r w:rsidRPr="003611CF">
              <w:rPr>
                <w:rFonts w:ascii="Arial" w:eastAsia="Calibri" w:hAnsi="Arial" w:cs="Arial"/>
                <w:color w:val="000000"/>
                <w:sz w:val="20"/>
                <w:szCs w:val="20"/>
                <w:lang w:val="hr-HR"/>
              </w:rPr>
              <w:t>OHM„MAMULA MONTENEGRO" DSD TIVAT</w:t>
            </w:r>
          </w:p>
        </w:tc>
        <w:tc>
          <w:tcPr>
            <w:tcW w:w="1275"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000000"/>
                <w:sz w:val="20"/>
                <w:szCs w:val="20"/>
                <w:lang w:val="hr-HR"/>
              </w:rPr>
            </w:pPr>
            <w:r w:rsidRPr="003611CF">
              <w:rPr>
                <w:rFonts w:ascii="Arial" w:eastAsia="Calibri" w:hAnsi="Arial" w:cs="Arial"/>
                <w:color w:val="000000"/>
                <w:sz w:val="20"/>
                <w:szCs w:val="20"/>
                <w:lang w:val="hr-HR"/>
              </w:rPr>
              <w:t>03095924</w:t>
            </w:r>
          </w:p>
        </w:tc>
        <w:tc>
          <w:tcPr>
            <w:tcW w:w="2127"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000000"/>
                <w:sz w:val="20"/>
                <w:szCs w:val="20"/>
                <w:lang w:val="hr-HR"/>
              </w:rPr>
            </w:pPr>
            <w:r w:rsidRPr="003611CF">
              <w:rPr>
                <w:rFonts w:ascii="Arial" w:eastAsia="Calibri" w:hAnsi="Arial" w:cs="Arial"/>
                <w:color w:val="000000"/>
                <w:sz w:val="20"/>
                <w:szCs w:val="20"/>
                <w:lang w:val="hr-HR"/>
              </w:rPr>
              <w:t>Uo-09017 do 09216</w:t>
            </w:r>
          </w:p>
        </w:tc>
        <w:tc>
          <w:tcPr>
            <w:tcW w:w="1275"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000000"/>
                <w:sz w:val="20"/>
                <w:szCs w:val="20"/>
                <w:lang w:val="hr-HR"/>
              </w:rPr>
            </w:pPr>
            <w:r w:rsidRPr="003611CF">
              <w:rPr>
                <w:rFonts w:ascii="Arial" w:eastAsia="Calibri" w:hAnsi="Arial" w:cs="Arial"/>
                <w:color w:val="000000"/>
                <w:sz w:val="20"/>
                <w:szCs w:val="20"/>
                <w:lang w:val="hr-HR"/>
              </w:rPr>
              <w:t>18.03.2020.</w:t>
            </w:r>
          </w:p>
        </w:tc>
        <w:tc>
          <w:tcPr>
            <w:tcW w:w="674"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000000"/>
                <w:sz w:val="20"/>
                <w:szCs w:val="20"/>
                <w:lang w:val="hr-HR"/>
              </w:rPr>
            </w:pPr>
            <w:r w:rsidRPr="003611CF">
              <w:rPr>
                <w:rFonts w:ascii="Arial" w:eastAsia="Calibri" w:hAnsi="Arial" w:cs="Arial"/>
                <w:color w:val="000000"/>
                <w:sz w:val="20"/>
                <w:szCs w:val="20"/>
                <w:lang w:val="hr-HR"/>
              </w:rPr>
              <w:t>200</w:t>
            </w:r>
          </w:p>
        </w:tc>
      </w:tr>
      <w:tr w:rsidR="003611CF" w:rsidRPr="003611CF" w:rsidTr="003611CF">
        <w:tc>
          <w:tcPr>
            <w:tcW w:w="534" w:type="dxa"/>
            <w:shd w:val="clear" w:color="auto" w:fill="FEF4EC"/>
          </w:tcPr>
          <w:p w:rsidR="003611CF" w:rsidRPr="003611CF" w:rsidRDefault="003611CF" w:rsidP="003611CF">
            <w:pPr>
              <w:autoSpaceDE w:val="0"/>
              <w:autoSpaceDN w:val="0"/>
              <w:adjustRightInd w:val="0"/>
              <w:spacing w:before="0" w:after="0" w:line="240" w:lineRule="auto"/>
              <w:rPr>
                <w:rFonts w:ascii="Arial" w:eastAsia="Calibri" w:hAnsi="Arial" w:cs="Arial"/>
                <w:bCs/>
                <w:color w:val="000000"/>
                <w:sz w:val="20"/>
                <w:szCs w:val="20"/>
                <w:lang w:val="hr-HR"/>
              </w:rPr>
            </w:pPr>
            <w:r w:rsidRPr="003611CF">
              <w:rPr>
                <w:rFonts w:ascii="Arial" w:eastAsia="Calibri" w:hAnsi="Arial" w:cs="Arial"/>
                <w:bCs/>
                <w:color w:val="000000"/>
                <w:sz w:val="20"/>
                <w:szCs w:val="20"/>
                <w:lang w:val="hr-HR"/>
              </w:rPr>
              <w:t>3.</w:t>
            </w:r>
          </w:p>
        </w:tc>
        <w:tc>
          <w:tcPr>
            <w:tcW w:w="3969" w:type="dxa"/>
            <w:shd w:val="clear" w:color="auto" w:fill="FEF4EC"/>
          </w:tcPr>
          <w:p w:rsidR="003611CF" w:rsidRPr="003611CF" w:rsidRDefault="003611CF" w:rsidP="003611CF">
            <w:pPr>
              <w:autoSpaceDE w:val="0"/>
              <w:autoSpaceDN w:val="0"/>
              <w:adjustRightInd w:val="0"/>
              <w:spacing w:before="0" w:after="0" w:line="240" w:lineRule="auto"/>
              <w:rPr>
                <w:rFonts w:ascii="Arial" w:eastAsia="Calibri" w:hAnsi="Arial" w:cs="Arial"/>
                <w:color w:val="000000"/>
                <w:sz w:val="20"/>
                <w:szCs w:val="20"/>
                <w:lang w:val="hr-HR"/>
              </w:rPr>
            </w:pPr>
            <w:r w:rsidRPr="003611CF">
              <w:rPr>
                <w:rFonts w:ascii="Arial" w:eastAsia="Calibri" w:hAnsi="Arial" w:cs="Arial"/>
                <w:color w:val="000000"/>
                <w:sz w:val="20"/>
                <w:szCs w:val="20"/>
                <w:lang w:val="hr-HR"/>
              </w:rPr>
              <w:t>„DURMITOR HOTEL AND VILLAS“  DOO ŽABLJAK</w:t>
            </w:r>
          </w:p>
        </w:tc>
        <w:tc>
          <w:tcPr>
            <w:tcW w:w="1275" w:type="dxa"/>
            <w:shd w:val="clear" w:color="auto" w:fill="FEF4EC"/>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000000"/>
                <w:sz w:val="20"/>
                <w:szCs w:val="20"/>
                <w:lang w:val="hr-HR"/>
              </w:rPr>
            </w:pPr>
            <w:r w:rsidRPr="003611CF">
              <w:rPr>
                <w:rFonts w:ascii="Arial" w:eastAsia="Calibri" w:hAnsi="Arial" w:cs="Arial"/>
                <w:color w:val="000000"/>
                <w:sz w:val="20"/>
                <w:szCs w:val="20"/>
                <w:lang w:val="hr-HR"/>
              </w:rPr>
              <w:t>03236706</w:t>
            </w:r>
          </w:p>
        </w:tc>
        <w:tc>
          <w:tcPr>
            <w:tcW w:w="2127" w:type="dxa"/>
            <w:shd w:val="clear" w:color="auto" w:fill="FEF4EC"/>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000000"/>
                <w:sz w:val="20"/>
                <w:szCs w:val="20"/>
                <w:lang w:val="hr-HR"/>
              </w:rPr>
            </w:pPr>
            <w:r w:rsidRPr="003611CF">
              <w:rPr>
                <w:rFonts w:ascii="Arial" w:eastAsia="Calibri" w:hAnsi="Arial" w:cs="Arial"/>
                <w:color w:val="000000"/>
                <w:sz w:val="20"/>
                <w:szCs w:val="20"/>
                <w:lang w:val="hr-HR"/>
              </w:rPr>
              <w:t>UO 09217 do 09516</w:t>
            </w:r>
          </w:p>
        </w:tc>
        <w:tc>
          <w:tcPr>
            <w:tcW w:w="1275" w:type="dxa"/>
            <w:shd w:val="clear" w:color="auto" w:fill="FEF4EC"/>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000000"/>
                <w:sz w:val="20"/>
                <w:szCs w:val="20"/>
                <w:lang w:val="hr-HR"/>
              </w:rPr>
            </w:pPr>
            <w:r w:rsidRPr="003611CF">
              <w:rPr>
                <w:rFonts w:ascii="Arial" w:eastAsia="Calibri" w:hAnsi="Arial" w:cs="Arial"/>
                <w:color w:val="000000"/>
                <w:sz w:val="20"/>
                <w:szCs w:val="20"/>
                <w:lang w:val="hr-HR"/>
              </w:rPr>
              <w:t>02.06.2020.</w:t>
            </w:r>
          </w:p>
        </w:tc>
        <w:tc>
          <w:tcPr>
            <w:tcW w:w="674" w:type="dxa"/>
            <w:shd w:val="clear" w:color="auto" w:fill="FEF4EC"/>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000000"/>
                <w:sz w:val="20"/>
                <w:szCs w:val="20"/>
                <w:lang w:val="hr-HR"/>
              </w:rPr>
            </w:pPr>
            <w:r w:rsidRPr="003611CF">
              <w:rPr>
                <w:rFonts w:ascii="Arial" w:eastAsia="Calibri" w:hAnsi="Arial" w:cs="Arial"/>
                <w:color w:val="000000"/>
                <w:sz w:val="20"/>
                <w:szCs w:val="20"/>
                <w:lang w:val="hr-HR"/>
              </w:rPr>
              <w:t>300</w:t>
            </w:r>
          </w:p>
        </w:tc>
      </w:tr>
      <w:tr w:rsidR="003611CF" w:rsidRPr="003611CF" w:rsidTr="003611CF">
        <w:tc>
          <w:tcPr>
            <w:tcW w:w="534" w:type="dxa"/>
            <w:shd w:val="clear" w:color="auto" w:fill="FDE9D9"/>
          </w:tcPr>
          <w:p w:rsidR="003611CF" w:rsidRPr="003611CF" w:rsidRDefault="003611CF" w:rsidP="003611CF">
            <w:pPr>
              <w:autoSpaceDE w:val="0"/>
              <w:autoSpaceDN w:val="0"/>
              <w:adjustRightInd w:val="0"/>
              <w:spacing w:before="0" w:after="0" w:line="240" w:lineRule="auto"/>
              <w:rPr>
                <w:rFonts w:ascii="Arial" w:eastAsia="Calibri" w:hAnsi="Arial" w:cs="Arial"/>
                <w:bCs/>
                <w:color w:val="000000"/>
                <w:sz w:val="20"/>
                <w:szCs w:val="20"/>
                <w:lang w:val="hr-HR"/>
              </w:rPr>
            </w:pPr>
            <w:r w:rsidRPr="003611CF">
              <w:rPr>
                <w:rFonts w:ascii="Arial" w:eastAsia="Calibri" w:hAnsi="Arial" w:cs="Arial"/>
                <w:bCs/>
                <w:color w:val="000000"/>
                <w:sz w:val="20"/>
                <w:szCs w:val="20"/>
                <w:lang w:val="hr-HR"/>
              </w:rPr>
              <w:t>4.</w:t>
            </w:r>
          </w:p>
        </w:tc>
        <w:tc>
          <w:tcPr>
            <w:tcW w:w="3969" w:type="dxa"/>
            <w:shd w:val="clear" w:color="auto" w:fill="FDE9D9"/>
          </w:tcPr>
          <w:p w:rsidR="003611CF" w:rsidRPr="003611CF" w:rsidRDefault="003611CF" w:rsidP="003611CF">
            <w:pPr>
              <w:autoSpaceDE w:val="0"/>
              <w:autoSpaceDN w:val="0"/>
              <w:adjustRightInd w:val="0"/>
              <w:spacing w:before="0" w:after="0" w:line="240" w:lineRule="auto"/>
              <w:rPr>
                <w:rFonts w:ascii="Arial" w:eastAsia="Calibri" w:hAnsi="Arial" w:cs="Arial"/>
                <w:color w:val="000000"/>
                <w:sz w:val="20"/>
                <w:szCs w:val="20"/>
                <w:lang w:val="hr-HR"/>
              </w:rPr>
            </w:pPr>
            <w:r w:rsidRPr="003611CF">
              <w:rPr>
                <w:rFonts w:ascii="Arial" w:eastAsia="Calibri" w:hAnsi="Arial" w:cs="Arial"/>
                <w:color w:val="000000"/>
                <w:sz w:val="20"/>
                <w:szCs w:val="20"/>
                <w:lang w:val="hr-HR"/>
              </w:rPr>
              <w:t>„ADRIATIC BAY CORPORATION“  DOO</w:t>
            </w:r>
          </w:p>
        </w:tc>
        <w:tc>
          <w:tcPr>
            <w:tcW w:w="1275"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000000"/>
                <w:sz w:val="20"/>
                <w:szCs w:val="20"/>
                <w:lang w:val="hr-HR"/>
              </w:rPr>
            </w:pPr>
            <w:r w:rsidRPr="003611CF">
              <w:rPr>
                <w:rFonts w:ascii="Arial" w:eastAsia="Calibri" w:hAnsi="Arial" w:cs="Arial"/>
                <w:color w:val="000000"/>
                <w:sz w:val="20"/>
                <w:szCs w:val="20"/>
                <w:lang w:val="hr-HR"/>
              </w:rPr>
              <w:t>03181642</w:t>
            </w:r>
          </w:p>
        </w:tc>
        <w:tc>
          <w:tcPr>
            <w:tcW w:w="2127"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000000"/>
                <w:sz w:val="20"/>
                <w:szCs w:val="20"/>
                <w:lang w:val="hr-HR"/>
              </w:rPr>
            </w:pPr>
            <w:r w:rsidRPr="003611CF">
              <w:rPr>
                <w:rFonts w:ascii="Arial" w:eastAsia="Calibri" w:hAnsi="Arial" w:cs="Arial"/>
                <w:color w:val="000000"/>
                <w:sz w:val="20"/>
                <w:szCs w:val="20"/>
                <w:lang w:val="hr-HR"/>
              </w:rPr>
              <w:t>UO 09567 do 09666</w:t>
            </w:r>
          </w:p>
        </w:tc>
        <w:tc>
          <w:tcPr>
            <w:tcW w:w="1275"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000000"/>
                <w:sz w:val="20"/>
                <w:szCs w:val="20"/>
                <w:lang w:val="hr-HR"/>
              </w:rPr>
            </w:pPr>
            <w:r w:rsidRPr="003611CF">
              <w:rPr>
                <w:rFonts w:ascii="Arial" w:eastAsia="Calibri" w:hAnsi="Arial" w:cs="Arial"/>
                <w:color w:val="000000"/>
                <w:sz w:val="20"/>
                <w:szCs w:val="20"/>
                <w:lang w:val="hr-HR"/>
              </w:rPr>
              <w:t>20.07.2020.</w:t>
            </w:r>
          </w:p>
        </w:tc>
        <w:tc>
          <w:tcPr>
            <w:tcW w:w="674"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000000"/>
                <w:sz w:val="20"/>
                <w:szCs w:val="20"/>
                <w:lang w:val="hr-HR"/>
              </w:rPr>
            </w:pPr>
            <w:r w:rsidRPr="003611CF">
              <w:rPr>
                <w:rFonts w:ascii="Arial" w:eastAsia="Calibri" w:hAnsi="Arial" w:cs="Arial"/>
                <w:color w:val="000000"/>
                <w:sz w:val="20"/>
                <w:szCs w:val="20"/>
                <w:lang w:val="hr-HR"/>
              </w:rPr>
              <w:t>100</w:t>
            </w:r>
          </w:p>
        </w:tc>
      </w:tr>
      <w:tr w:rsidR="003611CF" w:rsidRPr="003611CF" w:rsidTr="003611CF">
        <w:tc>
          <w:tcPr>
            <w:tcW w:w="534" w:type="dxa"/>
            <w:shd w:val="clear" w:color="auto" w:fill="FEF4EC"/>
          </w:tcPr>
          <w:p w:rsidR="003611CF" w:rsidRPr="003611CF" w:rsidRDefault="003611CF" w:rsidP="003611CF">
            <w:pPr>
              <w:autoSpaceDE w:val="0"/>
              <w:autoSpaceDN w:val="0"/>
              <w:adjustRightInd w:val="0"/>
              <w:spacing w:before="0" w:after="0" w:line="240" w:lineRule="auto"/>
              <w:rPr>
                <w:rFonts w:ascii="Arial" w:eastAsia="Calibri" w:hAnsi="Arial" w:cs="Arial"/>
                <w:bCs/>
                <w:color w:val="000000"/>
                <w:sz w:val="20"/>
                <w:szCs w:val="20"/>
                <w:lang w:val="hr-HR"/>
              </w:rPr>
            </w:pPr>
            <w:r w:rsidRPr="003611CF">
              <w:rPr>
                <w:rFonts w:ascii="Arial" w:eastAsia="Calibri" w:hAnsi="Arial" w:cs="Arial"/>
                <w:bCs/>
                <w:color w:val="000000"/>
                <w:sz w:val="20"/>
                <w:szCs w:val="20"/>
                <w:lang w:val="hr-HR"/>
              </w:rPr>
              <w:t>5.</w:t>
            </w:r>
          </w:p>
        </w:tc>
        <w:tc>
          <w:tcPr>
            <w:tcW w:w="3969" w:type="dxa"/>
            <w:shd w:val="clear" w:color="auto" w:fill="FEF4EC"/>
          </w:tcPr>
          <w:p w:rsidR="003611CF" w:rsidRPr="003611CF" w:rsidRDefault="003611CF" w:rsidP="003611CF">
            <w:pPr>
              <w:autoSpaceDE w:val="0"/>
              <w:autoSpaceDN w:val="0"/>
              <w:adjustRightInd w:val="0"/>
              <w:spacing w:before="0" w:after="0" w:line="240" w:lineRule="auto"/>
              <w:rPr>
                <w:rFonts w:ascii="Arial" w:eastAsia="Calibri" w:hAnsi="Arial" w:cs="Arial"/>
                <w:color w:val="000000"/>
                <w:sz w:val="20"/>
                <w:szCs w:val="20"/>
                <w:lang w:val="hr-HR"/>
              </w:rPr>
            </w:pPr>
            <w:r w:rsidRPr="003611CF">
              <w:rPr>
                <w:rFonts w:ascii="Arial" w:eastAsia="Calibri" w:hAnsi="Arial" w:cs="Arial"/>
                <w:color w:val="000000"/>
                <w:sz w:val="20"/>
                <w:szCs w:val="20"/>
                <w:lang w:val="hr-HR"/>
              </w:rPr>
              <w:t>"ADRIATIC PROPERTIES" DOO</w:t>
            </w:r>
          </w:p>
        </w:tc>
        <w:tc>
          <w:tcPr>
            <w:tcW w:w="1275" w:type="dxa"/>
            <w:shd w:val="clear" w:color="auto" w:fill="FEF4EC"/>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000000"/>
                <w:sz w:val="20"/>
                <w:szCs w:val="20"/>
                <w:lang w:val="hr-HR"/>
              </w:rPr>
            </w:pPr>
            <w:r w:rsidRPr="003611CF">
              <w:rPr>
                <w:rFonts w:ascii="Arial" w:eastAsia="Calibri" w:hAnsi="Arial" w:cs="Arial"/>
                <w:color w:val="000000"/>
                <w:sz w:val="20"/>
                <w:szCs w:val="20"/>
                <w:lang w:val="hr-HR"/>
              </w:rPr>
              <w:t>02638495</w:t>
            </w:r>
          </w:p>
        </w:tc>
        <w:tc>
          <w:tcPr>
            <w:tcW w:w="2127" w:type="dxa"/>
            <w:shd w:val="clear" w:color="auto" w:fill="FEF4EC"/>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000000"/>
                <w:sz w:val="20"/>
                <w:szCs w:val="20"/>
                <w:lang w:val="hr-HR"/>
              </w:rPr>
            </w:pPr>
            <w:r w:rsidRPr="003611CF">
              <w:rPr>
                <w:rFonts w:ascii="Arial" w:eastAsia="Calibri" w:hAnsi="Arial" w:cs="Arial"/>
                <w:color w:val="000000"/>
                <w:sz w:val="20"/>
                <w:szCs w:val="20"/>
                <w:lang w:val="hr-HR"/>
              </w:rPr>
              <w:t>UO 09517 do 09566</w:t>
            </w:r>
          </w:p>
        </w:tc>
        <w:tc>
          <w:tcPr>
            <w:tcW w:w="1275" w:type="dxa"/>
            <w:shd w:val="clear" w:color="auto" w:fill="FEF4EC"/>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000000"/>
                <w:sz w:val="20"/>
                <w:szCs w:val="20"/>
                <w:lang w:val="hr-HR"/>
              </w:rPr>
            </w:pPr>
            <w:r w:rsidRPr="003611CF">
              <w:rPr>
                <w:rFonts w:ascii="Arial" w:eastAsia="Calibri" w:hAnsi="Arial" w:cs="Arial"/>
                <w:color w:val="000000"/>
                <w:sz w:val="20"/>
                <w:szCs w:val="20"/>
                <w:lang w:val="hr-HR"/>
              </w:rPr>
              <w:t>22.07.2020.</w:t>
            </w:r>
          </w:p>
        </w:tc>
        <w:tc>
          <w:tcPr>
            <w:tcW w:w="674" w:type="dxa"/>
            <w:shd w:val="clear" w:color="auto" w:fill="FEF4EC"/>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000000"/>
                <w:sz w:val="20"/>
                <w:szCs w:val="20"/>
                <w:lang w:val="hr-HR"/>
              </w:rPr>
            </w:pPr>
            <w:r w:rsidRPr="003611CF">
              <w:rPr>
                <w:rFonts w:ascii="Arial" w:eastAsia="Calibri" w:hAnsi="Arial" w:cs="Arial"/>
                <w:color w:val="000000"/>
                <w:sz w:val="20"/>
                <w:szCs w:val="20"/>
                <w:lang w:val="hr-HR"/>
              </w:rPr>
              <w:t>50</w:t>
            </w:r>
          </w:p>
        </w:tc>
      </w:tr>
      <w:tr w:rsidR="003611CF" w:rsidRPr="003611CF" w:rsidTr="003611CF">
        <w:tc>
          <w:tcPr>
            <w:tcW w:w="534" w:type="dxa"/>
            <w:shd w:val="clear" w:color="auto" w:fill="FDE9D9"/>
          </w:tcPr>
          <w:p w:rsidR="003611CF" w:rsidRPr="003611CF" w:rsidRDefault="003611CF" w:rsidP="003611CF">
            <w:pPr>
              <w:autoSpaceDE w:val="0"/>
              <w:autoSpaceDN w:val="0"/>
              <w:adjustRightInd w:val="0"/>
              <w:spacing w:before="0" w:after="0" w:line="240" w:lineRule="auto"/>
              <w:rPr>
                <w:rFonts w:ascii="Arial" w:eastAsia="Calibri" w:hAnsi="Arial" w:cs="Arial"/>
                <w:bCs/>
                <w:color w:val="000000"/>
                <w:sz w:val="20"/>
                <w:szCs w:val="20"/>
                <w:lang w:val="hr-HR"/>
              </w:rPr>
            </w:pPr>
            <w:r w:rsidRPr="003611CF">
              <w:rPr>
                <w:rFonts w:ascii="Arial" w:eastAsia="Calibri" w:hAnsi="Arial" w:cs="Arial"/>
                <w:bCs/>
                <w:color w:val="000000"/>
                <w:sz w:val="20"/>
                <w:szCs w:val="20"/>
                <w:lang w:val="hr-HR"/>
              </w:rPr>
              <w:t>6.</w:t>
            </w:r>
          </w:p>
        </w:tc>
        <w:tc>
          <w:tcPr>
            <w:tcW w:w="3969" w:type="dxa"/>
            <w:shd w:val="clear" w:color="auto" w:fill="FDE9D9"/>
          </w:tcPr>
          <w:p w:rsidR="003611CF" w:rsidRPr="003611CF" w:rsidRDefault="003611CF" w:rsidP="003611CF">
            <w:pPr>
              <w:autoSpaceDE w:val="0"/>
              <w:autoSpaceDN w:val="0"/>
              <w:adjustRightInd w:val="0"/>
              <w:spacing w:before="0" w:after="0" w:line="240" w:lineRule="auto"/>
              <w:rPr>
                <w:rFonts w:ascii="Arial" w:eastAsia="Calibri" w:hAnsi="Arial" w:cs="Arial"/>
                <w:color w:val="000000"/>
                <w:sz w:val="20"/>
                <w:szCs w:val="20"/>
                <w:lang w:val="hr-HR"/>
              </w:rPr>
            </w:pPr>
            <w:r w:rsidRPr="003611CF">
              <w:rPr>
                <w:rFonts w:ascii="Arial" w:eastAsia="Calibri" w:hAnsi="Arial" w:cs="Arial"/>
                <w:color w:val="000000"/>
                <w:sz w:val="20"/>
                <w:szCs w:val="20"/>
                <w:lang w:val="hr-HR"/>
              </w:rPr>
              <w:t>„MONTENEGRO LUXURI HOTELS AND RESORTS“ DOO</w:t>
            </w:r>
          </w:p>
        </w:tc>
        <w:tc>
          <w:tcPr>
            <w:tcW w:w="1275"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000000"/>
                <w:sz w:val="20"/>
                <w:szCs w:val="20"/>
                <w:lang w:val="hr-HR"/>
              </w:rPr>
            </w:pPr>
            <w:r w:rsidRPr="003611CF">
              <w:rPr>
                <w:rFonts w:ascii="Arial" w:eastAsia="Calibri" w:hAnsi="Arial" w:cs="Arial"/>
                <w:color w:val="000000"/>
                <w:sz w:val="20"/>
                <w:szCs w:val="20"/>
                <w:lang w:val="hr-HR"/>
              </w:rPr>
              <w:t>033307166</w:t>
            </w:r>
          </w:p>
        </w:tc>
        <w:tc>
          <w:tcPr>
            <w:tcW w:w="2127"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000000"/>
                <w:sz w:val="20"/>
                <w:szCs w:val="20"/>
                <w:lang w:val="hr-HR"/>
              </w:rPr>
            </w:pPr>
            <w:r w:rsidRPr="003611CF">
              <w:rPr>
                <w:rFonts w:ascii="Arial" w:eastAsia="Calibri" w:hAnsi="Arial" w:cs="Arial"/>
                <w:color w:val="000000"/>
                <w:sz w:val="20"/>
                <w:szCs w:val="20"/>
                <w:lang w:val="hr-HR"/>
              </w:rPr>
              <w:t>UO 09667 do 09866</w:t>
            </w:r>
          </w:p>
        </w:tc>
        <w:tc>
          <w:tcPr>
            <w:tcW w:w="1275"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000000"/>
                <w:sz w:val="20"/>
                <w:szCs w:val="20"/>
                <w:lang w:val="hr-HR"/>
              </w:rPr>
            </w:pPr>
            <w:r w:rsidRPr="003611CF">
              <w:rPr>
                <w:rFonts w:ascii="Arial" w:eastAsia="Calibri" w:hAnsi="Arial" w:cs="Arial"/>
                <w:color w:val="000000"/>
                <w:sz w:val="20"/>
                <w:szCs w:val="20"/>
                <w:lang w:val="hr-HR"/>
              </w:rPr>
              <w:t>03.11.2020.</w:t>
            </w:r>
          </w:p>
        </w:tc>
        <w:tc>
          <w:tcPr>
            <w:tcW w:w="674"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000000"/>
                <w:sz w:val="20"/>
                <w:szCs w:val="20"/>
                <w:lang w:val="hr-HR"/>
              </w:rPr>
            </w:pPr>
            <w:r w:rsidRPr="003611CF">
              <w:rPr>
                <w:rFonts w:ascii="Arial" w:eastAsia="Calibri" w:hAnsi="Arial" w:cs="Arial"/>
                <w:color w:val="000000"/>
                <w:sz w:val="20"/>
                <w:szCs w:val="20"/>
                <w:lang w:val="hr-HR"/>
              </w:rPr>
              <w:t>200</w:t>
            </w:r>
          </w:p>
        </w:tc>
      </w:tr>
      <w:tr w:rsidR="003611CF" w:rsidRPr="003611CF" w:rsidTr="003611CF">
        <w:tc>
          <w:tcPr>
            <w:tcW w:w="534" w:type="dxa"/>
            <w:shd w:val="clear" w:color="auto" w:fill="FEF4EC"/>
          </w:tcPr>
          <w:p w:rsidR="003611CF" w:rsidRPr="003611CF" w:rsidRDefault="003611CF" w:rsidP="003611CF">
            <w:pPr>
              <w:autoSpaceDE w:val="0"/>
              <w:autoSpaceDN w:val="0"/>
              <w:adjustRightInd w:val="0"/>
              <w:spacing w:before="0" w:after="0" w:line="240" w:lineRule="auto"/>
              <w:rPr>
                <w:rFonts w:ascii="Arial" w:eastAsia="Calibri" w:hAnsi="Arial" w:cs="Arial"/>
                <w:bCs/>
                <w:color w:val="000000"/>
                <w:sz w:val="20"/>
                <w:szCs w:val="20"/>
                <w:lang w:val="hr-HR"/>
              </w:rPr>
            </w:pPr>
            <w:r w:rsidRPr="003611CF">
              <w:rPr>
                <w:rFonts w:ascii="Arial" w:eastAsia="Calibri" w:hAnsi="Arial" w:cs="Arial"/>
                <w:bCs/>
                <w:color w:val="000000"/>
                <w:sz w:val="20"/>
                <w:szCs w:val="20"/>
                <w:lang w:val="hr-HR"/>
              </w:rPr>
              <w:t>7.</w:t>
            </w:r>
          </w:p>
        </w:tc>
        <w:tc>
          <w:tcPr>
            <w:tcW w:w="3969" w:type="dxa"/>
            <w:shd w:val="clear" w:color="auto" w:fill="FEF4EC"/>
          </w:tcPr>
          <w:p w:rsidR="003611CF" w:rsidRPr="003611CF" w:rsidRDefault="003611CF" w:rsidP="003611CF">
            <w:pPr>
              <w:autoSpaceDE w:val="0"/>
              <w:autoSpaceDN w:val="0"/>
              <w:adjustRightInd w:val="0"/>
              <w:spacing w:before="0" w:after="0" w:line="240" w:lineRule="auto"/>
              <w:rPr>
                <w:rFonts w:ascii="Arial" w:eastAsia="Calibri" w:hAnsi="Arial" w:cs="Arial"/>
                <w:color w:val="000000"/>
                <w:sz w:val="20"/>
                <w:szCs w:val="20"/>
                <w:lang w:val="hr-HR"/>
              </w:rPr>
            </w:pPr>
            <w:r w:rsidRPr="003611CF">
              <w:rPr>
                <w:rFonts w:ascii="Arial" w:eastAsia="Calibri" w:hAnsi="Arial" w:cs="Arial"/>
                <w:color w:val="000000"/>
                <w:sz w:val="20"/>
                <w:szCs w:val="20"/>
                <w:lang w:val="hr-HR"/>
              </w:rPr>
              <w:t>„MASTER INŽENJERING“ DOO</w:t>
            </w:r>
          </w:p>
        </w:tc>
        <w:tc>
          <w:tcPr>
            <w:tcW w:w="1275" w:type="dxa"/>
            <w:shd w:val="clear" w:color="auto" w:fill="FEF4EC"/>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000000"/>
                <w:sz w:val="20"/>
                <w:szCs w:val="20"/>
                <w:lang w:val="hr-HR"/>
              </w:rPr>
            </w:pPr>
            <w:r w:rsidRPr="003611CF">
              <w:rPr>
                <w:rFonts w:ascii="Arial" w:eastAsia="Calibri" w:hAnsi="Arial" w:cs="Arial"/>
                <w:color w:val="000000"/>
                <w:sz w:val="20"/>
                <w:szCs w:val="20"/>
                <w:lang w:val="hr-HR"/>
              </w:rPr>
              <w:t>02302586</w:t>
            </w:r>
          </w:p>
        </w:tc>
        <w:tc>
          <w:tcPr>
            <w:tcW w:w="2127" w:type="dxa"/>
            <w:shd w:val="clear" w:color="auto" w:fill="FEF4EC"/>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000000"/>
                <w:sz w:val="20"/>
                <w:szCs w:val="20"/>
                <w:lang w:val="hr-HR"/>
              </w:rPr>
            </w:pPr>
            <w:r w:rsidRPr="003611CF">
              <w:rPr>
                <w:rFonts w:ascii="Arial" w:eastAsia="Calibri" w:hAnsi="Arial" w:cs="Arial"/>
                <w:color w:val="000000"/>
                <w:sz w:val="20"/>
                <w:szCs w:val="20"/>
                <w:lang w:val="hr-HR"/>
              </w:rPr>
              <w:t>UO 09867 do 09966</w:t>
            </w:r>
          </w:p>
        </w:tc>
        <w:tc>
          <w:tcPr>
            <w:tcW w:w="1275" w:type="dxa"/>
            <w:shd w:val="clear" w:color="auto" w:fill="FEF4EC"/>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000000"/>
                <w:sz w:val="20"/>
                <w:szCs w:val="20"/>
                <w:lang w:val="hr-HR"/>
              </w:rPr>
            </w:pPr>
            <w:r w:rsidRPr="003611CF">
              <w:rPr>
                <w:rFonts w:ascii="Arial" w:eastAsia="Calibri" w:hAnsi="Arial" w:cs="Arial"/>
                <w:color w:val="000000"/>
                <w:sz w:val="20"/>
                <w:szCs w:val="20"/>
                <w:lang w:val="hr-HR"/>
              </w:rPr>
              <w:t>30.12.2020.</w:t>
            </w:r>
          </w:p>
        </w:tc>
        <w:tc>
          <w:tcPr>
            <w:tcW w:w="674" w:type="dxa"/>
            <w:shd w:val="clear" w:color="auto" w:fill="FEF4EC"/>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000000"/>
                <w:sz w:val="20"/>
                <w:szCs w:val="20"/>
                <w:lang w:val="hr-HR"/>
              </w:rPr>
            </w:pPr>
            <w:r w:rsidRPr="003611CF">
              <w:rPr>
                <w:rFonts w:ascii="Arial" w:eastAsia="Calibri" w:hAnsi="Arial" w:cs="Arial"/>
                <w:color w:val="000000"/>
                <w:sz w:val="20"/>
                <w:szCs w:val="20"/>
                <w:lang w:val="hr-HR"/>
              </w:rPr>
              <w:t>100</w:t>
            </w:r>
          </w:p>
        </w:tc>
      </w:tr>
      <w:tr w:rsidR="003611CF" w:rsidRPr="003611CF" w:rsidTr="003611CF">
        <w:tc>
          <w:tcPr>
            <w:tcW w:w="5778" w:type="dxa"/>
            <w:gridSpan w:val="3"/>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b/>
                <w:bCs/>
                <w:color w:val="000000"/>
                <w:sz w:val="20"/>
                <w:szCs w:val="20"/>
                <w:lang w:val="hr-HR"/>
              </w:rPr>
            </w:pPr>
            <w:r w:rsidRPr="003611CF">
              <w:rPr>
                <w:rFonts w:ascii="Arial" w:eastAsia="Calibri" w:hAnsi="Arial" w:cs="Arial"/>
                <w:b/>
                <w:bCs/>
                <w:color w:val="000000"/>
                <w:sz w:val="20"/>
                <w:szCs w:val="20"/>
                <w:lang w:val="hr-HR"/>
              </w:rPr>
              <w:t>Ukupno izdato: 1.000 komada kontrolnih markica</w:t>
            </w:r>
          </w:p>
        </w:tc>
        <w:tc>
          <w:tcPr>
            <w:tcW w:w="2127"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000000"/>
                <w:sz w:val="20"/>
                <w:szCs w:val="20"/>
                <w:lang w:val="hr-HR"/>
              </w:rPr>
            </w:pPr>
          </w:p>
        </w:tc>
        <w:tc>
          <w:tcPr>
            <w:tcW w:w="1275"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000000"/>
                <w:sz w:val="20"/>
                <w:szCs w:val="20"/>
                <w:lang w:val="hr-HR"/>
              </w:rPr>
            </w:pPr>
          </w:p>
        </w:tc>
        <w:tc>
          <w:tcPr>
            <w:tcW w:w="674"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color w:val="000000"/>
                <w:sz w:val="20"/>
                <w:szCs w:val="20"/>
                <w:lang w:val="hr-HR"/>
              </w:rPr>
            </w:pPr>
          </w:p>
        </w:tc>
      </w:tr>
    </w:tbl>
    <w:p w:rsidR="003611CF" w:rsidRPr="003611CF" w:rsidRDefault="003611CF" w:rsidP="003611CF">
      <w:pPr>
        <w:spacing w:before="0" w:after="0" w:line="240" w:lineRule="auto"/>
        <w:rPr>
          <w:rFonts w:ascii="Arial" w:eastAsia="Times New Roman" w:hAnsi="Arial" w:cs="Arial"/>
          <w:sz w:val="22"/>
          <w:lang w:val="hr-HR"/>
        </w:rPr>
      </w:pPr>
    </w:p>
    <w:tbl>
      <w:tblPr>
        <w:tblW w:w="0" w:type="auto"/>
        <w:tblLook w:val="04A0" w:firstRow="1" w:lastRow="0" w:firstColumn="1" w:lastColumn="0" w:noHBand="0" w:noVBand="1"/>
      </w:tblPr>
      <w:tblGrid>
        <w:gridCol w:w="4817"/>
        <w:gridCol w:w="4821"/>
      </w:tblGrid>
      <w:tr w:rsidR="003611CF" w:rsidRPr="003611CF" w:rsidTr="003611CF">
        <w:tc>
          <w:tcPr>
            <w:tcW w:w="9854" w:type="dxa"/>
            <w:gridSpan w:val="2"/>
            <w:tcBorders>
              <w:bottom w:val="single" w:sz="12" w:space="0" w:color="FFFFFF"/>
            </w:tcBorders>
            <w:shd w:val="clear" w:color="auto" w:fill="348DA5"/>
            <w:vAlign w:val="bottom"/>
          </w:tcPr>
          <w:p w:rsidR="003611CF" w:rsidRPr="003611CF" w:rsidRDefault="003611CF" w:rsidP="003611CF">
            <w:pPr>
              <w:spacing w:before="0" w:after="0" w:line="240" w:lineRule="auto"/>
              <w:jc w:val="center"/>
              <w:rPr>
                <w:rFonts w:ascii="Arial" w:eastAsia="Calibri" w:hAnsi="Arial" w:cs="Arial"/>
                <w:color w:val="FFFFFF"/>
                <w:sz w:val="20"/>
                <w:lang w:val="en-GB" w:eastAsia="hr-HR"/>
              </w:rPr>
            </w:pPr>
            <w:r w:rsidRPr="003611CF">
              <w:rPr>
                <w:rFonts w:ascii="Arial" w:eastAsia="Calibri" w:hAnsi="Arial" w:cs="Arial"/>
                <w:color w:val="FFFFFF"/>
                <w:sz w:val="20"/>
                <w:lang w:val="en-GB" w:eastAsia="hr-HR"/>
              </w:rPr>
              <w:t xml:space="preserve">Iskorišćene kontrolne markice/CRBC </w:t>
            </w:r>
          </w:p>
        </w:tc>
      </w:tr>
      <w:tr w:rsidR="003611CF" w:rsidRPr="003611CF" w:rsidTr="003611CF">
        <w:tc>
          <w:tcPr>
            <w:tcW w:w="4927" w:type="dxa"/>
            <w:shd w:val="clear" w:color="auto" w:fill="FDE9D9"/>
            <w:vAlign w:val="bottom"/>
          </w:tcPr>
          <w:p w:rsidR="003611CF" w:rsidRPr="003611CF" w:rsidRDefault="003611CF" w:rsidP="003611CF">
            <w:pPr>
              <w:spacing w:before="0" w:after="0" w:line="240" w:lineRule="auto"/>
              <w:rPr>
                <w:rFonts w:ascii="Arial" w:eastAsia="Calibri" w:hAnsi="Arial" w:cs="Arial"/>
                <w:bCs/>
                <w:color w:val="000000"/>
                <w:sz w:val="20"/>
                <w:lang w:val="en-GB" w:eastAsia="hr-HR"/>
              </w:rPr>
            </w:pPr>
            <w:r w:rsidRPr="003611CF">
              <w:rPr>
                <w:rFonts w:ascii="Arial" w:eastAsia="Calibri" w:hAnsi="Arial" w:cs="Arial"/>
                <w:bCs/>
                <w:color w:val="000000"/>
                <w:sz w:val="20"/>
                <w:lang w:val="en-GB" w:eastAsia="hr-HR"/>
              </w:rPr>
              <w:t>01.01-30.11.2020. godine</w:t>
            </w:r>
          </w:p>
        </w:tc>
        <w:tc>
          <w:tcPr>
            <w:tcW w:w="4927" w:type="dxa"/>
            <w:shd w:val="clear" w:color="auto" w:fill="FDE9D9"/>
            <w:vAlign w:val="bottom"/>
          </w:tcPr>
          <w:p w:rsidR="003611CF" w:rsidRPr="003611CF" w:rsidRDefault="003611CF" w:rsidP="003611CF">
            <w:pPr>
              <w:spacing w:before="0" w:after="0" w:line="240" w:lineRule="auto"/>
              <w:jc w:val="center"/>
              <w:rPr>
                <w:rFonts w:ascii="Arial" w:eastAsia="Calibri" w:hAnsi="Arial" w:cs="Arial"/>
                <w:b/>
                <w:bCs/>
                <w:color w:val="000000"/>
                <w:sz w:val="20"/>
                <w:lang w:val="en-GB" w:eastAsia="hr-HR"/>
              </w:rPr>
            </w:pPr>
            <w:r w:rsidRPr="003611CF">
              <w:rPr>
                <w:rFonts w:ascii="Arial" w:eastAsia="Calibri" w:hAnsi="Arial" w:cs="Arial"/>
                <w:b/>
                <w:bCs/>
                <w:color w:val="000000"/>
                <w:sz w:val="20"/>
                <w:lang w:val="en-GB" w:eastAsia="hr-HR"/>
              </w:rPr>
              <w:t>Ukupno</w:t>
            </w:r>
          </w:p>
        </w:tc>
      </w:tr>
      <w:tr w:rsidR="003611CF" w:rsidRPr="003611CF" w:rsidTr="003611CF">
        <w:tc>
          <w:tcPr>
            <w:tcW w:w="4927" w:type="dxa"/>
            <w:shd w:val="clear" w:color="auto" w:fill="FEF4EC"/>
            <w:vAlign w:val="bottom"/>
          </w:tcPr>
          <w:p w:rsidR="003611CF" w:rsidRPr="003611CF" w:rsidRDefault="003611CF" w:rsidP="003611CF">
            <w:pPr>
              <w:spacing w:before="0" w:after="0" w:line="240" w:lineRule="auto"/>
              <w:rPr>
                <w:rFonts w:ascii="Arial" w:eastAsia="Calibri" w:hAnsi="Arial" w:cs="Arial"/>
                <w:bCs/>
                <w:color w:val="000000"/>
                <w:sz w:val="20"/>
                <w:lang w:val="en-GB" w:eastAsia="hr-HR"/>
              </w:rPr>
            </w:pPr>
            <w:r w:rsidRPr="003611CF">
              <w:rPr>
                <w:rFonts w:ascii="Arial" w:eastAsia="Calibri" w:hAnsi="Arial" w:cs="Arial"/>
                <w:bCs/>
                <w:color w:val="000000"/>
                <w:sz w:val="20"/>
                <w:lang w:val="en-GB" w:eastAsia="hr-HR"/>
              </w:rPr>
              <w:t>Broj iskorišćenih kontrolnih markica</w:t>
            </w:r>
          </w:p>
        </w:tc>
        <w:tc>
          <w:tcPr>
            <w:tcW w:w="4927"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b/>
                <w:bCs/>
                <w:sz w:val="20"/>
                <w:lang w:val="hr-HR" w:eastAsia="hr-HR"/>
              </w:rPr>
            </w:pPr>
            <w:r w:rsidRPr="003611CF">
              <w:rPr>
                <w:rFonts w:ascii="Arial" w:eastAsia="Times New Roman" w:hAnsi="Arial" w:cs="Arial"/>
                <w:b/>
                <w:bCs/>
                <w:sz w:val="20"/>
                <w:lang w:val="hr-HR" w:eastAsia="hr-HR"/>
              </w:rPr>
              <w:t>4.541</w:t>
            </w:r>
          </w:p>
        </w:tc>
      </w:tr>
      <w:tr w:rsidR="003611CF" w:rsidRPr="003611CF" w:rsidTr="003611CF">
        <w:tc>
          <w:tcPr>
            <w:tcW w:w="4927" w:type="dxa"/>
            <w:shd w:val="clear" w:color="auto" w:fill="FDE9D9"/>
            <w:vAlign w:val="bottom"/>
          </w:tcPr>
          <w:p w:rsidR="003611CF" w:rsidRPr="003611CF" w:rsidRDefault="003611CF" w:rsidP="003611CF">
            <w:pPr>
              <w:spacing w:before="0" w:after="0" w:line="240" w:lineRule="auto"/>
              <w:rPr>
                <w:rFonts w:ascii="Arial" w:eastAsia="Calibri" w:hAnsi="Arial" w:cs="Arial"/>
                <w:b/>
                <w:bCs/>
                <w:color w:val="000000"/>
                <w:sz w:val="20"/>
                <w:lang w:val="en-GB" w:eastAsia="hr-HR"/>
              </w:rPr>
            </w:pPr>
            <w:r w:rsidRPr="003611CF">
              <w:rPr>
                <w:rFonts w:ascii="Arial" w:eastAsia="Calibri" w:hAnsi="Arial" w:cs="Arial"/>
                <w:b/>
                <w:bCs/>
                <w:color w:val="000000"/>
                <w:sz w:val="20"/>
                <w:lang w:val="en-GB" w:eastAsia="hr-HR"/>
              </w:rPr>
              <w:t>Iznos iskorišćenih kontrolnih markica</w:t>
            </w:r>
          </w:p>
        </w:tc>
        <w:tc>
          <w:tcPr>
            <w:tcW w:w="4927"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b/>
                <w:bCs/>
                <w:sz w:val="20"/>
                <w:lang w:val="hr-HR" w:eastAsia="hr-HR"/>
              </w:rPr>
            </w:pPr>
            <w:r w:rsidRPr="003611CF">
              <w:rPr>
                <w:rFonts w:ascii="Arial" w:eastAsia="Times New Roman" w:hAnsi="Arial" w:cs="Arial"/>
                <w:b/>
                <w:bCs/>
                <w:sz w:val="20"/>
                <w:lang w:val="hr-HR" w:eastAsia="hr-HR"/>
              </w:rPr>
              <w:t>83.272.220,18 €</w:t>
            </w:r>
          </w:p>
        </w:tc>
      </w:tr>
    </w:tbl>
    <w:p w:rsidR="003611CF" w:rsidRPr="003611CF" w:rsidRDefault="003611CF" w:rsidP="003611CF">
      <w:pPr>
        <w:spacing w:before="0" w:after="0" w:line="240" w:lineRule="auto"/>
        <w:rPr>
          <w:rFonts w:ascii="Arial" w:eastAsia="Times New Roman" w:hAnsi="Arial" w:cs="Arial"/>
          <w:sz w:val="22"/>
          <w:lang w:val="hr-HR"/>
        </w:rPr>
      </w:pPr>
    </w:p>
    <w:p w:rsidR="003611CF" w:rsidRPr="003611CF" w:rsidRDefault="003611CF" w:rsidP="003611CF">
      <w:pPr>
        <w:spacing w:before="0" w:after="0" w:line="240" w:lineRule="auto"/>
        <w:rPr>
          <w:rFonts w:ascii="Arial" w:eastAsia="Times New Roman" w:hAnsi="Arial" w:cs="Arial"/>
          <w:sz w:val="22"/>
          <w:lang w:val="hr-HR"/>
        </w:rPr>
      </w:pPr>
    </w:p>
    <w:p w:rsidR="003611CF" w:rsidRPr="003611CF" w:rsidRDefault="003611CF" w:rsidP="003611CF">
      <w:pPr>
        <w:spacing w:before="0" w:after="0" w:line="240" w:lineRule="auto"/>
        <w:rPr>
          <w:rFonts w:ascii="Arial" w:eastAsia="Times New Roman" w:hAnsi="Arial" w:cs="Arial"/>
          <w:sz w:val="22"/>
          <w:lang w:val="hr-HR"/>
        </w:rPr>
      </w:pPr>
    </w:p>
    <w:tbl>
      <w:tblPr>
        <w:tblW w:w="0" w:type="auto"/>
        <w:jc w:val="center"/>
        <w:tblLook w:val="04A0" w:firstRow="1" w:lastRow="0" w:firstColumn="1" w:lastColumn="0" w:noHBand="0" w:noVBand="1"/>
      </w:tblPr>
      <w:tblGrid>
        <w:gridCol w:w="4821"/>
        <w:gridCol w:w="4817"/>
      </w:tblGrid>
      <w:tr w:rsidR="003611CF" w:rsidRPr="003611CF" w:rsidTr="003611CF">
        <w:trPr>
          <w:jc w:val="center"/>
        </w:trPr>
        <w:tc>
          <w:tcPr>
            <w:tcW w:w="9854" w:type="dxa"/>
            <w:gridSpan w:val="2"/>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Calibri" w:hAnsi="Arial" w:cs="Arial"/>
                <w:bCs/>
                <w:color w:val="FFFFFF"/>
                <w:sz w:val="20"/>
                <w:lang w:val="en-GB" w:eastAsia="en-GB"/>
              </w:rPr>
            </w:pPr>
            <w:r w:rsidRPr="003611CF">
              <w:rPr>
                <w:rFonts w:ascii="Arial" w:eastAsia="Calibri" w:hAnsi="Arial" w:cs="Arial"/>
                <w:color w:val="FFFFFF"/>
                <w:sz w:val="20"/>
                <w:lang w:val="en-GB" w:eastAsia="hr-HR"/>
              </w:rPr>
              <w:lastRenderedPageBreak/>
              <w:t>Poništene kontrolne markice/CRBC</w:t>
            </w:r>
          </w:p>
        </w:tc>
      </w:tr>
      <w:tr w:rsidR="003611CF" w:rsidRPr="003611CF" w:rsidTr="003611CF">
        <w:trPr>
          <w:jc w:val="center"/>
        </w:trPr>
        <w:tc>
          <w:tcPr>
            <w:tcW w:w="4927" w:type="dxa"/>
            <w:shd w:val="clear" w:color="auto" w:fill="FDE9D9"/>
            <w:vAlign w:val="bottom"/>
          </w:tcPr>
          <w:p w:rsidR="003611CF" w:rsidRPr="003611CF" w:rsidRDefault="003611CF" w:rsidP="003611CF">
            <w:pPr>
              <w:spacing w:before="0" w:after="0" w:line="240" w:lineRule="auto"/>
              <w:rPr>
                <w:rFonts w:ascii="Arial" w:eastAsia="Calibri" w:hAnsi="Arial" w:cs="Arial"/>
                <w:bCs/>
                <w:color w:val="000000"/>
                <w:sz w:val="20"/>
                <w:lang w:val="en-GB" w:eastAsia="hr-HR"/>
              </w:rPr>
            </w:pPr>
            <w:r w:rsidRPr="003611CF">
              <w:rPr>
                <w:rFonts w:ascii="Arial" w:eastAsia="Calibri" w:hAnsi="Arial" w:cs="Arial"/>
                <w:bCs/>
                <w:color w:val="000000"/>
                <w:sz w:val="20"/>
                <w:lang w:val="en-GB" w:eastAsia="hr-HR"/>
              </w:rPr>
              <w:t>01.01-30.11.2020. godine</w:t>
            </w:r>
          </w:p>
        </w:tc>
        <w:tc>
          <w:tcPr>
            <w:tcW w:w="4927" w:type="dxa"/>
            <w:shd w:val="clear" w:color="auto" w:fill="FDE9D9"/>
            <w:vAlign w:val="bottom"/>
          </w:tcPr>
          <w:p w:rsidR="003611CF" w:rsidRPr="003611CF" w:rsidRDefault="003611CF" w:rsidP="003611CF">
            <w:pPr>
              <w:spacing w:before="0" w:after="0" w:line="240" w:lineRule="auto"/>
              <w:jc w:val="center"/>
              <w:rPr>
                <w:rFonts w:ascii="Arial" w:eastAsia="Calibri" w:hAnsi="Arial" w:cs="Arial"/>
                <w:b/>
                <w:bCs/>
                <w:color w:val="000000"/>
                <w:sz w:val="20"/>
                <w:lang w:val="en-GB" w:eastAsia="hr-HR"/>
              </w:rPr>
            </w:pPr>
            <w:r w:rsidRPr="003611CF">
              <w:rPr>
                <w:rFonts w:ascii="Arial" w:eastAsia="Calibri" w:hAnsi="Arial" w:cs="Arial"/>
                <w:b/>
                <w:bCs/>
                <w:color w:val="000000"/>
                <w:sz w:val="20"/>
                <w:lang w:val="en-GB" w:eastAsia="hr-HR"/>
              </w:rPr>
              <w:t>Ukupno</w:t>
            </w:r>
          </w:p>
        </w:tc>
      </w:tr>
      <w:tr w:rsidR="003611CF" w:rsidRPr="003611CF" w:rsidTr="003611CF">
        <w:trPr>
          <w:jc w:val="center"/>
        </w:trPr>
        <w:tc>
          <w:tcPr>
            <w:tcW w:w="4927" w:type="dxa"/>
            <w:shd w:val="clear" w:color="auto" w:fill="FEF4EC"/>
            <w:vAlign w:val="bottom"/>
          </w:tcPr>
          <w:p w:rsidR="003611CF" w:rsidRPr="003611CF" w:rsidRDefault="003611CF" w:rsidP="003611CF">
            <w:pPr>
              <w:spacing w:before="0" w:after="0" w:line="240" w:lineRule="auto"/>
              <w:rPr>
                <w:rFonts w:ascii="Arial" w:eastAsia="Calibri" w:hAnsi="Arial" w:cs="Arial"/>
                <w:bCs/>
                <w:color w:val="000000"/>
                <w:sz w:val="20"/>
                <w:lang w:val="en-GB" w:eastAsia="hr-HR"/>
              </w:rPr>
            </w:pPr>
            <w:r w:rsidRPr="003611CF">
              <w:rPr>
                <w:rFonts w:ascii="Arial" w:eastAsia="Calibri" w:hAnsi="Arial" w:cs="Arial"/>
                <w:bCs/>
                <w:color w:val="000000"/>
                <w:sz w:val="20"/>
                <w:lang w:val="en-GB" w:eastAsia="hr-HR"/>
              </w:rPr>
              <w:t>Broj poništenih kontrolnih markica</w:t>
            </w:r>
          </w:p>
        </w:tc>
        <w:tc>
          <w:tcPr>
            <w:tcW w:w="4927" w:type="dxa"/>
            <w:shd w:val="clear" w:color="auto" w:fill="FEF4EC"/>
            <w:vAlign w:val="bottom"/>
          </w:tcPr>
          <w:p w:rsidR="003611CF" w:rsidRPr="003611CF" w:rsidRDefault="003611CF" w:rsidP="003611CF">
            <w:pPr>
              <w:spacing w:before="0" w:after="0" w:line="240" w:lineRule="auto"/>
              <w:jc w:val="center"/>
              <w:rPr>
                <w:rFonts w:ascii="Arial" w:eastAsia="Calibri" w:hAnsi="Arial" w:cs="Arial"/>
                <w:b/>
                <w:bCs/>
                <w:color w:val="000000"/>
                <w:sz w:val="20"/>
                <w:lang w:val="en-GB" w:eastAsia="hr-HR"/>
              </w:rPr>
            </w:pPr>
            <w:r w:rsidRPr="003611CF">
              <w:rPr>
                <w:rFonts w:ascii="Arial" w:eastAsia="Calibri" w:hAnsi="Arial" w:cs="Arial"/>
                <w:b/>
                <w:bCs/>
                <w:color w:val="000000"/>
                <w:sz w:val="20"/>
                <w:lang w:val="en-GB" w:eastAsia="hr-HR"/>
              </w:rPr>
              <w:t>22</w:t>
            </w:r>
          </w:p>
        </w:tc>
      </w:tr>
      <w:tr w:rsidR="003611CF" w:rsidRPr="003611CF" w:rsidTr="003611CF">
        <w:trPr>
          <w:jc w:val="center"/>
        </w:trPr>
        <w:tc>
          <w:tcPr>
            <w:tcW w:w="4927" w:type="dxa"/>
            <w:shd w:val="clear" w:color="auto" w:fill="FDE9D9"/>
            <w:vAlign w:val="bottom"/>
          </w:tcPr>
          <w:p w:rsidR="003611CF" w:rsidRPr="003611CF" w:rsidRDefault="003611CF" w:rsidP="003611CF">
            <w:pPr>
              <w:spacing w:before="0" w:after="0" w:line="240" w:lineRule="auto"/>
              <w:rPr>
                <w:rFonts w:ascii="Arial" w:eastAsia="Calibri" w:hAnsi="Arial" w:cs="Arial"/>
                <w:bCs/>
                <w:color w:val="000000"/>
                <w:sz w:val="20"/>
                <w:lang w:val="en-GB" w:eastAsia="hr-HR"/>
              </w:rPr>
            </w:pPr>
            <w:r w:rsidRPr="003611CF">
              <w:rPr>
                <w:rFonts w:ascii="Arial" w:eastAsia="Calibri" w:hAnsi="Arial" w:cs="Arial"/>
                <w:b/>
                <w:bCs/>
                <w:color w:val="000000"/>
                <w:sz w:val="20"/>
                <w:lang w:val="en-GB" w:eastAsia="hr-HR"/>
              </w:rPr>
              <w:t>Na iznos</w:t>
            </w:r>
          </w:p>
        </w:tc>
        <w:tc>
          <w:tcPr>
            <w:tcW w:w="4927" w:type="dxa"/>
            <w:shd w:val="clear" w:color="auto" w:fill="FDE9D9"/>
            <w:vAlign w:val="bottom"/>
          </w:tcPr>
          <w:p w:rsidR="003611CF" w:rsidRPr="003611CF" w:rsidRDefault="003611CF" w:rsidP="003611CF">
            <w:pPr>
              <w:spacing w:before="0" w:after="0" w:line="240" w:lineRule="auto"/>
              <w:jc w:val="center"/>
              <w:rPr>
                <w:rFonts w:ascii="Arial" w:eastAsia="Calibri" w:hAnsi="Arial" w:cs="Arial"/>
                <w:b/>
                <w:bCs/>
                <w:color w:val="000000"/>
                <w:sz w:val="20"/>
                <w:lang w:val="en-GB" w:eastAsia="hr-HR"/>
              </w:rPr>
            </w:pPr>
            <w:r w:rsidRPr="003611CF">
              <w:rPr>
                <w:rFonts w:ascii="Arial" w:eastAsia="Calibri" w:hAnsi="Arial" w:cs="Arial"/>
                <w:b/>
                <w:bCs/>
                <w:color w:val="000000"/>
                <w:sz w:val="20"/>
                <w:lang w:val="en-GB" w:eastAsia="hr-HR"/>
              </w:rPr>
              <w:t>73.871,85 €</w:t>
            </w:r>
          </w:p>
        </w:tc>
      </w:tr>
    </w:tbl>
    <w:p w:rsidR="003611CF" w:rsidRPr="003611CF" w:rsidRDefault="003611CF" w:rsidP="003611CF">
      <w:pPr>
        <w:spacing w:before="0" w:after="0" w:line="240" w:lineRule="auto"/>
        <w:rPr>
          <w:rFonts w:ascii="Arial" w:eastAsia="Times New Roman" w:hAnsi="Arial" w:cs="Arial"/>
          <w:sz w:val="22"/>
          <w:lang w:val="hr-HR"/>
        </w:rPr>
      </w:pPr>
    </w:p>
    <w:tbl>
      <w:tblPr>
        <w:tblW w:w="0" w:type="auto"/>
        <w:jc w:val="center"/>
        <w:tblLook w:val="04A0" w:firstRow="1" w:lastRow="0" w:firstColumn="1" w:lastColumn="0" w:noHBand="0" w:noVBand="1"/>
      </w:tblPr>
      <w:tblGrid>
        <w:gridCol w:w="4823"/>
        <w:gridCol w:w="4815"/>
      </w:tblGrid>
      <w:tr w:rsidR="003611CF" w:rsidRPr="003611CF" w:rsidTr="003611CF">
        <w:trPr>
          <w:jc w:val="center"/>
        </w:trPr>
        <w:tc>
          <w:tcPr>
            <w:tcW w:w="9854" w:type="dxa"/>
            <w:gridSpan w:val="2"/>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Calibri" w:hAnsi="Arial" w:cs="Arial"/>
                <w:bCs/>
                <w:color w:val="FFFFFF"/>
                <w:sz w:val="20"/>
                <w:lang w:val="en-GB" w:eastAsia="en-GB"/>
              </w:rPr>
            </w:pPr>
            <w:r w:rsidRPr="003611CF">
              <w:rPr>
                <w:rFonts w:ascii="Arial" w:eastAsia="Calibri" w:hAnsi="Arial" w:cs="Arial"/>
                <w:color w:val="FFFFFF"/>
                <w:sz w:val="20"/>
                <w:lang w:val="en-GB" w:eastAsia="hr-HR"/>
              </w:rPr>
              <w:t>Izmijenjene kontrolne markice/CRBC</w:t>
            </w:r>
          </w:p>
        </w:tc>
      </w:tr>
      <w:tr w:rsidR="003611CF" w:rsidRPr="003611CF" w:rsidTr="003611CF">
        <w:trPr>
          <w:jc w:val="center"/>
        </w:trPr>
        <w:tc>
          <w:tcPr>
            <w:tcW w:w="4927" w:type="dxa"/>
            <w:shd w:val="clear" w:color="auto" w:fill="FDE9D9"/>
            <w:vAlign w:val="bottom"/>
          </w:tcPr>
          <w:p w:rsidR="003611CF" w:rsidRPr="003611CF" w:rsidRDefault="003611CF" w:rsidP="003611CF">
            <w:pPr>
              <w:spacing w:before="0" w:after="0" w:line="240" w:lineRule="auto"/>
              <w:rPr>
                <w:rFonts w:ascii="Arial" w:eastAsia="Calibri" w:hAnsi="Arial" w:cs="Arial"/>
                <w:bCs/>
                <w:color w:val="000000"/>
                <w:sz w:val="20"/>
                <w:lang w:val="en-GB" w:eastAsia="hr-HR"/>
              </w:rPr>
            </w:pPr>
            <w:r w:rsidRPr="003611CF">
              <w:rPr>
                <w:rFonts w:ascii="Arial" w:eastAsia="Calibri" w:hAnsi="Arial" w:cs="Arial"/>
                <w:bCs/>
                <w:color w:val="000000"/>
                <w:sz w:val="20"/>
                <w:lang w:val="en-GB" w:eastAsia="hr-HR"/>
              </w:rPr>
              <w:t>01.01-30.11.2020. godine</w:t>
            </w:r>
          </w:p>
        </w:tc>
        <w:tc>
          <w:tcPr>
            <w:tcW w:w="4927" w:type="dxa"/>
            <w:shd w:val="clear" w:color="auto" w:fill="FDE9D9"/>
            <w:vAlign w:val="bottom"/>
          </w:tcPr>
          <w:p w:rsidR="003611CF" w:rsidRPr="003611CF" w:rsidRDefault="003611CF" w:rsidP="003611CF">
            <w:pPr>
              <w:spacing w:before="0" w:after="0" w:line="240" w:lineRule="auto"/>
              <w:jc w:val="center"/>
              <w:rPr>
                <w:rFonts w:ascii="Arial" w:eastAsia="Calibri" w:hAnsi="Arial" w:cs="Arial"/>
                <w:b/>
                <w:bCs/>
                <w:color w:val="000000"/>
                <w:sz w:val="20"/>
                <w:lang w:val="en-GB" w:eastAsia="hr-HR"/>
              </w:rPr>
            </w:pPr>
            <w:r w:rsidRPr="003611CF">
              <w:rPr>
                <w:rFonts w:ascii="Arial" w:eastAsia="Calibri" w:hAnsi="Arial" w:cs="Arial"/>
                <w:b/>
                <w:bCs/>
                <w:color w:val="000000"/>
                <w:sz w:val="20"/>
                <w:lang w:val="en-GB" w:eastAsia="hr-HR"/>
              </w:rPr>
              <w:t>Ukupno</w:t>
            </w:r>
          </w:p>
        </w:tc>
      </w:tr>
      <w:tr w:rsidR="003611CF" w:rsidRPr="003611CF" w:rsidTr="003611CF">
        <w:trPr>
          <w:jc w:val="center"/>
        </w:trPr>
        <w:tc>
          <w:tcPr>
            <w:tcW w:w="4927" w:type="dxa"/>
            <w:shd w:val="clear" w:color="auto" w:fill="FEF4EC"/>
            <w:vAlign w:val="bottom"/>
          </w:tcPr>
          <w:p w:rsidR="003611CF" w:rsidRPr="003611CF" w:rsidRDefault="003611CF" w:rsidP="003611CF">
            <w:pPr>
              <w:spacing w:before="0" w:after="0" w:line="240" w:lineRule="auto"/>
              <w:rPr>
                <w:rFonts w:ascii="Arial" w:eastAsia="Calibri" w:hAnsi="Arial" w:cs="Arial"/>
                <w:bCs/>
                <w:color w:val="000000"/>
                <w:sz w:val="20"/>
                <w:lang w:val="en-GB" w:eastAsia="hr-HR"/>
              </w:rPr>
            </w:pPr>
            <w:r w:rsidRPr="003611CF">
              <w:rPr>
                <w:rFonts w:ascii="Arial" w:eastAsia="Calibri" w:hAnsi="Arial" w:cs="Arial"/>
                <w:bCs/>
                <w:color w:val="000000"/>
                <w:sz w:val="20"/>
                <w:lang w:val="en-GB" w:eastAsia="hr-HR"/>
              </w:rPr>
              <w:t>Broj izmijenjenih kontrolnih markica</w:t>
            </w:r>
          </w:p>
        </w:tc>
        <w:tc>
          <w:tcPr>
            <w:tcW w:w="4927" w:type="dxa"/>
            <w:shd w:val="clear" w:color="auto" w:fill="FEF4EC"/>
            <w:vAlign w:val="bottom"/>
          </w:tcPr>
          <w:p w:rsidR="003611CF" w:rsidRPr="003611CF" w:rsidRDefault="003611CF" w:rsidP="003611CF">
            <w:pPr>
              <w:spacing w:before="0" w:after="0" w:line="240" w:lineRule="auto"/>
              <w:jc w:val="center"/>
              <w:rPr>
                <w:rFonts w:ascii="Arial" w:eastAsia="Calibri" w:hAnsi="Arial" w:cs="Arial"/>
                <w:b/>
                <w:bCs/>
                <w:color w:val="000000"/>
                <w:sz w:val="20"/>
                <w:lang w:val="en-GB" w:eastAsia="hr-HR"/>
              </w:rPr>
            </w:pPr>
            <w:r w:rsidRPr="003611CF">
              <w:rPr>
                <w:rFonts w:ascii="Arial" w:eastAsia="Calibri" w:hAnsi="Arial" w:cs="Arial"/>
                <w:b/>
                <w:bCs/>
                <w:color w:val="000000"/>
                <w:sz w:val="20"/>
                <w:lang w:val="en-GB" w:eastAsia="hr-HR"/>
              </w:rPr>
              <w:t>3</w:t>
            </w:r>
          </w:p>
        </w:tc>
      </w:tr>
      <w:tr w:rsidR="003611CF" w:rsidRPr="003611CF" w:rsidTr="003611CF">
        <w:trPr>
          <w:jc w:val="center"/>
        </w:trPr>
        <w:tc>
          <w:tcPr>
            <w:tcW w:w="4927" w:type="dxa"/>
            <w:shd w:val="clear" w:color="auto" w:fill="FDE9D9"/>
            <w:vAlign w:val="bottom"/>
          </w:tcPr>
          <w:p w:rsidR="003611CF" w:rsidRPr="003611CF" w:rsidRDefault="003611CF" w:rsidP="003611CF">
            <w:pPr>
              <w:spacing w:before="0" w:after="0" w:line="240" w:lineRule="auto"/>
              <w:rPr>
                <w:rFonts w:ascii="Arial" w:eastAsia="Calibri" w:hAnsi="Arial" w:cs="Arial"/>
                <w:bCs/>
                <w:color w:val="000000"/>
                <w:sz w:val="20"/>
                <w:lang w:val="en-GB" w:eastAsia="hr-HR"/>
              </w:rPr>
            </w:pPr>
            <w:r w:rsidRPr="003611CF">
              <w:rPr>
                <w:rFonts w:ascii="Arial" w:eastAsia="Calibri" w:hAnsi="Arial" w:cs="Arial"/>
                <w:b/>
                <w:bCs/>
                <w:color w:val="000000"/>
                <w:sz w:val="20"/>
                <w:lang w:val="en-GB" w:eastAsia="hr-HR"/>
              </w:rPr>
              <w:t>Na iznos</w:t>
            </w:r>
          </w:p>
        </w:tc>
        <w:tc>
          <w:tcPr>
            <w:tcW w:w="4927" w:type="dxa"/>
            <w:shd w:val="clear" w:color="auto" w:fill="FDE9D9"/>
            <w:vAlign w:val="bottom"/>
          </w:tcPr>
          <w:p w:rsidR="003611CF" w:rsidRPr="003611CF" w:rsidRDefault="003611CF" w:rsidP="003611CF">
            <w:pPr>
              <w:spacing w:before="0" w:after="0" w:line="240" w:lineRule="auto"/>
              <w:jc w:val="center"/>
              <w:rPr>
                <w:rFonts w:ascii="Arial" w:eastAsia="Calibri" w:hAnsi="Arial" w:cs="Arial"/>
                <w:b/>
                <w:bCs/>
                <w:color w:val="000000"/>
                <w:sz w:val="20"/>
                <w:lang w:val="en-GB" w:eastAsia="hr-HR"/>
              </w:rPr>
            </w:pPr>
            <w:r w:rsidRPr="003611CF">
              <w:rPr>
                <w:rFonts w:ascii="Arial" w:eastAsia="Calibri" w:hAnsi="Arial" w:cs="Arial"/>
                <w:b/>
                <w:bCs/>
                <w:color w:val="000000"/>
                <w:sz w:val="20"/>
                <w:lang w:val="en-GB" w:eastAsia="hr-HR"/>
              </w:rPr>
              <w:t>7.101,39 €</w:t>
            </w:r>
          </w:p>
        </w:tc>
      </w:tr>
    </w:tbl>
    <w:p w:rsidR="003611CF" w:rsidRPr="003611CF" w:rsidRDefault="003611CF" w:rsidP="003611CF">
      <w:pPr>
        <w:spacing w:before="0" w:after="0" w:line="240" w:lineRule="auto"/>
        <w:rPr>
          <w:rFonts w:ascii="Arial" w:eastAsia="Times New Roman" w:hAnsi="Arial" w:cs="Arial"/>
          <w:sz w:val="22"/>
          <w:lang w:val="hr-HR"/>
        </w:rPr>
      </w:pPr>
    </w:p>
    <w:tbl>
      <w:tblPr>
        <w:tblW w:w="0" w:type="auto"/>
        <w:tblLook w:val="04A0" w:firstRow="1" w:lastRow="0" w:firstColumn="1" w:lastColumn="0" w:noHBand="0" w:noVBand="1"/>
      </w:tblPr>
      <w:tblGrid>
        <w:gridCol w:w="4817"/>
        <w:gridCol w:w="4821"/>
      </w:tblGrid>
      <w:tr w:rsidR="003611CF" w:rsidRPr="003611CF" w:rsidTr="003611CF">
        <w:tc>
          <w:tcPr>
            <w:tcW w:w="9854" w:type="dxa"/>
            <w:gridSpan w:val="2"/>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Calibri" w:hAnsi="Arial" w:cs="Arial"/>
                <w:bCs/>
                <w:color w:val="FFFFFF"/>
                <w:sz w:val="20"/>
                <w:lang w:val="en-GB" w:eastAsia="en-GB"/>
              </w:rPr>
            </w:pPr>
            <w:r w:rsidRPr="003611CF">
              <w:rPr>
                <w:rFonts w:ascii="Arial" w:eastAsia="Calibri" w:hAnsi="Arial" w:cs="Arial"/>
                <w:bCs/>
                <w:color w:val="FFFFFF"/>
                <w:sz w:val="20"/>
                <w:lang w:val="en-GB" w:eastAsia="en-GB"/>
              </w:rPr>
              <w:t>Iskorišćene kontrolne markice/hoteli</w:t>
            </w:r>
          </w:p>
        </w:tc>
      </w:tr>
      <w:tr w:rsidR="003611CF" w:rsidRPr="003611CF" w:rsidTr="003611CF">
        <w:tc>
          <w:tcPr>
            <w:tcW w:w="4927" w:type="dxa"/>
            <w:shd w:val="clear" w:color="auto" w:fill="FDE9D9"/>
            <w:vAlign w:val="bottom"/>
          </w:tcPr>
          <w:p w:rsidR="003611CF" w:rsidRPr="003611CF" w:rsidRDefault="003611CF" w:rsidP="003611CF">
            <w:pPr>
              <w:spacing w:before="0" w:after="0" w:line="240" w:lineRule="auto"/>
              <w:rPr>
                <w:rFonts w:ascii="Arial" w:eastAsia="Calibri" w:hAnsi="Arial" w:cs="Arial"/>
                <w:bCs/>
                <w:color w:val="000000"/>
                <w:sz w:val="20"/>
                <w:lang w:val="en-GB" w:eastAsia="hr-HR"/>
              </w:rPr>
            </w:pPr>
            <w:r w:rsidRPr="003611CF">
              <w:rPr>
                <w:rFonts w:ascii="Arial" w:eastAsia="Calibri" w:hAnsi="Arial" w:cs="Arial"/>
                <w:bCs/>
                <w:color w:val="000000"/>
                <w:sz w:val="20"/>
                <w:lang w:val="en-GB" w:eastAsia="hr-HR"/>
              </w:rPr>
              <w:t>01.01-30.11.2020. godine</w:t>
            </w:r>
          </w:p>
        </w:tc>
        <w:tc>
          <w:tcPr>
            <w:tcW w:w="4927" w:type="dxa"/>
            <w:shd w:val="clear" w:color="auto" w:fill="FDE9D9"/>
            <w:vAlign w:val="bottom"/>
          </w:tcPr>
          <w:p w:rsidR="003611CF" w:rsidRPr="003611CF" w:rsidRDefault="003611CF" w:rsidP="003611CF">
            <w:pPr>
              <w:spacing w:before="0" w:after="0" w:line="240" w:lineRule="auto"/>
              <w:jc w:val="center"/>
              <w:rPr>
                <w:rFonts w:ascii="Arial" w:eastAsia="Calibri" w:hAnsi="Arial" w:cs="Arial"/>
                <w:b/>
                <w:bCs/>
                <w:color w:val="000000"/>
                <w:sz w:val="20"/>
                <w:lang w:val="en-GB" w:eastAsia="hr-HR"/>
              </w:rPr>
            </w:pPr>
            <w:r w:rsidRPr="003611CF">
              <w:rPr>
                <w:rFonts w:ascii="Arial" w:eastAsia="Calibri" w:hAnsi="Arial" w:cs="Arial"/>
                <w:b/>
                <w:bCs/>
                <w:color w:val="000000"/>
                <w:sz w:val="20"/>
                <w:lang w:val="en-GB" w:eastAsia="hr-HR"/>
              </w:rPr>
              <w:t>Ukupno</w:t>
            </w:r>
          </w:p>
        </w:tc>
      </w:tr>
      <w:tr w:rsidR="003611CF" w:rsidRPr="003611CF" w:rsidTr="003611CF">
        <w:tc>
          <w:tcPr>
            <w:tcW w:w="4927" w:type="dxa"/>
            <w:shd w:val="clear" w:color="auto" w:fill="FEF4EC"/>
            <w:vAlign w:val="bottom"/>
          </w:tcPr>
          <w:p w:rsidR="003611CF" w:rsidRPr="003611CF" w:rsidRDefault="003611CF" w:rsidP="003611CF">
            <w:pPr>
              <w:spacing w:before="0" w:after="0" w:line="240" w:lineRule="auto"/>
              <w:rPr>
                <w:rFonts w:ascii="Arial" w:eastAsia="Calibri" w:hAnsi="Arial" w:cs="Arial"/>
                <w:bCs/>
                <w:color w:val="000000"/>
                <w:sz w:val="20"/>
                <w:lang w:val="en-GB" w:eastAsia="hr-HR"/>
              </w:rPr>
            </w:pPr>
            <w:r w:rsidRPr="003611CF">
              <w:rPr>
                <w:rFonts w:ascii="Arial" w:eastAsia="Calibri" w:hAnsi="Arial" w:cs="Arial"/>
                <w:bCs/>
                <w:color w:val="000000"/>
                <w:sz w:val="20"/>
                <w:lang w:val="en-GB" w:eastAsia="hr-HR"/>
              </w:rPr>
              <w:t>Broj iskorišćenih kontrolnih markica</w:t>
            </w:r>
          </w:p>
        </w:tc>
        <w:tc>
          <w:tcPr>
            <w:tcW w:w="4927"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b/>
                <w:bCs/>
                <w:sz w:val="20"/>
                <w:lang w:val="hr-HR" w:eastAsia="hr-HR"/>
              </w:rPr>
            </w:pPr>
            <w:r w:rsidRPr="003611CF">
              <w:rPr>
                <w:rFonts w:ascii="Arial" w:eastAsia="Times New Roman" w:hAnsi="Arial" w:cs="Arial"/>
                <w:b/>
                <w:bCs/>
                <w:sz w:val="20"/>
                <w:lang w:val="hr-HR" w:eastAsia="hr-HR"/>
              </w:rPr>
              <w:t>256</w:t>
            </w:r>
          </w:p>
        </w:tc>
      </w:tr>
      <w:tr w:rsidR="003611CF" w:rsidRPr="003611CF" w:rsidTr="003611CF">
        <w:tc>
          <w:tcPr>
            <w:tcW w:w="4927" w:type="dxa"/>
            <w:shd w:val="clear" w:color="auto" w:fill="FDE9D9"/>
            <w:vAlign w:val="bottom"/>
          </w:tcPr>
          <w:p w:rsidR="003611CF" w:rsidRPr="003611CF" w:rsidRDefault="003611CF" w:rsidP="003611CF">
            <w:pPr>
              <w:spacing w:before="0" w:after="0" w:line="240" w:lineRule="auto"/>
              <w:rPr>
                <w:rFonts w:ascii="Arial" w:eastAsia="Calibri" w:hAnsi="Arial" w:cs="Arial"/>
                <w:b/>
                <w:bCs/>
                <w:color w:val="000000"/>
                <w:sz w:val="20"/>
                <w:lang w:val="en-GB" w:eastAsia="hr-HR"/>
              </w:rPr>
            </w:pPr>
            <w:r w:rsidRPr="003611CF">
              <w:rPr>
                <w:rFonts w:ascii="Arial" w:eastAsia="Calibri" w:hAnsi="Arial" w:cs="Arial"/>
                <w:b/>
                <w:bCs/>
                <w:color w:val="000000"/>
                <w:sz w:val="20"/>
                <w:lang w:val="en-GB" w:eastAsia="hr-HR"/>
              </w:rPr>
              <w:t>Iznos iskorišćenih kontrolnih markica</w:t>
            </w:r>
          </w:p>
        </w:tc>
        <w:tc>
          <w:tcPr>
            <w:tcW w:w="4927"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b/>
                <w:bCs/>
                <w:sz w:val="20"/>
                <w:lang w:val="hr-HR" w:eastAsia="hr-HR"/>
              </w:rPr>
            </w:pPr>
            <w:r w:rsidRPr="003611CF">
              <w:rPr>
                <w:rFonts w:ascii="Arial" w:eastAsia="Times New Roman" w:hAnsi="Arial" w:cs="Arial"/>
                <w:b/>
                <w:bCs/>
                <w:sz w:val="20"/>
                <w:lang w:val="hr-HR" w:eastAsia="hr-HR"/>
              </w:rPr>
              <w:t>13.489.456,36 €</w:t>
            </w:r>
          </w:p>
        </w:tc>
      </w:tr>
    </w:tbl>
    <w:p w:rsidR="003611CF" w:rsidRPr="003611CF" w:rsidRDefault="003611CF" w:rsidP="003611CF">
      <w:pPr>
        <w:spacing w:before="0" w:after="0" w:line="240" w:lineRule="auto"/>
        <w:rPr>
          <w:rFonts w:ascii="Arial" w:eastAsia="Times New Roman" w:hAnsi="Arial" w:cs="Arial"/>
          <w:sz w:val="22"/>
          <w:lang w:val="hr-HR"/>
        </w:rPr>
      </w:pPr>
    </w:p>
    <w:tbl>
      <w:tblPr>
        <w:tblW w:w="0" w:type="auto"/>
        <w:tblLook w:val="04A0" w:firstRow="1" w:lastRow="0" w:firstColumn="1" w:lastColumn="0" w:noHBand="0" w:noVBand="1"/>
      </w:tblPr>
      <w:tblGrid>
        <w:gridCol w:w="4821"/>
        <w:gridCol w:w="4817"/>
      </w:tblGrid>
      <w:tr w:rsidR="003611CF" w:rsidRPr="003611CF" w:rsidTr="003611CF">
        <w:tc>
          <w:tcPr>
            <w:tcW w:w="9854" w:type="dxa"/>
            <w:gridSpan w:val="2"/>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Calibri" w:hAnsi="Arial" w:cs="Arial"/>
                <w:bCs/>
                <w:color w:val="FFFFFF"/>
                <w:sz w:val="20"/>
                <w:lang w:val="en-GB" w:eastAsia="en-GB"/>
              </w:rPr>
            </w:pPr>
            <w:r w:rsidRPr="003611CF">
              <w:rPr>
                <w:rFonts w:ascii="Arial" w:eastAsia="Calibri" w:hAnsi="Arial" w:cs="Arial"/>
                <w:bCs/>
                <w:color w:val="FFFFFF"/>
                <w:sz w:val="20"/>
                <w:lang w:val="en-GB" w:eastAsia="en-GB"/>
              </w:rPr>
              <w:t>Poništene kontrolne markice/hoteli</w:t>
            </w:r>
          </w:p>
        </w:tc>
      </w:tr>
      <w:tr w:rsidR="003611CF" w:rsidRPr="003611CF" w:rsidTr="003611CF">
        <w:tc>
          <w:tcPr>
            <w:tcW w:w="4927" w:type="dxa"/>
            <w:shd w:val="clear" w:color="auto" w:fill="FDE9D9"/>
            <w:vAlign w:val="bottom"/>
          </w:tcPr>
          <w:p w:rsidR="003611CF" w:rsidRPr="003611CF" w:rsidRDefault="003611CF" w:rsidP="003611CF">
            <w:pPr>
              <w:spacing w:before="0" w:after="0" w:line="240" w:lineRule="auto"/>
              <w:rPr>
                <w:rFonts w:ascii="Arial" w:eastAsia="Calibri" w:hAnsi="Arial" w:cs="Arial"/>
                <w:bCs/>
                <w:color w:val="000000"/>
                <w:sz w:val="20"/>
                <w:lang w:val="en-GB" w:eastAsia="hr-HR"/>
              </w:rPr>
            </w:pPr>
            <w:r w:rsidRPr="003611CF">
              <w:rPr>
                <w:rFonts w:ascii="Arial" w:eastAsia="Calibri" w:hAnsi="Arial" w:cs="Arial"/>
                <w:bCs/>
                <w:color w:val="000000"/>
                <w:sz w:val="20"/>
                <w:lang w:val="en-GB" w:eastAsia="hr-HR"/>
              </w:rPr>
              <w:t>01.01-30.11.2020. godine</w:t>
            </w:r>
          </w:p>
        </w:tc>
        <w:tc>
          <w:tcPr>
            <w:tcW w:w="4927" w:type="dxa"/>
            <w:shd w:val="clear" w:color="auto" w:fill="FDE9D9"/>
            <w:vAlign w:val="bottom"/>
          </w:tcPr>
          <w:p w:rsidR="003611CF" w:rsidRPr="003611CF" w:rsidRDefault="003611CF" w:rsidP="003611CF">
            <w:pPr>
              <w:spacing w:before="0" w:after="0" w:line="240" w:lineRule="auto"/>
              <w:jc w:val="center"/>
              <w:rPr>
                <w:rFonts w:ascii="Arial" w:eastAsia="Calibri" w:hAnsi="Arial" w:cs="Arial"/>
                <w:b/>
                <w:bCs/>
                <w:color w:val="000000"/>
                <w:sz w:val="20"/>
                <w:lang w:val="en-GB" w:eastAsia="hr-HR"/>
              </w:rPr>
            </w:pPr>
            <w:r w:rsidRPr="003611CF">
              <w:rPr>
                <w:rFonts w:ascii="Arial" w:eastAsia="Calibri" w:hAnsi="Arial" w:cs="Arial"/>
                <w:b/>
                <w:bCs/>
                <w:color w:val="000000"/>
                <w:sz w:val="20"/>
                <w:lang w:val="en-GB" w:eastAsia="hr-HR"/>
              </w:rPr>
              <w:t>Ukupno</w:t>
            </w:r>
          </w:p>
        </w:tc>
      </w:tr>
      <w:tr w:rsidR="003611CF" w:rsidRPr="003611CF" w:rsidTr="003611CF">
        <w:tc>
          <w:tcPr>
            <w:tcW w:w="4927" w:type="dxa"/>
            <w:shd w:val="clear" w:color="auto" w:fill="FEF4EC"/>
            <w:vAlign w:val="bottom"/>
          </w:tcPr>
          <w:p w:rsidR="003611CF" w:rsidRPr="003611CF" w:rsidRDefault="003611CF" w:rsidP="003611CF">
            <w:pPr>
              <w:spacing w:before="0" w:after="0" w:line="240" w:lineRule="auto"/>
              <w:rPr>
                <w:rFonts w:ascii="Arial" w:eastAsia="Calibri" w:hAnsi="Arial" w:cs="Arial"/>
                <w:bCs/>
                <w:color w:val="000000"/>
                <w:sz w:val="20"/>
                <w:lang w:val="en-GB" w:eastAsia="hr-HR"/>
              </w:rPr>
            </w:pPr>
            <w:r w:rsidRPr="003611CF">
              <w:rPr>
                <w:rFonts w:ascii="Arial" w:eastAsia="Calibri" w:hAnsi="Arial" w:cs="Arial"/>
                <w:bCs/>
                <w:color w:val="000000"/>
                <w:sz w:val="20"/>
                <w:lang w:val="en-GB" w:eastAsia="hr-HR"/>
              </w:rPr>
              <w:t>Broj poništenih kontrolnih markica</w:t>
            </w:r>
          </w:p>
        </w:tc>
        <w:tc>
          <w:tcPr>
            <w:tcW w:w="4927" w:type="dxa"/>
            <w:shd w:val="clear" w:color="auto" w:fill="FEF4EC"/>
            <w:vAlign w:val="bottom"/>
          </w:tcPr>
          <w:p w:rsidR="003611CF" w:rsidRPr="003611CF" w:rsidRDefault="003611CF" w:rsidP="003611CF">
            <w:pPr>
              <w:spacing w:before="0" w:after="0" w:line="240" w:lineRule="auto"/>
              <w:jc w:val="center"/>
              <w:rPr>
                <w:rFonts w:ascii="Arial" w:eastAsia="Times New Roman" w:hAnsi="Arial" w:cs="Arial"/>
                <w:b/>
                <w:bCs/>
                <w:sz w:val="20"/>
                <w:szCs w:val="20"/>
                <w:lang w:val="hr-HR" w:eastAsia="hr-HR"/>
              </w:rPr>
            </w:pPr>
            <w:r w:rsidRPr="003611CF">
              <w:rPr>
                <w:rFonts w:ascii="Arial" w:eastAsia="Times New Roman" w:hAnsi="Arial" w:cs="Arial"/>
                <w:b/>
                <w:bCs/>
                <w:sz w:val="20"/>
                <w:szCs w:val="20"/>
                <w:lang w:val="hr-HR" w:eastAsia="hr-HR"/>
              </w:rPr>
              <w:t>2</w:t>
            </w:r>
          </w:p>
        </w:tc>
      </w:tr>
      <w:tr w:rsidR="003611CF" w:rsidRPr="003611CF" w:rsidTr="003611CF">
        <w:tc>
          <w:tcPr>
            <w:tcW w:w="4927" w:type="dxa"/>
            <w:shd w:val="clear" w:color="auto" w:fill="FDE9D9"/>
            <w:vAlign w:val="bottom"/>
          </w:tcPr>
          <w:p w:rsidR="003611CF" w:rsidRPr="003611CF" w:rsidRDefault="003611CF" w:rsidP="003611CF">
            <w:pPr>
              <w:spacing w:before="0" w:after="0" w:line="240" w:lineRule="auto"/>
              <w:rPr>
                <w:rFonts w:ascii="Arial" w:eastAsia="Calibri" w:hAnsi="Arial" w:cs="Arial"/>
                <w:b/>
                <w:bCs/>
                <w:color w:val="000000"/>
                <w:sz w:val="20"/>
                <w:lang w:val="en-GB" w:eastAsia="hr-HR"/>
              </w:rPr>
            </w:pPr>
            <w:r w:rsidRPr="003611CF">
              <w:rPr>
                <w:rFonts w:ascii="Arial" w:eastAsia="Calibri" w:hAnsi="Arial" w:cs="Arial"/>
                <w:b/>
                <w:bCs/>
                <w:color w:val="000000"/>
                <w:sz w:val="20"/>
                <w:lang w:val="en-GB" w:eastAsia="hr-HR"/>
              </w:rPr>
              <w:t>Iznos iskorišćenih kontrolnih markica</w:t>
            </w:r>
          </w:p>
        </w:tc>
        <w:tc>
          <w:tcPr>
            <w:tcW w:w="4927" w:type="dxa"/>
            <w:shd w:val="clear" w:color="auto" w:fill="FDE9D9"/>
            <w:vAlign w:val="bottom"/>
          </w:tcPr>
          <w:p w:rsidR="003611CF" w:rsidRPr="003611CF" w:rsidRDefault="003611CF" w:rsidP="003611CF">
            <w:pPr>
              <w:spacing w:before="0" w:after="0" w:line="240" w:lineRule="auto"/>
              <w:jc w:val="center"/>
              <w:rPr>
                <w:rFonts w:ascii="Arial" w:eastAsia="Times New Roman" w:hAnsi="Arial" w:cs="Arial"/>
                <w:b/>
                <w:bCs/>
                <w:sz w:val="20"/>
                <w:szCs w:val="20"/>
                <w:lang w:val="hr-HR" w:eastAsia="hr-HR"/>
              </w:rPr>
            </w:pPr>
            <w:r w:rsidRPr="003611CF">
              <w:rPr>
                <w:rFonts w:ascii="Arial" w:eastAsia="Times New Roman" w:hAnsi="Arial" w:cs="Arial"/>
                <w:b/>
                <w:bCs/>
                <w:sz w:val="20"/>
                <w:szCs w:val="20"/>
                <w:lang w:val="hr-HR" w:eastAsia="hr-HR"/>
              </w:rPr>
              <w:t>233.505,75 €</w:t>
            </w:r>
          </w:p>
        </w:tc>
      </w:tr>
    </w:tbl>
    <w:p w:rsidR="003611CF" w:rsidRPr="003611CF" w:rsidRDefault="003611CF" w:rsidP="003611CF">
      <w:pPr>
        <w:spacing w:before="0" w:after="0" w:line="240" w:lineRule="auto"/>
        <w:ind w:left="630"/>
        <w:contextualSpacing/>
        <w:rPr>
          <w:rFonts w:ascii="Arial" w:eastAsia="Times New Roman" w:hAnsi="Arial" w:cs="Arial"/>
          <w:sz w:val="22"/>
          <w:lang w:val="hr-HR"/>
        </w:rPr>
      </w:pPr>
    </w:p>
    <w:p w:rsidR="003611CF" w:rsidRPr="003611CF" w:rsidRDefault="003611CF" w:rsidP="004D6CB4">
      <w:pPr>
        <w:numPr>
          <w:ilvl w:val="1"/>
          <w:numId w:val="124"/>
        </w:numPr>
        <w:spacing w:before="0" w:after="0" w:line="240" w:lineRule="auto"/>
        <w:contextualSpacing/>
        <w:jc w:val="left"/>
        <w:rPr>
          <w:rFonts w:ascii="Calibri" w:eastAsia="Times New Roman" w:hAnsi="Calibri" w:cs="Calibri"/>
          <w:szCs w:val="24"/>
          <w:lang w:val="hr-HR"/>
        </w:rPr>
      </w:pPr>
      <w:r w:rsidRPr="003611CF">
        <w:rPr>
          <w:rFonts w:ascii="Calibri" w:eastAsia="Times New Roman" w:hAnsi="Calibri" w:cs="Calibri"/>
          <w:szCs w:val="24"/>
          <w:lang w:val="hr-HR"/>
        </w:rPr>
        <w:t>Ostale aktivnosti tokom sprovođenja postupka oslobađanja od plaćanja PDV-a: radni sastanci, evidentiranje donijetih rješenja u exel tabelama po korisnicima novčanih sredstava i investitorima, komunikacija sa strankama putem mail-a ili telefonskog kontakta, prijem stranaka, prijem dokumentacije, konsultacije, arhiviranje predmeta, čitanje propisa...</w:t>
      </w:r>
    </w:p>
    <w:p w:rsidR="003611CF" w:rsidRPr="003611CF" w:rsidRDefault="003611CF" w:rsidP="003611CF">
      <w:pPr>
        <w:spacing w:before="0" w:after="0" w:line="240" w:lineRule="auto"/>
        <w:rPr>
          <w:rFonts w:ascii="Calibri" w:eastAsia="Times New Roman" w:hAnsi="Calibri" w:cs="Calibri"/>
          <w:szCs w:val="24"/>
          <w:lang w:val="hr-HR"/>
        </w:rPr>
      </w:pPr>
    </w:p>
    <w:p w:rsidR="003611CF" w:rsidRPr="00CB5BEE" w:rsidRDefault="003611CF" w:rsidP="004D6CB4">
      <w:pPr>
        <w:numPr>
          <w:ilvl w:val="0"/>
          <w:numId w:val="138"/>
        </w:numPr>
        <w:spacing w:before="0" w:line="240" w:lineRule="auto"/>
        <w:jc w:val="left"/>
        <w:rPr>
          <w:rFonts w:ascii="Calibri" w:eastAsia="Times New Roman" w:hAnsi="Calibri" w:cs="Calibri"/>
          <w:b/>
          <w:szCs w:val="24"/>
          <w:lang w:val="hr-HR" w:eastAsia="hr-HR"/>
        </w:rPr>
      </w:pPr>
      <w:r w:rsidRPr="003611CF">
        <w:rPr>
          <w:rFonts w:ascii="Calibri" w:eastAsia="Times New Roman" w:hAnsi="Calibri" w:cs="Calibri"/>
          <w:b/>
          <w:szCs w:val="24"/>
          <w:lang w:val="hr-HR" w:eastAsia="hr-HR"/>
        </w:rPr>
        <w:t>PRAĆENJE SPROVOĐENJA UPRAVNE I SUDSKE PRAKSE</w:t>
      </w:r>
    </w:p>
    <w:p w:rsidR="003611CF" w:rsidRPr="003611CF" w:rsidRDefault="003611CF" w:rsidP="004D6CB4">
      <w:pPr>
        <w:numPr>
          <w:ilvl w:val="0"/>
          <w:numId w:val="123"/>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U izvještajnom periodu Odsjek je zaprimio od Ministarstva finansija-Direktorata za upravni i carinski postupak, kao drugostepenog organa:</w:t>
      </w:r>
    </w:p>
    <w:p w:rsidR="003611CF" w:rsidRPr="003611CF" w:rsidRDefault="003611CF" w:rsidP="004D6CB4">
      <w:pPr>
        <w:numPr>
          <w:ilvl w:val="0"/>
          <w:numId w:val="140"/>
        </w:numPr>
        <w:spacing w:before="0" w:after="0" w:line="240" w:lineRule="auto"/>
        <w:ind w:left="0" w:firstLine="567"/>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49 rješenja za oblast inspekcijskog nadzora (28 rješenja kojim su poništena prvostepena rješenja i predmeti vraćeni na ponovni postupak i odlučivanje prvostepenom organu i 21 rješenje kojim su žalbe žalioca  izjavljene protiv prvostepenih rješenja odbijene kao neosnovane);</w:t>
      </w:r>
    </w:p>
    <w:p w:rsidR="003611CF" w:rsidRPr="003611CF" w:rsidRDefault="003611CF" w:rsidP="004D6CB4">
      <w:pPr>
        <w:numPr>
          <w:ilvl w:val="0"/>
          <w:numId w:val="140"/>
        </w:numPr>
        <w:spacing w:before="0" w:after="0" w:line="240" w:lineRule="auto"/>
        <w:ind w:left="0" w:firstLine="567"/>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182 rješenja za oblast naplate i registracija (85 rješenja kojim su poništena prvostepena rješenja i predmeti vraćeni na ponovni postupak i odlučivanje prvostepenom organu; 91 rješenje kojim su žalbe žalioca izjavljene protiv prvostepenih rješenja odbijene kao neosnovane i 5 rješenja kojim se djelimično poništavaju rješenja poreskog organa i u tom dijelu se predmeti vraćaju prvostepenom organu na ponovni postupak i odlučivanje; 1 rješenje kojim se usvaja žalba zbog „ćutanja uprave“i nalaže se prvostepenom organu donošenje rješenja;</w:t>
      </w:r>
    </w:p>
    <w:p w:rsidR="003611CF" w:rsidRPr="003611CF" w:rsidRDefault="003611CF" w:rsidP="004D6CB4">
      <w:pPr>
        <w:numPr>
          <w:ilvl w:val="0"/>
          <w:numId w:val="140"/>
        </w:numPr>
        <w:spacing w:before="0" w:after="0" w:line="240" w:lineRule="auto"/>
        <w:ind w:left="0" w:firstLine="567"/>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rješenja evidentirana u izvještaju o praćenju postupaka po žalbama izjavljenim protiv rješenja donijetih u prvostepenom postupku;</w:t>
      </w:r>
    </w:p>
    <w:p w:rsidR="003611CF" w:rsidRPr="003611CF" w:rsidRDefault="003611CF" w:rsidP="004D6CB4">
      <w:pPr>
        <w:numPr>
          <w:ilvl w:val="0"/>
          <w:numId w:val="140"/>
        </w:numPr>
        <w:spacing w:before="0" w:after="0" w:line="240" w:lineRule="auto"/>
        <w:ind w:left="0" w:firstLine="567"/>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praćenje sprovođenja upravnog postupka u poreskom organu, na osnovu analiza donijetih rješenja drugostepenog organa;</w:t>
      </w:r>
    </w:p>
    <w:p w:rsidR="003611CF" w:rsidRPr="003611CF" w:rsidRDefault="003611CF" w:rsidP="004D6CB4">
      <w:pPr>
        <w:numPr>
          <w:ilvl w:val="0"/>
          <w:numId w:val="140"/>
        </w:numPr>
        <w:spacing w:before="0" w:after="0" w:line="240" w:lineRule="auto"/>
        <w:ind w:left="0" w:firstLine="567"/>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kopije drugostepenih rješenja proslijeđene na uvid pomoćniku direktora, glavnom poreskom inspektoru, inspektorima Odsjeka za inspekcijski nadzor;</w:t>
      </w:r>
    </w:p>
    <w:p w:rsidR="003611CF" w:rsidRPr="003611CF" w:rsidRDefault="003611CF" w:rsidP="004D6CB4">
      <w:pPr>
        <w:numPr>
          <w:ilvl w:val="0"/>
          <w:numId w:val="121"/>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U izvještajnom periodu Odsjek je zaprimio od Upravnog suda presude po tužbi poreskih obveznika protiv rješenja Ministarstva finansija kao drugostepenog organa:</w:t>
      </w:r>
    </w:p>
    <w:p w:rsidR="003611CF" w:rsidRPr="003611CF" w:rsidRDefault="003611CF" w:rsidP="004D6CB4">
      <w:pPr>
        <w:numPr>
          <w:ilvl w:val="0"/>
          <w:numId w:val="141"/>
        </w:numPr>
        <w:spacing w:before="0" w:after="0" w:line="240" w:lineRule="auto"/>
        <w:ind w:left="709" w:hanging="142"/>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6 presuda Upravnog suda za oblast inspekcijskog nadzora (1 presudu kojim se tužba usvaja i 5 presuda  kojim su tužbe odbijene);</w:t>
      </w:r>
    </w:p>
    <w:p w:rsidR="003611CF" w:rsidRPr="003611CF" w:rsidRDefault="003611CF" w:rsidP="004D6CB4">
      <w:pPr>
        <w:numPr>
          <w:ilvl w:val="0"/>
          <w:numId w:val="141"/>
        </w:numPr>
        <w:spacing w:before="0" w:after="0" w:line="240" w:lineRule="auto"/>
        <w:ind w:left="709" w:hanging="142"/>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15 presuda upravnog suda za oblast naplate i registracija (6 presuda kojim se tužbe usvajaju; 6 presuda  kojim su tužbe odbijene kao neblagovremene i 3 presude kojim su tužbe odbijene kao neosnovane);</w:t>
      </w:r>
    </w:p>
    <w:p w:rsidR="003611CF" w:rsidRPr="003611CF" w:rsidRDefault="003611CF" w:rsidP="004D6CB4">
      <w:pPr>
        <w:numPr>
          <w:ilvl w:val="0"/>
          <w:numId w:val="141"/>
        </w:numPr>
        <w:spacing w:before="0" w:after="0" w:line="240" w:lineRule="auto"/>
        <w:ind w:left="709" w:hanging="142"/>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kopije presuda proslijeđene na uvid pomoćniku direktora, glavnom poreskom inspektoru, inspektorima Odsjeka za inspekcijski nadzor;</w:t>
      </w:r>
    </w:p>
    <w:p w:rsidR="003611CF" w:rsidRPr="003611CF" w:rsidRDefault="003611CF" w:rsidP="004D6CB4">
      <w:pPr>
        <w:numPr>
          <w:ilvl w:val="0"/>
          <w:numId w:val="121"/>
        </w:numPr>
        <w:spacing w:before="0" w:after="0" w:line="240" w:lineRule="auto"/>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lastRenderedPageBreak/>
        <w:t>U izvještajnom periodu  Odsjek je zaprimio od Vrhovnog suda:</w:t>
      </w:r>
    </w:p>
    <w:p w:rsidR="003611CF" w:rsidRPr="003611CF" w:rsidRDefault="003611CF" w:rsidP="004D6CB4">
      <w:pPr>
        <w:numPr>
          <w:ilvl w:val="0"/>
          <w:numId w:val="142"/>
        </w:numPr>
        <w:spacing w:before="0" w:after="0" w:line="240" w:lineRule="auto"/>
        <w:ind w:left="709" w:hanging="142"/>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 xml:space="preserve">3 presude kojim su zahtjevi za preispitivanje sudske odluke odbijeni kao neosnovani (1 presuda za oblast inspekcijskog nadzora i 2 presude za oblast naplate i registracija); </w:t>
      </w:r>
    </w:p>
    <w:p w:rsidR="003611CF" w:rsidRDefault="003611CF" w:rsidP="004D6CB4">
      <w:pPr>
        <w:numPr>
          <w:ilvl w:val="0"/>
          <w:numId w:val="142"/>
        </w:numPr>
        <w:spacing w:before="0" w:after="0" w:line="240" w:lineRule="auto"/>
        <w:ind w:left="709" w:hanging="142"/>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kopije presude proslijeđena na uvid pomoćniku direktora, glavnom poreskom inspektoru, inspektorima</w:t>
      </w:r>
      <w:r w:rsidR="00CB5BEE">
        <w:rPr>
          <w:rFonts w:ascii="Calibri" w:eastAsia="Times New Roman" w:hAnsi="Calibri" w:cs="Calibri"/>
          <w:szCs w:val="24"/>
          <w:lang w:val="hr-HR" w:eastAsia="hr-HR"/>
        </w:rPr>
        <w:t xml:space="preserve"> Odsjeka za inspekcijski nadzor.</w:t>
      </w:r>
    </w:p>
    <w:p w:rsidR="00CB5BEE" w:rsidRPr="003611CF" w:rsidRDefault="00CB5BEE" w:rsidP="00CB5BEE">
      <w:pPr>
        <w:spacing w:before="0" w:after="0" w:line="240" w:lineRule="auto"/>
        <w:ind w:left="709"/>
        <w:contextualSpacing/>
        <w:jc w:val="left"/>
        <w:rPr>
          <w:rFonts w:ascii="Calibri" w:eastAsia="Times New Roman" w:hAnsi="Calibri" w:cs="Calibri"/>
          <w:szCs w:val="24"/>
          <w:lang w:val="hr-HR" w:eastAsia="hr-HR"/>
        </w:rPr>
      </w:pPr>
    </w:p>
    <w:p w:rsidR="003611CF" w:rsidRPr="00CB5BEE" w:rsidRDefault="003611CF" w:rsidP="004D6CB4">
      <w:pPr>
        <w:numPr>
          <w:ilvl w:val="0"/>
          <w:numId w:val="138"/>
        </w:numPr>
        <w:tabs>
          <w:tab w:val="num" w:pos="0"/>
        </w:tabs>
        <w:spacing w:before="0" w:after="0" w:line="240" w:lineRule="auto"/>
        <w:ind w:left="0" w:firstLine="180"/>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OSTALE AKTIVNOSTI U ODSJEKU ZA PRAĆENJE SPROVOĐENJA UPRAVNOG I PREKRŠAJNOG POSTUPKA</w:t>
      </w:r>
    </w:p>
    <w:p w:rsidR="003611CF" w:rsidRPr="00CB5BEE" w:rsidRDefault="003611CF" w:rsidP="003611CF">
      <w:pPr>
        <w:spacing w:before="0" w:after="0" w:line="240" w:lineRule="auto"/>
        <w:rPr>
          <w:rFonts w:ascii="Calibri" w:eastAsia="Times New Roman" w:hAnsi="Calibri" w:cs="Calibri"/>
          <w:szCs w:val="24"/>
          <w:lang w:val="sr-Latn-RS" w:eastAsia="hr-HR"/>
        </w:rPr>
      </w:pPr>
      <w:r w:rsidRPr="003611CF">
        <w:rPr>
          <w:rFonts w:ascii="Calibri" w:eastAsia="Times New Roman" w:hAnsi="Calibri" w:cs="Calibri"/>
          <w:szCs w:val="24"/>
          <w:lang w:val="hr-HR" w:eastAsia="hr-HR"/>
        </w:rPr>
        <w:t>I</w:t>
      </w:r>
      <w:r w:rsidR="00CB5BEE">
        <w:rPr>
          <w:rFonts w:ascii="Calibri" w:eastAsia="Times New Roman" w:hAnsi="Calibri" w:cs="Calibri"/>
          <w:szCs w:val="24"/>
          <w:lang w:val="sr-Latn-RS" w:eastAsia="hr-HR"/>
        </w:rPr>
        <w:t>zvještavanje/izrada izvještaja</w:t>
      </w:r>
    </w:p>
    <w:p w:rsidR="003611CF" w:rsidRPr="003611CF" w:rsidRDefault="003611CF" w:rsidP="004D6CB4">
      <w:pPr>
        <w:numPr>
          <w:ilvl w:val="0"/>
          <w:numId w:val="121"/>
        </w:numPr>
        <w:spacing w:before="0" w:after="0" w:line="240" w:lineRule="auto"/>
        <w:ind w:left="142" w:firstLine="218"/>
        <w:contextualSpacing/>
        <w:jc w:val="left"/>
        <w:rPr>
          <w:rFonts w:ascii="Calibri" w:eastAsia="Times New Roman" w:hAnsi="Calibri" w:cs="Calibri"/>
          <w:b/>
          <w:szCs w:val="24"/>
          <w:lang w:val="sr-Latn-RS" w:eastAsia="hr-HR"/>
        </w:rPr>
      </w:pPr>
      <w:r w:rsidRPr="003611CF">
        <w:rPr>
          <w:rFonts w:ascii="Calibri" w:eastAsia="Times New Roman" w:hAnsi="Calibri" w:cs="Calibri"/>
          <w:szCs w:val="24"/>
          <w:lang w:val="sr-Latn-RS" w:eastAsia="hr-HR"/>
        </w:rPr>
        <w:t>Mjesečni, kvartalni (tromesječni, polugodišnji, devetomjesečni) i godišnji izvještaj o radu Odsjeka;</w:t>
      </w:r>
    </w:p>
    <w:p w:rsidR="003611CF" w:rsidRPr="003611CF" w:rsidRDefault="003611CF" w:rsidP="004D6CB4">
      <w:pPr>
        <w:numPr>
          <w:ilvl w:val="0"/>
          <w:numId w:val="121"/>
        </w:numPr>
        <w:spacing w:before="0" w:after="0" w:line="240" w:lineRule="auto"/>
        <w:ind w:left="142" w:firstLine="218"/>
        <w:contextualSpacing/>
        <w:jc w:val="left"/>
        <w:rPr>
          <w:rFonts w:ascii="Calibri" w:eastAsia="Times New Roman" w:hAnsi="Calibri" w:cs="Calibri"/>
          <w:szCs w:val="24"/>
          <w:lang w:val="hr-HR"/>
        </w:rPr>
      </w:pPr>
      <w:r w:rsidRPr="003611CF">
        <w:rPr>
          <w:rFonts w:ascii="Calibri" w:eastAsia="Times New Roman" w:hAnsi="Calibri" w:cs="Calibri"/>
          <w:szCs w:val="24"/>
          <w:lang w:val="sr-Latn-RS"/>
        </w:rPr>
        <w:t>I</w:t>
      </w:r>
      <w:r w:rsidRPr="003611CF">
        <w:rPr>
          <w:rFonts w:ascii="Calibri" w:eastAsia="Times New Roman" w:hAnsi="Calibri" w:cs="Calibri"/>
          <w:szCs w:val="24"/>
          <w:lang w:val="hr-HR"/>
        </w:rPr>
        <w:t>zvještaj o odobrenim poreskim oslobađanjima od plaćanja PDVa za period 01.01.2016-31.05.2020. godine za potrebe nadzora nad zakonitošću i cjelishodnosti rada Poreske uprave, na zahtjev Ministarstva finansija;</w:t>
      </w:r>
    </w:p>
    <w:p w:rsidR="003611CF" w:rsidRPr="003611CF" w:rsidRDefault="003611CF" w:rsidP="004D6CB4">
      <w:pPr>
        <w:numPr>
          <w:ilvl w:val="0"/>
          <w:numId w:val="121"/>
        </w:numPr>
        <w:spacing w:before="0" w:after="0" w:line="240" w:lineRule="auto"/>
        <w:ind w:left="142" w:firstLine="218"/>
        <w:contextualSpacing/>
        <w:jc w:val="left"/>
        <w:rPr>
          <w:rFonts w:ascii="Calibri" w:eastAsia="Times New Roman" w:hAnsi="Calibri" w:cs="Calibri"/>
          <w:szCs w:val="24"/>
          <w:lang w:val="hr-HR"/>
        </w:rPr>
      </w:pPr>
      <w:r w:rsidRPr="003611CF">
        <w:rPr>
          <w:rFonts w:ascii="Calibri" w:eastAsia="Times New Roman" w:hAnsi="Calibri" w:cs="Calibri"/>
          <w:szCs w:val="24"/>
          <w:lang w:val="hr-HR"/>
        </w:rPr>
        <w:t>Izvještaj o visini oslobađanja od poreskih obaveza, za izgradnju Autoputa Bar-Boljare, dionica Smokovac-Mateševo za period 10/2019-09/2020. godine, na zahtjev Ministarstva pomorstva i saobraćaja;</w:t>
      </w:r>
    </w:p>
    <w:p w:rsidR="003611CF" w:rsidRPr="003611CF" w:rsidRDefault="003611CF" w:rsidP="004D6CB4">
      <w:pPr>
        <w:numPr>
          <w:ilvl w:val="0"/>
          <w:numId w:val="121"/>
        </w:numPr>
        <w:spacing w:before="0" w:after="0" w:line="240" w:lineRule="auto"/>
        <w:ind w:left="142" w:firstLine="218"/>
        <w:contextualSpacing/>
        <w:jc w:val="left"/>
        <w:rPr>
          <w:rFonts w:ascii="Calibri" w:eastAsia="Times New Roman" w:hAnsi="Calibri" w:cs="Calibri"/>
          <w:szCs w:val="24"/>
          <w:lang w:val="hr-HR"/>
        </w:rPr>
      </w:pPr>
      <w:r w:rsidRPr="003611CF">
        <w:rPr>
          <w:rFonts w:ascii="Calibri" w:eastAsia="Times New Roman" w:hAnsi="Calibri" w:cs="Calibri"/>
          <w:szCs w:val="24"/>
          <w:lang w:val="hr-HR"/>
        </w:rPr>
        <w:t>Izvještaj o sprovedenim upravnim sporovima za oblast inspekcijskog nadzora u 2018. i 2019. godini, na zahtjev Odsjeka za međunarodnu saradnju i razmjenu informacija;</w:t>
      </w:r>
    </w:p>
    <w:p w:rsidR="003611CF" w:rsidRPr="003611CF" w:rsidRDefault="003611CF" w:rsidP="003611CF">
      <w:pPr>
        <w:spacing w:before="0" w:after="0" w:line="240" w:lineRule="auto"/>
        <w:rPr>
          <w:rFonts w:ascii="Calibri" w:eastAsia="Times New Roman" w:hAnsi="Calibri" w:cs="Calibri"/>
          <w:b/>
          <w:szCs w:val="24"/>
          <w:lang w:val="sr-Latn-RS" w:eastAsia="hr-HR"/>
        </w:rPr>
      </w:pPr>
    </w:p>
    <w:p w:rsidR="003611CF" w:rsidRPr="00CB5BEE" w:rsidRDefault="00CB5BEE" w:rsidP="003611CF">
      <w:pPr>
        <w:spacing w:before="0" w:after="0" w:line="240" w:lineRule="auto"/>
        <w:rPr>
          <w:rFonts w:ascii="Calibri" w:eastAsia="Times New Roman" w:hAnsi="Calibri" w:cs="Calibri"/>
          <w:b/>
          <w:szCs w:val="24"/>
          <w:lang w:val="sr-Latn-RS" w:eastAsia="hr-HR"/>
        </w:rPr>
      </w:pPr>
      <w:r>
        <w:rPr>
          <w:rFonts w:ascii="Calibri" w:eastAsia="Times New Roman" w:hAnsi="Calibri" w:cs="Calibri"/>
          <w:b/>
          <w:szCs w:val="24"/>
          <w:lang w:val="sr-Latn-RS" w:eastAsia="hr-HR"/>
        </w:rPr>
        <w:t>Ostale aktivnosti</w:t>
      </w:r>
    </w:p>
    <w:p w:rsidR="003611CF" w:rsidRPr="003611CF" w:rsidRDefault="003611CF" w:rsidP="004D6CB4">
      <w:pPr>
        <w:numPr>
          <w:ilvl w:val="0"/>
          <w:numId w:val="123"/>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Rad na projektu Svjetske banke/reforma poreske administracije-izrada dokumenata budućeg stanja, odnosno funkcionalnih zahtjeva u radnom timu za upravljanje postupcima (prvostepeni postupak, žalbeni postupak, oslobađanje od plaćanja PDVa, slobodan pristup informacijama);</w:t>
      </w:r>
    </w:p>
    <w:p w:rsidR="003611CF" w:rsidRPr="003611CF" w:rsidRDefault="003611CF" w:rsidP="004D6CB4">
      <w:pPr>
        <w:numPr>
          <w:ilvl w:val="0"/>
          <w:numId w:val="123"/>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IProsljeđivanje rješenja dostavljenih od strane osnovnih i viših sudova o</w:t>
      </w:r>
      <w:r w:rsidRPr="003611CF">
        <w:rPr>
          <w:rFonts w:ascii="Calibri" w:eastAsia="Times New Roman" w:hAnsi="Calibri" w:cs="Calibri"/>
          <w:szCs w:val="24"/>
          <w:lang w:val="hr-HR"/>
        </w:rPr>
        <w:t xml:space="preserve"> naknadi troškova advokatima kao postavljenim braniocima okrivljenih i rješenja osnovnih i viših sudova o naknadama advokatima kao postavljenim punomoćnicima oštećenih (</w:t>
      </w:r>
      <w:r w:rsidRPr="003611CF">
        <w:rPr>
          <w:rFonts w:ascii="Calibri" w:eastAsia="Times New Roman" w:hAnsi="Calibri" w:cs="Calibri"/>
          <w:szCs w:val="24"/>
          <w:lang w:val="hr-HR" w:eastAsia="hr-HR"/>
        </w:rPr>
        <w:t>besplatna pravna pomoć), na dalju nadležnost područnim jedinicama;</w:t>
      </w:r>
    </w:p>
    <w:p w:rsidR="003611CF" w:rsidRPr="00CB5BEE" w:rsidRDefault="003611CF" w:rsidP="004D6CB4">
      <w:pPr>
        <w:numPr>
          <w:ilvl w:val="0"/>
          <w:numId w:val="123"/>
        </w:numPr>
        <w:spacing w:before="0" w:after="0" w:line="240" w:lineRule="auto"/>
        <w:ind w:left="0" w:firstLine="360"/>
        <w:contextualSpacing/>
        <w:jc w:val="left"/>
        <w:rPr>
          <w:rFonts w:ascii="Calibri" w:eastAsia="Times New Roman" w:hAnsi="Calibri" w:cs="Calibri"/>
          <w:szCs w:val="24"/>
          <w:lang w:val="hr-HR"/>
        </w:rPr>
      </w:pPr>
      <w:r w:rsidRPr="003611CF">
        <w:rPr>
          <w:rFonts w:ascii="Calibri" w:eastAsia="Times New Roman" w:hAnsi="Calibri" w:cs="Calibri"/>
          <w:szCs w:val="24"/>
          <w:lang w:val="hr-HR"/>
        </w:rPr>
        <w:t>Upućeni zahtjevi predsjednicima svih sudova za prekršaje za dostavljanje sudskih rješenja Odsjeku za praćenje sprovođenja upravnog i prekršajnog postupka na dalju nadležnost.</w:t>
      </w:r>
    </w:p>
    <w:p w:rsidR="003611CF" w:rsidRPr="003611CF" w:rsidRDefault="003611CF" w:rsidP="003611CF">
      <w:pPr>
        <w:spacing w:before="0" w:after="0" w:line="240" w:lineRule="auto"/>
        <w:contextualSpacing/>
        <w:rPr>
          <w:rFonts w:ascii="Calibri" w:eastAsia="Times New Roman" w:hAnsi="Calibri" w:cs="Calibri"/>
          <w:szCs w:val="24"/>
          <w:lang w:val="hr-HR"/>
        </w:rPr>
      </w:pPr>
    </w:p>
    <w:p w:rsidR="003611CF" w:rsidRPr="003611CF" w:rsidRDefault="003611CF" w:rsidP="00CB5BEE">
      <w:pPr>
        <w:spacing w:before="0" w:line="240" w:lineRule="auto"/>
        <w:jc w:val="center"/>
        <w:rPr>
          <w:rFonts w:ascii="Calibri" w:eastAsia="Times New Roman" w:hAnsi="Calibri" w:cs="Calibri"/>
          <w:b/>
          <w:iCs/>
          <w:szCs w:val="24"/>
          <w:lang w:eastAsia="hr-HR"/>
        </w:rPr>
      </w:pPr>
      <w:r w:rsidRPr="003611CF">
        <w:rPr>
          <w:rFonts w:ascii="Calibri" w:eastAsia="Times New Roman" w:hAnsi="Calibri" w:cs="Calibri"/>
          <w:b/>
          <w:iCs/>
          <w:szCs w:val="24"/>
          <w:lang w:eastAsia="hr-HR"/>
        </w:rPr>
        <w:t>SEK</w:t>
      </w:r>
      <w:r w:rsidR="00CB5BEE">
        <w:rPr>
          <w:rFonts w:ascii="Calibri" w:eastAsia="Times New Roman" w:hAnsi="Calibri" w:cs="Calibri"/>
          <w:b/>
          <w:iCs/>
          <w:szCs w:val="24"/>
          <w:lang w:eastAsia="hr-HR"/>
        </w:rPr>
        <w:t>TOR ZA VELIKE PORESKE OBVEZNIKE</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Veliki poreski obveznici (268), čine manje od jednog procenta ukupnog broja poreskih obveznika za koje je nadležna PUCG, ali  učestvuju sa cca 34% u ukupnim javnim prihodima, za koje je nadležna Poreska uprava CG.</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Sektor za VPO je konstituisan kao integrisani segment, koji objedinjava poslove analize rizika, naplate, inspekcijskog nadzora, usluga i edukacije.</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Sektor za VPO u kontinuitetu prati i preduzma sve potrebne mjere, neophodne za povećanje stepena  dobrovoljnog  poštovanja poreskih propisa i obaveza kod ovog  značajnog segmenta poreskih obveznika  kako bi,  na pravi način reagovala na nepoštovanje istih.</w:t>
      </w:r>
    </w:p>
    <w:p w:rsidR="003611CF" w:rsidRPr="003611CF" w:rsidRDefault="003611CF" w:rsidP="003611CF">
      <w:pPr>
        <w:spacing w:before="0" w:after="0" w:line="240" w:lineRule="auto"/>
        <w:rPr>
          <w:rFonts w:ascii="Calibri" w:eastAsia="Times New Roman" w:hAnsi="Calibri" w:cs="Calibri"/>
          <w:b/>
          <w:szCs w:val="24"/>
          <w:lang w:val="en-GB"/>
        </w:rPr>
      </w:pPr>
    </w:p>
    <w:p w:rsidR="003611CF" w:rsidRPr="003611CF" w:rsidRDefault="003611CF" w:rsidP="00CB5BEE">
      <w:pPr>
        <w:spacing w:before="0" w:line="240" w:lineRule="auto"/>
        <w:rPr>
          <w:rFonts w:ascii="Calibri" w:eastAsia="Times New Roman" w:hAnsi="Calibri" w:cs="Calibri"/>
          <w:b/>
          <w:szCs w:val="24"/>
          <w:lang w:val="en-GB"/>
        </w:rPr>
      </w:pPr>
      <w:r w:rsidRPr="003611CF">
        <w:rPr>
          <w:rFonts w:ascii="Calibri" w:eastAsia="Times New Roman" w:hAnsi="Calibri" w:cs="Calibri"/>
          <w:b/>
          <w:szCs w:val="24"/>
          <w:lang w:val="en-GB"/>
        </w:rPr>
        <w:t xml:space="preserve">REGISTAR OPERATIVNIH RIZIKA </w:t>
      </w:r>
    </w:p>
    <w:p w:rsidR="003611CF" w:rsidRPr="003611CF" w:rsidRDefault="003611CF" w:rsidP="00CB5BEE">
      <w:pPr>
        <w:spacing w:before="0" w:line="240" w:lineRule="auto"/>
        <w:rPr>
          <w:rFonts w:ascii="Calibri" w:eastAsia="Times New Roman" w:hAnsi="Calibri" w:cs="Calibri"/>
          <w:bCs/>
          <w:szCs w:val="24"/>
          <w:lang w:val="en-GB" w:eastAsia="hr-HR"/>
        </w:rPr>
      </w:pPr>
      <w:r w:rsidRPr="003611CF">
        <w:rPr>
          <w:rFonts w:ascii="Calibri" w:eastAsia="Times New Roman" w:hAnsi="Calibri" w:cs="Calibri"/>
          <w:b/>
          <w:szCs w:val="24"/>
          <w:lang w:val="en-GB"/>
        </w:rPr>
        <w:t xml:space="preserve">AKTIVNOSTI ODSJEK ZA PRUŽANJE USLUGA OBRADU PRIJAVA I UPLATA </w:t>
      </w:r>
    </w:p>
    <w:p w:rsidR="003611CF" w:rsidRPr="003611CF" w:rsidRDefault="003611CF" w:rsidP="003611CF">
      <w:pPr>
        <w:spacing w:before="0" w:after="0" w:line="240" w:lineRule="auto"/>
        <w:rPr>
          <w:rFonts w:ascii="Calibri" w:eastAsia="Times New Roman" w:hAnsi="Calibri" w:cs="Calibri"/>
          <w:bCs/>
          <w:szCs w:val="24"/>
          <w:lang w:val="en-GB" w:eastAsia="hr-HR"/>
        </w:rPr>
      </w:pPr>
      <w:r w:rsidRPr="003611CF">
        <w:rPr>
          <w:rFonts w:ascii="Calibri" w:eastAsia="Times New Roman" w:hAnsi="Calibri" w:cs="Calibri"/>
          <w:bCs/>
          <w:szCs w:val="24"/>
          <w:lang w:val="en-GB" w:eastAsia="hr-HR"/>
        </w:rPr>
        <w:tab/>
        <w:t>Grupa za plan i analizu rizika, mjesečno na osnovu podataka dobijenih od IT-Sektrora, vodi evidenciju i vrši identifikaciju-opštih rizika VPO po kriterijumima i stepenu rizičnosti (uredni VPO, umjereni rizik, visokorizični i znatan rizik), po osnovu četiri osnovne vrste rizika:</w:t>
      </w:r>
    </w:p>
    <w:p w:rsidR="003611CF" w:rsidRPr="003611CF" w:rsidRDefault="003611CF" w:rsidP="003611CF">
      <w:pPr>
        <w:spacing w:before="0" w:after="0" w:line="240" w:lineRule="auto"/>
        <w:rPr>
          <w:rFonts w:ascii="Calibri" w:eastAsia="Times New Roman" w:hAnsi="Calibri" w:cs="Calibri"/>
          <w:bCs/>
          <w:szCs w:val="24"/>
          <w:lang w:val="en-GB" w:eastAsia="hr-HR"/>
        </w:rPr>
      </w:pPr>
    </w:p>
    <w:p w:rsidR="003611CF" w:rsidRPr="003611CF" w:rsidRDefault="003611CF" w:rsidP="004D6CB4">
      <w:pPr>
        <w:numPr>
          <w:ilvl w:val="0"/>
          <w:numId w:val="143"/>
        </w:numPr>
        <w:spacing w:before="0" w:after="0" w:line="240" w:lineRule="auto"/>
        <w:contextualSpacing/>
        <w:jc w:val="left"/>
        <w:rPr>
          <w:rFonts w:ascii="Calibri" w:eastAsia="Times New Roman" w:hAnsi="Calibri" w:cs="Calibri"/>
          <w:bCs/>
          <w:szCs w:val="24"/>
          <w:lang w:val="hr-HR" w:eastAsia="hr-HR"/>
        </w:rPr>
      </w:pPr>
      <w:r w:rsidRPr="003611CF">
        <w:rPr>
          <w:rFonts w:ascii="Calibri" w:eastAsia="Times New Roman" w:hAnsi="Calibri" w:cs="Calibri"/>
          <w:bCs/>
          <w:szCs w:val="24"/>
          <w:lang w:val="hr-HR" w:eastAsia="hr-HR"/>
        </w:rPr>
        <w:t>Blagovremeno podnošenje poreskih prijava,</w:t>
      </w:r>
    </w:p>
    <w:p w:rsidR="003611CF" w:rsidRPr="003611CF" w:rsidRDefault="003611CF" w:rsidP="004D6CB4">
      <w:pPr>
        <w:numPr>
          <w:ilvl w:val="0"/>
          <w:numId w:val="143"/>
        </w:numPr>
        <w:spacing w:before="0" w:after="0" w:line="240" w:lineRule="auto"/>
        <w:contextualSpacing/>
        <w:jc w:val="left"/>
        <w:rPr>
          <w:rFonts w:ascii="Calibri" w:eastAsia="Times New Roman" w:hAnsi="Calibri" w:cs="Calibri"/>
          <w:bCs/>
          <w:szCs w:val="24"/>
          <w:lang w:val="hr-HR" w:eastAsia="hr-HR"/>
        </w:rPr>
      </w:pPr>
      <w:r w:rsidRPr="003611CF">
        <w:rPr>
          <w:rFonts w:ascii="Calibri" w:eastAsia="Times New Roman" w:hAnsi="Calibri" w:cs="Calibri"/>
          <w:bCs/>
          <w:szCs w:val="24"/>
          <w:lang w:val="hr-HR" w:eastAsia="hr-HR"/>
        </w:rPr>
        <w:t>Blagovremenog izmirivanja tekućih poreskih obaveza i reprograma,</w:t>
      </w:r>
    </w:p>
    <w:p w:rsidR="003611CF" w:rsidRPr="003611CF" w:rsidRDefault="003611CF" w:rsidP="004D6CB4">
      <w:pPr>
        <w:numPr>
          <w:ilvl w:val="0"/>
          <w:numId w:val="143"/>
        </w:numPr>
        <w:spacing w:before="0" w:after="0" w:line="240" w:lineRule="auto"/>
        <w:contextualSpacing/>
        <w:jc w:val="left"/>
        <w:rPr>
          <w:rFonts w:ascii="Calibri" w:eastAsia="Times New Roman" w:hAnsi="Calibri" w:cs="Calibri"/>
          <w:bCs/>
          <w:szCs w:val="24"/>
          <w:lang w:val="hr-HR" w:eastAsia="hr-HR"/>
        </w:rPr>
      </w:pPr>
      <w:r w:rsidRPr="003611CF">
        <w:rPr>
          <w:rFonts w:ascii="Calibri" w:eastAsia="Times New Roman" w:hAnsi="Calibri" w:cs="Calibri"/>
          <w:bCs/>
          <w:szCs w:val="24"/>
          <w:lang w:val="hr-HR" w:eastAsia="hr-HR"/>
        </w:rPr>
        <w:t>Naplata poreskih potraživanja i</w:t>
      </w:r>
    </w:p>
    <w:p w:rsidR="003611CF" w:rsidRPr="003611CF" w:rsidRDefault="003611CF" w:rsidP="004D6CB4">
      <w:pPr>
        <w:numPr>
          <w:ilvl w:val="0"/>
          <w:numId w:val="143"/>
        </w:numPr>
        <w:spacing w:before="0" w:after="0" w:line="240" w:lineRule="auto"/>
        <w:contextualSpacing/>
        <w:jc w:val="left"/>
        <w:rPr>
          <w:rFonts w:ascii="Calibri" w:eastAsia="Times New Roman" w:hAnsi="Calibri" w:cs="Calibri"/>
          <w:bCs/>
          <w:szCs w:val="24"/>
          <w:lang w:val="hr-HR" w:eastAsia="hr-HR"/>
        </w:rPr>
      </w:pPr>
      <w:r w:rsidRPr="003611CF">
        <w:rPr>
          <w:rFonts w:ascii="Calibri" w:eastAsia="Times New Roman" w:hAnsi="Calibri" w:cs="Calibri"/>
          <w:bCs/>
          <w:szCs w:val="24"/>
          <w:lang w:val="hr-HR" w:eastAsia="hr-HR"/>
        </w:rPr>
        <w:t xml:space="preserve">Tačnost iskazanih podataka u poreskim prijavama. </w:t>
      </w:r>
    </w:p>
    <w:p w:rsidR="003611CF" w:rsidRPr="003611CF" w:rsidRDefault="003611CF" w:rsidP="003611CF">
      <w:pPr>
        <w:spacing w:before="0" w:after="0" w:line="240" w:lineRule="auto"/>
        <w:ind w:left="766"/>
        <w:rPr>
          <w:rFonts w:ascii="Calibri" w:eastAsia="Times New Roman" w:hAnsi="Calibri" w:cs="Calibri"/>
          <w:b/>
          <w:szCs w:val="24"/>
          <w:lang w:val="hr-HR" w:eastAsia="hr-HR"/>
        </w:rPr>
      </w:pPr>
    </w:p>
    <w:p w:rsidR="003611CF" w:rsidRPr="00CB5BEE" w:rsidRDefault="003611CF" w:rsidP="004D6CB4">
      <w:pPr>
        <w:numPr>
          <w:ilvl w:val="0"/>
          <w:numId w:val="144"/>
        </w:numPr>
        <w:spacing w:before="0" w:after="0" w:line="240" w:lineRule="auto"/>
        <w:jc w:val="left"/>
        <w:rPr>
          <w:rFonts w:ascii="Calibri" w:eastAsia="Times New Roman" w:hAnsi="Calibri" w:cs="Calibri"/>
          <w:b/>
          <w:szCs w:val="24"/>
          <w:lang w:val="en-GB"/>
        </w:rPr>
      </w:pPr>
      <w:r w:rsidRPr="003611CF">
        <w:rPr>
          <w:rFonts w:ascii="Calibri" w:eastAsia="Times New Roman" w:hAnsi="Calibri" w:cs="Calibri"/>
          <w:b/>
          <w:szCs w:val="24"/>
          <w:lang w:val="en-GB"/>
        </w:rPr>
        <w:t>Blagovremeno podnošenje  poreskih prijava (PDV,P/Dobit i IOPPD)</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Veliki poreski obveznici, poreske prijave po osnovu PDV, P/dobit i IOPPD podnose elektronski.</w:t>
      </w:r>
    </w:p>
    <w:p w:rsidR="003611CF" w:rsidRPr="003611CF" w:rsidRDefault="003611CF" w:rsidP="00CB5BEE">
      <w:pPr>
        <w:spacing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U izvještajnom periodu procenat blagovremenosti podnošen</w:t>
      </w:r>
      <w:r w:rsidR="00CB5BEE">
        <w:rPr>
          <w:rFonts w:ascii="Calibri" w:eastAsia="Times New Roman" w:hAnsi="Calibri" w:cs="Calibri"/>
          <w:szCs w:val="24"/>
          <w:lang w:val="en-GB"/>
        </w:rPr>
        <w:t>ja poreskih prijava je sljedeći:</w:t>
      </w:r>
    </w:p>
    <w:p w:rsidR="003611CF" w:rsidRPr="00CB5BEE" w:rsidRDefault="003611CF" w:rsidP="004D6CB4">
      <w:pPr>
        <w:numPr>
          <w:ilvl w:val="0"/>
          <w:numId w:val="115"/>
        </w:numPr>
        <w:spacing w:before="0" w:after="0" w:line="240" w:lineRule="auto"/>
        <w:contextualSpacing/>
        <w:jc w:val="left"/>
        <w:rPr>
          <w:rFonts w:ascii="Calibri" w:eastAsia="Times New Roman" w:hAnsi="Calibri" w:cs="Calibri"/>
          <w:b/>
          <w:szCs w:val="24"/>
          <w:lang w:val="hr-HR" w:eastAsia="hr-HR"/>
        </w:rPr>
      </w:pPr>
      <w:r w:rsidRPr="003611CF">
        <w:rPr>
          <w:rFonts w:ascii="Calibri" w:eastAsia="Times New Roman" w:hAnsi="Calibri" w:cs="Calibri"/>
          <w:b/>
          <w:szCs w:val="24"/>
          <w:lang w:val="hr-HR" w:eastAsia="hr-HR"/>
        </w:rPr>
        <w:t xml:space="preserve">Poreske prijave po osnovu PDV (255) VPO </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VPO-registrovani za PDV i u 2020.godini kao i u 2019.godini, blagovrem</w:t>
      </w:r>
      <w:r w:rsidR="00CB5BEE">
        <w:rPr>
          <w:rFonts w:ascii="Calibri" w:eastAsia="Times New Roman" w:hAnsi="Calibri" w:cs="Calibri"/>
          <w:szCs w:val="24"/>
          <w:lang w:val="en-GB"/>
        </w:rPr>
        <w:t>eno podnose PDV prijave (100%).</w:t>
      </w:r>
    </w:p>
    <w:p w:rsidR="003611CF" w:rsidRPr="00CB5BEE" w:rsidRDefault="003611CF" w:rsidP="004D6CB4">
      <w:pPr>
        <w:numPr>
          <w:ilvl w:val="0"/>
          <w:numId w:val="115"/>
        </w:numPr>
        <w:spacing w:before="0" w:after="0" w:line="240" w:lineRule="auto"/>
        <w:contextualSpacing/>
        <w:jc w:val="left"/>
        <w:rPr>
          <w:rFonts w:ascii="Calibri" w:eastAsia="Times New Roman" w:hAnsi="Calibri" w:cs="Calibri"/>
          <w:b/>
          <w:szCs w:val="24"/>
          <w:lang w:val="hr-HR" w:eastAsia="hr-HR"/>
        </w:rPr>
      </w:pPr>
      <w:r w:rsidRPr="003611CF">
        <w:rPr>
          <w:rFonts w:ascii="Calibri" w:eastAsia="Times New Roman" w:hAnsi="Calibri" w:cs="Calibri"/>
          <w:b/>
          <w:szCs w:val="24"/>
          <w:lang w:val="hr-HR" w:eastAsia="hr-HR"/>
        </w:rPr>
        <w:t>Poreske prijave P/dobit (268) VPO,  blagovremeno podnose (100% ).</w:t>
      </w:r>
    </w:p>
    <w:p w:rsidR="003611CF" w:rsidRPr="00CB5BEE" w:rsidRDefault="003611CF" w:rsidP="004D6CB4">
      <w:pPr>
        <w:numPr>
          <w:ilvl w:val="0"/>
          <w:numId w:val="115"/>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Kod IOPPD (268 VPO), prijava zbog zakonske regulative, procenat  blagovremeno predatih prijava IOPPD je sl</w:t>
      </w:r>
      <w:r w:rsidR="00CB5BEE">
        <w:rPr>
          <w:rFonts w:ascii="Calibri" w:eastAsia="Times New Roman" w:hAnsi="Calibri" w:cs="Calibri"/>
          <w:szCs w:val="24"/>
          <w:lang w:val="hr-HR" w:eastAsia="hr-HR"/>
        </w:rPr>
        <w:t>j</w:t>
      </w:r>
      <w:r w:rsidRPr="003611CF">
        <w:rPr>
          <w:rFonts w:ascii="Calibri" w:eastAsia="Times New Roman" w:hAnsi="Calibri" w:cs="Calibri"/>
          <w:szCs w:val="24"/>
          <w:lang w:val="hr-HR" w:eastAsia="hr-HR"/>
        </w:rPr>
        <w:t>edeći:</w:t>
      </w:r>
    </w:p>
    <w:p w:rsidR="003611CF" w:rsidRPr="003611CF" w:rsidRDefault="003611CF" w:rsidP="004D6CB4">
      <w:pPr>
        <w:numPr>
          <w:ilvl w:val="0"/>
          <w:numId w:val="114"/>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 xml:space="preserve">VPO  koji blagovremeno podnose IOPPD prijavu 199 VPO ili 74,25% </w:t>
      </w:r>
    </w:p>
    <w:p w:rsidR="003611CF" w:rsidRPr="003611CF" w:rsidRDefault="003611CF" w:rsidP="004D6CB4">
      <w:pPr>
        <w:numPr>
          <w:ilvl w:val="0"/>
          <w:numId w:val="114"/>
        </w:numPr>
        <w:spacing w:before="0" w:after="0" w:line="240" w:lineRule="auto"/>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 xml:space="preserve">VPO  koji kasne 1 mjesec  35 VPO ili 13,06% </w:t>
      </w:r>
    </w:p>
    <w:p w:rsidR="003611CF" w:rsidRPr="003611CF" w:rsidRDefault="003611CF" w:rsidP="004D6CB4">
      <w:pPr>
        <w:numPr>
          <w:ilvl w:val="0"/>
          <w:numId w:val="114"/>
        </w:numPr>
        <w:spacing w:before="0" w:after="0" w:line="240" w:lineRule="auto"/>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 xml:space="preserve">VPO koji kasne do 2 mjeseca 12 VPO ili 4,48%    </w:t>
      </w:r>
    </w:p>
    <w:p w:rsidR="003611CF" w:rsidRPr="003611CF" w:rsidRDefault="003611CF" w:rsidP="003611CF">
      <w:pPr>
        <w:spacing w:before="0" w:after="0" w:line="240" w:lineRule="auto"/>
        <w:ind w:left="360"/>
        <w:rPr>
          <w:rFonts w:ascii="Calibri" w:eastAsia="Times New Roman" w:hAnsi="Calibri" w:cs="Calibri"/>
          <w:szCs w:val="24"/>
          <w:lang w:val="hr-HR" w:eastAsia="hr-HR"/>
        </w:rPr>
      </w:pPr>
      <w:r w:rsidRPr="003611CF">
        <w:rPr>
          <w:rFonts w:ascii="Calibri" w:eastAsia="Times New Roman" w:hAnsi="Calibri" w:cs="Calibri"/>
          <w:szCs w:val="24"/>
          <w:lang w:val="hr-HR" w:eastAsia="hr-HR"/>
        </w:rPr>
        <w:t xml:space="preserve">-    VPO koji kasne 3 i više mjeseci 22 VPO ili  8,21% </w:t>
      </w:r>
    </w:p>
    <w:p w:rsidR="003611CF" w:rsidRPr="003611CF" w:rsidRDefault="003611CF" w:rsidP="003611CF">
      <w:pPr>
        <w:spacing w:before="0" w:after="0" w:line="240" w:lineRule="auto"/>
        <w:rPr>
          <w:rFonts w:ascii="Calibri" w:eastAsia="Times New Roman" w:hAnsi="Calibri" w:cs="Calibri"/>
          <w:szCs w:val="24"/>
          <w:lang w:val="en-GB"/>
        </w:rPr>
      </w:pPr>
    </w:p>
    <w:p w:rsidR="003611CF" w:rsidRPr="00CB5BEE" w:rsidRDefault="003611CF" w:rsidP="004D6CB4">
      <w:pPr>
        <w:numPr>
          <w:ilvl w:val="0"/>
          <w:numId w:val="144"/>
        </w:numPr>
        <w:spacing w:before="0" w:after="0" w:line="240" w:lineRule="auto"/>
        <w:ind w:left="0" w:firstLine="360"/>
        <w:jc w:val="left"/>
        <w:rPr>
          <w:rFonts w:ascii="Calibri" w:eastAsia="Times New Roman" w:hAnsi="Calibri" w:cs="Calibri"/>
          <w:b/>
          <w:szCs w:val="24"/>
          <w:lang w:val="en-GB"/>
        </w:rPr>
      </w:pPr>
      <w:r w:rsidRPr="003611CF">
        <w:rPr>
          <w:rFonts w:ascii="Calibri" w:eastAsia="Times New Roman" w:hAnsi="Calibri" w:cs="Calibri"/>
          <w:b/>
          <w:szCs w:val="24"/>
          <w:lang w:val="en-GB"/>
        </w:rPr>
        <w:t>Blagovremeno izmirivanje poreskih obaveza – tekući dugovi po osnovu (PDV, IOPPD, P/Dobit  i ostalih oblika poreza)</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 xml:space="preserve">Praćenje VPO po blagovremenom izmirivanju dospjelih poreskih obaveza, odnosno kašnjenja u izmirivanju tekućih poreskih obaveza, vrši se na osnovu kriterijumima i ocjene rizika (nizak rizik, dug od 0-2.000€), umjeren rizik (dug od 2.000-28.000€), visok rizik (dug od 28.000-100.000€) i ozbiljan rizik (dug preko 100.000€). </w:t>
      </w:r>
    </w:p>
    <w:p w:rsidR="003611CF" w:rsidRPr="003611CF" w:rsidRDefault="003611CF" w:rsidP="003611CF">
      <w:pPr>
        <w:spacing w:before="0" w:after="0" w:line="240" w:lineRule="auto"/>
        <w:rPr>
          <w:rFonts w:ascii="Calibri" w:eastAsia="Times New Roman" w:hAnsi="Calibri" w:cs="Calibri"/>
          <w:szCs w:val="24"/>
          <w:highlight w:val="yellow"/>
          <w:lang w:val="en-GB"/>
        </w:rPr>
      </w:pPr>
      <w:r w:rsidRPr="003611CF">
        <w:rPr>
          <w:rFonts w:ascii="Calibri" w:eastAsia="Times New Roman" w:hAnsi="Calibri" w:cs="Calibri"/>
          <w:szCs w:val="24"/>
          <w:lang w:val="en-GB"/>
        </w:rPr>
        <w:tab/>
        <w:t>Ukupan tekući dug bez kamate po svim poreskim oblicima za 268 VPO iznosi 44.507.015€.</w:t>
      </w:r>
      <w:r w:rsidRPr="003611CF">
        <w:rPr>
          <w:rFonts w:ascii="Calibri" w:eastAsia="Times New Roman" w:hAnsi="Calibri" w:cs="Calibri"/>
          <w:szCs w:val="24"/>
          <w:lang w:val="en-GB"/>
        </w:rPr>
        <w:tab/>
      </w:r>
    </w:p>
    <w:p w:rsidR="003611CF" w:rsidRPr="00CB5BEE" w:rsidRDefault="003611CF" w:rsidP="004D6CB4">
      <w:pPr>
        <w:numPr>
          <w:ilvl w:val="0"/>
          <w:numId w:val="144"/>
        </w:numPr>
        <w:spacing w:before="0" w:after="0" w:line="240" w:lineRule="auto"/>
        <w:jc w:val="left"/>
        <w:rPr>
          <w:rFonts w:ascii="Calibri" w:eastAsia="Times New Roman" w:hAnsi="Calibri" w:cs="Calibri"/>
          <w:b/>
          <w:szCs w:val="24"/>
          <w:lang w:val="en-GB"/>
        </w:rPr>
      </w:pPr>
      <w:r w:rsidRPr="003611CF">
        <w:rPr>
          <w:rFonts w:ascii="Calibri" w:eastAsia="Times New Roman" w:hAnsi="Calibri" w:cs="Calibri"/>
          <w:b/>
          <w:szCs w:val="24"/>
          <w:lang w:val="en-GB"/>
        </w:rPr>
        <w:t xml:space="preserve">Reprogram </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Zaključno sa 06.10.2020. godine, na osnovu inoviranog spiska VPO (268) u reprogramu je 37 VPO sa ukupnim osnovnim dugom od 40.423.756€. Ukupno naplaćenog 10% reprogramiranog duga iznosi 6.729.814€.</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 xml:space="preserve">Ukupan dug po osnovu neizmirenih a dospjelih rata po reprogramu iznosi 3.355.550€. </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Struktura reprogramiranog duga VPO, klasifikovana po stepenu rizičnosti na dan 21.12.2020. godine je sljedeća:</w:t>
      </w:r>
    </w:p>
    <w:p w:rsidR="003611CF" w:rsidRPr="003611CF" w:rsidRDefault="003611CF" w:rsidP="004D6CB4">
      <w:pPr>
        <w:numPr>
          <w:ilvl w:val="0"/>
          <w:numId w:val="145"/>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Broj VPO koji blagovremeno izmiruju reprogramirane obaveze-mjesečne rate,  odnosno imaju dug u rasponu od 0- 3.000€ je 19 VPO ili 51,35% od ukupnog broja VPO u reprogramu (37),ili sa ukupnim dugom od 2.571 € - Niskorizična kategorija VPO u reprogramu,</w:t>
      </w:r>
    </w:p>
    <w:p w:rsidR="003611CF" w:rsidRPr="003611CF" w:rsidRDefault="003611CF" w:rsidP="004D6CB4">
      <w:pPr>
        <w:numPr>
          <w:ilvl w:val="0"/>
          <w:numId w:val="145"/>
        </w:numPr>
        <w:spacing w:before="0" w:after="0" w:line="240" w:lineRule="auto"/>
        <w:ind w:left="0" w:firstLine="360"/>
        <w:contextualSpacing/>
        <w:jc w:val="left"/>
        <w:rPr>
          <w:rFonts w:ascii="Calibri" w:eastAsia="Times New Roman" w:hAnsi="Calibri" w:cs="Calibri"/>
          <w:szCs w:val="24"/>
          <w:lang w:val="hr-HR" w:eastAsia="hr-HR"/>
        </w:rPr>
      </w:pPr>
      <w:r w:rsidRPr="003611CF">
        <w:rPr>
          <w:rFonts w:ascii="Calibri" w:eastAsia="Times New Roman" w:hAnsi="Calibri" w:cs="Calibri"/>
          <w:szCs w:val="24"/>
          <w:lang w:val="hr-HR" w:eastAsia="hr-HR"/>
        </w:rPr>
        <w:t>Broj VPO sa umjerenim rizikom tj imaju dug  u rasponu od 3.000-10.000 €, je 7 VPO ili 19% od ukupnog broja VPO u reprogramu (37) ili sa ukupnim dugom od 45.963,42 € i</w:t>
      </w:r>
    </w:p>
    <w:p w:rsidR="003611CF" w:rsidRPr="003611CF" w:rsidRDefault="003611CF" w:rsidP="004D6CB4">
      <w:pPr>
        <w:numPr>
          <w:ilvl w:val="0"/>
          <w:numId w:val="145"/>
        </w:numPr>
        <w:spacing w:before="0" w:after="0" w:line="240" w:lineRule="auto"/>
        <w:ind w:left="0" w:firstLine="360"/>
        <w:contextualSpacing/>
        <w:jc w:val="left"/>
        <w:rPr>
          <w:rFonts w:ascii="Calibri" w:eastAsia="Times New Roman" w:hAnsi="Calibri" w:cs="Calibri"/>
          <w:b/>
          <w:szCs w:val="24"/>
          <w:lang w:val="hr-HR" w:eastAsia="hr-HR"/>
        </w:rPr>
      </w:pPr>
      <w:r w:rsidRPr="003611CF">
        <w:rPr>
          <w:rFonts w:ascii="Calibri" w:eastAsia="Times New Roman" w:hAnsi="Calibri" w:cs="Calibri"/>
          <w:szCs w:val="24"/>
          <w:lang w:val="hr-HR" w:eastAsia="hr-HR"/>
        </w:rPr>
        <w:t>Broj VPO koji su u kategoriji visokog rizika  sa rasponom duga preko 10.000€ je 11 VPO ili 30%  odnosno ukupnim dugom po osnovu reprograma od 3.650.652 € .</w:t>
      </w:r>
      <w:r w:rsidRPr="003611CF">
        <w:rPr>
          <w:rFonts w:ascii="Calibri" w:eastAsia="Times New Roman" w:hAnsi="Calibri" w:cs="Calibri"/>
          <w:b/>
          <w:szCs w:val="24"/>
          <w:lang w:val="hr-HR" w:eastAsia="hr-HR"/>
        </w:rPr>
        <w:t xml:space="preserve"> </w:t>
      </w:r>
    </w:p>
    <w:p w:rsidR="003611CF" w:rsidRPr="003611CF" w:rsidRDefault="003611CF" w:rsidP="003611CF">
      <w:pPr>
        <w:autoSpaceDE w:val="0"/>
        <w:autoSpaceDN w:val="0"/>
        <w:adjustRightInd w:val="0"/>
        <w:spacing w:before="0" w:after="0" w:line="240" w:lineRule="auto"/>
        <w:rPr>
          <w:rFonts w:ascii="Calibri" w:eastAsia="Times New Roman" w:hAnsi="Calibri" w:cs="Calibri"/>
          <w:szCs w:val="24"/>
          <w:lang w:val="hr-HR" w:eastAsia="hr-HR"/>
        </w:rPr>
      </w:pPr>
    </w:p>
    <w:p w:rsidR="003611CF" w:rsidRPr="003611CF" w:rsidRDefault="003611CF" w:rsidP="004D6CB4">
      <w:pPr>
        <w:numPr>
          <w:ilvl w:val="0"/>
          <w:numId w:val="144"/>
        </w:numPr>
        <w:spacing w:before="0" w:after="0" w:line="240" w:lineRule="auto"/>
        <w:jc w:val="left"/>
        <w:rPr>
          <w:rFonts w:ascii="Calibri" w:eastAsia="Times New Roman" w:hAnsi="Calibri" w:cs="Calibri"/>
          <w:b/>
          <w:szCs w:val="24"/>
          <w:lang w:val="en-GB"/>
        </w:rPr>
      </w:pPr>
      <w:r w:rsidRPr="003611CF">
        <w:rPr>
          <w:rFonts w:ascii="Calibri" w:eastAsia="Times New Roman" w:hAnsi="Calibri" w:cs="Calibri"/>
          <w:b/>
          <w:szCs w:val="24"/>
          <w:lang w:val="en-GB"/>
        </w:rPr>
        <w:t>Naplata</w:t>
      </w:r>
    </w:p>
    <w:p w:rsidR="003611CF" w:rsidRPr="003611CF" w:rsidRDefault="003611CF" w:rsidP="003611CF">
      <w:pPr>
        <w:spacing w:before="0" w:after="0" w:line="240" w:lineRule="auto"/>
        <w:rPr>
          <w:rFonts w:ascii="Calibri" w:eastAsia="Times New Roman" w:hAnsi="Calibri" w:cs="Calibri"/>
          <w:b/>
          <w:szCs w:val="24"/>
          <w:lang w:val="en-GB"/>
        </w:rPr>
      </w:pPr>
    </w:p>
    <w:p w:rsidR="003611CF" w:rsidRPr="003611CF" w:rsidRDefault="003611CF" w:rsidP="003611CF">
      <w:pPr>
        <w:spacing w:before="0" w:after="0" w:line="240" w:lineRule="auto"/>
        <w:jc w:val="center"/>
        <w:rPr>
          <w:rFonts w:ascii="Calibri" w:eastAsia="Times New Roman" w:hAnsi="Calibri" w:cs="Calibri"/>
          <w:szCs w:val="24"/>
          <w:lang w:val="en-GB"/>
        </w:rPr>
      </w:pPr>
      <w:r w:rsidRPr="003611CF">
        <w:rPr>
          <w:rFonts w:ascii="Calibri" w:eastAsia="Times New Roman" w:hAnsi="Calibri" w:cs="Calibri"/>
          <w:szCs w:val="24"/>
          <w:lang w:val="en-GB"/>
        </w:rPr>
        <w:t>UKUPNA BRUTO NAPLATA SEKTORA ZA VPO</w:t>
      </w:r>
    </w:p>
    <w:tbl>
      <w:tblPr>
        <w:tblW w:w="9954" w:type="dxa"/>
        <w:tblLook w:val="04A0" w:firstRow="1" w:lastRow="0" w:firstColumn="1" w:lastColumn="0" w:noHBand="0" w:noVBand="1"/>
      </w:tblPr>
      <w:tblGrid>
        <w:gridCol w:w="1646"/>
        <w:gridCol w:w="1683"/>
        <w:gridCol w:w="1683"/>
        <w:gridCol w:w="1648"/>
        <w:gridCol w:w="1648"/>
        <w:gridCol w:w="1646"/>
      </w:tblGrid>
      <w:tr w:rsidR="003611CF" w:rsidRPr="003611CF" w:rsidTr="003611CF">
        <w:tc>
          <w:tcPr>
            <w:tcW w:w="1646" w:type="dxa"/>
            <w:tcBorders>
              <w:bottom w:val="single" w:sz="12" w:space="0" w:color="FFFFFF"/>
            </w:tcBorders>
            <w:shd w:val="clear" w:color="auto" w:fill="348DA5"/>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FFFFFF"/>
                <w:sz w:val="20"/>
                <w:szCs w:val="20"/>
                <w:lang w:val="hr-HR" w:eastAsia="hr-HR"/>
              </w:rPr>
            </w:pPr>
            <w:r w:rsidRPr="003611CF">
              <w:rPr>
                <w:rFonts w:ascii="Arial" w:eastAsia="Calibri" w:hAnsi="Arial" w:cs="Arial"/>
                <w:bCs/>
                <w:color w:val="FFFFFF"/>
                <w:sz w:val="20"/>
                <w:szCs w:val="20"/>
                <w:lang w:val="hr-HR" w:eastAsia="hr-HR"/>
              </w:rPr>
              <w:lastRenderedPageBreak/>
              <w:t>Period 2020</w:t>
            </w:r>
          </w:p>
        </w:tc>
        <w:tc>
          <w:tcPr>
            <w:tcW w:w="1683" w:type="dxa"/>
            <w:tcBorders>
              <w:bottom w:val="single" w:sz="12" w:space="0" w:color="FFFFFF"/>
            </w:tcBorders>
            <w:shd w:val="clear" w:color="auto" w:fill="348DA5"/>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FFFFFF"/>
                <w:sz w:val="20"/>
                <w:szCs w:val="20"/>
                <w:lang w:val="hr-HR" w:eastAsia="hr-HR"/>
              </w:rPr>
            </w:pPr>
            <w:r w:rsidRPr="003611CF">
              <w:rPr>
                <w:rFonts w:ascii="Arial" w:eastAsia="Calibri" w:hAnsi="Arial" w:cs="Arial"/>
                <w:bCs/>
                <w:color w:val="FFFFFF"/>
                <w:sz w:val="20"/>
                <w:szCs w:val="20"/>
                <w:lang w:val="hr-HR" w:eastAsia="hr-HR"/>
              </w:rPr>
              <w:t>Ostvarenje naplate vpo u 2019 (254)</w:t>
            </w:r>
          </w:p>
        </w:tc>
        <w:tc>
          <w:tcPr>
            <w:tcW w:w="1683" w:type="dxa"/>
            <w:tcBorders>
              <w:bottom w:val="single" w:sz="12" w:space="0" w:color="FFFFFF"/>
            </w:tcBorders>
            <w:shd w:val="clear" w:color="auto" w:fill="348DA5"/>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FFFFFF"/>
                <w:sz w:val="20"/>
                <w:szCs w:val="20"/>
                <w:lang w:val="hr-HR" w:eastAsia="hr-HR"/>
              </w:rPr>
            </w:pPr>
            <w:r w:rsidRPr="003611CF">
              <w:rPr>
                <w:rFonts w:ascii="Arial" w:eastAsia="Calibri" w:hAnsi="Arial" w:cs="Arial"/>
                <w:bCs/>
                <w:color w:val="FFFFFF"/>
                <w:sz w:val="20"/>
                <w:szCs w:val="20"/>
                <w:lang w:val="hr-HR" w:eastAsia="hr-HR"/>
              </w:rPr>
              <w:t>Ostvarenje naplate vpo u 2020 (268)</w:t>
            </w:r>
          </w:p>
        </w:tc>
        <w:tc>
          <w:tcPr>
            <w:tcW w:w="1648" w:type="dxa"/>
            <w:tcBorders>
              <w:bottom w:val="single" w:sz="12" w:space="0" w:color="FFFFFF"/>
            </w:tcBorders>
            <w:shd w:val="clear" w:color="auto" w:fill="348DA5"/>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FFFFFF"/>
                <w:sz w:val="20"/>
                <w:szCs w:val="20"/>
                <w:lang w:val="hr-HR" w:eastAsia="hr-HR"/>
              </w:rPr>
            </w:pPr>
            <w:r w:rsidRPr="003611CF">
              <w:rPr>
                <w:rFonts w:ascii="Arial" w:eastAsia="Calibri" w:hAnsi="Arial" w:cs="Arial"/>
                <w:bCs/>
                <w:color w:val="FFFFFF"/>
                <w:sz w:val="20"/>
                <w:szCs w:val="20"/>
                <w:lang w:val="hr-HR" w:eastAsia="hr-HR"/>
              </w:rPr>
              <w:t>Apsolutni iznos (2020/2019)</w:t>
            </w:r>
          </w:p>
        </w:tc>
        <w:tc>
          <w:tcPr>
            <w:tcW w:w="1648" w:type="dxa"/>
            <w:tcBorders>
              <w:bottom w:val="single" w:sz="12" w:space="0" w:color="FFFFFF"/>
            </w:tcBorders>
            <w:shd w:val="clear" w:color="auto" w:fill="348DA5"/>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FFFFFF"/>
                <w:sz w:val="20"/>
                <w:szCs w:val="20"/>
                <w:lang w:val="hr-HR" w:eastAsia="hr-HR"/>
              </w:rPr>
            </w:pPr>
            <w:r w:rsidRPr="003611CF">
              <w:rPr>
                <w:rFonts w:ascii="Arial" w:eastAsia="Calibri" w:hAnsi="Arial" w:cs="Arial"/>
                <w:bCs/>
                <w:color w:val="FFFFFF"/>
                <w:sz w:val="20"/>
                <w:szCs w:val="20"/>
                <w:lang w:val="hr-HR" w:eastAsia="hr-HR"/>
              </w:rPr>
              <w:t>Index 2020/2019</w:t>
            </w:r>
          </w:p>
        </w:tc>
        <w:tc>
          <w:tcPr>
            <w:tcW w:w="1646" w:type="dxa"/>
            <w:tcBorders>
              <w:bottom w:val="single" w:sz="12" w:space="0" w:color="FFFFFF"/>
            </w:tcBorders>
            <w:shd w:val="clear" w:color="auto" w:fill="348DA5"/>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FFFFFF"/>
                <w:sz w:val="20"/>
                <w:szCs w:val="20"/>
                <w:lang w:val="hr-HR" w:eastAsia="hr-HR"/>
              </w:rPr>
            </w:pPr>
            <w:r w:rsidRPr="003611CF">
              <w:rPr>
                <w:rFonts w:ascii="Arial" w:eastAsia="Calibri" w:hAnsi="Arial" w:cs="Arial"/>
                <w:bCs/>
                <w:color w:val="FFFFFF"/>
                <w:sz w:val="20"/>
                <w:szCs w:val="20"/>
                <w:lang w:val="hr-HR" w:eastAsia="hr-HR"/>
              </w:rPr>
              <w:t>Učešće VPO u Ukupnoj naplati u 2020</w:t>
            </w:r>
          </w:p>
        </w:tc>
      </w:tr>
      <w:tr w:rsidR="003611CF" w:rsidRPr="003611CF" w:rsidTr="003611CF">
        <w:tc>
          <w:tcPr>
            <w:tcW w:w="1646" w:type="dxa"/>
            <w:shd w:val="clear" w:color="auto" w:fill="FDE9D9"/>
          </w:tcPr>
          <w:p w:rsidR="003611CF" w:rsidRPr="003611CF" w:rsidRDefault="003611CF" w:rsidP="003611CF">
            <w:pPr>
              <w:autoSpaceDE w:val="0"/>
              <w:autoSpaceDN w:val="0"/>
              <w:adjustRightInd w:val="0"/>
              <w:spacing w:before="0" w:after="0" w:line="240" w:lineRule="auto"/>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I/2020</w:t>
            </w:r>
          </w:p>
        </w:tc>
        <w:tc>
          <w:tcPr>
            <w:tcW w:w="1683"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27.639.349</w:t>
            </w:r>
          </w:p>
        </w:tc>
        <w:tc>
          <w:tcPr>
            <w:tcW w:w="1683"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28.628.720</w:t>
            </w:r>
          </w:p>
        </w:tc>
        <w:tc>
          <w:tcPr>
            <w:tcW w:w="1648" w:type="dxa"/>
            <w:shd w:val="clear" w:color="auto" w:fill="FDE9D9"/>
          </w:tcPr>
          <w:p w:rsidR="003611CF" w:rsidRPr="003611CF" w:rsidRDefault="003611CF" w:rsidP="003611CF">
            <w:pPr>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989.371</w:t>
            </w:r>
          </w:p>
        </w:tc>
        <w:tc>
          <w:tcPr>
            <w:tcW w:w="1648"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103,58</w:t>
            </w:r>
          </w:p>
        </w:tc>
        <w:tc>
          <w:tcPr>
            <w:tcW w:w="1646"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42,05%</w:t>
            </w:r>
          </w:p>
        </w:tc>
      </w:tr>
      <w:tr w:rsidR="003611CF" w:rsidRPr="003611CF" w:rsidTr="003611CF">
        <w:tc>
          <w:tcPr>
            <w:tcW w:w="1646" w:type="dxa"/>
            <w:shd w:val="clear" w:color="auto" w:fill="FEF4EC"/>
          </w:tcPr>
          <w:p w:rsidR="003611CF" w:rsidRPr="003611CF" w:rsidRDefault="003611CF" w:rsidP="003611CF">
            <w:pPr>
              <w:autoSpaceDE w:val="0"/>
              <w:autoSpaceDN w:val="0"/>
              <w:adjustRightInd w:val="0"/>
              <w:spacing w:before="0" w:after="0" w:line="240" w:lineRule="auto"/>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II/2020</w:t>
            </w:r>
          </w:p>
        </w:tc>
        <w:tc>
          <w:tcPr>
            <w:tcW w:w="1683" w:type="dxa"/>
            <w:shd w:val="clear" w:color="auto" w:fill="FEF4EC"/>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28.747.670</w:t>
            </w:r>
          </w:p>
        </w:tc>
        <w:tc>
          <w:tcPr>
            <w:tcW w:w="1683" w:type="dxa"/>
            <w:shd w:val="clear" w:color="auto" w:fill="FEF4EC"/>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30.899.829</w:t>
            </w:r>
          </w:p>
        </w:tc>
        <w:tc>
          <w:tcPr>
            <w:tcW w:w="1648" w:type="dxa"/>
            <w:shd w:val="clear" w:color="auto" w:fill="FEF4EC"/>
          </w:tcPr>
          <w:p w:rsidR="003611CF" w:rsidRPr="003611CF" w:rsidRDefault="003611CF" w:rsidP="003611CF">
            <w:pPr>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2.152.159</w:t>
            </w:r>
          </w:p>
        </w:tc>
        <w:tc>
          <w:tcPr>
            <w:tcW w:w="1648" w:type="dxa"/>
            <w:shd w:val="clear" w:color="auto" w:fill="FEF4EC"/>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107,49</w:t>
            </w:r>
          </w:p>
        </w:tc>
        <w:tc>
          <w:tcPr>
            <w:tcW w:w="1646" w:type="dxa"/>
            <w:shd w:val="clear" w:color="auto" w:fill="FEF4EC"/>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35,53%</w:t>
            </w:r>
          </w:p>
        </w:tc>
      </w:tr>
      <w:tr w:rsidR="003611CF" w:rsidRPr="003611CF" w:rsidTr="003611CF">
        <w:tc>
          <w:tcPr>
            <w:tcW w:w="1646" w:type="dxa"/>
            <w:shd w:val="clear" w:color="auto" w:fill="FDE9D9"/>
          </w:tcPr>
          <w:p w:rsidR="003611CF" w:rsidRPr="003611CF" w:rsidRDefault="003611CF" w:rsidP="003611CF">
            <w:pPr>
              <w:autoSpaceDE w:val="0"/>
              <w:autoSpaceDN w:val="0"/>
              <w:adjustRightInd w:val="0"/>
              <w:spacing w:before="0" w:after="0" w:line="240" w:lineRule="auto"/>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III/2020</w:t>
            </w:r>
          </w:p>
        </w:tc>
        <w:tc>
          <w:tcPr>
            <w:tcW w:w="1683"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45.766.961</w:t>
            </w:r>
          </w:p>
        </w:tc>
        <w:tc>
          <w:tcPr>
            <w:tcW w:w="1683"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48.311.325</w:t>
            </w:r>
          </w:p>
        </w:tc>
        <w:tc>
          <w:tcPr>
            <w:tcW w:w="1648" w:type="dxa"/>
            <w:shd w:val="clear" w:color="auto" w:fill="FDE9D9"/>
          </w:tcPr>
          <w:p w:rsidR="003611CF" w:rsidRPr="003611CF" w:rsidRDefault="003611CF" w:rsidP="003611CF">
            <w:pPr>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2.544.364</w:t>
            </w:r>
          </w:p>
        </w:tc>
        <w:tc>
          <w:tcPr>
            <w:tcW w:w="1648"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105,56</w:t>
            </w:r>
          </w:p>
        </w:tc>
        <w:tc>
          <w:tcPr>
            <w:tcW w:w="1646"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38,12%</w:t>
            </w:r>
          </w:p>
        </w:tc>
      </w:tr>
      <w:tr w:rsidR="003611CF" w:rsidRPr="003611CF" w:rsidTr="003611CF">
        <w:tc>
          <w:tcPr>
            <w:tcW w:w="1646" w:type="dxa"/>
            <w:shd w:val="clear" w:color="auto" w:fill="FEF4EC"/>
          </w:tcPr>
          <w:p w:rsidR="003611CF" w:rsidRPr="003611CF" w:rsidRDefault="003611CF" w:rsidP="003611CF">
            <w:pPr>
              <w:autoSpaceDE w:val="0"/>
              <w:autoSpaceDN w:val="0"/>
              <w:adjustRightInd w:val="0"/>
              <w:spacing w:before="0" w:after="0" w:line="240" w:lineRule="auto"/>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IV/2020</w:t>
            </w:r>
          </w:p>
        </w:tc>
        <w:tc>
          <w:tcPr>
            <w:tcW w:w="1683" w:type="dxa"/>
            <w:shd w:val="clear" w:color="auto" w:fill="FEF4EC"/>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27.618.964</w:t>
            </w:r>
          </w:p>
        </w:tc>
        <w:tc>
          <w:tcPr>
            <w:tcW w:w="1683" w:type="dxa"/>
            <w:shd w:val="clear" w:color="auto" w:fill="FEF4EC"/>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24.114.919</w:t>
            </w:r>
          </w:p>
        </w:tc>
        <w:tc>
          <w:tcPr>
            <w:tcW w:w="1648" w:type="dxa"/>
            <w:shd w:val="clear" w:color="auto" w:fill="FEF4EC"/>
          </w:tcPr>
          <w:p w:rsidR="003611CF" w:rsidRPr="003611CF" w:rsidRDefault="003611CF" w:rsidP="003611CF">
            <w:pPr>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-3.504.045</w:t>
            </w:r>
          </w:p>
        </w:tc>
        <w:tc>
          <w:tcPr>
            <w:tcW w:w="1648" w:type="dxa"/>
            <w:shd w:val="clear" w:color="auto" w:fill="FEF4EC"/>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87,31</w:t>
            </w:r>
          </w:p>
        </w:tc>
        <w:tc>
          <w:tcPr>
            <w:tcW w:w="1646" w:type="dxa"/>
            <w:shd w:val="clear" w:color="auto" w:fill="FEF4EC"/>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34,94%</w:t>
            </w:r>
          </w:p>
        </w:tc>
      </w:tr>
      <w:tr w:rsidR="003611CF" w:rsidRPr="003611CF" w:rsidTr="003611CF">
        <w:tc>
          <w:tcPr>
            <w:tcW w:w="1646" w:type="dxa"/>
            <w:shd w:val="clear" w:color="auto" w:fill="FDE9D9"/>
          </w:tcPr>
          <w:p w:rsidR="003611CF" w:rsidRPr="003611CF" w:rsidRDefault="003611CF" w:rsidP="003611CF">
            <w:pPr>
              <w:autoSpaceDE w:val="0"/>
              <w:autoSpaceDN w:val="0"/>
              <w:adjustRightInd w:val="0"/>
              <w:spacing w:before="0" w:after="0" w:line="240" w:lineRule="auto"/>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V/2020</w:t>
            </w:r>
          </w:p>
        </w:tc>
        <w:tc>
          <w:tcPr>
            <w:tcW w:w="1683"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25.201.913</w:t>
            </w:r>
          </w:p>
        </w:tc>
        <w:tc>
          <w:tcPr>
            <w:tcW w:w="1683"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21.531.477</w:t>
            </w:r>
          </w:p>
        </w:tc>
        <w:tc>
          <w:tcPr>
            <w:tcW w:w="1648" w:type="dxa"/>
            <w:shd w:val="clear" w:color="auto" w:fill="FDE9D9"/>
          </w:tcPr>
          <w:p w:rsidR="003611CF" w:rsidRPr="003611CF" w:rsidRDefault="003611CF" w:rsidP="003611CF">
            <w:pPr>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-3.670.436</w:t>
            </w:r>
          </w:p>
        </w:tc>
        <w:tc>
          <w:tcPr>
            <w:tcW w:w="1648"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85,44</w:t>
            </w:r>
          </w:p>
        </w:tc>
        <w:tc>
          <w:tcPr>
            <w:tcW w:w="1646"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27,31%</w:t>
            </w:r>
          </w:p>
        </w:tc>
      </w:tr>
      <w:tr w:rsidR="003611CF" w:rsidRPr="003611CF" w:rsidTr="003611CF">
        <w:tc>
          <w:tcPr>
            <w:tcW w:w="1646" w:type="dxa"/>
            <w:shd w:val="clear" w:color="auto" w:fill="FEF4EC"/>
          </w:tcPr>
          <w:p w:rsidR="003611CF" w:rsidRPr="003611CF" w:rsidRDefault="003611CF" w:rsidP="003611CF">
            <w:pPr>
              <w:autoSpaceDE w:val="0"/>
              <w:autoSpaceDN w:val="0"/>
              <w:adjustRightInd w:val="0"/>
              <w:spacing w:before="0" w:after="0" w:line="240" w:lineRule="auto"/>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VI/2020</w:t>
            </w:r>
          </w:p>
        </w:tc>
        <w:tc>
          <w:tcPr>
            <w:tcW w:w="1683" w:type="dxa"/>
            <w:shd w:val="clear" w:color="auto" w:fill="FEF4EC"/>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28.481.319</w:t>
            </w:r>
          </w:p>
        </w:tc>
        <w:tc>
          <w:tcPr>
            <w:tcW w:w="1683" w:type="dxa"/>
            <w:shd w:val="clear" w:color="auto" w:fill="FEF4EC"/>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28.905.496</w:t>
            </w:r>
          </w:p>
        </w:tc>
        <w:tc>
          <w:tcPr>
            <w:tcW w:w="1648" w:type="dxa"/>
            <w:shd w:val="clear" w:color="auto" w:fill="FEF4EC"/>
          </w:tcPr>
          <w:p w:rsidR="003611CF" w:rsidRPr="003611CF" w:rsidRDefault="003611CF" w:rsidP="003611CF">
            <w:pPr>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424.177</w:t>
            </w:r>
          </w:p>
        </w:tc>
        <w:tc>
          <w:tcPr>
            <w:tcW w:w="1648" w:type="dxa"/>
            <w:shd w:val="clear" w:color="auto" w:fill="FEF4EC"/>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101,49</w:t>
            </w:r>
          </w:p>
        </w:tc>
        <w:tc>
          <w:tcPr>
            <w:tcW w:w="1646" w:type="dxa"/>
            <w:shd w:val="clear" w:color="auto" w:fill="FEF4EC"/>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31,90</w:t>
            </w:r>
          </w:p>
        </w:tc>
      </w:tr>
      <w:tr w:rsidR="003611CF" w:rsidRPr="003611CF" w:rsidTr="003611CF">
        <w:tc>
          <w:tcPr>
            <w:tcW w:w="1646" w:type="dxa"/>
            <w:shd w:val="clear" w:color="auto" w:fill="FDE9D9"/>
          </w:tcPr>
          <w:p w:rsidR="003611CF" w:rsidRPr="003611CF" w:rsidRDefault="003611CF" w:rsidP="003611CF">
            <w:pPr>
              <w:autoSpaceDE w:val="0"/>
              <w:autoSpaceDN w:val="0"/>
              <w:adjustRightInd w:val="0"/>
              <w:spacing w:before="0" w:after="0" w:line="240" w:lineRule="auto"/>
              <w:rPr>
                <w:rFonts w:ascii="Arial" w:eastAsia="Calibri" w:hAnsi="Arial" w:cs="Arial"/>
                <w:bCs/>
                <w:color w:val="000000"/>
                <w:sz w:val="20"/>
                <w:szCs w:val="20"/>
                <w:lang w:val="hr-HR"/>
              </w:rPr>
            </w:pPr>
            <w:r w:rsidRPr="003611CF">
              <w:rPr>
                <w:rFonts w:ascii="Arial" w:eastAsia="Calibri" w:hAnsi="Arial" w:cs="Arial"/>
                <w:bCs/>
                <w:color w:val="000000"/>
                <w:sz w:val="20"/>
                <w:szCs w:val="20"/>
                <w:lang w:val="hr-HR"/>
              </w:rPr>
              <w:t>VII/2020</w:t>
            </w:r>
          </w:p>
        </w:tc>
        <w:tc>
          <w:tcPr>
            <w:tcW w:w="1683"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000000"/>
                <w:sz w:val="20"/>
                <w:szCs w:val="20"/>
                <w:lang w:val="hr-HR"/>
              </w:rPr>
            </w:pPr>
            <w:r w:rsidRPr="003611CF">
              <w:rPr>
                <w:rFonts w:ascii="Arial" w:eastAsia="Calibri" w:hAnsi="Arial" w:cs="Arial"/>
                <w:bCs/>
                <w:color w:val="000000"/>
                <w:sz w:val="20"/>
                <w:szCs w:val="20"/>
                <w:lang w:val="hr-HR"/>
              </w:rPr>
              <w:t>32.263.929</w:t>
            </w:r>
          </w:p>
        </w:tc>
        <w:tc>
          <w:tcPr>
            <w:tcW w:w="1683"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000000"/>
                <w:sz w:val="20"/>
                <w:szCs w:val="20"/>
                <w:lang w:val="hr-HR"/>
              </w:rPr>
            </w:pPr>
            <w:r w:rsidRPr="003611CF">
              <w:rPr>
                <w:rFonts w:ascii="Arial" w:eastAsia="Calibri" w:hAnsi="Arial" w:cs="Arial"/>
                <w:bCs/>
                <w:color w:val="000000"/>
                <w:sz w:val="20"/>
                <w:szCs w:val="20"/>
                <w:lang w:val="hr-HR"/>
              </w:rPr>
              <w:t>30.692.808</w:t>
            </w:r>
          </w:p>
        </w:tc>
        <w:tc>
          <w:tcPr>
            <w:tcW w:w="1648" w:type="dxa"/>
            <w:shd w:val="clear" w:color="auto" w:fill="FDE9D9"/>
          </w:tcPr>
          <w:p w:rsidR="003611CF" w:rsidRPr="003611CF" w:rsidRDefault="003611CF" w:rsidP="003611CF">
            <w:pPr>
              <w:spacing w:before="0" w:after="0" w:line="240" w:lineRule="auto"/>
              <w:jc w:val="center"/>
              <w:rPr>
                <w:rFonts w:ascii="Arial" w:eastAsia="Calibri" w:hAnsi="Arial" w:cs="Arial"/>
                <w:bCs/>
                <w:color w:val="000000"/>
                <w:sz w:val="20"/>
                <w:szCs w:val="20"/>
                <w:lang w:val="hr-HR"/>
              </w:rPr>
            </w:pPr>
            <w:r w:rsidRPr="003611CF">
              <w:rPr>
                <w:rFonts w:ascii="Arial" w:eastAsia="Calibri" w:hAnsi="Arial" w:cs="Arial"/>
                <w:bCs/>
                <w:color w:val="000000"/>
                <w:sz w:val="20"/>
                <w:szCs w:val="20"/>
                <w:lang w:val="hr-HR"/>
              </w:rPr>
              <w:t>-1.571.121</w:t>
            </w:r>
          </w:p>
        </w:tc>
        <w:tc>
          <w:tcPr>
            <w:tcW w:w="1648"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000000"/>
                <w:sz w:val="20"/>
                <w:szCs w:val="20"/>
                <w:lang w:val="hr-HR"/>
              </w:rPr>
            </w:pPr>
            <w:r w:rsidRPr="003611CF">
              <w:rPr>
                <w:rFonts w:ascii="Arial" w:eastAsia="Calibri" w:hAnsi="Arial" w:cs="Arial"/>
                <w:bCs/>
                <w:color w:val="000000"/>
                <w:sz w:val="20"/>
                <w:szCs w:val="20"/>
                <w:lang w:val="hr-HR"/>
              </w:rPr>
              <w:t>95,13</w:t>
            </w:r>
          </w:p>
        </w:tc>
        <w:tc>
          <w:tcPr>
            <w:tcW w:w="1646"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000000"/>
                <w:sz w:val="20"/>
                <w:szCs w:val="20"/>
                <w:lang w:val="hr-HR"/>
              </w:rPr>
            </w:pPr>
            <w:r w:rsidRPr="003611CF">
              <w:rPr>
                <w:rFonts w:ascii="Arial" w:eastAsia="Calibri" w:hAnsi="Arial" w:cs="Arial"/>
                <w:bCs/>
                <w:color w:val="000000"/>
                <w:sz w:val="20"/>
                <w:szCs w:val="20"/>
                <w:lang w:val="hr-HR"/>
              </w:rPr>
              <w:t>34,42%</w:t>
            </w:r>
          </w:p>
        </w:tc>
      </w:tr>
      <w:tr w:rsidR="003611CF" w:rsidRPr="003611CF" w:rsidTr="003611CF">
        <w:tc>
          <w:tcPr>
            <w:tcW w:w="1646" w:type="dxa"/>
            <w:shd w:val="clear" w:color="auto" w:fill="FEF4EC"/>
          </w:tcPr>
          <w:p w:rsidR="003611CF" w:rsidRPr="003611CF" w:rsidRDefault="003611CF" w:rsidP="003611CF">
            <w:pPr>
              <w:autoSpaceDE w:val="0"/>
              <w:autoSpaceDN w:val="0"/>
              <w:adjustRightInd w:val="0"/>
              <w:spacing w:before="0" w:after="0" w:line="240" w:lineRule="auto"/>
              <w:rPr>
                <w:rFonts w:ascii="Arial" w:eastAsia="Calibri" w:hAnsi="Arial" w:cs="Arial"/>
                <w:bCs/>
                <w:color w:val="000000"/>
                <w:sz w:val="20"/>
                <w:szCs w:val="20"/>
                <w:lang w:val="hr-HR"/>
              </w:rPr>
            </w:pPr>
            <w:r w:rsidRPr="003611CF">
              <w:rPr>
                <w:rFonts w:ascii="Arial" w:eastAsia="Calibri" w:hAnsi="Arial" w:cs="Arial"/>
                <w:bCs/>
                <w:color w:val="000000"/>
                <w:sz w:val="20"/>
                <w:szCs w:val="20"/>
                <w:lang w:val="hr-HR"/>
              </w:rPr>
              <w:t>VIII/2020</w:t>
            </w:r>
          </w:p>
        </w:tc>
        <w:tc>
          <w:tcPr>
            <w:tcW w:w="1683" w:type="dxa"/>
            <w:shd w:val="clear" w:color="auto" w:fill="FEF4EC"/>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000000"/>
                <w:sz w:val="20"/>
                <w:szCs w:val="20"/>
                <w:lang w:val="hr-HR"/>
              </w:rPr>
            </w:pPr>
            <w:r w:rsidRPr="003611CF">
              <w:rPr>
                <w:rFonts w:ascii="Arial" w:eastAsia="Calibri" w:hAnsi="Arial" w:cs="Arial"/>
                <w:bCs/>
                <w:color w:val="000000"/>
                <w:sz w:val="20"/>
                <w:szCs w:val="20"/>
                <w:lang w:val="hr-HR"/>
              </w:rPr>
              <w:t>34.916.884</w:t>
            </w:r>
          </w:p>
        </w:tc>
        <w:tc>
          <w:tcPr>
            <w:tcW w:w="1683" w:type="dxa"/>
            <w:shd w:val="clear" w:color="auto" w:fill="FEF4EC"/>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000000"/>
                <w:sz w:val="20"/>
                <w:szCs w:val="20"/>
                <w:lang w:val="hr-HR"/>
              </w:rPr>
            </w:pPr>
            <w:r w:rsidRPr="003611CF">
              <w:rPr>
                <w:rFonts w:ascii="Arial" w:eastAsia="Calibri" w:hAnsi="Arial" w:cs="Arial"/>
                <w:bCs/>
                <w:color w:val="000000"/>
                <w:sz w:val="20"/>
                <w:szCs w:val="20"/>
                <w:lang w:val="hr-HR"/>
              </w:rPr>
              <w:t>38.867.492</w:t>
            </w:r>
          </w:p>
        </w:tc>
        <w:tc>
          <w:tcPr>
            <w:tcW w:w="1648" w:type="dxa"/>
            <w:shd w:val="clear" w:color="auto" w:fill="FEF4EC"/>
          </w:tcPr>
          <w:p w:rsidR="003611CF" w:rsidRPr="003611CF" w:rsidRDefault="003611CF" w:rsidP="003611CF">
            <w:pPr>
              <w:spacing w:before="0" w:after="0" w:line="240" w:lineRule="auto"/>
              <w:jc w:val="center"/>
              <w:rPr>
                <w:rFonts w:ascii="Arial" w:eastAsia="Calibri" w:hAnsi="Arial" w:cs="Arial"/>
                <w:bCs/>
                <w:color w:val="000000"/>
                <w:sz w:val="20"/>
                <w:szCs w:val="20"/>
                <w:lang w:val="hr-HR"/>
              </w:rPr>
            </w:pPr>
            <w:r w:rsidRPr="003611CF">
              <w:rPr>
                <w:rFonts w:ascii="Arial" w:eastAsia="Calibri" w:hAnsi="Arial" w:cs="Arial"/>
                <w:bCs/>
                <w:color w:val="000000"/>
                <w:sz w:val="20"/>
                <w:szCs w:val="20"/>
                <w:lang w:val="hr-HR"/>
              </w:rPr>
              <w:t>3.950.608</w:t>
            </w:r>
          </w:p>
        </w:tc>
        <w:tc>
          <w:tcPr>
            <w:tcW w:w="1648" w:type="dxa"/>
            <w:shd w:val="clear" w:color="auto" w:fill="FEF4EC"/>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000000"/>
                <w:sz w:val="20"/>
                <w:szCs w:val="20"/>
                <w:lang w:val="hr-HR"/>
              </w:rPr>
            </w:pPr>
            <w:r w:rsidRPr="003611CF">
              <w:rPr>
                <w:rFonts w:ascii="Arial" w:eastAsia="Calibri" w:hAnsi="Arial" w:cs="Arial"/>
                <w:bCs/>
                <w:color w:val="000000"/>
                <w:sz w:val="20"/>
                <w:szCs w:val="20"/>
                <w:lang w:val="hr-HR"/>
              </w:rPr>
              <w:t>111,31</w:t>
            </w:r>
          </w:p>
        </w:tc>
        <w:tc>
          <w:tcPr>
            <w:tcW w:w="1646" w:type="dxa"/>
            <w:shd w:val="clear" w:color="auto" w:fill="FEF4EC"/>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000000"/>
                <w:sz w:val="20"/>
                <w:szCs w:val="20"/>
                <w:lang w:val="hr-HR"/>
              </w:rPr>
            </w:pPr>
            <w:r w:rsidRPr="003611CF">
              <w:rPr>
                <w:rFonts w:ascii="Arial" w:eastAsia="Calibri" w:hAnsi="Arial" w:cs="Arial"/>
                <w:bCs/>
                <w:color w:val="000000"/>
                <w:sz w:val="20"/>
                <w:szCs w:val="20"/>
                <w:lang w:val="hr-HR"/>
              </w:rPr>
              <w:t>40,16%</w:t>
            </w:r>
          </w:p>
        </w:tc>
      </w:tr>
      <w:tr w:rsidR="003611CF" w:rsidRPr="003611CF" w:rsidTr="003611CF">
        <w:tc>
          <w:tcPr>
            <w:tcW w:w="1646" w:type="dxa"/>
            <w:shd w:val="clear" w:color="auto" w:fill="FDE9D9"/>
          </w:tcPr>
          <w:p w:rsidR="003611CF" w:rsidRPr="003611CF" w:rsidRDefault="003611CF" w:rsidP="003611CF">
            <w:pPr>
              <w:autoSpaceDE w:val="0"/>
              <w:autoSpaceDN w:val="0"/>
              <w:adjustRightInd w:val="0"/>
              <w:spacing w:before="0" w:after="0" w:line="240" w:lineRule="auto"/>
              <w:rPr>
                <w:rFonts w:ascii="Arial" w:eastAsia="Calibri" w:hAnsi="Arial" w:cs="Arial"/>
                <w:bCs/>
                <w:color w:val="000000"/>
                <w:sz w:val="20"/>
                <w:szCs w:val="20"/>
                <w:lang w:val="hr-HR"/>
              </w:rPr>
            </w:pPr>
            <w:r w:rsidRPr="003611CF">
              <w:rPr>
                <w:rFonts w:ascii="Arial" w:eastAsia="Calibri" w:hAnsi="Arial" w:cs="Arial"/>
                <w:bCs/>
                <w:color w:val="000000"/>
                <w:sz w:val="20"/>
                <w:szCs w:val="20"/>
                <w:lang w:val="hr-HR"/>
              </w:rPr>
              <w:t>IX/2020</w:t>
            </w:r>
          </w:p>
        </w:tc>
        <w:tc>
          <w:tcPr>
            <w:tcW w:w="1683"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000000"/>
                <w:sz w:val="20"/>
                <w:szCs w:val="20"/>
                <w:lang w:val="hr-HR"/>
              </w:rPr>
            </w:pPr>
            <w:r w:rsidRPr="003611CF">
              <w:rPr>
                <w:rFonts w:ascii="Arial" w:eastAsia="Calibri" w:hAnsi="Arial" w:cs="Arial"/>
                <w:bCs/>
                <w:color w:val="000000"/>
                <w:sz w:val="20"/>
                <w:szCs w:val="20"/>
                <w:lang w:val="hr-HR"/>
              </w:rPr>
              <w:t>32.358.812</w:t>
            </w:r>
          </w:p>
        </w:tc>
        <w:tc>
          <w:tcPr>
            <w:tcW w:w="1683"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000000"/>
                <w:sz w:val="20"/>
                <w:szCs w:val="20"/>
                <w:lang w:val="hr-HR"/>
              </w:rPr>
            </w:pPr>
            <w:r w:rsidRPr="003611CF">
              <w:rPr>
                <w:rFonts w:ascii="Arial" w:eastAsia="Calibri" w:hAnsi="Arial" w:cs="Arial"/>
                <w:bCs/>
                <w:color w:val="000000"/>
                <w:sz w:val="20"/>
                <w:szCs w:val="20"/>
                <w:lang w:val="hr-HR"/>
              </w:rPr>
              <w:t>30.302.713</w:t>
            </w:r>
          </w:p>
        </w:tc>
        <w:tc>
          <w:tcPr>
            <w:tcW w:w="1648" w:type="dxa"/>
            <w:shd w:val="clear" w:color="auto" w:fill="FDE9D9"/>
          </w:tcPr>
          <w:p w:rsidR="003611CF" w:rsidRPr="003611CF" w:rsidRDefault="003611CF" w:rsidP="003611CF">
            <w:pPr>
              <w:spacing w:before="0" w:after="0" w:line="240" w:lineRule="auto"/>
              <w:jc w:val="center"/>
              <w:rPr>
                <w:rFonts w:ascii="Arial" w:eastAsia="Calibri" w:hAnsi="Arial" w:cs="Arial"/>
                <w:bCs/>
                <w:color w:val="000000"/>
                <w:sz w:val="20"/>
                <w:szCs w:val="20"/>
                <w:lang w:val="hr-HR"/>
              </w:rPr>
            </w:pPr>
            <w:r w:rsidRPr="003611CF">
              <w:rPr>
                <w:rFonts w:ascii="Arial" w:eastAsia="Calibri" w:hAnsi="Arial" w:cs="Arial"/>
                <w:bCs/>
                <w:color w:val="000000"/>
                <w:sz w:val="20"/>
                <w:szCs w:val="20"/>
                <w:lang w:val="hr-HR"/>
              </w:rPr>
              <w:t>-2.056.099</w:t>
            </w:r>
          </w:p>
        </w:tc>
        <w:tc>
          <w:tcPr>
            <w:tcW w:w="1648"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000000"/>
                <w:sz w:val="20"/>
                <w:szCs w:val="20"/>
                <w:lang w:val="hr-HR"/>
              </w:rPr>
            </w:pPr>
            <w:r w:rsidRPr="003611CF">
              <w:rPr>
                <w:rFonts w:ascii="Arial" w:eastAsia="Calibri" w:hAnsi="Arial" w:cs="Arial"/>
                <w:bCs/>
                <w:color w:val="000000"/>
                <w:sz w:val="20"/>
                <w:szCs w:val="20"/>
                <w:lang w:val="hr-HR"/>
              </w:rPr>
              <w:t>93,65</w:t>
            </w:r>
          </w:p>
        </w:tc>
        <w:tc>
          <w:tcPr>
            <w:tcW w:w="1646"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Calibri" w:hAnsi="Arial" w:cs="Arial"/>
                <w:bCs/>
                <w:color w:val="000000"/>
                <w:sz w:val="20"/>
                <w:szCs w:val="20"/>
                <w:lang w:val="hr-HR"/>
              </w:rPr>
            </w:pPr>
            <w:r w:rsidRPr="003611CF">
              <w:rPr>
                <w:rFonts w:ascii="Arial" w:eastAsia="Calibri" w:hAnsi="Arial" w:cs="Arial"/>
                <w:bCs/>
                <w:color w:val="000000"/>
                <w:sz w:val="20"/>
                <w:szCs w:val="20"/>
                <w:lang w:val="hr-HR"/>
              </w:rPr>
              <w:t>30,99%</w:t>
            </w:r>
          </w:p>
        </w:tc>
      </w:tr>
      <w:tr w:rsidR="003611CF" w:rsidRPr="003611CF" w:rsidTr="003611CF">
        <w:tc>
          <w:tcPr>
            <w:tcW w:w="1646" w:type="dxa"/>
            <w:shd w:val="clear" w:color="auto" w:fill="FDE9D9"/>
          </w:tcPr>
          <w:p w:rsidR="003611CF" w:rsidRPr="003611CF" w:rsidRDefault="003611CF" w:rsidP="003611CF">
            <w:pPr>
              <w:autoSpaceDE w:val="0"/>
              <w:autoSpaceDN w:val="0"/>
              <w:adjustRightInd w:val="0"/>
              <w:spacing w:before="0" w:after="0" w:line="240" w:lineRule="auto"/>
              <w:rPr>
                <w:rFonts w:ascii="Arial" w:eastAsia="Times New Roman" w:hAnsi="Arial" w:cs="Arial"/>
                <w:bCs/>
                <w:sz w:val="22"/>
                <w:lang w:val="en-GB"/>
              </w:rPr>
            </w:pPr>
            <w:r w:rsidRPr="003611CF">
              <w:rPr>
                <w:rFonts w:ascii="Arial" w:eastAsia="Times New Roman" w:hAnsi="Arial" w:cs="Arial"/>
                <w:bCs/>
                <w:sz w:val="22"/>
                <w:lang w:val="en-GB"/>
              </w:rPr>
              <w:t>X/2020</w:t>
            </w:r>
          </w:p>
        </w:tc>
        <w:tc>
          <w:tcPr>
            <w:tcW w:w="1683"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bCs/>
                <w:sz w:val="20"/>
                <w:lang w:val="en-GB"/>
              </w:rPr>
            </w:pPr>
            <w:r w:rsidRPr="003611CF">
              <w:rPr>
                <w:rFonts w:ascii="Arial" w:eastAsia="Times New Roman" w:hAnsi="Arial" w:cs="Arial"/>
                <w:bCs/>
                <w:sz w:val="20"/>
                <w:lang w:val="en-GB"/>
              </w:rPr>
              <w:t>28.474.204</w:t>
            </w:r>
          </w:p>
        </w:tc>
        <w:tc>
          <w:tcPr>
            <w:tcW w:w="1683"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bCs/>
                <w:sz w:val="20"/>
                <w:lang w:val="en-GB"/>
              </w:rPr>
            </w:pPr>
            <w:r w:rsidRPr="003611CF">
              <w:rPr>
                <w:rFonts w:ascii="Arial" w:eastAsia="Times New Roman" w:hAnsi="Arial" w:cs="Arial"/>
                <w:bCs/>
                <w:sz w:val="20"/>
                <w:lang w:val="en-GB"/>
              </w:rPr>
              <w:t>28.996.775</w:t>
            </w:r>
          </w:p>
        </w:tc>
        <w:tc>
          <w:tcPr>
            <w:tcW w:w="1648" w:type="dxa"/>
            <w:shd w:val="clear" w:color="auto" w:fill="FDE9D9"/>
            <w:vAlign w:val="center"/>
          </w:tcPr>
          <w:p w:rsidR="003611CF" w:rsidRPr="003611CF" w:rsidRDefault="003611CF" w:rsidP="003611CF">
            <w:pPr>
              <w:spacing w:before="0" w:after="0" w:line="240" w:lineRule="auto"/>
              <w:jc w:val="center"/>
              <w:rPr>
                <w:rFonts w:ascii="Arial" w:eastAsia="Times New Roman" w:hAnsi="Arial" w:cs="Arial"/>
                <w:bCs/>
                <w:sz w:val="20"/>
                <w:lang w:val="en-GB"/>
              </w:rPr>
            </w:pPr>
            <w:r w:rsidRPr="003611CF">
              <w:rPr>
                <w:rFonts w:ascii="Arial" w:eastAsia="Times New Roman" w:hAnsi="Arial" w:cs="Arial"/>
                <w:bCs/>
                <w:sz w:val="20"/>
                <w:lang w:val="en-GB"/>
              </w:rPr>
              <w:t>522.571</w:t>
            </w:r>
          </w:p>
        </w:tc>
        <w:tc>
          <w:tcPr>
            <w:tcW w:w="1648"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bCs/>
                <w:sz w:val="20"/>
                <w:lang w:val="en-GB"/>
              </w:rPr>
            </w:pPr>
            <w:r w:rsidRPr="003611CF">
              <w:rPr>
                <w:rFonts w:ascii="Arial" w:eastAsia="Times New Roman" w:hAnsi="Arial" w:cs="Arial"/>
                <w:bCs/>
                <w:sz w:val="20"/>
                <w:lang w:val="en-GB"/>
              </w:rPr>
              <w:t>101,84</w:t>
            </w:r>
          </w:p>
        </w:tc>
        <w:tc>
          <w:tcPr>
            <w:tcW w:w="1646"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bCs/>
                <w:sz w:val="20"/>
                <w:lang w:val="en-GB"/>
              </w:rPr>
            </w:pPr>
            <w:r w:rsidRPr="003611CF">
              <w:rPr>
                <w:rFonts w:ascii="Arial" w:eastAsia="Times New Roman" w:hAnsi="Arial" w:cs="Arial"/>
                <w:bCs/>
                <w:sz w:val="20"/>
                <w:lang w:val="en-GB"/>
              </w:rPr>
              <w:t>34,64</w:t>
            </w:r>
          </w:p>
        </w:tc>
      </w:tr>
      <w:tr w:rsidR="003611CF" w:rsidRPr="003611CF" w:rsidTr="003611CF">
        <w:tc>
          <w:tcPr>
            <w:tcW w:w="1646" w:type="dxa"/>
            <w:shd w:val="clear" w:color="auto" w:fill="FDE9D9"/>
          </w:tcPr>
          <w:p w:rsidR="003611CF" w:rsidRPr="003611CF" w:rsidRDefault="003611CF" w:rsidP="003611CF">
            <w:pPr>
              <w:autoSpaceDE w:val="0"/>
              <w:autoSpaceDN w:val="0"/>
              <w:adjustRightInd w:val="0"/>
              <w:spacing w:before="0" w:after="0" w:line="240" w:lineRule="auto"/>
              <w:rPr>
                <w:rFonts w:ascii="Arial" w:eastAsia="Times New Roman" w:hAnsi="Arial" w:cs="Arial"/>
                <w:bCs/>
                <w:sz w:val="22"/>
                <w:lang w:val="en-GB"/>
              </w:rPr>
            </w:pPr>
            <w:r w:rsidRPr="003611CF">
              <w:rPr>
                <w:rFonts w:ascii="Arial" w:eastAsia="Times New Roman" w:hAnsi="Arial" w:cs="Arial"/>
                <w:bCs/>
                <w:sz w:val="22"/>
                <w:lang w:val="en-GB"/>
              </w:rPr>
              <w:t>XI/2020</w:t>
            </w:r>
          </w:p>
        </w:tc>
        <w:tc>
          <w:tcPr>
            <w:tcW w:w="1683"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bCs/>
                <w:sz w:val="20"/>
                <w:lang w:val="en-GB"/>
              </w:rPr>
            </w:pPr>
            <w:r w:rsidRPr="003611CF">
              <w:rPr>
                <w:rFonts w:ascii="Arial" w:eastAsia="Times New Roman" w:hAnsi="Arial" w:cs="Arial"/>
                <w:bCs/>
                <w:sz w:val="20"/>
                <w:lang w:val="en-GB"/>
              </w:rPr>
              <w:t>26.640.206</w:t>
            </w:r>
          </w:p>
        </w:tc>
        <w:tc>
          <w:tcPr>
            <w:tcW w:w="1683"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bCs/>
                <w:sz w:val="20"/>
                <w:lang w:val="en-GB"/>
              </w:rPr>
            </w:pPr>
            <w:r w:rsidRPr="003611CF">
              <w:rPr>
                <w:rFonts w:ascii="Arial" w:eastAsia="Times New Roman" w:hAnsi="Arial" w:cs="Arial"/>
                <w:bCs/>
                <w:sz w:val="20"/>
                <w:lang w:val="en-GB"/>
              </w:rPr>
              <w:t>25.982.361</w:t>
            </w:r>
          </w:p>
        </w:tc>
        <w:tc>
          <w:tcPr>
            <w:tcW w:w="1648" w:type="dxa"/>
            <w:shd w:val="clear" w:color="auto" w:fill="FDE9D9"/>
            <w:vAlign w:val="center"/>
          </w:tcPr>
          <w:p w:rsidR="003611CF" w:rsidRPr="003611CF" w:rsidRDefault="003611CF" w:rsidP="003611CF">
            <w:pPr>
              <w:spacing w:before="0" w:after="0" w:line="240" w:lineRule="auto"/>
              <w:jc w:val="center"/>
              <w:rPr>
                <w:rFonts w:ascii="Arial" w:eastAsia="Times New Roman" w:hAnsi="Arial" w:cs="Arial"/>
                <w:bCs/>
                <w:sz w:val="20"/>
                <w:lang w:val="en-GB"/>
              </w:rPr>
            </w:pPr>
            <w:r w:rsidRPr="003611CF">
              <w:rPr>
                <w:rFonts w:ascii="Arial" w:eastAsia="Times New Roman" w:hAnsi="Arial" w:cs="Arial"/>
                <w:bCs/>
                <w:sz w:val="20"/>
                <w:lang w:val="en-GB"/>
              </w:rPr>
              <w:t>-657.845</w:t>
            </w:r>
          </w:p>
        </w:tc>
        <w:tc>
          <w:tcPr>
            <w:tcW w:w="1648"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bCs/>
                <w:sz w:val="20"/>
                <w:lang w:val="en-GB"/>
              </w:rPr>
            </w:pPr>
            <w:r w:rsidRPr="003611CF">
              <w:rPr>
                <w:rFonts w:ascii="Arial" w:eastAsia="Times New Roman" w:hAnsi="Arial" w:cs="Arial"/>
                <w:bCs/>
                <w:sz w:val="20"/>
                <w:lang w:val="en-GB"/>
              </w:rPr>
              <w:t>97,53</w:t>
            </w:r>
          </w:p>
        </w:tc>
        <w:tc>
          <w:tcPr>
            <w:tcW w:w="1646"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bCs/>
                <w:sz w:val="20"/>
                <w:lang w:val="en-GB"/>
              </w:rPr>
            </w:pPr>
            <w:r w:rsidRPr="003611CF">
              <w:rPr>
                <w:rFonts w:ascii="Arial" w:eastAsia="Times New Roman" w:hAnsi="Arial" w:cs="Arial"/>
                <w:bCs/>
                <w:sz w:val="20"/>
                <w:lang w:val="en-GB"/>
              </w:rPr>
              <w:t>30,31</w:t>
            </w:r>
          </w:p>
        </w:tc>
      </w:tr>
      <w:tr w:rsidR="003611CF" w:rsidRPr="003611CF" w:rsidTr="003611CF">
        <w:tc>
          <w:tcPr>
            <w:tcW w:w="1646" w:type="dxa"/>
            <w:shd w:val="clear" w:color="auto" w:fill="FDE9D9"/>
          </w:tcPr>
          <w:p w:rsidR="003611CF" w:rsidRPr="003611CF" w:rsidRDefault="003611CF" w:rsidP="003611CF">
            <w:pPr>
              <w:autoSpaceDE w:val="0"/>
              <w:autoSpaceDN w:val="0"/>
              <w:adjustRightInd w:val="0"/>
              <w:spacing w:before="0" w:after="0" w:line="240" w:lineRule="auto"/>
              <w:rPr>
                <w:rFonts w:ascii="Arial" w:eastAsia="Times New Roman" w:hAnsi="Arial" w:cs="Arial"/>
                <w:bCs/>
                <w:sz w:val="22"/>
                <w:lang w:val="en-GB"/>
              </w:rPr>
            </w:pPr>
            <w:r w:rsidRPr="003611CF">
              <w:rPr>
                <w:rFonts w:ascii="Arial" w:eastAsia="Times New Roman" w:hAnsi="Arial" w:cs="Arial"/>
                <w:bCs/>
                <w:sz w:val="22"/>
                <w:lang w:val="en-GB"/>
              </w:rPr>
              <w:t>XII/2020</w:t>
            </w:r>
          </w:p>
        </w:tc>
        <w:tc>
          <w:tcPr>
            <w:tcW w:w="1683"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bCs/>
                <w:sz w:val="20"/>
                <w:lang w:val="en-GB"/>
              </w:rPr>
            </w:pPr>
            <w:r w:rsidRPr="003611CF">
              <w:rPr>
                <w:rFonts w:ascii="Arial" w:eastAsia="Times New Roman" w:hAnsi="Arial" w:cs="Arial"/>
                <w:bCs/>
                <w:sz w:val="20"/>
                <w:lang w:val="en-GB"/>
              </w:rPr>
              <w:t>42.425.902</w:t>
            </w:r>
          </w:p>
        </w:tc>
        <w:tc>
          <w:tcPr>
            <w:tcW w:w="1683"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bCs/>
                <w:sz w:val="20"/>
                <w:lang w:val="en-GB"/>
              </w:rPr>
            </w:pPr>
            <w:r w:rsidRPr="003611CF">
              <w:rPr>
                <w:rFonts w:ascii="Arial" w:eastAsia="Times New Roman" w:hAnsi="Arial" w:cs="Arial"/>
                <w:bCs/>
                <w:sz w:val="20"/>
                <w:lang w:val="en-GB"/>
              </w:rPr>
              <w:t>35.738.586</w:t>
            </w:r>
          </w:p>
        </w:tc>
        <w:tc>
          <w:tcPr>
            <w:tcW w:w="1648" w:type="dxa"/>
            <w:shd w:val="clear" w:color="auto" w:fill="FDE9D9"/>
            <w:vAlign w:val="center"/>
          </w:tcPr>
          <w:p w:rsidR="003611CF" w:rsidRPr="003611CF" w:rsidRDefault="003611CF" w:rsidP="003611CF">
            <w:pPr>
              <w:spacing w:before="0" w:after="0" w:line="240" w:lineRule="auto"/>
              <w:jc w:val="center"/>
              <w:rPr>
                <w:rFonts w:ascii="Arial" w:eastAsia="Times New Roman" w:hAnsi="Arial" w:cs="Arial"/>
                <w:bCs/>
                <w:sz w:val="20"/>
                <w:lang w:val="en-GB"/>
              </w:rPr>
            </w:pPr>
            <w:r w:rsidRPr="003611CF">
              <w:rPr>
                <w:rFonts w:ascii="Arial" w:eastAsia="Times New Roman" w:hAnsi="Arial" w:cs="Arial"/>
                <w:bCs/>
                <w:sz w:val="20"/>
                <w:lang w:val="en-GB"/>
              </w:rPr>
              <w:t>-6.687.316</w:t>
            </w:r>
          </w:p>
        </w:tc>
        <w:tc>
          <w:tcPr>
            <w:tcW w:w="1648"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bCs/>
                <w:sz w:val="20"/>
                <w:lang w:val="en-GB"/>
              </w:rPr>
            </w:pPr>
            <w:r w:rsidRPr="003611CF">
              <w:rPr>
                <w:rFonts w:ascii="Arial" w:eastAsia="Times New Roman" w:hAnsi="Arial" w:cs="Arial"/>
                <w:bCs/>
                <w:sz w:val="20"/>
                <w:lang w:val="en-GB"/>
              </w:rPr>
              <w:t>84,24</w:t>
            </w:r>
          </w:p>
        </w:tc>
        <w:tc>
          <w:tcPr>
            <w:tcW w:w="1646" w:type="dxa"/>
            <w:shd w:val="clear" w:color="auto" w:fill="FDE9D9"/>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bCs/>
                <w:sz w:val="20"/>
                <w:lang w:val="en-GB"/>
              </w:rPr>
            </w:pPr>
            <w:r w:rsidRPr="003611CF">
              <w:rPr>
                <w:rFonts w:ascii="Arial" w:eastAsia="Times New Roman" w:hAnsi="Arial" w:cs="Arial"/>
                <w:bCs/>
                <w:sz w:val="20"/>
                <w:lang w:val="en-GB"/>
              </w:rPr>
              <w:t>28,53</w:t>
            </w:r>
          </w:p>
        </w:tc>
      </w:tr>
      <w:tr w:rsidR="003611CF" w:rsidRPr="003611CF" w:rsidTr="003611CF">
        <w:tc>
          <w:tcPr>
            <w:tcW w:w="1646" w:type="dxa"/>
            <w:shd w:val="clear" w:color="auto" w:fill="FEF4EC"/>
          </w:tcPr>
          <w:p w:rsidR="003611CF" w:rsidRPr="003611CF" w:rsidRDefault="003611CF" w:rsidP="003611CF">
            <w:pPr>
              <w:autoSpaceDE w:val="0"/>
              <w:autoSpaceDN w:val="0"/>
              <w:adjustRightInd w:val="0"/>
              <w:spacing w:before="0" w:after="0" w:line="240" w:lineRule="auto"/>
              <w:rPr>
                <w:rFonts w:ascii="Arial" w:eastAsia="Times New Roman" w:hAnsi="Arial" w:cs="Arial"/>
                <w:b/>
                <w:bCs/>
                <w:sz w:val="20"/>
                <w:lang w:val="en-GB"/>
              </w:rPr>
            </w:pPr>
            <w:r w:rsidRPr="003611CF">
              <w:rPr>
                <w:rFonts w:ascii="Arial" w:eastAsia="Times New Roman" w:hAnsi="Arial" w:cs="Arial"/>
                <w:b/>
                <w:bCs/>
                <w:sz w:val="20"/>
                <w:lang w:val="en-GB"/>
              </w:rPr>
              <w:t>I-XII/2020</w:t>
            </w:r>
          </w:p>
        </w:tc>
        <w:tc>
          <w:tcPr>
            <w:tcW w:w="1683" w:type="dxa"/>
            <w:shd w:val="clear" w:color="auto" w:fill="FEF4EC"/>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b/>
                <w:bCs/>
                <w:sz w:val="20"/>
                <w:lang w:val="en-GB"/>
              </w:rPr>
            </w:pPr>
            <w:r w:rsidRPr="003611CF">
              <w:rPr>
                <w:rFonts w:ascii="Arial" w:eastAsia="Times New Roman" w:hAnsi="Arial" w:cs="Arial"/>
                <w:b/>
                <w:bCs/>
                <w:sz w:val="20"/>
                <w:lang w:val="en-GB"/>
              </w:rPr>
              <w:t>380.536.114</w:t>
            </w:r>
          </w:p>
        </w:tc>
        <w:tc>
          <w:tcPr>
            <w:tcW w:w="1683" w:type="dxa"/>
            <w:shd w:val="clear" w:color="auto" w:fill="FEF4EC"/>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b/>
                <w:bCs/>
                <w:sz w:val="20"/>
                <w:lang w:val="en-GB"/>
              </w:rPr>
            </w:pPr>
            <w:r w:rsidRPr="003611CF">
              <w:rPr>
                <w:rFonts w:ascii="Arial" w:eastAsia="Times New Roman" w:hAnsi="Arial" w:cs="Arial"/>
                <w:b/>
                <w:bCs/>
                <w:sz w:val="20"/>
                <w:lang w:val="en-GB"/>
              </w:rPr>
              <w:t>372.972.500</w:t>
            </w:r>
          </w:p>
        </w:tc>
        <w:tc>
          <w:tcPr>
            <w:tcW w:w="1648" w:type="dxa"/>
            <w:shd w:val="clear" w:color="auto" w:fill="FEF4EC"/>
            <w:vAlign w:val="center"/>
          </w:tcPr>
          <w:p w:rsidR="003611CF" w:rsidRPr="003611CF" w:rsidRDefault="003611CF" w:rsidP="003611CF">
            <w:pPr>
              <w:spacing w:before="0" w:after="0" w:line="240" w:lineRule="auto"/>
              <w:jc w:val="center"/>
              <w:rPr>
                <w:rFonts w:ascii="Arial" w:eastAsia="Times New Roman" w:hAnsi="Arial" w:cs="Arial"/>
                <w:b/>
                <w:bCs/>
                <w:sz w:val="20"/>
                <w:lang w:val="en-GB"/>
              </w:rPr>
            </w:pPr>
            <w:r w:rsidRPr="003611CF">
              <w:rPr>
                <w:rFonts w:ascii="Arial" w:eastAsia="Times New Roman" w:hAnsi="Arial" w:cs="Arial"/>
                <w:b/>
                <w:bCs/>
                <w:sz w:val="20"/>
                <w:lang w:val="en-GB"/>
              </w:rPr>
              <w:t>-7.563.613</w:t>
            </w:r>
          </w:p>
        </w:tc>
        <w:tc>
          <w:tcPr>
            <w:tcW w:w="1648" w:type="dxa"/>
            <w:shd w:val="clear" w:color="auto" w:fill="FEF4EC"/>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b/>
                <w:bCs/>
                <w:sz w:val="20"/>
                <w:lang w:val="en-GB"/>
              </w:rPr>
            </w:pPr>
            <w:r w:rsidRPr="003611CF">
              <w:rPr>
                <w:rFonts w:ascii="Arial" w:eastAsia="Times New Roman" w:hAnsi="Arial" w:cs="Arial"/>
                <w:b/>
                <w:bCs/>
                <w:sz w:val="20"/>
                <w:lang w:val="en-GB"/>
              </w:rPr>
              <w:t>98,01</w:t>
            </w:r>
          </w:p>
        </w:tc>
        <w:tc>
          <w:tcPr>
            <w:tcW w:w="1646" w:type="dxa"/>
            <w:shd w:val="clear" w:color="auto" w:fill="FEF4EC"/>
          </w:tcPr>
          <w:p w:rsidR="003611CF" w:rsidRPr="003611CF" w:rsidRDefault="003611CF" w:rsidP="003611CF">
            <w:pPr>
              <w:autoSpaceDE w:val="0"/>
              <w:autoSpaceDN w:val="0"/>
              <w:adjustRightInd w:val="0"/>
              <w:spacing w:before="0" w:after="0" w:line="240" w:lineRule="auto"/>
              <w:jc w:val="center"/>
              <w:rPr>
                <w:rFonts w:ascii="Arial" w:eastAsia="Times New Roman" w:hAnsi="Arial" w:cs="Arial"/>
                <w:b/>
                <w:bCs/>
                <w:sz w:val="20"/>
                <w:lang w:val="en-GB"/>
              </w:rPr>
            </w:pPr>
            <w:r w:rsidRPr="003611CF">
              <w:rPr>
                <w:rFonts w:ascii="Arial" w:eastAsia="Times New Roman" w:hAnsi="Arial" w:cs="Arial"/>
                <w:b/>
                <w:bCs/>
                <w:sz w:val="20"/>
                <w:lang w:val="en-GB"/>
              </w:rPr>
              <w:t>33,95</w:t>
            </w:r>
          </w:p>
        </w:tc>
      </w:tr>
    </w:tbl>
    <w:p w:rsidR="003611CF" w:rsidRPr="003611CF" w:rsidRDefault="003611CF" w:rsidP="003611CF">
      <w:pPr>
        <w:spacing w:before="0" w:after="0" w:line="240" w:lineRule="auto"/>
        <w:rPr>
          <w:rFonts w:ascii="Arial" w:eastAsia="Times New Roman" w:hAnsi="Arial" w:cs="Arial"/>
          <w:sz w:val="22"/>
          <w:lang w:val="en-GB"/>
        </w:rPr>
      </w:pP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 xml:space="preserve">Napomena: U 2020.godini Sektor za VPO izvršio je inoviranje spiska za VPO od 254  koji su bili u prethodnom periodu, na način što je po kriterijumim iz Pravilnika  utvrđeno, da je 28 VPO izgubilo status VPO, a 42 je steklo i ispunilo status da se nađe na novom spisku za VPO od 268. </w:t>
      </w:r>
    </w:p>
    <w:p w:rsidR="003611CF" w:rsidRPr="003611CF" w:rsidRDefault="003611CF" w:rsidP="003611CF">
      <w:pPr>
        <w:spacing w:before="0" w:after="0" w:line="240" w:lineRule="auto"/>
        <w:rPr>
          <w:rFonts w:ascii="Calibri" w:eastAsia="Times New Roman" w:hAnsi="Calibri" w:cs="Calibri"/>
          <w:b/>
          <w:szCs w:val="24"/>
          <w:lang w:val="en-GB"/>
        </w:rPr>
      </w:pP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 xml:space="preserve">Iz tabelarnog pregleda evidentno je da je Sektor za VPO u izvještajnom periodu ostvario ukupnu bruto naplatu od 372.972.500 €, što je u odnosu na ostvarenu naplatu za isti period 2019.godine od 380.536.113 €, manje u apsulutnom iznosu za – 7.563.613€ .Pad naplate cca 2% u odnosu na isti period 2019.godine, posledica je pandemije kovid 19. </w:t>
      </w:r>
    </w:p>
    <w:p w:rsidR="003611CF" w:rsidRPr="003611CF" w:rsidRDefault="003611CF" w:rsidP="003611CF">
      <w:pPr>
        <w:spacing w:before="0" w:after="0" w:line="240" w:lineRule="auto"/>
        <w:rPr>
          <w:rFonts w:ascii="Calibri" w:eastAsia="Times New Roman" w:hAnsi="Calibri" w:cs="Calibri"/>
          <w:szCs w:val="24"/>
          <w:lang w:val="en-GB"/>
        </w:rPr>
      </w:pPr>
    </w:p>
    <w:p w:rsidR="003611CF" w:rsidRPr="003611CF" w:rsidRDefault="003611CF" w:rsidP="003611CF">
      <w:pPr>
        <w:spacing w:before="0" w:after="0" w:line="240" w:lineRule="auto"/>
        <w:jc w:val="center"/>
        <w:rPr>
          <w:rFonts w:ascii="Calibri" w:eastAsia="Times New Roman" w:hAnsi="Calibri" w:cs="Calibri"/>
          <w:szCs w:val="24"/>
          <w:lang w:val="en-GB"/>
        </w:rPr>
      </w:pPr>
      <w:r w:rsidRPr="003611CF">
        <w:rPr>
          <w:rFonts w:ascii="Calibri" w:eastAsia="Times New Roman" w:hAnsi="Calibri" w:cs="Calibri"/>
          <w:szCs w:val="24"/>
          <w:lang w:val="en-GB"/>
        </w:rPr>
        <w:t>TABELA BRUTO NAPLATE PO VRSTI POREZA ZA 2020.GODINU</w:t>
      </w:r>
    </w:p>
    <w:tbl>
      <w:tblPr>
        <w:tblW w:w="0" w:type="auto"/>
        <w:tblLook w:val="04A0" w:firstRow="1" w:lastRow="0" w:firstColumn="1" w:lastColumn="0" w:noHBand="0" w:noVBand="1"/>
      </w:tblPr>
      <w:tblGrid>
        <w:gridCol w:w="1572"/>
        <w:gridCol w:w="1604"/>
        <w:gridCol w:w="1677"/>
        <w:gridCol w:w="1607"/>
        <w:gridCol w:w="1441"/>
        <w:gridCol w:w="1737"/>
      </w:tblGrid>
      <w:tr w:rsidR="003611CF" w:rsidRPr="003611CF" w:rsidTr="003611CF">
        <w:trPr>
          <w:trHeight w:val="529"/>
        </w:trPr>
        <w:tc>
          <w:tcPr>
            <w:tcW w:w="1621" w:type="dxa"/>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Calibri" w:hAnsi="Arial" w:cs="Arial"/>
                <w:bCs/>
                <w:color w:val="FFFFFF"/>
                <w:sz w:val="20"/>
                <w:szCs w:val="20"/>
                <w:lang w:val="hr-HR" w:eastAsia="hr-HR"/>
              </w:rPr>
            </w:pPr>
            <w:r w:rsidRPr="003611CF">
              <w:rPr>
                <w:rFonts w:ascii="Arial" w:eastAsia="Calibri" w:hAnsi="Arial" w:cs="Arial"/>
                <w:bCs/>
                <w:color w:val="FFFFFF"/>
                <w:sz w:val="20"/>
                <w:szCs w:val="20"/>
                <w:lang w:val="hr-HR" w:eastAsia="hr-HR"/>
              </w:rPr>
              <w:t>Vrsta poreza</w:t>
            </w:r>
          </w:p>
        </w:tc>
        <w:tc>
          <w:tcPr>
            <w:tcW w:w="1628" w:type="dxa"/>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Calibri" w:hAnsi="Arial" w:cs="Arial"/>
                <w:bCs/>
                <w:color w:val="FFFFFF"/>
                <w:sz w:val="20"/>
                <w:szCs w:val="20"/>
                <w:lang w:val="hr-HR" w:eastAsia="hr-HR"/>
              </w:rPr>
            </w:pPr>
            <w:r w:rsidRPr="003611CF">
              <w:rPr>
                <w:rFonts w:ascii="Arial" w:eastAsia="Calibri" w:hAnsi="Arial" w:cs="Arial"/>
                <w:bCs/>
                <w:color w:val="FFFFFF"/>
                <w:sz w:val="20"/>
                <w:szCs w:val="20"/>
                <w:lang w:val="hr-HR" w:eastAsia="hr-HR"/>
              </w:rPr>
              <w:t>Naplata   za vpo u 2019.</w:t>
            </w:r>
          </w:p>
        </w:tc>
        <w:tc>
          <w:tcPr>
            <w:tcW w:w="1708" w:type="dxa"/>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Calibri" w:hAnsi="Arial" w:cs="Arial"/>
                <w:bCs/>
                <w:color w:val="FFFFFF"/>
                <w:sz w:val="20"/>
                <w:szCs w:val="20"/>
                <w:lang w:val="hr-HR" w:eastAsia="hr-HR"/>
              </w:rPr>
            </w:pPr>
            <w:r w:rsidRPr="003611CF">
              <w:rPr>
                <w:rFonts w:ascii="Arial" w:eastAsia="Calibri" w:hAnsi="Arial" w:cs="Arial"/>
                <w:bCs/>
                <w:color w:val="FFFFFF"/>
                <w:sz w:val="20"/>
                <w:szCs w:val="20"/>
                <w:lang w:val="hr-HR" w:eastAsia="hr-HR"/>
              </w:rPr>
              <w:t>Ostvarenje  naplate kod vpo u 2020.</w:t>
            </w:r>
          </w:p>
        </w:tc>
        <w:tc>
          <w:tcPr>
            <w:tcW w:w="1634" w:type="dxa"/>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Calibri" w:hAnsi="Arial" w:cs="Arial"/>
                <w:bCs/>
                <w:color w:val="FFFFFF"/>
                <w:sz w:val="20"/>
                <w:szCs w:val="20"/>
                <w:lang w:val="hr-HR" w:eastAsia="hr-HR"/>
              </w:rPr>
            </w:pPr>
            <w:r w:rsidRPr="003611CF">
              <w:rPr>
                <w:rFonts w:ascii="Arial" w:eastAsia="Calibri" w:hAnsi="Arial" w:cs="Arial"/>
                <w:bCs/>
                <w:color w:val="FFFFFF"/>
                <w:sz w:val="20"/>
                <w:szCs w:val="20"/>
                <w:lang w:val="hr-HR" w:eastAsia="hr-HR"/>
              </w:rPr>
              <w:t>Apsolutni iznos (2020/2019)</w:t>
            </w:r>
          </w:p>
        </w:tc>
        <w:tc>
          <w:tcPr>
            <w:tcW w:w="1454" w:type="dxa"/>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Calibri" w:hAnsi="Arial" w:cs="Arial"/>
                <w:bCs/>
                <w:color w:val="FFFFFF"/>
                <w:sz w:val="20"/>
                <w:szCs w:val="20"/>
                <w:lang w:val="hr-HR" w:eastAsia="hr-HR"/>
              </w:rPr>
            </w:pPr>
            <w:r w:rsidRPr="003611CF">
              <w:rPr>
                <w:rFonts w:ascii="Arial" w:eastAsia="Calibri" w:hAnsi="Arial" w:cs="Arial"/>
                <w:bCs/>
                <w:color w:val="FFFFFF"/>
                <w:sz w:val="20"/>
                <w:szCs w:val="20"/>
                <w:lang w:val="hr-HR" w:eastAsia="hr-HR"/>
              </w:rPr>
              <w:t>Index  (2020/2019)</w:t>
            </w:r>
          </w:p>
        </w:tc>
        <w:tc>
          <w:tcPr>
            <w:tcW w:w="1809" w:type="dxa"/>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Calibri" w:hAnsi="Arial" w:cs="Arial"/>
                <w:bCs/>
                <w:color w:val="FFFFFF"/>
                <w:sz w:val="20"/>
                <w:szCs w:val="20"/>
                <w:lang w:val="hr-HR" w:eastAsia="hr-HR"/>
              </w:rPr>
            </w:pPr>
            <w:r w:rsidRPr="003611CF">
              <w:rPr>
                <w:rFonts w:ascii="Arial" w:eastAsia="Calibri" w:hAnsi="Arial" w:cs="Arial"/>
                <w:bCs/>
                <w:color w:val="FFFFFF"/>
                <w:sz w:val="20"/>
                <w:szCs w:val="20"/>
                <w:lang w:val="hr-HR" w:eastAsia="hr-HR"/>
              </w:rPr>
              <w:t>Učešće vpo u ukupnoj naplati</w:t>
            </w:r>
          </w:p>
        </w:tc>
      </w:tr>
      <w:tr w:rsidR="003611CF" w:rsidRPr="003611CF" w:rsidTr="003611CF">
        <w:tc>
          <w:tcPr>
            <w:tcW w:w="1621" w:type="dxa"/>
            <w:shd w:val="clear" w:color="auto" w:fill="FDE9D9"/>
          </w:tcPr>
          <w:p w:rsidR="003611CF" w:rsidRPr="003611CF" w:rsidRDefault="003611CF" w:rsidP="003611CF">
            <w:pPr>
              <w:spacing w:before="0" w:after="0" w:line="240" w:lineRule="auto"/>
              <w:jc w:val="left"/>
              <w:rPr>
                <w:rFonts w:ascii="Arial" w:eastAsia="Calibri" w:hAnsi="Arial" w:cs="Arial"/>
                <w:bCs/>
                <w:color w:val="000000"/>
                <w:sz w:val="20"/>
                <w:szCs w:val="20"/>
                <w:lang w:val="hr-HR" w:eastAsia="hr-HR"/>
              </w:rPr>
            </w:pPr>
            <w:r w:rsidRPr="003611CF">
              <w:rPr>
                <w:rFonts w:ascii="Arial" w:eastAsia="Calibri" w:hAnsi="Arial" w:cs="Arial"/>
                <w:bCs/>
                <w:color w:val="000000"/>
                <w:sz w:val="20"/>
                <w:szCs w:val="20"/>
                <w:lang w:val="hr-HR" w:eastAsia="hr-HR"/>
              </w:rPr>
              <w:t>PDV</w:t>
            </w:r>
          </w:p>
        </w:tc>
        <w:tc>
          <w:tcPr>
            <w:tcW w:w="1628" w:type="dxa"/>
            <w:shd w:val="clear" w:color="auto" w:fill="FDE9D9"/>
            <w:vAlign w:val="center"/>
          </w:tcPr>
          <w:p w:rsidR="003611CF" w:rsidRPr="003611CF" w:rsidRDefault="003611CF" w:rsidP="003611CF">
            <w:pPr>
              <w:spacing w:before="0" w:after="0" w:line="240" w:lineRule="auto"/>
              <w:jc w:val="center"/>
              <w:rPr>
                <w:rFonts w:ascii="Arial" w:eastAsia="Times New Roman" w:hAnsi="Arial" w:cs="Arial"/>
                <w:bCs/>
                <w:sz w:val="20"/>
                <w:lang w:val="en-GB" w:eastAsia="hr-HR"/>
              </w:rPr>
            </w:pPr>
            <w:r w:rsidRPr="003611CF">
              <w:rPr>
                <w:rFonts w:ascii="Arial" w:eastAsia="Times New Roman" w:hAnsi="Arial" w:cs="Arial"/>
                <w:bCs/>
                <w:sz w:val="20"/>
                <w:lang w:val="en-GB" w:eastAsia="hr-HR"/>
              </w:rPr>
              <w:t>111.730.136</w:t>
            </w:r>
          </w:p>
        </w:tc>
        <w:tc>
          <w:tcPr>
            <w:tcW w:w="1708" w:type="dxa"/>
            <w:shd w:val="clear" w:color="auto" w:fill="FDE9D9"/>
            <w:vAlign w:val="center"/>
          </w:tcPr>
          <w:p w:rsidR="003611CF" w:rsidRPr="003611CF" w:rsidRDefault="003611CF" w:rsidP="003611CF">
            <w:pPr>
              <w:spacing w:before="0" w:after="0" w:line="240" w:lineRule="auto"/>
              <w:jc w:val="center"/>
              <w:rPr>
                <w:rFonts w:ascii="Arial" w:eastAsia="Times New Roman" w:hAnsi="Arial" w:cs="Arial"/>
                <w:bCs/>
                <w:sz w:val="20"/>
                <w:lang w:val="en-GB" w:eastAsia="hr-HR"/>
              </w:rPr>
            </w:pPr>
            <w:r w:rsidRPr="003611CF">
              <w:rPr>
                <w:rFonts w:ascii="Arial" w:eastAsia="Times New Roman" w:hAnsi="Arial" w:cs="Arial"/>
                <w:bCs/>
                <w:sz w:val="20"/>
                <w:lang w:val="en-GB" w:eastAsia="hr-HR"/>
              </w:rPr>
              <w:t>100.029.387</w:t>
            </w:r>
          </w:p>
        </w:tc>
        <w:tc>
          <w:tcPr>
            <w:tcW w:w="1634" w:type="dxa"/>
            <w:shd w:val="clear" w:color="auto" w:fill="FDE9D9"/>
          </w:tcPr>
          <w:p w:rsidR="003611CF" w:rsidRPr="003611CF" w:rsidRDefault="003611CF" w:rsidP="003611CF">
            <w:pPr>
              <w:spacing w:before="0" w:after="0" w:line="240" w:lineRule="auto"/>
              <w:jc w:val="center"/>
              <w:rPr>
                <w:rFonts w:ascii="Arial" w:eastAsia="Times New Roman" w:hAnsi="Arial" w:cs="Arial"/>
                <w:bCs/>
                <w:sz w:val="20"/>
                <w:lang w:val="en-GB" w:eastAsia="hr-HR"/>
              </w:rPr>
            </w:pPr>
            <w:r w:rsidRPr="003611CF">
              <w:rPr>
                <w:rFonts w:ascii="Arial" w:eastAsia="Times New Roman" w:hAnsi="Arial" w:cs="Arial"/>
                <w:bCs/>
                <w:sz w:val="20"/>
                <w:lang w:val="en-GB" w:eastAsia="hr-HR"/>
              </w:rPr>
              <w:t>-11.700.749</w:t>
            </w:r>
          </w:p>
        </w:tc>
        <w:tc>
          <w:tcPr>
            <w:tcW w:w="1454" w:type="dxa"/>
            <w:shd w:val="clear" w:color="auto" w:fill="FDE9D9"/>
            <w:vAlign w:val="center"/>
          </w:tcPr>
          <w:p w:rsidR="003611CF" w:rsidRPr="003611CF" w:rsidRDefault="003611CF" w:rsidP="003611CF">
            <w:pPr>
              <w:spacing w:before="0" w:after="0" w:line="240" w:lineRule="auto"/>
              <w:jc w:val="center"/>
              <w:rPr>
                <w:rFonts w:ascii="Arial" w:eastAsia="Times New Roman" w:hAnsi="Arial" w:cs="Arial"/>
                <w:bCs/>
                <w:sz w:val="20"/>
                <w:lang w:val="en-GB" w:eastAsia="hr-HR"/>
              </w:rPr>
            </w:pPr>
            <w:r w:rsidRPr="003611CF">
              <w:rPr>
                <w:rFonts w:ascii="Arial" w:eastAsia="Times New Roman" w:hAnsi="Arial" w:cs="Arial"/>
                <w:bCs/>
                <w:sz w:val="20"/>
                <w:lang w:val="en-GB" w:eastAsia="hr-HR"/>
              </w:rPr>
              <w:t>89,53</w:t>
            </w:r>
          </w:p>
        </w:tc>
        <w:tc>
          <w:tcPr>
            <w:tcW w:w="1809" w:type="dxa"/>
            <w:shd w:val="clear" w:color="auto" w:fill="FDE9D9"/>
            <w:vAlign w:val="center"/>
          </w:tcPr>
          <w:p w:rsidR="003611CF" w:rsidRPr="003611CF" w:rsidRDefault="003611CF" w:rsidP="003611CF">
            <w:pPr>
              <w:spacing w:before="0" w:after="0" w:line="240" w:lineRule="auto"/>
              <w:jc w:val="center"/>
              <w:rPr>
                <w:rFonts w:ascii="Arial" w:eastAsia="Times New Roman" w:hAnsi="Arial" w:cs="Arial"/>
                <w:bCs/>
                <w:sz w:val="20"/>
                <w:lang w:val="en-GB" w:eastAsia="hr-HR"/>
              </w:rPr>
            </w:pPr>
            <w:r w:rsidRPr="003611CF">
              <w:rPr>
                <w:rFonts w:ascii="Arial" w:eastAsia="Times New Roman" w:hAnsi="Arial" w:cs="Arial"/>
                <w:bCs/>
                <w:sz w:val="20"/>
                <w:lang w:val="en-GB" w:eastAsia="hr-HR"/>
              </w:rPr>
              <w:t>40,92%</w:t>
            </w:r>
          </w:p>
        </w:tc>
      </w:tr>
      <w:tr w:rsidR="003611CF" w:rsidRPr="003611CF" w:rsidTr="003611CF">
        <w:tc>
          <w:tcPr>
            <w:tcW w:w="1621" w:type="dxa"/>
            <w:shd w:val="clear" w:color="auto" w:fill="FEF4EC"/>
          </w:tcPr>
          <w:p w:rsidR="003611CF" w:rsidRPr="003611CF" w:rsidRDefault="003611CF" w:rsidP="003611CF">
            <w:pPr>
              <w:spacing w:before="0" w:after="0" w:line="240" w:lineRule="auto"/>
              <w:jc w:val="left"/>
              <w:rPr>
                <w:rFonts w:ascii="Arial" w:eastAsia="Calibri" w:hAnsi="Arial" w:cs="Arial"/>
                <w:bCs/>
                <w:color w:val="000000"/>
                <w:sz w:val="20"/>
                <w:szCs w:val="20"/>
                <w:lang w:val="hr-HR" w:eastAsia="hr-HR"/>
              </w:rPr>
            </w:pPr>
            <w:r w:rsidRPr="003611CF">
              <w:rPr>
                <w:rFonts w:ascii="Arial" w:eastAsia="Calibri" w:hAnsi="Arial" w:cs="Arial"/>
                <w:bCs/>
                <w:color w:val="000000"/>
                <w:sz w:val="20"/>
                <w:szCs w:val="20"/>
                <w:lang w:val="hr-HR" w:eastAsia="hr-HR"/>
              </w:rPr>
              <w:t>IOPPD</w:t>
            </w:r>
          </w:p>
        </w:tc>
        <w:tc>
          <w:tcPr>
            <w:tcW w:w="1628" w:type="dxa"/>
            <w:shd w:val="clear" w:color="auto" w:fill="FEF4EC"/>
            <w:vAlign w:val="center"/>
          </w:tcPr>
          <w:p w:rsidR="003611CF" w:rsidRPr="003611CF" w:rsidRDefault="003611CF" w:rsidP="003611CF">
            <w:pPr>
              <w:spacing w:before="0" w:after="0" w:line="240" w:lineRule="auto"/>
              <w:jc w:val="center"/>
              <w:rPr>
                <w:rFonts w:ascii="Arial" w:eastAsia="Times New Roman" w:hAnsi="Arial" w:cs="Arial"/>
                <w:bCs/>
                <w:sz w:val="20"/>
                <w:lang w:val="en-GB" w:eastAsia="hr-HR"/>
              </w:rPr>
            </w:pPr>
            <w:r w:rsidRPr="003611CF">
              <w:rPr>
                <w:rFonts w:ascii="Arial" w:eastAsia="Times New Roman" w:hAnsi="Arial" w:cs="Arial"/>
                <w:bCs/>
                <w:sz w:val="20"/>
                <w:lang w:val="en-GB" w:eastAsia="hr-HR"/>
              </w:rPr>
              <w:t>206.871.939</w:t>
            </w:r>
          </w:p>
        </w:tc>
        <w:tc>
          <w:tcPr>
            <w:tcW w:w="1708" w:type="dxa"/>
            <w:shd w:val="clear" w:color="auto" w:fill="FEF4EC"/>
            <w:vAlign w:val="center"/>
          </w:tcPr>
          <w:p w:rsidR="003611CF" w:rsidRPr="003611CF" w:rsidRDefault="003611CF" w:rsidP="003611CF">
            <w:pPr>
              <w:spacing w:before="0" w:after="0" w:line="240" w:lineRule="auto"/>
              <w:jc w:val="center"/>
              <w:rPr>
                <w:rFonts w:ascii="Arial" w:eastAsia="Times New Roman" w:hAnsi="Arial" w:cs="Arial"/>
                <w:bCs/>
                <w:sz w:val="20"/>
                <w:lang w:val="en-GB" w:eastAsia="hr-HR"/>
              </w:rPr>
            </w:pPr>
            <w:r w:rsidRPr="003611CF">
              <w:rPr>
                <w:rFonts w:ascii="Arial" w:eastAsia="Times New Roman" w:hAnsi="Arial" w:cs="Arial"/>
                <w:bCs/>
                <w:sz w:val="20"/>
                <w:lang w:val="en-GB" w:eastAsia="hr-HR"/>
              </w:rPr>
              <w:t>218.609.352</w:t>
            </w:r>
          </w:p>
        </w:tc>
        <w:tc>
          <w:tcPr>
            <w:tcW w:w="1634" w:type="dxa"/>
            <w:shd w:val="clear" w:color="auto" w:fill="FEF4EC"/>
          </w:tcPr>
          <w:p w:rsidR="003611CF" w:rsidRPr="003611CF" w:rsidRDefault="003611CF" w:rsidP="003611CF">
            <w:pPr>
              <w:spacing w:before="0" w:after="0" w:line="240" w:lineRule="auto"/>
              <w:jc w:val="center"/>
              <w:rPr>
                <w:rFonts w:ascii="Arial" w:eastAsia="Times New Roman" w:hAnsi="Arial" w:cs="Arial"/>
                <w:bCs/>
                <w:sz w:val="20"/>
                <w:lang w:val="en-GB" w:eastAsia="hr-HR"/>
              </w:rPr>
            </w:pPr>
            <w:r w:rsidRPr="003611CF">
              <w:rPr>
                <w:rFonts w:ascii="Arial" w:eastAsia="Times New Roman" w:hAnsi="Arial" w:cs="Arial"/>
                <w:bCs/>
                <w:sz w:val="20"/>
                <w:lang w:val="en-GB" w:eastAsia="hr-HR"/>
              </w:rPr>
              <w:t>11.737.413</w:t>
            </w:r>
          </w:p>
        </w:tc>
        <w:tc>
          <w:tcPr>
            <w:tcW w:w="1454" w:type="dxa"/>
            <w:shd w:val="clear" w:color="auto" w:fill="FEF4EC"/>
            <w:vAlign w:val="center"/>
          </w:tcPr>
          <w:p w:rsidR="003611CF" w:rsidRPr="003611CF" w:rsidRDefault="003611CF" w:rsidP="003611CF">
            <w:pPr>
              <w:spacing w:before="0" w:after="0" w:line="240" w:lineRule="auto"/>
              <w:jc w:val="center"/>
              <w:rPr>
                <w:rFonts w:ascii="Arial" w:eastAsia="Times New Roman" w:hAnsi="Arial" w:cs="Arial"/>
                <w:bCs/>
                <w:sz w:val="20"/>
                <w:lang w:val="en-GB" w:eastAsia="hr-HR"/>
              </w:rPr>
            </w:pPr>
            <w:r w:rsidRPr="003611CF">
              <w:rPr>
                <w:rFonts w:ascii="Arial" w:eastAsia="Times New Roman" w:hAnsi="Arial" w:cs="Arial"/>
                <w:bCs/>
                <w:sz w:val="20"/>
                <w:lang w:val="en-GB" w:eastAsia="hr-HR"/>
              </w:rPr>
              <w:t>105,67</w:t>
            </w:r>
          </w:p>
        </w:tc>
        <w:tc>
          <w:tcPr>
            <w:tcW w:w="1809" w:type="dxa"/>
            <w:shd w:val="clear" w:color="auto" w:fill="FEF4EC"/>
            <w:vAlign w:val="center"/>
          </w:tcPr>
          <w:p w:rsidR="003611CF" w:rsidRPr="003611CF" w:rsidRDefault="003611CF" w:rsidP="003611CF">
            <w:pPr>
              <w:spacing w:before="0" w:after="0" w:line="240" w:lineRule="auto"/>
              <w:jc w:val="center"/>
              <w:rPr>
                <w:rFonts w:ascii="Arial" w:eastAsia="Times New Roman" w:hAnsi="Arial" w:cs="Arial"/>
                <w:bCs/>
                <w:sz w:val="20"/>
                <w:lang w:val="en-GB" w:eastAsia="hr-HR"/>
              </w:rPr>
            </w:pPr>
            <w:r w:rsidRPr="003611CF">
              <w:rPr>
                <w:rFonts w:ascii="Arial" w:eastAsia="Times New Roman" w:hAnsi="Arial" w:cs="Arial"/>
                <w:bCs/>
                <w:sz w:val="20"/>
                <w:lang w:val="en-GB" w:eastAsia="hr-HR"/>
              </w:rPr>
              <w:t>30,80%</w:t>
            </w:r>
          </w:p>
        </w:tc>
      </w:tr>
      <w:tr w:rsidR="003611CF" w:rsidRPr="003611CF" w:rsidTr="003611CF">
        <w:tc>
          <w:tcPr>
            <w:tcW w:w="1621" w:type="dxa"/>
            <w:shd w:val="clear" w:color="auto" w:fill="FDE9D9"/>
          </w:tcPr>
          <w:p w:rsidR="003611CF" w:rsidRPr="003611CF" w:rsidRDefault="003611CF" w:rsidP="003611CF">
            <w:pPr>
              <w:spacing w:before="0" w:after="0" w:line="240" w:lineRule="auto"/>
              <w:jc w:val="left"/>
              <w:rPr>
                <w:rFonts w:ascii="Arial" w:eastAsia="Calibri" w:hAnsi="Arial" w:cs="Arial"/>
                <w:bCs/>
                <w:color w:val="000000"/>
                <w:sz w:val="20"/>
                <w:szCs w:val="20"/>
                <w:lang w:val="hr-HR" w:eastAsia="hr-HR"/>
              </w:rPr>
            </w:pPr>
            <w:r w:rsidRPr="003611CF">
              <w:rPr>
                <w:rFonts w:ascii="Arial" w:eastAsia="Calibri" w:hAnsi="Arial" w:cs="Arial"/>
                <w:bCs/>
                <w:color w:val="000000"/>
                <w:sz w:val="20"/>
                <w:szCs w:val="20"/>
                <w:lang w:val="hr-HR" w:eastAsia="hr-HR"/>
              </w:rPr>
              <w:t>P/DOBIT</w:t>
            </w:r>
          </w:p>
        </w:tc>
        <w:tc>
          <w:tcPr>
            <w:tcW w:w="1628" w:type="dxa"/>
            <w:shd w:val="clear" w:color="auto" w:fill="FDE9D9"/>
            <w:vAlign w:val="center"/>
          </w:tcPr>
          <w:p w:rsidR="003611CF" w:rsidRPr="003611CF" w:rsidRDefault="003611CF" w:rsidP="003611CF">
            <w:pPr>
              <w:spacing w:before="0" w:after="0" w:line="240" w:lineRule="auto"/>
              <w:jc w:val="center"/>
              <w:rPr>
                <w:rFonts w:ascii="Arial" w:eastAsia="Times New Roman" w:hAnsi="Arial" w:cs="Arial"/>
                <w:bCs/>
                <w:sz w:val="20"/>
                <w:lang w:val="en-GB" w:eastAsia="hr-HR"/>
              </w:rPr>
            </w:pPr>
            <w:r w:rsidRPr="003611CF">
              <w:rPr>
                <w:rFonts w:ascii="Arial" w:eastAsia="Times New Roman" w:hAnsi="Arial" w:cs="Arial"/>
                <w:bCs/>
                <w:sz w:val="20"/>
                <w:lang w:val="en-GB" w:eastAsia="hr-HR"/>
              </w:rPr>
              <w:t>39.000.959</w:t>
            </w:r>
          </w:p>
        </w:tc>
        <w:tc>
          <w:tcPr>
            <w:tcW w:w="1708" w:type="dxa"/>
            <w:shd w:val="clear" w:color="auto" w:fill="FDE9D9"/>
            <w:vAlign w:val="center"/>
          </w:tcPr>
          <w:p w:rsidR="003611CF" w:rsidRPr="003611CF" w:rsidRDefault="003611CF" w:rsidP="003611CF">
            <w:pPr>
              <w:spacing w:before="0" w:after="0" w:line="240" w:lineRule="auto"/>
              <w:jc w:val="center"/>
              <w:rPr>
                <w:rFonts w:ascii="Arial" w:eastAsia="Times New Roman" w:hAnsi="Arial" w:cs="Arial"/>
                <w:bCs/>
                <w:sz w:val="20"/>
                <w:lang w:val="en-GB" w:eastAsia="hr-HR"/>
              </w:rPr>
            </w:pPr>
            <w:r w:rsidRPr="003611CF">
              <w:rPr>
                <w:rFonts w:ascii="Arial" w:eastAsia="Times New Roman" w:hAnsi="Arial" w:cs="Arial"/>
                <w:bCs/>
                <w:sz w:val="20"/>
                <w:lang w:val="en-GB" w:eastAsia="hr-HR"/>
              </w:rPr>
              <w:t>36.717.964</w:t>
            </w:r>
          </w:p>
        </w:tc>
        <w:tc>
          <w:tcPr>
            <w:tcW w:w="1634" w:type="dxa"/>
            <w:shd w:val="clear" w:color="auto" w:fill="FDE9D9"/>
          </w:tcPr>
          <w:p w:rsidR="003611CF" w:rsidRPr="003611CF" w:rsidRDefault="003611CF" w:rsidP="003611CF">
            <w:pPr>
              <w:spacing w:before="0" w:after="0" w:line="240" w:lineRule="auto"/>
              <w:jc w:val="center"/>
              <w:rPr>
                <w:rFonts w:ascii="Arial" w:eastAsia="Times New Roman" w:hAnsi="Arial" w:cs="Arial"/>
                <w:bCs/>
                <w:sz w:val="20"/>
                <w:lang w:val="en-GB" w:eastAsia="hr-HR"/>
              </w:rPr>
            </w:pPr>
            <w:r w:rsidRPr="003611CF">
              <w:rPr>
                <w:rFonts w:ascii="Arial" w:eastAsia="Times New Roman" w:hAnsi="Arial" w:cs="Arial"/>
                <w:bCs/>
                <w:sz w:val="20"/>
                <w:lang w:val="en-GB" w:eastAsia="hr-HR"/>
              </w:rPr>
              <w:t>-2.282.995</w:t>
            </w:r>
          </w:p>
        </w:tc>
        <w:tc>
          <w:tcPr>
            <w:tcW w:w="1454" w:type="dxa"/>
            <w:shd w:val="clear" w:color="auto" w:fill="FDE9D9"/>
            <w:vAlign w:val="center"/>
          </w:tcPr>
          <w:p w:rsidR="003611CF" w:rsidRPr="003611CF" w:rsidRDefault="003611CF" w:rsidP="003611CF">
            <w:pPr>
              <w:spacing w:before="0" w:after="0" w:line="240" w:lineRule="auto"/>
              <w:jc w:val="center"/>
              <w:rPr>
                <w:rFonts w:ascii="Arial" w:eastAsia="Times New Roman" w:hAnsi="Arial" w:cs="Arial"/>
                <w:bCs/>
                <w:sz w:val="20"/>
                <w:lang w:val="en-GB" w:eastAsia="hr-HR"/>
              </w:rPr>
            </w:pPr>
            <w:r w:rsidRPr="003611CF">
              <w:rPr>
                <w:rFonts w:ascii="Arial" w:eastAsia="Times New Roman" w:hAnsi="Arial" w:cs="Arial"/>
                <w:bCs/>
                <w:sz w:val="20"/>
                <w:lang w:val="en-GB" w:eastAsia="hr-HR"/>
              </w:rPr>
              <w:t>94,15</w:t>
            </w:r>
          </w:p>
        </w:tc>
        <w:tc>
          <w:tcPr>
            <w:tcW w:w="1809" w:type="dxa"/>
            <w:shd w:val="clear" w:color="auto" w:fill="FDE9D9"/>
            <w:vAlign w:val="center"/>
          </w:tcPr>
          <w:p w:rsidR="003611CF" w:rsidRPr="003611CF" w:rsidRDefault="003611CF" w:rsidP="003611CF">
            <w:pPr>
              <w:spacing w:before="0" w:after="0" w:line="240" w:lineRule="auto"/>
              <w:jc w:val="center"/>
              <w:rPr>
                <w:rFonts w:ascii="Arial" w:eastAsia="Times New Roman" w:hAnsi="Arial" w:cs="Arial"/>
                <w:bCs/>
                <w:sz w:val="20"/>
                <w:lang w:val="en-GB" w:eastAsia="hr-HR"/>
              </w:rPr>
            </w:pPr>
            <w:r w:rsidRPr="003611CF">
              <w:rPr>
                <w:rFonts w:ascii="Arial" w:eastAsia="Times New Roman" w:hAnsi="Arial" w:cs="Arial"/>
                <w:bCs/>
                <w:sz w:val="20"/>
                <w:lang w:val="en-GB" w:eastAsia="hr-HR"/>
              </w:rPr>
              <w:t>44,69%</w:t>
            </w:r>
          </w:p>
        </w:tc>
      </w:tr>
      <w:tr w:rsidR="003611CF" w:rsidRPr="003611CF" w:rsidTr="003611CF">
        <w:tc>
          <w:tcPr>
            <w:tcW w:w="1621" w:type="dxa"/>
            <w:shd w:val="clear" w:color="auto" w:fill="FEF4EC"/>
          </w:tcPr>
          <w:p w:rsidR="003611CF" w:rsidRPr="003611CF" w:rsidRDefault="003611CF" w:rsidP="003611CF">
            <w:pPr>
              <w:spacing w:before="0" w:after="0" w:line="240" w:lineRule="auto"/>
              <w:jc w:val="left"/>
              <w:rPr>
                <w:rFonts w:ascii="Arial" w:eastAsia="Calibri" w:hAnsi="Arial" w:cs="Arial"/>
                <w:bCs/>
                <w:color w:val="000000"/>
                <w:sz w:val="20"/>
                <w:szCs w:val="20"/>
                <w:lang w:val="hr-HR" w:eastAsia="hr-HR"/>
              </w:rPr>
            </w:pPr>
            <w:r w:rsidRPr="003611CF">
              <w:rPr>
                <w:rFonts w:ascii="Arial" w:eastAsia="Calibri" w:hAnsi="Arial" w:cs="Arial"/>
                <w:bCs/>
                <w:color w:val="000000"/>
                <w:sz w:val="20"/>
                <w:szCs w:val="20"/>
                <w:lang w:val="hr-HR" w:eastAsia="hr-HR"/>
              </w:rPr>
              <w:t>Ostalo</w:t>
            </w:r>
          </w:p>
        </w:tc>
        <w:tc>
          <w:tcPr>
            <w:tcW w:w="1628" w:type="dxa"/>
            <w:shd w:val="clear" w:color="auto" w:fill="FEF4EC"/>
            <w:vAlign w:val="center"/>
          </w:tcPr>
          <w:p w:rsidR="003611CF" w:rsidRPr="003611CF" w:rsidRDefault="003611CF" w:rsidP="003611CF">
            <w:pPr>
              <w:spacing w:before="0" w:after="0" w:line="240" w:lineRule="auto"/>
              <w:jc w:val="center"/>
              <w:rPr>
                <w:rFonts w:ascii="Arial" w:eastAsia="Times New Roman" w:hAnsi="Arial" w:cs="Arial"/>
                <w:bCs/>
                <w:sz w:val="20"/>
                <w:lang w:val="en-GB" w:eastAsia="hr-HR"/>
              </w:rPr>
            </w:pPr>
            <w:r w:rsidRPr="003611CF">
              <w:rPr>
                <w:rFonts w:ascii="Arial" w:eastAsia="Times New Roman" w:hAnsi="Arial" w:cs="Arial"/>
                <w:bCs/>
                <w:sz w:val="20"/>
                <w:lang w:val="en-GB" w:eastAsia="hr-HR"/>
              </w:rPr>
              <w:t>22.933.080</w:t>
            </w:r>
          </w:p>
        </w:tc>
        <w:tc>
          <w:tcPr>
            <w:tcW w:w="1708" w:type="dxa"/>
            <w:shd w:val="clear" w:color="auto" w:fill="FEF4EC"/>
            <w:vAlign w:val="center"/>
          </w:tcPr>
          <w:p w:rsidR="003611CF" w:rsidRPr="003611CF" w:rsidRDefault="003611CF" w:rsidP="003611CF">
            <w:pPr>
              <w:spacing w:before="0" w:after="0" w:line="240" w:lineRule="auto"/>
              <w:jc w:val="center"/>
              <w:rPr>
                <w:rFonts w:ascii="Arial" w:eastAsia="Times New Roman" w:hAnsi="Arial" w:cs="Arial"/>
                <w:bCs/>
                <w:sz w:val="20"/>
                <w:lang w:val="en-GB" w:eastAsia="hr-HR"/>
              </w:rPr>
            </w:pPr>
            <w:r w:rsidRPr="003611CF">
              <w:rPr>
                <w:rFonts w:ascii="Arial" w:eastAsia="Times New Roman" w:hAnsi="Arial" w:cs="Arial"/>
                <w:bCs/>
                <w:sz w:val="20"/>
                <w:lang w:val="en-GB" w:eastAsia="hr-HR"/>
              </w:rPr>
              <w:t>17.615.798</w:t>
            </w:r>
          </w:p>
        </w:tc>
        <w:tc>
          <w:tcPr>
            <w:tcW w:w="1634" w:type="dxa"/>
            <w:shd w:val="clear" w:color="auto" w:fill="FEF4EC"/>
          </w:tcPr>
          <w:p w:rsidR="003611CF" w:rsidRPr="003611CF" w:rsidRDefault="003611CF" w:rsidP="003611CF">
            <w:pPr>
              <w:spacing w:before="0" w:after="0" w:line="240" w:lineRule="auto"/>
              <w:jc w:val="center"/>
              <w:rPr>
                <w:rFonts w:ascii="Arial" w:eastAsia="Times New Roman" w:hAnsi="Arial" w:cs="Arial"/>
                <w:bCs/>
                <w:sz w:val="20"/>
                <w:lang w:val="en-GB" w:eastAsia="hr-HR"/>
              </w:rPr>
            </w:pPr>
            <w:r w:rsidRPr="003611CF">
              <w:rPr>
                <w:rFonts w:ascii="Arial" w:eastAsia="Times New Roman" w:hAnsi="Arial" w:cs="Arial"/>
                <w:bCs/>
                <w:sz w:val="20"/>
                <w:lang w:val="en-GB" w:eastAsia="hr-HR"/>
              </w:rPr>
              <w:t>-5.317.282</w:t>
            </w:r>
          </w:p>
        </w:tc>
        <w:tc>
          <w:tcPr>
            <w:tcW w:w="1454" w:type="dxa"/>
            <w:shd w:val="clear" w:color="auto" w:fill="FEF4EC"/>
            <w:vAlign w:val="center"/>
          </w:tcPr>
          <w:p w:rsidR="003611CF" w:rsidRPr="003611CF" w:rsidRDefault="003611CF" w:rsidP="003611CF">
            <w:pPr>
              <w:spacing w:before="0" w:after="0" w:line="240" w:lineRule="auto"/>
              <w:jc w:val="center"/>
              <w:rPr>
                <w:rFonts w:ascii="Arial" w:eastAsia="Times New Roman" w:hAnsi="Arial" w:cs="Arial"/>
                <w:bCs/>
                <w:sz w:val="20"/>
                <w:lang w:val="en-GB" w:eastAsia="hr-HR"/>
              </w:rPr>
            </w:pPr>
            <w:r w:rsidRPr="003611CF">
              <w:rPr>
                <w:rFonts w:ascii="Arial" w:eastAsia="Times New Roman" w:hAnsi="Arial" w:cs="Arial"/>
                <w:bCs/>
                <w:sz w:val="20"/>
                <w:lang w:val="en-GB" w:eastAsia="hr-HR"/>
              </w:rPr>
              <w:t>78,62</w:t>
            </w:r>
          </w:p>
        </w:tc>
        <w:tc>
          <w:tcPr>
            <w:tcW w:w="1809" w:type="dxa"/>
            <w:shd w:val="clear" w:color="auto" w:fill="FEF4EC"/>
            <w:vAlign w:val="center"/>
          </w:tcPr>
          <w:p w:rsidR="003611CF" w:rsidRPr="003611CF" w:rsidRDefault="003611CF" w:rsidP="003611CF">
            <w:pPr>
              <w:spacing w:before="0" w:after="0" w:line="240" w:lineRule="auto"/>
              <w:jc w:val="center"/>
              <w:rPr>
                <w:rFonts w:ascii="Arial" w:eastAsia="Times New Roman" w:hAnsi="Arial" w:cs="Arial"/>
                <w:bCs/>
                <w:sz w:val="20"/>
                <w:lang w:val="en-GB" w:eastAsia="hr-HR"/>
              </w:rPr>
            </w:pPr>
            <w:r w:rsidRPr="003611CF">
              <w:rPr>
                <w:rFonts w:ascii="Arial" w:eastAsia="Times New Roman" w:hAnsi="Arial" w:cs="Arial"/>
                <w:bCs/>
                <w:sz w:val="20"/>
                <w:lang w:val="en-GB" w:eastAsia="hr-HR"/>
              </w:rPr>
              <w:t>29,04%</w:t>
            </w:r>
          </w:p>
        </w:tc>
      </w:tr>
      <w:tr w:rsidR="003611CF" w:rsidRPr="003611CF" w:rsidTr="003611CF">
        <w:tc>
          <w:tcPr>
            <w:tcW w:w="1621" w:type="dxa"/>
            <w:shd w:val="clear" w:color="auto" w:fill="FDE9D9"/>
          </w:tcPr>
          <w:p w:rsidR="003611CF" w:rsidRPr="003611CF" w:rsidRDefault="003611CF" w:rsidP="003611CF">
            <w:pPr>
              <w:spacing w:before="0" w:after="0" w:line="240" w:lineRule="auto"/>
              <w:jc w:val="left"/>
              <w:rPr>
                <w:rFonts w:ascii="Arial" w:eastAsia="Calibri" w:hAnsi="Arial" w:cs="Arial"/>
                <w:b/>
                <w:bCs/>
                <w:color w:val="000000"/>
                <w:sz w:val="20"/>
                <w:szCs w:val="20"/>
                <w:lang w:val="hr-HR" w:eastAsia="hr-HR"/>
              </w:rPr>
            </w:pPr>
            <w:r w:rsidRPr="003611CF">
              <w:rPr>
                <w:rFonts w:ascii="Arial" w:eastAsia="Calibri" w:hAnsi="Arial" w:cs="Arial"/>
                <w:b/>
                <w:bCs/>
                <w:color w:val="000000"/>
                <w:sz w:val="20"/>
                <w:szCs w:val="20"/>
                <w:lang w:val="hr-HR" w:eastAsia="hr-HR"/>
              </w:rPr>
              <w:t>Svega</w:t>
            </w:r>
          </w:p>
        </w:tc>
        <w:tc>
          <w:tcPr>
            <w:tcW w:w="1628" w:type="dxa"/>
            <w:shd w:val="clear" w:color="auto" w:fill="FDE9D9"/>
            <w:vAlign w:val="center"/>
          </w:tcPr>
          <w:p w:rsidR="003611CF" w:rsidRPr="003611CF" w:rsidRDefault="003611CF" w:rsidP="003611CF">
            <w:pPr>
              <w:spacing w:before="0" w:after="0" w:line="240" w:lineRule="auto"/>
              <w:jc w:val="center"/>
              <w:rPr>
                <w:rFonts w:ascii="Arial" w:eastAsia="Times New Roman" w:hAnsi="Arial" w:cs="Arial"/>
                <w:b/>
                <w:bCs/>
                <w:sz w:val="20"/>
                <w:lang w:val="en-GB" w:eastAsia="hr-HR"/>
              </w:rPr>
            </w:pPr>
            <w:r w:rsidRPr="003611CF">
              <w:rPr>
                <w:rFonts w:ascii="Arial" w:eastAsia="Times New Roman" w:hAnsi="Arial" w:cs="Arial"/>
                <w:b/>
                <w:bCs/>
                <w:sz w:val="20"/>
                <w:lang w:val="en-GB" w:eastAsia="hr-HR"/>
              </w:rPr>
              <w:t>380.536.114</w:t>
            </w:r>
          </w:p>
        </w:tc>
        <w:tc>
          <w:tcPr>
            <w:tcW w:w="1708" w:type="dxa"/>
            <w:shd w:val="clear" w:color="auto" w:fill="FDE9D9"/>
            <w:vAlign w:val="center"/>
          </w:tcPr>
          <w:p w:rsidR="003611CF" w:rsidRPr="003611CF" w:rsidRDefault="003611CF" w:rsidP="003611CF">
            <w:pPr>
              <w:spacing w:before="0" w:after="0" w:line="240" w:lineRule="auto"/>
              <w:jc w:val="center"/>
              <w:rPr>
                <w:rFonts w:ascii="Arial" w:eastAsia="Times New Roman" w:hAnsi="Arial" w:cs="Arial"/>
                <w:b/>
                <w:bCs/>
                <w:sz w:val="20"/>
                <w:lang w:val="en-GB" w:eastAsia="hr-HR"/>
              </w:rPr>
            </w:pPr>
            <w:r w:rsidRPr="003611CF">
              <w:rPr>
                <w:rFonts w:ascii="Arial" w:eastAsia="Times New Roman" w:hAnsi="Arial" w:cs="Arial"/>
                <w:b/>
                <w:bCs/>
                <w:sz w:val="20"/>
                <w:lang w:val="en-GB" w:eastAsia="hr-HR"/>
              </w:rPr>
              <w:t>372.972.501</w:t>
            </w:r>
          </w:p>
        </w:tc>
        <w:tc>
          <w:tcPr>
            <w:tcW w:w="1634" w:type="dxa"/>
            <w:shd w:val="clear" w:color="auto" w:fill="FDE9D9"/>
          </w:tcPr>
          <w:p w:rsidR="003611CF" w:rsidRPr="003611CF" w:rsidRDefault="003611CF" w:rsidP="003611CF">
            <w:pPr>
              <w:spacing w:before="0" w:after="0" w:line="240" w:lineRule="auto"/>
              <w:jc w:val="center"/>
              <w:rPr>
                <w:rFonts w:ascii="Arial" w:eastAsia="Times New Roman" w:hAnsi="Arial" w:cs="Arial"/>
                <w:b/>
                <w:bCs/>
                <w:sz w:val="20"/>
                <w:lang w:val="en-GB" w:eastAsia="hr-HR"/>
              </w:rPr>
            </w:pPr>
            <w:r w:rsidRPr="003611CF">
              <w:rPr>
                <w:rFonts w:ascii="Arial" w:eastAsia="Times New Roman" w:hAnsi="Arial" w:cs="Arial"/>
                <w:b/>
                <w:bCs/>
                <w:sz w:val="20"/>
                <w:lang w:val="en-GB" w:eastAsia="hr-HR"/>
              </w:rPr>
              <w:t>-7.563.613</w:t>
            </w:r>
          </w:p>
        </w:tc>
        <w:tc>
          <w:tcPr>
            <w:tcW w:w="1454" w:type="dxa"/>
            <w:shd w:val="clear" w:color="auto" w:fill="FDE9D9"/>
            <w:vAlign w:val="center"/>
          </w:tcPr>
          <w:p w:rsidR="003611CF" w:rsidRPr="003611CF" w:rsidRDefault="003611CF" w:rsidP="003611CF">
            <w:pPr>
              <w:spacing w:before="0" w:after="0" w:line="240" w:lineRule="auto"/>
              <w:jc w:val="center"/>
              <w:rPr>
                <w:rFonts w:ascii="Arial" w:eastAsia="Times New Roman" w:hAnsi="Arial" w:cs="Arial"/>
                <w:b/>
                <w:bCs/>
                <w:sz w:val="20"/>
                <w:lang w:val="en-GB" w:eastAsia="hr-HR"/>
              </w:rPr>
            </w:pPr>
            <w:r w:rsidRPr="003611CF">
              <w:rPr>
                <w:rFonts w:ascii="Arial" w:eastAsia="Times New Roman" w:hAnsi="Arial" w:cs="Arial"/>
                <w:b/>
                <w:bCs/>
                <w:sz w:val="20"/>
                <w:lang w:val="en-GB" w:eastAsia="hr-HR"/>
              </w:rPr>
              <w:t>98,01</w:t>
            </w:r>
          </w:p>
        </w:tc>
        <w:tc>
          <w:tcPr>
            <w:tcW w:w="1809" w:type="dxa"/>
            <w:shd w:val="clear" w:color="auto" w:fill="FDE9D9"/>
            <w:vAlign w:val="center"/>
          </w:tcPr>
          <w:p w:rsidR="003611CF" w:rsidRPr="003611CF" w:rsidRDefault="003611CF" w:rsidP="003611CF">
            <w:pPr>
              <w:spacing w:before="0" w:after="0" w:line="240" w:lineRule="auto"/>
              <w:jc w:val="center"/>
              <w:rPr>
                <w:rFonts w:ascii="Arial" w:eastAsia="Times New Roman" w:hAnsi="Arial" w:cs="Arial"/>
                <w:b/>
                <w:bCs/>
                <w:sz w:val="20"/>
                <w:lang w:val="en-GB" w:eastAsia="hr-HR"/>
              </w:rPr>
            </w:pPr>
            <w:r w:rsidRPr="003611CF">
              <w:rPr>
                <w:rFonts w:ascii="Arial" w:eastAsia="Times New Roman" w:hAnsi="Arial" w:cs="Arial"/>
                <w:b/>
                <w:bCs/>
                <w:sz w:val="20"/>
                <w:lang w:val="en-GB" w:eastAsia="hr-HR"/>
              </w:rPr>
              <w:t>33,95%</w:t>
            </w:r>
          </w:p>
        </w:tc>
      </w:tr>
    </w:tbl>
    <w:p w:rsidR="003611CF" w:rsidRPr="003611CF" w:rsidRDefault="003611CF" w:rsidP="003611CF">
      <w:pPr>
        <w:spacing w:before="0" w:after="0" w:line="240" w:lineRule="auto"/>
        <w:rPr>
          <w:rFonts w:ascii="Arial" w:eastAsia="Times New Roman" w:hAnsi="Arial" w:cs="Arial"/>
          <w:b/>
          <w:sz w:val="22"/>
          <w:lang w:val="en-GB"/>
        </w:rPr>
      </w:pPr>
    </w:p>
    <w:p w:rsidR="003611CF" w:rsidRPr="003611CF" w:rsidRDefault="003611CF" w:rsidP="003611CF">
      <w:pPr>
        <w:spacing w:before="0" w:after="0" w:line="240" w:lineRule="auto"/>
        <w:rPr>
          <w:rFonts w:ascii="Calibri" w:eastAsia="Times New Roman" w:hAnsi="Calibri" w:cs="Calibri"/>
          <w:b/>
          <w:szCs w:val="24"/>
          <w:lang w:val="en-GB"/>
        </w:rPr>
      </w:pPr>
      <w:r w:rsidRPr="003611CF">
        <w:rPr>
          <w:rFonts w:ascii="Arial" w:eastAsia="Times New Roman" w:hAnsi="Arial" w:cs="Arial"/>
          <w:sz w:val="22"/>
          <w:lang w:val="en-GB"/>
        </w:rPr>
        <w:tab/>
      </w:r>
      <w:r w:rsidRPr="003611CF">
        <w:rPr>
          <w:rFonts w:ascii="Calibri" w:eastAsia="Times New Roman" w:hAnsi="Calibri" w:cs="Calibri"/>
          <w:szCs w:val="24"/>
          <w:lang w:val="en-GB"/>
        </w:rPr>
        <w:t>Sektor za VPO će nastojati da svojim planiranim aktivnostima u situaciji globalne pandemije, održi naplatu VPO i povećava učešće VPO u ukupnoj naplati Poreske uprave.</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Veliki poreski obveznici u izvještajnom periodu I-XII/2020.godine učestvuju u ukupnoj naplati javnih prihoda na nivou PU od 33,95%.</w:t>
      </w:r>
    </w:p>
    <w:p w:rsidR="003611CF" w:rsidRPr="003611CF" w:rsidRDefault="003611CF" w:rsidP="003611CF">
      <w:pPr>
        <w:spacing w:before="0" w:after="0" w:line="240" w:lineRule="auto"/>
        <w:rPr>
          <w:rFonts w:ascii="Calibri" w:eastAsia="Times New Roman" w:hAnsi="Calibri" w:cs="Calibri"/>
          <w:szCs w:val="24"/>
          <w:lang w:val="en-GB" w:eastAsia="hr-HR"/>
        </w:rPr>
      </w:pPr>
    </w:p>
    <w:p w:rsidR="003611CF" w:rsidRPr="003611CF" w:rsidRDefault="003611CF" w:rsidP="003611CF">
      <w:pPr>
        <w:spacing w:before="0" w:after="0" w:line="240" w:lineRule="auto"/>
        <w:rPr>
          <w:rFonts w:ascii="Calibri" w:eastAsia="Times New Roman" w:hAnsi="Calibri" w:cs="Calibri"/>
          <w:b/>
          <w:szCs w:val="24"/>
          <w:lang w:val="en-GB"/>
        </w:rPr>
      </w:pPr>
      <w:r w:rsidRPr="003611CF">
        <w:rPr>
          <w:rFonts w:ascii="Calibri" w:eastAsia="Times New Roman" w:hAnsi="Calibri" w:cs="Calibri"/>
          <w:b/>
          <w:szCs w:val="24"/>
          <w:lang w:val="en-GB"/>
        </w:rPr>
        <w:t xml:space="preserve">REGISTAR OPERATIVNIH RIZIKA </w:t>
      </w:r>
    </w:p>
    <w:p w:rsidR="00CB5BEE" w:rsidRDefault="003611CF" w:rsidP="00CB5BEE">
      <w:pPr>
        <w:spacing w:before="0" w:after="0" w:line="240" w:lineRule="auto"/>
        <w:rPr>
          <w:rFonts w:ascii="Calibri" w:eastAsia="Times New Roman" w:hAnsi="Calibri" w:cs="Calibri"/>
          <w:b/>
          <w:szCs w:val="24"/>
          <w:lang w:val="en-GB"/>
        </w:rPr>
      </w:pPr>
      <w:r w:rsidRPr="003611CF">
        <w:rPr>
          <w:rFonts w:ascii="Calibri" w:eastAsia="Times New Roman" w:hAnsi="Calibri" w:cs="Calibri"/>
          <w:b/>
          <w:szCs w:val="24"/>
          <w:lang w:val="en-GB"/>
        </w:rPr>
        <w:t>AK</w:t>
      </w:r>
      <w:r w:rsidR="00CB5BEE">
        <w:rPr>
          <w:rFonts w:ascii="Calibri" w:eastAsia="Times New Roman" w:hAnsi="Calibri" w:cs="Calibri"/>
          <w:b/>
          <w:szCs w:val="24"/>
          <w:lang w:val="en-GB"/>
        </w:rPr>
        <w:t>TIVNOSTI INSPEKCIJSKOG NADZORA</w:t>
      </w:r>
    </w:p>
    <w:p w:rsidR="003611CF" w:rsidRPr="00CB5BEE" w:rsidRDefault="003611CF" w:rsidP="00CB5BEE">
      <w:pPr>
        <w:spacing w:after="0" w:line="240" w:lineRule="auto"/>
        <w:ind w:firstLine="709"/>
        <w:rPr>
          <w:rFonts w:ascii="Calibri" w:eastAsia="Times New Roman" w:hAnsi="Calibri" w:cs="Calibri"/>
          <w:b/>
          <w:szCs w:val="24"/>
          <w:lang w:val="en-GB"/>
        </w:rPr>
      </w:pPr>
      <w:r w:rsidRPr="003611CF">
        <w:rPr>
          <w:rFonts w:ascii="Calibri" w:eastAsia="Times New Roman" w:hAnsi="Calibri" w:cs="Calibri"/>
          <w:szCs w:val="24"/>
          <w:lang w:val="en-GB"/>
        </w:rPr>
        <w:t xml:space="preserve">Značajnu ulogu u izboru obveznika ima unaprijeđenja baza podataka o velikim poreskim obveznicima, formirana kroz matricu rizika za VPO (program analize rizika, koji identifikuje ključne, visokorizične, srednjerizične i niskorizične VPO), zatim informacije dobijene od drugih državnih organa, informacije dobijene od strane građana, kao i informacije dobijene putem razmjene podataka sa stranim državnim administracijama. </w:t>
      </w: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tab/>
        <w:t>U okviru Sektora za VPO - Odsjeka za inspekcijski nadzor, izvršena je raspodjela Poreskih inspektora na:</w:t>
      </w:r>
    </w:p>
    <w:p w:rsidR="003611CF" w:rsidRPr="003611CF" w:rsidRDefault="003611CF" w:rsidP="004D6CB4">
      <w:pPr>
        <w:numPr>
          <w:ilvl w:val="0"/>
          <w:numId w:val="146"/>
        </w:numPr>
        <w:spacing w:before="0" w:after="0" w:line="240" w:lineRule="auto"/>
        <w:jc w:val="left"/>
        <w:rPr>
          <w:rFonts w:ascii="Calibri" w:eastAsia="Times New Roman" w:hAnsi="Calibri" w:cs="Calibri"/>
          <w:szCs w:val="24"/>
          <w:lang w:val="en-GB"/>
        </w:rPr>
      </w:pPr>
      <w:r w:rsidRPr="003611CF">
        <w:rPr>
          <w:rFonts w:ascii="Calibri" w:eastAsia="Times New Roman" w:hAnsi="Calibri" w:cs="Calibri"/>
          <w:szCs w:val="24"/>
          <w:lang w:val="en-GB"/>
        </w:rPr>
        <w:t>opšte kontrole i                                                       7 inspektora</w:t>
      </w:r>
    </w:p>
    <w:p w:rsidR="003611CF" w:rsidRDefault="003611CF" w:rsidP="004D6CB4">
      <w:pPr>
        <w:numPr>
          <w:ilvl w:val="0"/>
          <w:numId w:val="146"/>
        </w:numPr>
        <w:spacing w:before="0" w:after="0" w:line="240" w:lineRule="auto"/>
        <w:jc w:val="left"/>
        <w:rPr>
          <w:rFonts w:ascii="Calibri" w:eastAsia="Times New Roman" w:hAnsi="Calibri" w:cs="Calibri"/>
          <w:szCs w:val="24"/>
          <w:lang w:val="en-GB"/>
        </w:rPr>
      </w:pPr>
      <w:r w:rsidRPr="003611CF">
        <w:rPr>
          <w:rFonts w:ascii="Calibri" w:eastAsia="Times New Roman" w:hAnsi="Calibri" w:cs="Calibri"/>
          <w:szCs w:val="24"/>
          <w:lang w:val="en-GB"/>
        </w:rPr>
        <w:t>grupu za specijalizovane kontrole                          4 inspektora</w:t>
      </w:r>
    </w:p>
    <w:p w:rsidR="00CB5BEE" w:rsidRPr="00CB5BEE" w:rsidRDefault="00CB5BEE" w:rsidP="00CB5BEE">
      <w:pPr>
        <w:spacing w:before="0" w:after="0" w:line="240" w:lineRule="auto"/>
        <w:ind w:left="720"/>
        <w:jc w:val="left"/>
        <w:rPr>
          <w:rFonts w:ascii="Calibri" w:eastAsia="Times New Roman" w:hAnsi="Calibri" w:cs="Calibri"/>
          <w:szCs w:val="24"/>
          <w:lang w:val="en-GB"/>
        </w:rPr>
      </w:pPr>
    </w:p>
    <w:p w:rsidR="003611CF" w:rsidRPr="00CB5BEE" w:rsidRDefault="003611CF" w:rsidP="003611CF">
      <w:pPr>
        <w:spacing w:before="0" w:after="0" w:line="240" w:lineRule="auto"/>
        <w:rPr>
          <w:rFonts w:ascii="Calibri" w:eastAsia="Times New Roman" w:hAnsi="Calibri" w:cs="Calibri"/>
          <w:szCs w:val="24"/>
          <w:lang w:val="en-GB"/>
        </w:rPr>
      </w:pPr>
      <w:r w:rsidRPr="003611CF">
        <w:rPr>
          <w:rFonts w:ascii="Calibri" w:eastAsia="Times New Roman" w:hAnsi="Calibri" w:cs="Calibri"/>
          <w:szCs w:val="24"/>
          <w:lang w:val="en-GB"/>
        </w:rPr>
        <w:lastRenderedPageBreak/>
        <w:tab/>
        <w:t>U izvještajnom periodu 01.01.-31.12.2020. godine 11 poreskih inspe</w:t>
      </w:r>
      <w:r w:rsidR="00CB5BEE">
        <w:rPr>
          <w:rFonts w:ascii="Calibri" w:eastAsia="Times New Roman" w:hAnsi="Calibri" w:cs="Calibri"/>
          <w:szCs w:val="24"/>
          <w:lang w:val="en-GB"/>
        </w:rPr>
        <w:t>ktora za VPO su ukupno izvršili</w:t>
      </w:r>
    </w:p>
    <w:tbl>
      <w:tblPr>
        <w:tblW w:w="10774" w:type="dxa"/>
        <w:tblInd w:w="-318" w:type="dxa"/>
        <w:tblLayout w:type="fixed"/>
        <w:tblLook w:val="04A0" w:firstRow="1" w:lastRow="0" w:firstColumn="1" w:lastColumn="0" w:noHBand="0" w:noVBand="1"/>
      </w:tblPr>
      <w:tblGrid>
        <w:gridCol w:w="534"/>
        <w:gridCol w:w="2869"/>
        <w:gridCol w:w="851"/>
        <w:gridCol w:w="1417"/>
        <w:gridCol w:w="1134"/>
        <w:gridCol w:w="1418"/>
        <w:gridCol w:w="2551"/>
      </w:tblGrid>
      <w:tr w:rsidR="003611CF" w:rsidRPr="003611CF" w:rsidTr="003611CF">
        <w:trPr>
          <w:trHeight w:val="813"/>
        </w:trPr>
        <w:tc>
          <w:tcPr>
            <w:tcW w:w="534" w:type="dxa"/>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Calibri" w:hAnsi="Arial" w:cs="Arial"/>
                <w:bCs/>
                <w:color w:val="FFFFFF"/>
                <w:sz w:val="20"/>
                <w:szCs w:val="20"/>
                <w:lang w:val="en-GB"/>
              </w:rPr>
            </w:pPr>
            <w:r w:rsidRPr="003611CF">
              <w:rPr>
                <w:rFonts w:ascii="Arial" w:eastAsia="Calibri" w:hAnsi="Arial" w:cs="Arial"/>
                <w:bCs/>
                <w:color w:val="FFFFFF"/>
                <w:sz w:val="20"/>
                <w:szCs w:val="20"/>
                <w:lang w:val="en-GB"/>
              </w:rPr>
              <w:t>Br.</w:t>
            </w:r>
          </w:p>
        </w:tc>
        <w:tc>
          <w:tcPr>
            <w:tcW w:w="2869" w:type="dxa"/>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Calibri" w:hAnsi="Arial" w:cs="Arial"/>
                <w:bCs/>
                <w:color w:val="FFFFFF"/>
                <w:sz w:val="20"/>
                <w:szCs w:val="20"/>
                <w:lang w:val="en-GB"/>
              </w:rPr>
            </w:pPr>
            <w:r w:rsidRPr="003611CF">
              <w:rPr>
                <w:rFonts w:ascii="Arial" w:eastAsia="Calibri" w:hAnsi="Arial" w:cs="Arial"/>
                <w:bCs/>
                <w:color w:val="FFFFFF"/>
                <w:sz w:val="20"/>
                <w:szCs w:val="20"/>
                <w:lang w:val="en-GB"/>
              </w:rPr>
              <w:t>Rezultati inspekcijskog nadzora</w:t>
            </w:r>
          </w:p>
        </w:tc>
        <w:tc>
          <w:tcPr>
            <w:tcW w:w="851" w:type="dxa"/>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Calibri" w:hAnsi="Arial" w:cs="Arial"/>
                <w:bCs/>
                <w:color w:val="FFFFFF"/>
                <w:sz w:val="20"/>
                <w:szCs w:val="20"/>
                <w:lang w:val="en-GB"/>
              </w:rPr>
            </w:pPr>
            <w:r w:rsidRPr="003611CF">
              <w:rPr>
                <w:rFonts w:ascii="Arial" w:eastAsia="Calibri" w:hAnsi="Arial" w:cs="Arial"/>
                <w:bCs/>
                <w:color w:val="FFFFFF"/>
                <w:sz w:val="20"/>
                <w:szCs w:val="20"/>
                <w:lang w:val="en-GB"/>
              </w:rPr>
              <w:t>Period 2020.</w:t>
            </w:r>
          </w:p>
        </w:tc>
        <w:tc>
          <w:tcPr>
            <w:tcW w:w="1417" w:type="dxa"/>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Calibri" w:hAnsi="Arial" w:cs="Arial"/>
                <w:bCs/>
                <w:color w:val="FFFFFF"/>
                <w:sz w:val="20"/>
                <w:szCs w:val="20"/>
                <w:lang w:val="en-GB"/>
              </w:rPr>
            </w:pPr>
            <w:r w:rsidRPr="003611CF">
              <w:rPr>
                <w:rFonts w:ascii="Arial" w:eastAsia="Calibri" w:hAnsi="Arial" w:cs="Arial"/>
                <w:bCs/>
                <w:color w:val="FFFFFF"/>
                <w:sz w:val="20"/>
                <w:szCs w:val="20"/>
                <w:lang w:val="en-GB"/>
              </w:rPr>
              <w:t>Procenat od ukupnog broja kontrola VPO  u 2020</w:t>
            </w:r>
          </w:p>
        </w:tc>
        <w:tc>
          <w:tcPr>
            <w:tcW w:w="1134" w:type="dxa"/>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Calibri" w:hAnsi="Arial" w:cs="Arial"/>
                <w:bCs/>
                <w:color w:val="FFFFFF"/>
                <w:sz w:val="20"/>
                <w:szCs w:val="20"/>
                <w:lang w:val="en-GB"/>
              </w:rPr>
            </w:pPr>
            <w:r w:rsidRPr="003611CF">
              <w:rPr>
                <w:rFonts w:ascii="Arial" w:eastAsia="Calibri" w:hAnsi="Arial" w:cs="Arial"/>
                <w:bCs/>
                <w:color w:val="FFFFFF"/>
                <w:sz w:val="20"/>
                <w:szCs w:val="20"/>
                <w:lang w:val="en-GB"/>
              </w:rPr>
              <w:t>Period 2019.</w:t>
            </w:r>
          </w:p>
        </w:tc>
        <w:tc>
          <w:tcPr>
            <w:tcW w:w="1418" w:type="dxa"/>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Calibri" w:hAnsi="Arial" w:cs="Arial"/>
                <w:bCs/>
                <w:color w:val="FFFFFF"/>
                <w:sz w:val="20"/>
                <w:szCs w:val="20"/>
                <w:lang w:val="en-GB"/>
              </w:rPr>
            </w:pPr>
            <w:r w:rsidRPr="003611CF">
              <w:rPr>
                <w:rFonts w:ascii="Arial" w:eastAsia="Calibri" w:hAnsi="Arial" w:cs="Arial"/>
                <w:bCs/>
                <w:color w:val="FFFFFF"/>
                <w:sz w:val="20"/>
                <w:szCs w:val="20"/>
                <w:lang w:val="en-GB"/>
              </w:rPr>
              <w:t>Procenat od ukupnog broja kontrola VPO  u 2019</w:t>
            </w:r>
          </w:p>
        </w:tc>
        <w:tc>
          <w:tcPr>
            <w:tcW w:w="2551" w:type="dxa"/>
            <w:tcBorders>
              <w:bottom w:val="single" w:sz="12" w:space="0" w:color="FFFFFF"/>
            </w:tcBorders>
            <w:shd w:val="clear" w:color="auto" w:fill="348DA5"/>
          </w:tcPr>
          <w:p w:rsidR="003611CF" w:rsidRPr="003611CF" w:rsidRDefault="003611CF" w:rsidP="003611CF">
            <w:pPr>
              <w:spacing w:before="0" w:after="0" w:line="240" w:lineRule="auto"/>
              <w:jc w:val="center"/>
              <w:rPr>
                <w:rFonts w:ascii="Arial" w:eastAsia="Calibri" w:hAnsi="Arial" w:cs="Arial"/>
                <w:bCs/>
                <w:color w:val="FFFFFF"/>
                <w:sz w:val="20"/>
                <w:szCs w:val="20"/>
                <w:lang w:val="en-GB"/>
              </w:rPr>
            </w:pPr>
            <w:r w:rsidRPr="003611CF">
              <w:rPr>
                <w:rFonts w:ascii="Arial" w:eastAsia="Calibri" w:hAnsi="Arial" w:cs="Arial"/>
                <w:bCs/>
                <w:color w:val="FFFFFF"/>
                <w:sz w:val="20"/>
                <w:szCs w:val="20"/>
                <w:lang w:val="en-GB"/>
              </w:rPr>
              <w:t>Napomene</w:t>
            </w:r>
          </w:p>
        </w:tc>
      </w:tr>
      <w:tr w:rsidR="003611CF" w:rsidRPr="003611CF" w:rsidTr="003611CF">
        <w:tc>
          <w:tcPr>
            <w:tcW w:w="534" w:type="dxa"/>
            <w:shd w:val="clear" w:color="auto" w:fill="FDE9D9"/>
          </w:tcPr>
          <w:p w:rsidR="003611CF" w:rsidRPr="003611CF" w:rsidRDefault="003611CF" w:rsidP="003611CF">
            <w:pPr>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1.</w:t>
            </w:r>
          </w:p>
        </w:tc>
        <w:tc>
          <w:tcPr>
            <w:tcW w:w="2869" w:type="dxa"/>
            <w:shd w:val="clear" w:color="auto" w:fill="FDE9D9"/>
          </w:tcPr>
          <w:p w:rsidR="003611CF" w:rsidRPr="003611CF" w:rsidRDefault="003611CF" w:rsidP="003611CF">
            <w:pPr>
              <w:spacing w:before="0" w:after="0" w:line="240" w:lineRule="auto"/>
              <w:rPr>
                <w:rFonts w:ascii="Arial" w:eastAsia="Calibri" w:hAnsi="Arial" w:cs="Arial"/>
                <w:color w:val="000000"/>
                <w:sz w:val="20"/>
                <w:szCs w:val="20"/>
                <w:lang w:val="en-GB"/>
              </w:rPr>
            </w:pPr>
            <w:r w:rsidRPr="003611CF">
              <w:rPr>
                <w:rFonts w:ascii="Arial" w:eastAsia="Calibri" w:hAnsi="Arial" w:cs="Arial"/>
                <w:color w:val="000000"/>
                <w:sz w:val="20"/>
                <w:szCs w:val="20"/>
                <w:lang w:val="en-GB"/>
              </w:rPr>
              <w:t>Broj potpunih kontrola</w:t>
            </w:r>
          </w:p>
        </w:tc>
        <w:tc>
          <w:tcPr>
            <w:tcW w:w="851"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72</w:t>
            </w:r>
          </w:p>
        </w:tc>
        <w:tc>
          <w:tcPr>
            <w:tcW w:w="1417"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61%</w:t>
            </w:r>
          </w:p>
        </w:tc>
        <w:tc>
          <w:tcPr>
            <w:tcW w:w="1134"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130</w:t>
            </w:r>
          </w:p>
        </w:tc>
        <w:tc>
          <w:tcPr>
            <w:tcW w:w="1418"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63%</w:t>
            </w:r>
          </w:p>
        </w:tc>
        <w:tc>
          <w:tcPr>
            <w:tcW w:w="2551"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U izvještajnom periodu 2019. Bilo 16 inspektora</w:t>
            </w:r>
          </w:p>
        </w:tc>
      </w:tr>
      <w:tr w:rsidR="003611CF" w:rsidRPr="003611CF" w:rsidTr="003611CF">
        <w:tc>
          <w:tcPr>
            <w:tcW w:w="534" w:type="dxa"/>
            <w:shd w:val="clear" w:color="auto" w:fill="FEF4EC"/>
          </w:tcPr>
          <w:p w:rsidR="003611CF" w:rsidRPr="003611CF" w:rsidRDefault="003611CF" w:rsidP="003611CF">
            <w:pPr>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2.</w:t>
            </w:r>
          </w:p>
        </w:tc>
        <w:tc>
          <w:tcPr>
            <w:tcW w:w="2869" w:type="dxa"/>
            <w:shd w:val="clear" w:color="auto" w:fill="FEF4EC"/>
          </w:tcPr>
          <w:p w:rsidR="003611CF" w:rsidRPr="003611CF" w:rsidRDefault="003611CF" w:rsidP="003611CF">
            <w:pPr>
              <w:spacing w:before="0" w:after="0" w:line="240" w:lineRule="auto"/>
              <w:rPr>
                <w:rFonts w:ascii="Arial" w:eastAsia="Calibri" w:hAnsi="Arial" w:cs="Arial"/>
                <w:color w:val="000000"/>
                <w:sz w:val="20"/>
                <w:szCs w:val="20"/>
                <w:lang w:val="en-GB"/>
              </w:rPr>
            </w:pPr>
            <w:r w:rsidRPr="003611CF">
              <w:rPr>
                <w:rFonts w:ascii="Arial" w:eastAsia="Calibri" w:hAnsi="Arial" w:cs="Arial"/>
                <w:color w:val="000000"/>
                <w:sz w:val="20"/>
                <w:szCs w:val="20"/>
                <w:lang w:val="en-GB"/>
              </w:rPr>
              <w:t>Broj djelimičnih kontrola</w:t>
            </w:r>
          </w:p>
        </w:tc>
        <w:tc>
          <w:tcPr>
            <w:tcW w:w="851"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46</w:t>
            </w:r>
          </w:p>
        </w:tc>
        <w:tc>
          <w:tcPr>
            <w:tcW w:w="1417"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39%</w:t>
            </w:r>
          </w:p>
        </w:tc>
        <w:tc>
          <w:tcPr>
            <w:tcW w:w="1134"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76</w:t>
            </w:r>
          </w:p>
        </w:tc>
        <w:tc>
          <w:tcPr>
            <w:tcW w:w="1418"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37%</w:t>
            </w:r>
          </w:p>
        </w:tc>
        <w:tc>
          <w:tcPr>
            <w:tcW w:w="2551"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p>
        </w:tc>
      </w:tr>
      <w:tr w:rsidR="003611CF" w:rsidRPr="003611CF" w:rsidTr="003611CF">
        <w:tc>
          <w:tcPr>
            <w:tcW w:w="534" w:type="dxa"/>
            <w:shd w:val="clear" w:color="auto" w:fill="FDE9D9"/>
          </w:tcPr>
          <w:p w:rsidR="003611CF" w:rsidRPr="003611CF" w:rsidRDefault="003611CF" w:rsidP="003611CF">
            <w:pPr>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3.</w:t>
            </w:r>
          </w:p>
        </w:tc>
        <w:tc>
          <w:tcPr>
            <w:tcW w:w="2869" w:type="dxa"/>
            <w:shd w:val="clear" w:color="auto" w:fill="FDE9D9"/>
          </w:tcPr>
          <w:p w:rsidR="003611CF" w:rsidRPr="003611CF" w:rsidRDefault="003611CF" w:rsidP="003611CF">
            <w:pPr>
              <w:spacing w:before="0" w:after="0" w:line="240" w:lineRule="auto"/>
              <w:rPr>
                <w:rFonts w:ascii="Arial" w:eastAsia="Calibri" w:hAnsi="Arial" w:cs="Arial"/>
                <w:color w:val="000000"/>
                <w:sz w:val="20"/>
                <w:szCs w:val="20"/>
                <w:lang w:val="en-GB"/>
              </w:rPr>
            </w:pPr>
            <w:r w:rsidRPr="003611CF">
              <w:rPr>
                <w:rFonts w:ascii="Arial" w:eastAsia="Calibri" w:hAnsi="Arial" w:cs="Arial"/>
                <w:color w:val="000000"/>
                <w:sz w:val="20"/>
                <w:szCs w:val="20"/>
                <w:lang w:val="en-GB"/>
              </w:rPr>
              <w:t>Ukupan broj kontrola (djelimičnih i potpunih)</w:t>
            </w:r>
          </w:p>
        </w:tc>
        <w:tc>
          <w:tcPr>
            <w:tcW w:w="851"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118</w:t>
            </w:r>
          </w:p>
        </w:tc>
        <w:tc>
          <w:tcPr>
            <w:tcW w:w="1417"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p>
        </w:tc>
        <w:tc>
          <w:tcPr>
            <w:tcW w:w="1134"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206</w:t>
            </w:r>
          </w:p>
        </w:tc>
        <w:tc>
          <w:tcPr>
            <w:tcW w:w="1418"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p>
        </w:tc>
        <w:tc>
          <w:tcPr>
            <w:tcW w:w="2551"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p>
        </w:tc>
      </w:tr>
      <w:tr w:rsidR="003611CF" w:rsidRPr="003611CF" w:rsidTr="003611CF">
        <w:tc>
          <w:tcPr>
            <w:tcW w:w="534" w:type="dxa"/>
            <w:shd w:val="clear" w:color="auto" w:fill="FEF4EC"/>
          </w:tcPr>
          <w:p w:rsidR="003611CF" w:rsidRPr="003611CF" w:rsidRDefault="003611CF" w:rsidP="003611CF">
            <w:pPr>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4.</w:t>
            </w:r>
          </w:p>
        </w:tc>
        <w:tc>
          <w:tcPr>
            <w:tcW w:w="2869" w:type="dxa"/>
            <w:shd w:val="clear" w:color="auto" w:fill="FEF4EC"/>
          </w:tcPr>
          <w:p w:rsidR="003611CF" w:rsidRPr="003611CF" w:rsidRDefault="003611CF" w:rsidP="003611CF">
            <w:pPr>
              <w:spacing w:before="0" w:after="0" w:line="240" w:lineRule="auto"/>
              <w:rPr>
                <w:rFonts w:ascii="Arial" w:eastAsia="Calibri" w:hAnsi="Arial" w:cs="Arial"/>
                <w:color w:val="000000"/>
                <w:sz w:val="20"/>
                <w:szCs w:val="20"/>
                <w:lang w:val="en-GB"/>
              </w:rPr>
            </w:pPr>
            <w:r w:rsidRPr="003611CF">
              <w:rPr>
                <w:rFonts w:ascii="Arial" w:eastAsia="Calibri" w:hAnsi="Arial" w:cs="Arial"/>
                <w:color w:val="000000"/>
                <w:sz w:val="20"/>
                <w:szCs w:val="20"/>
                <w:lang w:val="en-GB"/>
              </w:rPr>
              <w:t>Broj planiranih kontrola</w:t>
            </w:r>
          </w:p>
        </w:tc>
        <w:tc>
          <w:tcPr>
            <w:tcW w:w="851"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51</w:t>
            </w:r>
          </w:p>
        </w:tc>
        <w:tc>
          <w:tcPr>
            <w:tcW w:w="1417"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p>
        </w:tc>
        <w:tc>
          <w:tcPr>
            <w:tcW w:w="1134"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106</w:t>
            </w:r>
          </w:p>
        </w:tc>
        <w:tc>
          <w:tcPr>
            <w:tcW w:w="1418"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p>
        </w:tc>
        <w:tc>
          <w:tcPr>
            <w:tcW w:w="2551"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p>
        </w:tc>
      </w:tr>
      <w:tr w:rsidR="003611CF" w:rsidRPr="003611CF" w:rsidTr="003611CF">
        <w:tc>
          <w:tcPr>
            <w:tcW w:w="534" w:type="dxa"/>
            <w:shd w:val="clear" w:color="auto" w:fill="FDE9D9"/>
          </w:tcPr>
          <w:p w:rsidR="003611CF" w:rsidRPr="003611CF" w:rsidRDefault="003611CF" w:rsidP="003611CF">
            <w:pPr>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5.</w:t>
            </w:r>
          </w:p>
        </w:tc>
        <w:tc>
          <w:tcPr>
            <w:tcW w:w="2869" w:type="dxa"/>
            <w:shd w:val="clear" w:color="auto" w:fill="FDE9D9"/>
          </w:tcPr>
          <w:p w:rsidR="003611CF" w:rsidRPr="003611CF" w:rsidRDefault="003611CF" w:rsidP="003611CF">
            <w:pPr>
              <w:spacing w:before="0" w:after="0" w:line="240" w:lineRule="auto"/>
              <w:rPr>
                <w:rFonts w:ascii="Arial" w:eastAsia="Calibri" w:hAnsi="Arial" w:cs="Arial"/>
                <w:color w:val="000000"/>
                <w:sz w:val="20"/>
                <w:szCs w:val="20"/>
                <w:lang w:val="en-GB"/>
              </w:rPr>
            </w:pPr>
            <w:r w:rsidRPr="003611CF">
              <w:rPr>
                <w:rFonts w:ascii="Arial" w:eastAsia="Calibri" w:hAnsi="Arial" w:cs="Arial"/>
                <w:color w:val="000000"/>
                <w:sz w:val="20"/>
                <w:szCs w:val="20"/>
                <w:lang w:val="en-GB"/>
              </w:rPr>
              <w:t>Broj vanrednih kontrola</w:t>
            </w:r>
          </w:p>
        </w:tc>
        <w:tc>
          <w:tcPr>
            <w:tcW w:w="851"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67</w:t>
            </w:r>
          </w:p>
        </w:tc>
        <w:tc>
          <w:tcPr>
            <w:tcW w:w="1417"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p>
        </w:tc>
        <w:tc>
          <w:tcPr>
            <w:tcW w:w="1134"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100</w:t>
            </w:r>
          </w:p>
        </w:tc>
        <w:tc>
          <w:tcPr>
            <w:tcW w:w="1418"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p>
        </w:tc>
        <w:tc>
          <w:tcPr>
            <w:tcW w:w="2551"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p>
        </w:tc>
      </w:tr>
      <w:tr w:rsidR="003611CF" w:rsidRPr="003611CF" w:rsidTr="003611CF">
        <w:tc>
          <w:tcPr>
            <w:tcW w:w="534" w:type="dxa"/>
            <w:shd w:val="clear" w:color="auto" w:fill="FEF4EC"/>
          </w:tcPr>
          <w:p w:rsidR="003611CF" w:rsidRPr="003611CF" w:rsidRDefault="003611CF" w:rsidP="003611CF">
            <w:pPr>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6.</w:t>
            </w:r>
          </w:p>
        </w:tc>
        <w:tc>
          <w:tcPr>
            <w:tcW w:w="2869" w:type="dxa"/>
            <w:shd w:val="clear" w:color="auto" w:fill="FEF4EC"/>
          </w:tcPr>
          <w:p w:rsidR="003611CF" w:rsidRPr="003611CF" w:rsidRDefault="003611CF" w:rsidP="003611CF">
            <w:pPr>
              <w:spacing w:before="0" w:after="0" w:line="240" w:lineRule="auto"/>
              <w:rPr>
                <w:rFonts w:ascii="Arial" w:eastAsia="Calibri" w:hAnsi="Arial" w:cs="Arial"/>
                <w:color w:val="000000"/>
                <w:sz w:val="20"/>
                <w:szCs w:val="20"/>
                <w:lang w:val="en-GB"/>
              </w:rPr>
            </w:pPr>
            <w:r w:rsidRPr="003611CF">
              <w:rPr>
                <w:rFonts w:ascii="Arial" w:eastAsia="Calibri" w:hAnsi="Arial" w:cs="Arial"/>
                <w:color w:val="000000"/>
                <w:sz w:val="20"/>
                <w:szCs w:val="20"/>
                <w:lang w:val="en-GB"/>
              </w:rPr>
              <w:t>Broj kontrola kod velikih poreskih obveznika VPO</w:t>
            </w:r>
          </w:p>
        </w:tc>
        <w:tc>
          <w:tcPr>
            <w:tcW w:w="851"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96</w:t>
            </w:r>
          </w:p>
        </w:tc>
        <w:tc>
          <w:tcPr>
            <w:tcW w:w="1417"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81%</w:t>
            </w:r>
          </w:p>
        </w:tc>
        <w:tc>
          <w:tcPr>
            <w:tcW w:w="1134"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143</w:t>
            </w:r>
          </w:p>
        </w:tc>
        <w:tc>
          <w:tcPr>
            <w:tcW w:w="1418"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69%</w:t>
            </w:r>
          </w:p>
        </w:tc>
        <w:tc>
          <w:tcPr>
            <w:tcW w:w="2551"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p>
        </w:tc>
      </w:tr>
      <w:tr w:rsidR="003611CF" w:rsidRPr="003611CF" w:rsidTr="003611CF">
        <w:tc>
          <w:tcPr>
            <w:tcW w:w="534" w:type="dxa"/>
            <w:shd w:val="clear" w:color="auto" w:fill="FDE9D9"/>
          </w:tcPr>
          <w:p w:rsidR="003611CF" w:rsidRPr="003611CF" w:rsidRDefault="003611CF" w:rsidP="003611CF">
            <w:pPr>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7.</w:t>
            </w:r>
          </w:p>
        </w:tc>
        <w:tc>
          <w:tcPr>
            <w:tcW w:w="2869" w:type="dxa"/>
            <w:shd w:val="clear" w:color="auto" w:fill="FDE9D9"/>
          </w:tcPr>
          <w:p w:rsidR="003611CF" w:rsidRPr="003611CF" w:rsidRDefault="003611CF" w:rsidP="003611CF">
            <w:pPr>
              <w:spacing w:before="0" w:after="0" w:line="240" w:lineRule="auto"/>
              <w:rPr>
                <w:rFonts w:ascii="Arial" w:eastAsia="Calibri" w:hAnsi="Arial" w:cs="Arial"/>
                <w:color w:val="000000"/>
                <w:sz w:val="20"/>
                <w:szCs w:val="20"/>
                <w:lang w:val="en-GB"/>
              </w:rPr>
            </w:pPr>
            <w:r w:rsidRPr="003611CF">
              <w:rPr>
                <w:rFonts w:ascii="Arial" w:eastAsia="Calibri" w:hAnsi="Arial" w:cs="Arial"/>
                <w:color w:val="000000"/>
                <w:sz w:val="20"/>
                <w:szCs w:val="20"/>
                <w:lang w:val="en-GB"/>
              </w:rPr>
              <w:t>Broj kontrola kod srednjih i malih pores. Obvezn.</w:t>
            </w:r>
          </w:p>
        </w:tc>
        <w:tc>
          <w:tcPr>
            <w:tcW w:w="851"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22</w:t>
            </w:r>
          </w:p>
        </w:tc>
        <w:tc>
          <w:tcPr>
            <w:tcW w:w="1417"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19%</w:t>
            </w:r>
          </w:p>
        </w:tc>
        <w:tc>
          <w:tcPr>
            <w:tcW w:w="1134"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63</w:t>
            </w:r>
          </w:p>
        </w:tc>
        <w:tc>
          <w:tcPr>
            <w:tcW w:w="1418"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31%</w:t>
            </w:r>
          </w:p>
        </w:tc>
        <w:tc>
          <w:tcPr>
            <w:tcW w:w="2551"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Ispoštovana preporuka- znatno smanjen br. Kontrola kod srednjih i malih PO</w:t>
            </w:r>
          </w:p>
        </w:tc>
      </w:tr>
      <w:tr w:rsidR="003611CF" w:rsidRPr="003611CF" w:rsidTr="003611CF">
        <w:tc>
          <w:tcPr>
            <w:tcW w:w="534" w:type="dxa"/>
            <w:shd w:val="clear" w:color="auto" w:fill="FEF4EC"/>
          </w:tcPr>
          <w:p w:rsidR="003611CF" w:rsidRPr="003611CF" w:rsidRDefault="003611CF" w:rsidP="003611CF">
            <w:pPr>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8.</w:t>
            </w:r>
          </w:p>
        </w:tc>
        <w:tc>
          <w:tcPr>
            <w:tcW w:w="2869" w:type="dxa"/>
            <w:shd w:val="clear" w:color="auto" w:fill="FEF4EC"/>
          </w:tcPr>
          <w:p w:rsidR="003611CF" w:rsidRPr="003611CF" w:rsidRDefault="003611CF" w:rsidP="003611CF">
            <w:pPr>
              <w:spacing w:before="0" w:after="0" w:line="240" w:lineRule="auto"/>
              <w:rPr>
                <w:rFonts w:ascii="Arial" w:eastAsia="Calibri" w:hAnsi="Arial" w:cs="Arial"/>
                <w:color w:val="000000"/>
                <w:sz w:val="20"/>
                <w:szCs w:val="20"/>
                <w:lang w:val="en-GB"/>
              </w:rPr>
            </w:pPr>
            <w:r w:rsidRPr="003611CF">
              <w:rPr>
                <w:rFonts w:ascii="Arial" w:eastAsia="Calibri" w:hAnsi="Arial" w:cs="Arial"/>
                <w:color w:val="000000"/>
                <w:sz w:val="20"/>
                <w:szCs w:val="20"/>
                <w:lang w:val="en-GB"/>
              </w:rPr>
              <w:t>Broj kontrola sa utvrđenim  nepravilnostima</w:t>
            </w:r>
          </w:p>
        </w:tc>
        <w:tc>
          <w:tcPr>
            <w:tcW w:w="851"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48</w:t>
            </w:r>
          </w:p>
        </w:tc>
        <w:tc>
          <w:tcPr>
            <w:tcW w:w="1417"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41%</w:t>
            </w:r>
          </w:p>
        </w:tc>
        <w:tc>
          <w:tcPr>
            <w:tcW w:w="1134"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91</w:t>
            </w:r>
          </w:p>
        </w:tc>
        <w:tc>
          <w:tcPr>
            <w:tcW w:w="1418"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44%</w:t>
            </w:r>
          </w:p>
        </w:tc>
        <w:tc>
          <w:tcPr>
            <w:tcW w:w="2551"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p>
        </w:tc>
      </w:tr>
      <w:tr w:rsidR="003611CF" w:rsidRPr="003611CF" w:rsidTr="003611CF">
        <w:tc>
          <w:tcPr>
            <w:tcW w:w="534" w:type="dxa"/>
            <w:shd w:val="clear" w:color="auto" w:fill="FDE9D9"/>
          </w:tcPr>
          <w:p w:rsidR="003611CF" w:rsidRPr="003611CF" w:rsidRDefault="003611CF" w:rsidP="003611CF">
            <w:pPr>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9.</w:t>
            </w:r>
          </w:p>
        </w:tc>
        <w:tc>
          <w:tcPr>
            <w:tcW w:w="2869" w:type="dxa"/>
            <w:shd w:val="clear" w:color="auto" w:fill="FDE9D9"/>
          </w:tcPr>
          <w:p w:rsidR="003611CF" w:rsidRPr="003611CF" w:rsidRDefault="003611CF" w:rsidP="003611CF">
            <w:pPr>
              <w:spacing w:before="0" w:after="0" w:line="240" w:lineRule="auto"/>
              <w:rPr>
                <w:rFonts w:ascii="Arial" w:eastAsia="Calibri" w:hAnsi="Arial" w:cs="Arial"/>
                <w:color w:val="000000"/>
                <w:sz w:val="20"/>
                <w:szCs w:val="20"/>
                <w:lang w:val="en-GB"/>
              </w:rPr>
            </w:pPr>
            <w:r w:rsidRPr="003611CF">
              <w:rPr>
                <w:rFonts w:ascii="Arial" w:eastAsia="Calibri" w:hAnsi="Arial" w:cs="Arial"/>
                <w:color w:val="000000"/>
                <w:sz w:val="20"/>
                <w:szCs w:val="20"/>
                <w:lang w:val="en-GB"/>
              </w:rPr>
              <w:t>Broj kontrola bez nepravilnosti</w:t>
            </w:r>
          </w:p>
        </w:tc>
        <w:tc>
          <w:tcPr>
            <w:tcW w:w="851"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70</w:t>
            </w:r>
          </w:p>
        </w:tc>
        <w:tc>
          <w:tcPr>
            <w:tcW w:w="1417"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59%</w:t>
            </w:r>
          </w:p>
        </w:tc>
        <w:tc>
          <w:tcPr>
            <w:tcW w:w="1134"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115</w:t>
            </w:r>
          </w:p>
        </w:tc>
        <w:tc>
          <w:tcPr>
            <w:tcW w:w="1418"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56%</w:t>
            </w:r>
          </w:p>
        </w:tc>
        <w:tc>
          <w:tcPr>
            <w:tcW w:w="2551"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p>
        </w:tc>
      </w:tr>
      <w:tr w:rsidR="003611CF" w:rsidRPr="003611CF" w:rsidTr="003611CF">
        <w:tc>
          <w:tcPr>
            <w:tcW w:w="534" w:type="dxa"/>
            <w:shd w:val="clear" w:color="auto" w:fill="FEF4EC"/>
          </w:tcPr>
          <w:p w:rsidR="003611CF" w:rsidRPr="003611CF" w:rsidRDefault="003611CF" w:rsidP="003611CF">
            <w:pPr>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10.</w:t>
            </w:r>
          </w:p>
        </w:tc>
        <w:tc>
          <w:tcPr>
            <w:tcW w:w="2869" w:type="dxa"/>
            <w:shd w:val="clear" w:color="auto" w:fill="FEF4EC"/>
          </w:tcPr>
          <w:p w:rsidR="003611CF" w:rsidRPr="003611CF" w:rsidRDefault="003611CF" w:rsidP="003611CF">
            <w:pPr>
              <w:spacing w:before="0" w:after="0" w:line="240" w:lineRule="auto"/>
              <w:rPr>
                <w:rFonts w:ascii="Arial" w:eastAsia="Calibri" w:hAnsi="Arial" w:cs="Arial"/>
                <w:color w:val="000000"/>
                <w:sz w:val="20"/>
                <w:szCs w:val="20"/>
                <w:lang w:val="en-GB"/>
              </w:rPr>
            </w:pPr>
            <w:r w:rsidRPr="003611CF">
              <w:rPr>
                <w:rFonts w:ascii="Arial" w:eastAsia="Calibri" w:hAnsi="Arial" w:cs="Arial"/>
                <w:color w:val="000000"/>
                <w:sz w:val="20"/>
                <w:szCs w:val="20"/>
                <w:lang w:val="en-GB"/>
              </w:rPr>
              <w:t>Ponovni postupci</w:t>
            </w:r>
          </w:p>
        </w:tc>
        <w:tc>
          <w:tcPr>
            <w:tcW w:w="851"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20</w:t>
            </w:r>
          </w:p>
        </w:tc>
        <w:tc>
          <w:tcPr>
            <w:tcW w:w="1417"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p>
        </w:tc>
        <w:tc>
          <w:tcPr>
            <w:tcW w:w="1134"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17</w:t>
            </w:r>
          </w:p>
        </w:tc>
        <w:tc>
          <w:tcPr>
            <w:tcW w:w="1418"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p>
        </w:tc>
        <w:tc>
          <w:tcPr>
            <w:tcW w:w="2551"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p>
        </w:tc>
      </w:tr>
      <w:tr w:rsidR="003611CF" w:rsidRPr="003611CF" w:rsidTr="003611CF">
        <w:tc>
          <w:tcPr>
            <w:tcW w:w="534" w:type="dxa"/>
            <w:shd w:val="clear" w:color="auto" w:fill="FDE9D9"/>
          </w:tcPr>
          <w:p w:rsidR="003611CF" w:rsidRPr="003611CF" w:rsidRDefault="003611CF" w:rsidP="003611CF">
            <w:pPr>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11.</w:t>
            </w:r>
          </w:p>
        </w:tc>
        <w:tc>
          <w:tcPr>
            <w:tcW w:w="2869" w:type="dxa"/>
            <w:shd w:val="clear" w:color="auto" w:fill="FDE9D9"/>
          </w:tcPr>
          <w:p w:rsidR="003611CF" w:rsidRPr="003611CF" w:rsidRDefault="003611CF" w:rsidP="003611CF">
            <w:pPr>
              <w:spacing w:before="0" w:after="0" w:line="240" w:lineRule="auto"/>
              <w:rPr>
                <w:rFonts w:ascii="Arial" w:eastAsia="Calibri" w:hAnsi="Arial" w:cs="Arial"/>
                <w:color w:val="000000"/>
                <w:sz w:val="20"/>
                <w:szCs w:val="20"/>
                <w:lang w:val="en-GB"/>
              </w:rPr>
            </w:pPr>
            <w:r w:rsidRPr="003611CF">
              <w:rPr>
                <w:rFonts w:ascii="Arial" w:eastAsia="Calibri" w:hAnsi="Arial" w:cs="Arial"/>
                <w:color w:val="000000"/>
                <w:sz w:val="20"/>
                <w:szCs w:val="20"/>
                <w:lang w:val="en-GB"/>
              </w:rPr>
              <w:t>Utvrđujuća rješenja</w:t>
            </w:r>
          </w:p>
        </w:tc>
        <w:tc>
          <w:tcPr>
            <w:tcW w:w="851"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20</w:t>
            </w:r>
          </w:p>
        </w:tc>
        <w:tc>
          <w:tcPr>
            <w:tcW w:w="1417"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p>
        </w:tc>
        <w:tc>
          <w:tcPr>
            <w:tcW w:w="1134"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10</w:t>
            </w:r>
          </w:p>
        </w:tc>
        <w:tc>
          <w:tcPr>
            <w:tcW w:w="1418"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p>
        </w:tc>
        <w:tc>
          <w:tcPr>
            <w:tcW w:w="2551"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p>
        </w:tc>
      </w:tr>
      <w:tr w:rsidR="003611CF" w:rsidRPr="003611CF" w:rsidTr="003611CF">
        <w:tc>
          <w:tcPr>
            <w:tcW w:w="534" w:type="dxa"/>
            <w:shd w:val="clear" w:color="auto" w:fill="FEF4EC"/>
          </w:tcPr>
          <w:p w:rsidR="003611CF" w:rsidRPr="003611CF" w:rsidRDefault="003611CF" w:rsidP="003611CF">
            <w:pPr>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12.</w:t>
            </w:r>
          </w:p>
        </w:tc>
        <w:tc>
          <w:tcPr>
            <w:tcW w:w="2869" w:type="dxa"/>
            <w:shd w:val="clear" w:color="auto" w:fill="FEF4EC"/>
          </w:tcPr>
          <w:p w:rsidR="003611CF" w:rsidRPr="003611CF" w:rsidRDefault="003611CF" w:rsidP="003611CF">
            <w:pPr>
              <w:spacing w:before="0" w:after="0" w:line="240" w:lineRule="auto"/>
              <w:rPr>
                <w:rFonts w:ascii="Arial" w:eastAsia="Calibri" w:hAnsi="Arial" w:cs="Arial"/>
                <w:color w:val="000000"/>
                <w:sz w:val="20"/>
                <w:szCs w:val="20"/>
                <w:lang w:val="en-GB"/>
              </w:rPr>
            </w:pPr>
            <w:r w:rsidRPr="003611CF">
              <w:rPr>
                <w:rFonts w:ascii="Arial" w:eastAsia="Calibri" w:hAnsi="Arial" w:cs="Arial"/>
                <w:color w:val="000000"/>
                <w:sz w:val="20"/>
                <w:szCs w:val="20"/>
                <w:lang w:val="en-GB"/>
              </w:rPr>
              <w:t>Naređujuće rješenje</w:t>
            </w:r>
          </w:p>
        </w:tc>
        <w:tc>
          <w:tcPr>
            <w:tcW w:w="851"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3</w:t>
            </w:r>
          </w:p>
        </w:tc>
        <w:tc>
          <w:tcPr>
            <w:tcW w:w="1417"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p>
        </w:tc>
        <w:tc>
          <w:tcPr>
            <w:tcW w:w="1134"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2</w:t>
            </w:r>
          </w:p>
        </w:tc>
        <w:tc>
          <w:tcPr>
            <w:tcW w:w="1418"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p>
        </w:tc>
        <w:tc>
          <w:tcPr>
            <w:tcW w:w="2551"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p>
        </w:tc>
      </w:tr>
      <w:tr w:rsidR="003611CF" w:rsidRPr="003611CF" w:rsidTr="003611CF">
        <w:tc>
          <w:tcPr>
            <w:tcW w:w="534" w:type="dxa"/>
            <w:shd w:val="clear" w:color="auto" w:fill="FDE9D9"/>
          </w:tcPr>
          <w:p w:rsidR="003611CF" w:rsidRPr="003611CF" w:rsidRDefault="003611CF" w:rsidP="003611CF">
            <w:pPr>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13.</w:t>
            </w:r>
          </w:p>
        </w:tc>
        <w:tc>
          <w:tcPr>
            <w:tcW w:w="2869" w:type="dxa"/>
            <w:shd w:val="clear" w:color="auto" w:fill="FDE9D9"/>
          </w:tcPr>
          <w:p w:rsidR="003611CF" w:rsidRPr="003611CF" w:rsidRDefault="003611CF" w:rsidP="003611CF">
            <w:pPr>
              <w:spacing w:before="0" w:after="0" w:line="240" w:lineRule="auto"/>
              <w:rPr>
                <w:rFonts w:ascii="Arial" w:eastAsia="Calibri" w:hAnsi="Arial" w:cs="Arial"/>
                <w:color w:val="000000"/>
                <w:sz w:val="20"/>
                <w:szCs w:val="20"/>
                <w:lang w:val="en-GB"/>
              </w:rPr>
            </w:pPr>
            <w:r w:rsidRPr="003611CF">
              <w:rPr>
                <w:rFonts w:ascii="Arial" w:eastAsia="Calibri" w:hAnsi="Arial" w:cs="Arial"/>
                <w:color w:val="000000"/>
                <w:sz w:val="20"/>
                <w:szCs w:val="20"/>
                <w:lang w:val="en-GB"/>
              </w:rPr>
              <w:t>Blokada</w:t>
            </w:r>
          </w:p>
        </w:tc>
        <w:tc>
          <w:tcPr>
            <w:tcW w:w="851"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0</w:t>
            </w:r>
          </w:p>
        </w:tc>
        <w:tc>
          <w:tcPr>
            <w:tcW w:w="1417"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p>
        </w:tc>
        <w:tc>
          <w:tcPr>
            <w:tcW w:w="1134"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0</w:t>
            </w:r>
          </w:p>
        </w:tc>
        <w:tc>
          <w:tcPr>
            <w:tcW w:w="1418"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p>
        </w:tc>
        <w:tc>
          <w:tcPr>
            <w:tcW w:w="2551"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p>
        </w:tc>
      </w:tr>
      <w:tr w:rsidR="003611CF" w:rsidRPr="003611CF" w:rsidTr="003611CF">
        <w:tc>
          <w:tcPr>
            <w:tcW w:w="534" w:type="dxa"/>
            <w:shd w:val="clear" w:color="auto" w:fill="FEF4EC"/>
          </w:tcPr>
          <w:p w:rsidR="003611CF" w:rsidRPr="003611CF" w:rsidRDefault="003611CF" w:rsidP="003611CF">
            <w:pPr>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14.</w:t>
            </w:r>
          </w:p>
        </w:tc>
        <w:tc>
          <w:tcPr>
            <w:tcW w:w="2869" w:type="dxa"/>
            <w:shd w:val="clear" w:color="auto" w:fill="FEF4EC"/>
          </w:tcPr>
          <w:p w:rsidR="003611CF" w:rsidRPr="003611CF" w:rsidRDefault="003611CF" w:rsidP="003611CF">
            <w:pPr>
              <w:spacing w:before="0" w:after="0" w:line="240" w:lineRule="auto"/>
              <w:rPr>
                <w:rFonts w:ascii="Arial" w:eastAsia="Calibri" w:hAnsi="Arial" w:cs="Arial"/>
                <w:color w:val="000000"/>
                <w:sz w:val="20"/>
                <w:szCs w:val="20"/>
                <w:lang w:val="en-GB"/>
              </w:rPr>
            </w:pPr>
            <w:r w:rsidRPr="003611CF">
              <w:rPr>
                <w:rFonts w:ascii="Arial" w:eastAsia="Calibri" w:hAnsi="Arial" w:cs="Arial"/>
                <w:color w:val="000000"/>
                <w:sz w:val="20"/>
                <w:szCs w:val="20"/>
                <w:lang w:val="en-GB"/>
              </w:rPr>
              <w:t>Žalbe</w:t>
            </w:r>
          </w:p>
        </w:tc>
        <w:tc>
          <w:tcPr>
            <w:tcW w:w="851"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0</w:t>
            </w:r>
          </w:p>
        </w:tc>
        <w:tc>
          <w:tcPr>
            <w:tcW w:w="1417"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p>
        </w:tc>
        <w:tc>
          <w:tcPr>
            <w:tcW w:w="1134"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2</w:t>
            </w:r>
          </w:p>
        </w:tc>
        <w:tc>
          <w:tcPr>
            <w:tcW w:w="1418"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p>
        </w:tc>
        <w:tc>
          <w:tcPr>
            <w:tcW w:w="2551"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p>
        </w:tc>
      </w:tr>
      <w:tr w:rsidR="003611CF" w:rsidRPr="003611CF" w:rsidTr="003611CF">
        <w:tc>
          <w:tcPr>
            <w:tcW w:w="534" w:type="dxa"/>
            <w:shd w:val="clear" w:color="auto" w:fill="FDE9D9"/>
          </w:tcPr>
          <w:p w:rsidR="003611CF" w:rsidRPr="003611CF" w:rsidRDefault="003611CF" w:rsidP="003611CF">
            <w:pPr>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15.</w:t>
            </w:r>
          </w:p>
        </w:tc>
        <w:tc>
          <w:tcPr>
            <w:tcW w:w="2869" w:type="dxa"/>
            <w:shd w:val="clear" w:color="auto" w:fill="FDE9D9"/>
          </w:tcPr>
          <w:p w:rsidR="003611CF" w:rsidRPr="003611CF" w:rsidRDefault="003611CF" w:rsidP="003611CF">
            <w:pPr>
              <w:spacing w:before="0" w:after="0" w:line="240" w:lineRule="auto"/>
              <w:rPr>
                <w:rFonts w:ascii="Arial" w:eastAsia="Calibri" w:hAnsi="Arial" w:cs="Arial"/>
                <w:color w:val="000000"/>
                <w:sz w:val="20"/>
                <w:szCs w:val="20"/>
                <w:lang w:val="en-GB"/>
              </w:rPr>
            </w:pPr>
            <w:r w:rsidRPr="003611CF">
              <w:rPr>
                <w:rFonts w:ascii="Arial" w:eastAsia="Calibri" w:hAnsi="Arial" w:cs="Arial"/>
                <w:color w:val="000000"/>
                <w:sz w:val="20"/>
                <w:szCs w:val="20"/>
                <w:lang w:val="en-GB"/>
              </w:rPr>
              <w:t>Kontrole u toku</w:t>
            </w:r>
          </w:p>
        </w:tc>
        <w:tc>
          <w:tcPr>
            <w:tcW w:w="851"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15</w:t>
            </w:r>
          </w:p>
        </w:tc>
        <w:tc>
          <w:tcPr>
            <w:tcW w:w="1417"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p>
        </w:tc>
        <w:tc>
          <w:tcPr>
            <w:tcW w:w="1134"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28</w:t>
            </w:r>
          </w:p>
        </w:tc>
        <w:tc>
          <w:tcPr>
            <w:tcW w:w="1418"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p>
        </w:tc>
        <w:tc>
          <w:tcPr>
            <w:tcW w:w="2551"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en-GB"/>
              </w:rPr>
            </w:pPr>
          </w:p>
        </w:tc>
      </w:tr>
      <w:tr w:rsidR="003611CF" w:rsidRPr="003611CF" w:rsidTr="003611CF">
        <w:tc>
          <w:tcPr>
            <w:tcW w:w="534" w:type="dxa"/>
            <w:shd w:val="clear" w:color="auto" w:fill="FEF4EC"/>
          </w:tcPr>
          <w:p w:rsidR="003611CF" w:rsidRPr="003611CF" w:rsidRDefault="003611CF" w:rsidP="003611CF">
            <w:pPr>
              <w:spacing w:before="0" w:after="0" w:line="240" w:lineRule="auto"/>
              <w:jc w:val="center"/>
              <w:rPr>
                <w:rFonts w:ascii="Arial" w:eastAsia="Calibri" w:hAnsi="Arial" w:cs="Arial"/>
                <w:bCs/>
                <w:color w:val="000000"/>
                <w:sz w:val="20"/>
                <w:szCs w:val="20"/>
                <w:lang w:val="en-GB"/>
              </w:rPr>
            </w:pPr>
            <w:r w:rsidRPr="003611CF">
              <w:rPr>
                <w:rFonts w:ascii="Arial" w:eastAsia="Calibri" w:hAnsi="Arial" w:cs="Arial"/>
                <w:bCs/>
                <w:color w:val="000000"/>
                <w:sz w:val="20"/>
                <w:szCs w:val="20"/>
                <w:lang w:val="en-GB"/>
              </w:rPr>
              <w:t>16.</w:t>
            </w:r>
          </w:p>
        </w:tc>
        <w:tc>
          <w:tcPr>
            <w:tcW w:w="2869" w:type="dxa"/>
            <w:shd w:val="clear" w:color="auto" w:fill="FEF4EC"/>
          </w:tcPr>
          <w:p w:rsidR="003611CF" w:rsidRPr="003611CF" w:rsidRDefault="003611CF" w:rsidP="003611CF">
            <w:pPr>
              <w:spacing w:before="0" w:after="0" w:line="240" w:lineRule="auto"/>
              <w:rPr>
                <w:rFonts w:ascii="Arial" w:eastAsia="Calibri" w:hAnsi="Arial" w:cs="Arial"/>
                <w:color w:val="000000"/>
                <w:sz w:val="20"/>
                <w:szCs w:val="20"/>
                <w:lang w:val="en-GB"/>
              </w:rPr>
            </w:pPr>
            <w:r w:rsidRPr="003611CF">
              <w:rPr>
                <w:rFonts w:ascii="Arial" w:eastAsia="Calibri" w:hAnsi="Arial" w:cs="Arial"/>
                <w:color w:val="000000"/>
                <w:sz w:val="20"/>
                <w:szCs w:val="20"/>
                <w:lang w:val="en-GB"/>
              </w:rPr>
              <w:t>Broj predmeta na zalihama</w:t>
            </w:r>
          </w:p>
        </w:tc>
        <w:tc>
          <w:tcPr>
            <w:tcW w:w="851"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24</w:t>
            </w:r>
          </w:p>
        </w:tc>
        <w:tc>
          <w:tcPr>
            <w:tcW w:w="1417"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p>
        </w:tc>
        <w:tc>
          <w:tcPr>
            <w:tcW w:w="1134"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r w:rsidRPr="003611CF">
              <w:rPr>
                <w:rFonts w:ascii="Arial" w:eastAsia="Calibri" w:hAnsi="Arial" w:cs="Arial"/>
                <w:color w:val="000000"/>
                <w:sz w:val="20"/>
                <w:szCs w:val="20"/>
                <w:lang w:val="en-GB"/>
              </w:rPr>
              <w:t>29</w:t>
            </w:r>
          </w:p>
        </w:tc>
        <w:tc>
          <w:tcPr>
            <w:tcW w:w="1418"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p>
        </w:tc>
        <w:tc>
          <w:tcPr>
            <w:tcW w:w="2551"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en-GB"/>
              </w:rPr>
            </w:pPr>
          </w:p>
        </w:tc>
      </w:tr>
    </w:tbl>
    <w:p w:rsidR="003611CF" w:rsidRPr="003611CF" w:rsidRDefault="003611CF" w:rsidP="003611CF">
      <w:pPr>
        <w:spacing w:before="0" w:after="0" w:line="240" w:lineRule="auto"/>
        <w:ind w:left="360"/>
        <w:rPr>
          <w:rFonts w:ascii="Arial" w:eastAsia="Times New Roman" w:hAnsi="Arial" w:cs="Arial"/>
          <w:b/>
          <w:sz w:val="22"/>
          <w:lang w:val="hr-HR" w:eastAsia="hr-HR"/>
        </w:rPr>
      </w:pPr>
    </w:p>
    <w:p w:rsidR="003611CF" w:rsidRPr="003611CF" w:rsidRDefault="003611CF" w:rsidP="00CB5BEE">
      <w:pPr>
        <w:spacing w:before="0" w:after="0" w:line="240" w:lineRule="auto"/>
        <w:ind w:left="360"/>
        <w:jc w:val="center"/>
        <w:rPr>
          <w:rFonts w:ascii="Arial" w:eastAsia="Times New Roman" w:hAnsi="Arial" w:cs="Arial"/>
          <w:sz w:val="20"/>
          <w:lang w:val="hr-HR" w:eastAsia="hr-HR"/>
        </w:rPr>
      </w:pPr>
      <w:r w:rsidRPr="003611CF">
        <w:rPr>
          <w:rFonts w:ascii="Arial" w:eastAsia="Times New Roman" w:hAnsi="Arial" w:cs="Arial"/>
          <w:sz w:val="20"/>
          <w:lang w:val="hr-HR" w:eastAsia="hr-HR"/>
        </w:rPr>
        <w:t>KOR</w:t>
      </w:r>
      <w:r w:rsidR="00CB5BEE">
        <w:rPr>
          <w:rFonts w:ascii="Arial" w:eastAsia="Times New Roman" w:hAnsi="Arial" w:cs="Arial"/>
          <w:sz w:val="20"/>
          <w:lang w:val="hr-HR" w:eastAsia="hr-HR"/>
        </w:rPr>
        <w:t>EKCIJE IZ INSPEKCIJSKOG NADZORA</w:t>
      </w:r>
    </w:p>
    <w:tbl>
      <w:tblPr>
        <w:tblW w:w="10774" w:type="dxa"/>
        <w:tblInd w:w="-318" w:type="dxa"/>
        <w:tblLook w:val="04A0" w:firstRow="1" w:lastRow="0" w:firstColumn="1" w:lastColumn="0" w:noHBand="0" w:noVBand="1"/>
      </w:tblPr>
      <w:tblGrid>
        <w:gridCol w:w="594"/>
        <w:gridCol w:w="1533"/>
        <w:gridCol w:w="1276"/>
        <w:gridCol w:w="1559"/>
        <w:gridCol w:w="1276"/>
        <w:gridCol w:w="1559"/>
        <w:gridCol w:w="2977"/>
      </w:tblGrid>
      <w:tr w:rsidR="003611CF" w:rsidRPr="003611CF" w:rsidTr="003611CF">
        <w:tc>
          <w:tcPr>
            <w:tcW w:w="594" w:type="dxa"/>
            <w:tcBorders>
              <w:bottom w:val="single" w:sz="12" w:space="0" w:color="FFFFFF"/>
            </w:tcBorders>
            <w:shd w:val="clear" w:color="auto" w:fill="348DA5"/>
            <w:vAlign w:val="center"/>
          </w:tcPr>
          <w:p w:rsidR="003611CF" w:rsidRPr="003611CF" w:rsidRDefault="003611CF" w:rsidP="003611CF">
            <w:pPr>
              <w:spacing w:before="0" w:after="0" w:line="240" w:lineRule="auto"/>
              <w:jc w:val="center"/>
              <w:rPr>
                <w:rFonts w:ascii="Arial" w:eastAsia="Calibri" w:hAnsi="Arial" w:cs="Arial"/>
                <w:b/>
                <w:bCs/>
                <w:color w:val="FFFFFF"/>
                <w:sz w:val="20"/>
                <w:szCs w:val="20"/>
                <w:lang w:val="hr-HR" w:eastAsia="hr-HR"/>
              </w:rPr>
            </w:pPr>
            <w:r w:rsidRPr="003611CF">
              <w:rPr>
                <w:rFonts w:ascii="Arial" w:eastAsia="Calibri" w:hAnsi="Arial" w:cs="Arial"/>
                <w:b/>
                <w:bCs/>
                <w:color w:val="FFFFFF"/>
                <w:sz w:val="20"/>
                <w:szCs w:val="20"/>
                <w:lang w:val="hr-HR" w:eastAsia="hr-HR"/>
              </w:rPr>
              <w:t>R.b.</w:t>
            </w:r>
          </w:p>
        </w:tc>
        <w:tc>
          <w:tcPr>
            <w:tcW w:w="1533" w:type="dxa"/>
            <w:tcBorders>
              <w:bottom w:val="single" w:sz="12" w:space="0" w:color="FFFFFF"/>
            </w:tcBorders>
            <w:shd w:val="clear" w:color="auto" w:fill="348DA5"/>
            <w:vAlign w:val="center"/>
          </w:tcPr>
          <w:p w:rsidR="003611CF" w:rsidRPr="003611CF" w:rsidRDefault="003611CF" w:rsidP="003611CF">
            <w:pPr>
              <w:spacing w:before="0" w:after="0" w:line="240" w:lineRule="auto"/>
              <w:jc w:val="center"/>
              <w:rPr>
                <w:rFonts w:ascii="Arial" w:eastAsia="Calibri" w:hAnsi="Arial" w:cs="Arial"/>
                <w:b/>
                <w:bCs/>
                <w:color w:val="FFFFFF"/>
                <w:sz w:val="20"/>
                <w:szCs w:val="20"/>
                <w:lang w:val="hr-HR" w:eastAsia="hr-HR"/>
              </w:rPr>
            </w:pPr>
            <w:r w:rsidRPr="003611CF">
              <w:rPr>
                <w:rFonts w:ascii="Arial" w:eastAsia="Calibri" w:hAnsi="Arial" w:cs="Arial"/>
                <w:b/>
                <w:bCs/>
                <w:color w:val="FFFFFF"/>
                <w:sz w:val="20"/>
                <w:szCs w:val="20"/>
                <w:lang w:val="hr-HR" w:eastAsia="hr-HR"/>
              </w:rPr>
              <w:t>Vrsta poreza</w:t>
            </w:r>
          </w:p>
        </w:tc>
        <w:tc>
          <w:tcPr>
            <w:tcW w:w="1276" w:type="dxa"/>
            <w:tcBorders>
              <w:bottom w:val="single" w:sz="12" w:space="0" w:color="FFFFFF"/>
            </w:tcBorders>
            <w:shd w:val="clear" w:color="auto" w:fill="348DA5"/>
            <w:vAlign w:val="center"/>
          </w:tcPr>
          <w:p w:rsidR="003611CF" w:rsidRPr="003611CF" w:rsidRDefault="003611CF" w:rsidP="003611CF">
            <w:pPr>
              <w:spacing w:before="0" w:after="0" w:line="240" w:lineRule="auto"/>
              <w:jc w:val="center"/>
              <w:rPr>
                <w:rFonts w:ascii="Arial" w:eastAsia="Calibri" w:hAnsi="Arial" w:cs="Arial"/>
                <w:b/>
                <w:bCs/>
                <w:color w:val="FFFFFF"/>
                <w:sz w:val="20"/>
                <w:szCs w:val="20"/>
                <w:lang w:val="en-GB"/>
              </w:rPr>
            </w:pPr>
            <w:r w:rsidRPr="003611CF">
              <w:rPr>
                <w:rFonts w:ascii="Arial" w:eastAsia="Calibri" w:hAnsi="Arial" w:cs="Arial"/>
                <w:b/>
                <w:bCs/>
                <w:color w:val="FFFFFF"/>
                <w:sz w:val="20"/>
                <w:szCs w:val="20"/>
                <w:lang w:val="en-GB"/>
              </w:rPr>
              <w:t>Iznos korekcije u 2020.</w:t>
            </w:r>
          </w:p>
        </w:tc>
        <w:tc>
          <w:tcPr>
            <w:tcW w:w="1559" w:type="dxa"/>
            <w:tcBorders>
              <w:bottom w:val="single" w:sz="12" w:space="0" w:color="FFFFFF"/>
            </w:tcBorders>
            <w:shd w:val="clear" w:color="auto" w:fill="348DA5"/>
            <w:vAlign w:val="center"/>
          </w:tcPr>
          <w:p w:rsidR="003611CF" w:rsidRPr="003611CF" w:rsidRDefault="003611CF" w:rsidP="003611CF">
            <w:pPr>
              <w:spacing w:before="0" w:after="0" w:line="240" w:lineRule="auto"/>
              <w:jc w:val="center"/>
              <w:rPr>
                <w:rFonts w:ascii="Arial" w:eastAsia="Calibri" w:hAnsi="Arial" w:cs="Arial"/>
                <w:b/>
                <w:bCs/>
                <w:color w:val="FFFFFF"/>
                <w:sz w:val="20"/>
                <w:szCs w:val="20"/>
                <w:lang w:val="en-GB"/>
              </w:rPr>
            </w:pPr>
            <w:r w:rsidRPr="003611CF">
              <w:rPr>
                <w:rFonts w:ascii="Arial" w:eastAsia="Calibri" w:hAnsi="Arial" w:cs="Arial"/>
                <w:b/>
                <w:bCs/>
                <w:color w:val="FFFFFF"/>
                <w:sz w:val="20"/>
                <w:szCs w:val="20"/>
                <w:lang w:val="en-GB"/>
              </w:rPr>
              <w:t>% u odnosu na ukupne korekcije</w:t>
            </w:r>
          </w:p>
        </w:tc>
        <w:tc>
          <w:tcPr>
            <w:tcW w:w="1276" w:type="dxa"/>
            <w:tcBorders>
              <w:bottom w:val="single" w:sz="12" w:space="0" w:color="FFFFFF"/>
            </w:tcBorders>
            <w:shd w:val="clear" w:color="auto" w:fill="348DA5"/>
            <w:vAlign w:val="center"/>
          </w:tcPr>
          <w:p w:rsidR="003611CF" w:rsidRPr="003611CF" w:rsidRDefault="003611CF" w:rsidP="003611CF">
            <w:pPr>
              <w:spacing w:before="0" w:after="0" w:line="240" w:lineRule="auto"/>
              <w:jc w:val="center"/>
              <w:rPr>
                <w:rFonts w:ascii="Arial" w:eastAsia="Calibri" w:hAnsi="Arial" w:cs="Arial"/>
                <w:b/>
                <w:bCs/>
                <w:color w:val="FFFFFF"/>
                <w:sz w:val="20"/>
                <w:szCs w:val="20"/>
                <w:lang w:val="hr-HR" w:eastAsia="hr-HR"/>
              </w:rPr>
            </w:pPr>
            <w:r w:rsidRPr="003611CF">
              <w:rPr>
                <w:rFonts w:ascii="Arial" w:eastAsia="Calibri" w:hAnsi="Arial" w:cs="Arial"/>
                <w:b/>
                <w:bCs/>
                <w:color w:val="FFFFFF"/>
                <w:sz w:val="20"/>
                <w:szCs w:val="20"/>
                <w:lang w:val="hr-HR" w:eastAsia="hr-HR"/>
              </w:rPr>
              <w:t>Iznos korekcije u 2019.</w:t>
            </w:r>
          </w:p>
        </w:tc>
        <w:tc>
          <w:tcPr>
            <w:tcW w:w="1559" w:type="dxa"/>
            <w:tcBorders>
              <w:bottom w:val="single" w:sz="12" w:space="0" w:color="FFFFFF"/>
            </w:tcBorders>
            <w:shd w:val="clear" w:color="auto" w:fill="348DA5"/>
            <w:vAlign w:val="center"/>
          </w:tcPr>
          <w:p w:rsidR="003611CF" w:rsidRPr="003611CF" w:rsidRDefault="003611CF" w:rsidP="003611CF">
            <w:pPr>
              <w:spacing w:before="0" w:after="0" w:line="240" w:lineRule="auto"/>
              <w:jc w:val="center"/>
              <w:rPr>
                <w:rFonts w:ascii="Arial" w:eastAsia="Calibri" w:hAnsi="Arial" w:cs="Arial"/>
                <w:b/>
                <w:bCs/>
                <w:color w:val="FFFFFF"/>
                <w:sz w:val="20"/>
                <w:szCs w:val="20"/>
                <w:lang w:val="hr-HR" w:eastAsia="hr-HR"/>
              </w:rPr>
            </w:pPr>
            <w:r w:rsidRPr="003611CF">
              <w:rPr>
                <w:rFonts w:ascii="Arial" w:eastAsia="Calibri" w:hAnsi="Arial" w:cs="Arial"/>
                <w:b/>
                <w:bCs/>
                <w:color w:val="FFFFFF"/>
                <w:sz w:val="20"/>
                <w:szCs w:val="20"/>
                <w:lang w:val="hr-HR" w:eastAsia="hr-HR"/>
              </w:rPr>
              <w:t>% u odnosu na ukupne korekcije</w:t>
            </w:r>
          </w:p>
        </w:tc>
        <w:tc>
          <w:tcPr>
            <w:tcW w:w="2977" w:type="dxa"/>
            <w:tcBorders>
              <w:bottom w:val="single" w:sz="12" w:space="0" w:color="FFFFFF"/>
            </w:tcBorders>
            <w:shd w:val="clear" w:color="auto" w:fill="348DA5"/>
            <w:vAlign w:val="center"/>
          </w:tcPr>
          <w:p w:rsidR="003611CF" w:rsidRPr="003611CF" w:rsidRDefault="003611CF" w:rsidP="003611CF">
            <w:pPr>
              <w:spacing w:before="0" w:after="0" w:line="240" w:lineRule="auto"/>
              <w:jc w:val="center"/>
              <w:rPr>
                <w:rFonts w:ascii="Arial" w:eastAsia="Calibri" w:hAnsi="Arial" w:cs="Arial"/>
                <w:b/>
                <w:bCs/>
                <w:color w:val="FFFFFF"/>
                <w:sz w:val="20"/>
                <w:szCs w:val="20"/>
                <w:lang w:val="hr-HR" w:eastAsia="hr-HR"/>
              </w:rPr>
            </w:pPr>
            <w:r w:rsidRPr="003611CF">
              <w:rPr>
                <w:rFonts w:ascii="Arial" w:eastAsia="Calibri" w:hAnsi="Arial" w:cs="Arial"/>
                <w:b/>
                <w:bCs/>
                <w:color w:val="FFFFFF"/>
                <w:sz w:val="20"/>
                <w:szCs w:val="20"/>
                <w:lang w:val="hr-HR" w:eastAsia="hr-HR"/>
              </w:rPr>
              <w:t>Napomena</w:t>
            </w:r>
          </w:p>
          <w:p w:rsidR="003611CF" w:rsidRPr="003611CF" w:rsidRDefault="003611CF" w:rsidP="003611CF">
            <w:pPr>
              <w:spacing w:before="0" w:after="0" w:line="240" w:lineRule="auto"/>
              <w:jc w:val="center"/>
              <w:rPr>
                <w:rFonts w:ascii="Arial" w:eastAsia="Calibri" w:hAnsi="Arial" w:cs="Arial"/>
                <w:b/>
                <w:bCs/>
                <w:color w:val="FFFFFF"/>
                <w:sz w:val="20"/>
                <w:szCs w:val="20"/>
                <w:lang w:val="hr-HR" w:eastAsia="hr-HR"/>
              </w:rPr>
            </w:pPr>
          </w:p>
        </w:tc>
      </w:tr>
      <w:tr w:rsidR="003611CF" w:rsidRPr="003611CF" w:rsidTr="003611CF">
        <w:tc>
          <w:tcPr>
            <w:tcW w:w="594" w:type="dxa"/>
            <w:shd w:val="clear" w:color="auto" w:fill="FDE9D9"/>
          </w:tcPr>
          <w:p w:rsidR="003611CF" w:rsidRPr="003611CF" w:rsidRDefault="003611CF" w:rsidP="003611CF">
            <w:pPr>
              <w:spacing w:before="0" w:after="0" w:line="240" w:lineRule="auto"/>
              <w:jc w:val="center"/>
              <w:rPr>
                <w:rFonts w:ascii="Arial" w:eastAsia="Calibri" w:hAnsi="Arial" w:cs="Arial"/>
                <w:bCs/>
                <w:color w:val="000000"/>
                <w:sz w:val="20"/>
                <w:szCs w:val="20"/>
                <w:lang w:val="hr-HR" w:eastAsia="hr-HR"/>
              </w:rPr>
            </w:pPr>
            <w:r w:rsidRPr="003611CF">
              <w:rPr>
                <w:rFonts w:ascii="Arial" w:eastAsia="Calibri" w:hAnsi="Arial" w:cs="Arial"/>
                <w:bCs/>
                <w:color w:val="000000"/>
                <w:sz w:val="20"/>
                <w:szCs w:val="20"/>
                <w:lang w:val="hr-HR" w:eastAsia="hr-HR"/>
              </w:rPr>
              <w:t>1.</w:t>
            </w:r>
          </w:p>
        </w:tc>
        <w:tc>
          <w:tcPr>
            <w:tcW w:w="1533" w:type="dxa"/>
            <w:shd w:val="clear" w:color="auto" w:fill="FDE9D9"/>
          </w:tcPr>
          <w:p w:rsidR="003611CF" w:rsidRPr="003611CF" w:rsidRDefault="003611CF" w:rsidP="003611CF">
            <w:pPr>
              <w:spacing w:before="0" w:after="0" w:line="240" w:lineRule="auto"/>
              <w:jc w:val="left"/>
              <w:rPr>
                <w:rFonts w:ascii="Arial" w:eastAsia="Calibri" w:hAnsi="Arial" w:cs="Arial"/>
                <w:color w:val="000000"/>
                <w:sz w:val="20"/>
                <w:szCs w:val="20"/>
                <w:lang w:val="hr-HR" w:eastAsia="hr-HR"/>
              </w:rPr>
            </w:pPr>
            <w:r w:rsidRPr="003611CF">
              <w:rPr>
                <w:rFonts w:ascii="Arial" w:eastAsia="Calibri" w:hAnsi="Arial" w:cs="Arial"/>
                <w:color w:val="000000"/>
                <w:sz w:val="20"/>
                <w:szCs w:val="20"/>
                <w:lang w:val="hr-HR" w:eastAsia="hr-HR"/>
              </w:rPr>
              <w:t>PDV</w:t>
            </w:r>
          </w:p>
        </w:tc>
        <w:tc>
          <w:tcPr>
            <w:tcW w:w="1276"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hr-HR" w:eastAsia="hr-HR"/>
              </w:rPr>
            </w:pPr>
            <w:r w:rsidRPr="003611CF">
              <w:rPr>
                <w:rFonts w:ascii="Arial" w:eastAsia="Calibri" w:hAnsi="Arial" w:cs="Arial"/>
                <w:color w:val="000000"/>
                <w:sz w:val="20"/>
                <w:szCs w:val="20"/>
                <w:lang w:val="hr-HR" w:eastAsia="hr-HR"/>
              </w:rPr>
              <w:t>4.787.491</w:t>
            </w:r>
          </w:p>
        </w:tc>
        <w:tc>
          <w:tcPr>
            <w:tcW w:w="1559"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hr-HR" w:eastAsia="hr-HR"/>
              </w:rPr>
            </w:pPr>
            <w:r w:rsidRPr="003611CF">
              <w:rPr>
                <w:rFonts w:ascii="Arial" w:eastAsia="Calibri" w:hAnsi="Arial" w:cs="Arial"/>
                <w:color w:val="000000"/>
                <w:sz w:val="20"/>
                <w:szCs w:val="20"/>
                <w:lang w:val="hr-HR" w:eastAsia="hr-HR"/>
              </w:rPr>
              <w:t>43%</w:t>
            </w:r>
          </w:p>
        </w:tc>
        <w:tc>
          <w:tcPr>
            <w:tcW w:w="1276"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hr-HR" w:eastAsia="hr-HR"/>
              </w:rPr>
            </w:pPr>
            <w:r w:rsidRPr="003611CF">
              <w:rPr>
                <w:rFonts w:ascii="Arial" w:eastAsia="Calibri" w:hAnsi="Arial" w:cs="Arial"/>
                <w:color w:val="000000"/>
                <w:sz w:val="20"/>
                <w:szCs w:val="20"/>
                <w:lang w:val="hr-HR" w:eastAsia="hr-HR"/>
              </w:rPr>
              <w:t>3.176.705</w:t>
            </w:r>
          </w:p>
        </w:tc>
        <w:tc>
          <w:tcPr>
            <w:tcW w:w="1559"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hr-HR" w:eastAsia="hr-HR"/>
              </w:rPr>
            </w:pPr>
            <w:r w:rsidRPr="003611CF">
              <w:rPr>
                <w:rFonts w:ascii="Arial" w:eastAsia="Calibri" w:hAnsi="Arial" w:cs="Arial"/>
                <w:color w:val="000000"/>
                <w:sz w:val="20"/>
                <w:szCs w:val="20"/>
                <w:lang w:val="hr-HR" w:eastAsia="hr-HR"/>
              </w:rPr>
              <w:t>31%</w:t>
            </w:r>
          </w:p>
        </w:tc>
        <w:tc>
          <w:tcPr>
            <w:tcW w:w="2977"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hr-HR" w:eastAsia="hr-HR"/>
              </w:rPr>
            </w:pPr>
          </w:p>
        </w:tc>
      </w:tr>
      <w:tr w:rsidR="003611CF" w:rsidRPr="003611CF" w:rsidTr="003611CF">
        <w:tc>
          <w:tcPr>
            <w:tcW w:w="594" w:type="dxa"/>
            <w:shd w:val="clear" w:color="auto" w:fill="FEF4EC"/>
          </w:tcPr>
          <w:p w:rsidR="003611CF" w:rsidRPr="003611CF" w:rsidRDefault="003611CF" w:rsidP="003611CF">
            <w:pPr>
              <w:spacing w:before="0" w:after="0" w:line="240" w:lineRule="auto"/>
              <w:jc w:val="center"/>
              <w:rPr>
                <w:rFonts w:ascii="Arial" w:eastAsia="Calibri" w:hAnsi="Arial" w:cs="Arial"/>
                <w:bCs/>
                <w:color w:val="000000"/>
                <w:sz w:val="20"/>
                <w:szCs w:val="20"/>
                <w:lang w:val="hr-HR" w:eastAsia="hr-HR"/>
              </w:rPr>
            </w:pPr>
            <w:r w:rsidRPr="003611CF">
              <w:rPr>
                <w:rFonts w:ascii="Arial" w:eastAsia="Calibri" w:hAnsi="Arial" w:cs="Arial"/>
                <w:bCs/>
                <w:color w:val="000000"/>
                <w:sz w:val="20"/>
                <w:szCs w:val="20"/>
                <w:lang w:val="hr-HR" w:eastAsia="hr-HR"/>
              </w:rPr>
              <w:t>2.</w:t>
            </w:r>
          </w:p>
        </w:tc>
        <w:tc>
          <w:tcPr>
            <w:tcW w:w="1533" w:type="dxa"/>
            <w:shd w:val="clear" w:color="auto" w:fill="FEF4EC"/>
          </w:tcPr>
          <w:p w:rsidR="003611CF" w:rsidRPr="003611CF" w:rsidRDefault="003611CF" w:rsidP="003611CF">
            <w:pPr>
              <w:spacing w:before="0" w:after="0" w:line="240" w:lineRule="auto"/>
              <w:jc w:val="left"/>
              <w:rPr>
                <w:rFonts w:ascii="Arial" w:eastAsia="Calibri" w:hAnsi="Arial" w:cs="Arial"/>
                <w:color w:val="000000"/>
                <w:sz w:val="20"/>
                <w:szCs w:val="20"/>
                <w:lang w:val="hr-HR" w:eastAsia="hr-HR"/>
              </w:rPr>
            </w:pPr>
            <w:r w:rsidRPr="003611CF">
              <w:rPr>
                <w:rFonts w:ascii="Arial" w:eastAsia="Calibri" w:hAnsi="Arial" w:cs="Arial"/>
                <w:color w:val="000000"/>
                <w:sz w:val="20"/>
                <w:szCs w:val="20"/>
                <w:lang w:val="hr-HR" w:eastAsia="hr-HR"/>
              </w:rPr>
              <w:t>IOPPD</w:t>
            </w:r>
          </w:p>
        </w:tc>
        <w:tc>
          <w:tcPr>
            <w:tcW w:w="1276"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hr-HR" w:eastAsia="hr-HR"/>
              </w:rPr>
            </w:pPr>
            <w:r w:rsidRPr="003611CF">
              <w:rPr>
                <w:rFonts w:ascii="Arial" w:eastAsia="Calibri" w:hAnsi="Arial" w:cs="Arial"/>
                <w:color w:val="000000"/>
                <w:sz w:val="20"/>
                <w:szCs w:val="20"/>
                <w:lang w:val="hr-HR" w:eastAsia="hr-HR"/>
              </w:rPr>
              <w:t>5.744.400</w:t>
            </w:r>
          </w:p>
        </w:tc>
        <w:tc>
          <w:tcPr>
            <w:tcW w:w="1559"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hr-HR" w:eastAsia="hr-HR"/>
              </w:rPr>
            </w:pPr>
            <w:r w:rsidRPr="003611CF">
              <w:rPr>
                <w:rFonts w:ascii="Arial" w:eastAsia="Calibri" w:hAnsi="Arial" w:cs="Arial"/>
                <w:color w:val="000000"/>
                <w:sz w:val="20"/>
                <w:szCs w:val="20"/>
                <w:lang w:val="hr-HR" w:eastAsia="hr-HR"/>
              </w:rPr>
              <w:t>51%</w:t>
            </w:r>
          </w:p>
        </w:tc>
        <w:tc>
          <w:tcPr>
            <w:tcW w:w="1276"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hr-HR" w:eastAsia="hr-HR"/>
              </w:rPr>
            </w:pPr>
            <w:r w:rsidRPr="003611CF">
              <w:rPr>
                <w:rFonts w:ascii="Arial" w:eastAsia="Calibri" w:hAnsi="Arial" w:cs="Arial"/>
                <w:color w:val="000000"/>
                <w:sz w:val="20"/>
                <w:szCs w:val="20"/>
                <w:lang w:val="hr-HR" w:eastAsia="hr-HR"/>
              </w:rPr>
              <w:t>1.791.922</w:t>
            </w:r>
          </w:p>
        </w:tc>
        <w:tc>
          <w:tcPr>
            <w:tcW w:w="1559"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hr-HR" w:eastAsia="hr-HR"/>
              </w:rPr>
            </w:pPr>
            <w:r w:rsidRPr="003611CF">
              <w:rPr>
                <w:rFonts w:ascii="Arial" w:eastAsia="Calibri" w:hAnsi="Arial" w:cs="Arial"/>
                <w:color w:val="000000"/>
                <w:sz w:val="20"/>
                <w:szCs w:val="20"/>
                <w:lang w:val="hr-HR" w:eastAsia="hr-HR"/>
              </w:rPr>
              <w:t>18%</w:t>
            </w:r>
          </w:p>
        </w:tc>
        <w:tc>
          <w:tcPr>
            <w:tcW w:w="2977"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hr-HR" w:eastAsia="hr-HR"/>
              </w:rPr>
            </w:pPr>
          </w:p>
        </w:tc>
      </w:tr>
      <w:tr w:rsidR="003611CF" w:rsidRPr="003611CF" w:rsidTr="003611CF">
        <w:tc>
          <w:tcPr>
            <w:tcW w:w="594" w:type="dxa"/>
            <w:shd w:val="clear" w:color="auto" w:fill="FDE9D9"/>
          </w:tcPr>
          <w:p w:rsidR="003611CF" w:rsidRPr="003611CF" w:rsidRDefault="003611CF" w:rsidP="003611CF">
            <w:pPr>
              <w:spacing w:before="0" w:after="0" w:line="240" w:lineRule="auto"/>
              <w:jc w:val="center"/>
              <w:rPr>
                <w:rFonts w:ascii="Arial" w:eastAsia="Calibri" w:hAnsi="Arial" w:cs="Arial"/>
                <w:bCs/>
                <w:color w:val="000000"/>
                <w:sz w:val="20"/>
                <w:szCs w:val="20"/>
                <w:lang w:val="hr-HR" w:eastAsia="hr-HR"/>
              </w:rPr>
            </w:pPr>
            <w:r w:rsidRPr="003611CF">
              <w:rPr>
                <w:rFonts w:ascii="Arial" w:eastAsia="Calibri" w:hAnsi="Arial" w:cs="Arial"/>
                <w:bCs/>
                <w:color w:val="000000"/>
                <w:sz w:val="20"/>
                <w:szCs w:val="20"/>
                <w:lang w:val="hr-HR" w:eastAsia="hr-HR"/>
              </w:rPr>
              <w:t>3.</w:t>
            </w:r>
          </w:p>
        </w:tc>
        <w:tc>
          <w:tcPr>
            <w:tcW w:w="1533" w:type="dxa"/>
            <w:shd w:val="clear" w:color="auto" w:fill="FDE9D9"/>
          </w:tcPr>
          <w:p w:rsidR="003611CF" w:rsidRPr="003611CF" w:rsidRDefault="003611CF" w:rsidP="003611CF">
            <w:pPr>
              <w:spacing w:before="0" w:after="0" w:line="240" w:lineRule="auto"/>
              <w:jc w:val="left"/>
              <w:rPr>
                <w:rFonts w:ascii="Arial" w:eastAsia="Calibri" w:hAnsi="Arial" w:cs="Arial"/>
                <w:color w:val="000000"/>
                <w:sz w:val="20"/>
                <w:szCs w:val="20"/>
                <w:lang w:val="hr-HR" w:eastAsia="hr-HR"/>
              </w:rPr>
            </w:pPr>
            <w:r w:rsidRPr="003611CF">
              <w:rPr>
                <w:rFonts w:ascii="Arial" w:eastAsia="Calibri" w:hAnsi="Arial" w:cs="Arial"/>
                <w:color w:val="000000"/>
                <w:sz w:val="20"/>
                <w:szCs w:val="20"/>
                <w:lang w:val="hr-HR" w:eastAsia="hr-HR"/>
              </w:rPr>
              <w:t>Porez na dobit</w:t>
            </w:r>
          </w:p>
        </w:tc>
        <w:tc>
          <w:tcPr>
            <w:tcW w:w="1276"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hr-HR" w:eastAsia="hr-HR"/>
              </w:rPr>
            </w:pPr>
            <w:r w:rsidRPr="003611CF">
              <w:rPr>
                <w:rFonts w:ascii="Arial" w:eastAsia="Calibri" w:hAnsi="Arial" w:cs="Arial"/>
                <w:color w:val="000000"/>
                <w:sz w:val="20"/>
                <w:szCs w:val="20"/>
                <w:lang w:val="hr-HR" w:eastAsia="hr-HR"/>
              </w:rPr>
              <w:t>450.709</w:t>
            </w:r>
          </w:p>
        </w:tc>
        <w:tc>
          <w:tcPr>
            <w:tcW w:w="1559"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hr-HR" w:eastAsia="hr-HR"/>
              </w:rPr>
            </w:pPr>
            <w:r w:rsidRPr="003611CF">
              <w:rPr>
                <w:rFonts w:ascii="Arial" w:eastAsia="Calibri" w:hAnsi="Arial" w:cs="Arial"/>
                <w:color w:val="000000"/>
                <w:sz w:val="20"/>
                <w:szCs w:val="20"/>
                <w:lang w:val="hr-HR" w:eastAsia="hr-HR"/>
              </w:rPr>
              <w:t>4%</w:t>
            </w:r>
          </w:p>
        </w:tc>
        <w:tc>
          <w:tcPr>
            <w:tcW w:w="1276"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hr-HR" w:eastAsia="hr-HR"/>
              </w:rPr>
            </w:pPr>
            <w:r w:rsidRPr="003611CF">
              <w:rPr>
                <w:rFonts w:ascii="Arial" w:eastAsia="Calibri" w:hAnsi="Arial" w:cs="Arial"/>
                <w:color w:val="000000"/>
                <w:sz w:val="20"/>
                <w:szCs w:val="20"/>
                <w:lang w:val="hr-HR" w:eastAsia="hr-HR"/>
              </w:rPr>
              <w:t>2.092.924</w:t>
            </w:r>
          </w:p>
        </w:tc>
        <w:tc>
          <w:tcPr>
            <w:tcW w:w="1559"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hr-HR" w:eastAsia="hr-HR"/>
              </w:rPr>
            </w:pPr>
            <w:r w:rsidRPr="003611CF">
              <w:rPr>
                <w:rFonts w:ascii="Arial" w:eastAsia="Calibri" w:hAnsi="Arial" w:cs="Arial"/>
                <w:color w:val="000000"/>
                <w:sz w:val="20"/>
                <w:szCs w:val="20"/>
                <w:lang w:val="hr-HR" w:eastAsia="hr-HR"/>
              </w:rPr>
              <w:t>21%</w:t>
            </w:r>
          </w:p>
        </w:tc>
        <w:tc>
          <w:tcPr>
            <w:tcW w:w="2977"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hr-HR" w:eastAsia="hr-HR"/>
              </w:rPr>
            </w:pPr>
          </w:p>
        </w:tc>
      </w:tr>
      <w:tr w:rsidR="003611CF" w:rsidRPr="003611CF" w:rsidTr="003611CF">
        <w:tc>
          <w:tcPr>
            <w:tcW w:w="594" w:type="dxa"/>
            <w:shd w:val="clear" w:color="auto" w:fill="FEF4EC"/>
          </w:tcPr>
          <w:p w:rsidR="003611CF" w:rsidRPr="003611CF" w:rsidRDefault="003611CF" w:rsidP="003611CF">
            <w:pPr>
              <w:spacing w:before="0" w:after="0" w:line="240" w:lineRule="auto"/>
              <w:jc w:val="center"/>
              <w:rPr>
                <w:rFonts w:ascii="Arial" w:eastAsia="Calibri" w:hAnsi="Arial" w:cs="Arial"/>
                <w:bCs/>
                <w:color w:val="000000"/>
                <w:sz w:val="20"/>
                <w:szCs w:val="20"/>
                <w:lang w:val="hr-HR" w:eastAsia="hr-HR"/>
              </w:rPr>
            </w:pPr>
            <w:r w:rsidRPr="003611CF">
              <w:rPr>
                <w:rFonts w:ascii="Arial" w:eastAsia="Calibri" w:hAnsi="Arial" w:cs="Arial"/>
                <w:bCs/>
                <w:color w:val="000000"/>
                <w:sz w:val="20"/>
                <w:szCs w:val="20"/>
                <w:lang w:val="hr-HR" w:eastAsia="hr-HR"/>
              </w:rPr>
              <w:t>4.</w:t>
            </w:r>
          </w:p>
        </w:tc>
        <w:tc>
          <w:tcPr>
            <w:tcW w:w="1533" w:type="dxa"/>
            <w:shd w:val="clear" w:color="auto" w:fill="FEF4EC"/>
          </w:tcPr>
          <w:p w:rsidR="003611CF" w:rsidRPr="003611CF" w:rsidRDefault="003611CF" w:rsidP="003611CF">
            <w:pPr>
              <w:spacing w:before="0" w:after="0" w:line="240" w:lineRule="auto"/>
              <w:jc w:val="left"/>
              <w:rPr>
                <w:rFonts w:ascii="Arial" w:eastAsia="Calibri" w:hAnsi="Arial" w:cs="Arial"/>
                <w:color w:val="000000"/>
                <w:sz w:val="20"/>
                <w:szCs w:val="20"/>
                <w:lang w:val="hr-HR" w:eastAsia="hr-HR"/>
              </w:rPr>
            </w:pPr>
            <w:r w:rsidRPr="003611CF">
              <w:rPr>
                <w:rFonts w:ascii="Arial" w:eastAsia="Calibri" w:hAnsi="Arial" w:cs="Arial"/>
                <w:color w:val="000000"/>
                <w:sz w:val="20"/>
                <w:szCs w:val="20"/>
                <w:lang w:val="hr-HR" w:eastAsia="hr-HR"/>
              </w:rPr>
              <w:t>Ostalo</w:t>
            </w:r>
          </w:p>
        </w:tc>
        <w:tc>
          <w:tcPr>
            <w:tcW w:w="1276"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hr-HR" w:eastAsia="hr-HR"/>
              </w:rPr>
            </w:pPr>
            <w:r w:rsidRPr="003611CF">
              <w:rPr>
                <w:rFonts w:ascii="Arial" w:eastAsia="Calibri" w:hAnsi="Arial" w:cs="Arial"/>
                <w:color w:val="000000"/>
                <w:sz w:val="20"/>
                <w:szCs w:val="20"/>
                <w:lang w:val="hr-HR" w:eastAsia="hr-HR"/>
              </w:rPr>
              <w:t>284.406</w:t>
            </w:r>
          </w:p>
        </w:tc>
        <w:tc>
          <w:tcPr>
            <w:tcW w:w="1559"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hr-HR" w:eastAsia="hr-HR"/>
              </w:rPr>
            </w:pPr>
            <w:r w:rsidRPr="003611CF">
              <w:rPr>
                <w:rFonts w:ascii="Arial" w:eastAsia="Calibri" w:hAnsi="Arial" w:cs="Arial"/>
                <w:color w:val="000000"/>
                <w:sz w:val="20"/>
                <w:szCs w:val="20"/>
                <w:lang w:val="hr-HR" w:eastAsia="hr-HR"/>
              </w:rPr>
              <w:t>2,5%</w:t>
            </w:r>
          </w:p>
        </w:tc>
        <w:tc>
          <w:tcPr>
            <w:tcW w:w="1276"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hr-HR" w:eastAsia="hr-HR"/>
              </w:rPr>
            </w:pPr>
            <w:r w:rsidRPr="003611CF">
              <w:rPr>
                <w:rFonts w:ascii="Arial" w:eastAsia="Calibri" w:hAnsi="Arial" w:cs="Arial"/>
                <w:color w:val="000000"/>
                <w:sz w:val="20"/>
                <w:szCs w:val="20"/>
                <w:lang w:val="hr-HR" w:eastAsia="hr-HR"/>
              </w:rPr>
              <w:t>3.070.238</w:t>
            </w:r>
          </w:p>
        </w:tc>
        <w:tc>
          <w:tcPr>
            <w:tcW w:w="1559"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hr-HR" w:eastAsia="hr-HR"/>
              </w:rPr>
            </w:pPr>
            <w:r w:rsidRPr="003611CF">
              <w:rPr>
                <w:rFonts w:ascii="Arial" w:eastAsia="Calibri" w:hAnsi="Arial" w:cs="Arial"/>
                <w:color w:val="000000"/>
                <w:sz w:val="20"/>
                <w:szCs w:val="20"/>
                <w:lang w:val="hr-HR" w:eastAsia="hr-HR"/>
              </w:rPr>
              <w:t>30%</w:t>
            </w:r>
          </w:p>
        </w:tc>
        <w:tc>
          <w:tcPr>
            <w:tcW w:w="2977"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szCs w:val="20"/>
                <w:lang w:val="hr-HR" w:eastAsia="hr-HR"/>
              </w:rPr>
            </w:pPr>
          </w:p>
        </w:tc>
      </w:tr>
      <w:tr w:rsidR="003611CF" w:rsidRPr="003611CF" w:rsidTr="003611CF">
        <w:tc>
          <w:tcPr>
            <w:tcW w:w="594" w:type="dxa"/>
            <w:shd w:val="clear" w:color="auto" w:fill="FDE9D9"/>
          </w:tcPr>
          <w:p w:rsidR="003611CF" w:rsidRPr="003611CF" w:rsidRDefault="003611CF" w:rsidP="003611CF">
            <w:pPr>
              <w:spacing w:before="0" w:after="0" w:line="240" w:lineRule="auto"/>
              <w:jc w:val="center"/>
              <w:rPr>
                <w:rFonts w:ascii="Arial" w:eastAsia="Calibri" w:hAnsi="Arial" w:cs="Arial"/>
                <w:bCs/>
                <w:color w:val="000000"/>
                <w:sz w:val="20"/>
                <w:szCs w:val="20"/>
                <w:lang w:val="hr-HR" w:eastAsia="hr-HR"/>
              </w:rPr>
            </w:pPr>
            <w:r w:rsidRPr="003611CF">
              <w:rPr>
                <w:rFonts w:ascii="Arial" w:eastAsia="Calibri" w:hAnsi="Arial" w:cs="Arial"/>
                <w:bCs/>
                <w:color w:val="000000"/>
                <w:sz w:val="20"/>
                <w:szCs w:val="20"/>
                <w:lang w:val="hr-HR" w:eastAsia="hr-HR"/>
              </w:rPr>
              <w:t>5.</w:t>
            </w:r>
          </w:p>
        </w:tc>
        <w:tc>
          <w:tcPr>
            <w:tcW w:w="1533" w:type="dxa"/>
            <w:shd w:val="clear" w:color="auto" w:fill="FDE9D9"/>
          </w:tcPr>
          <w:p w:rsidR="003611CF" w:rsidRPr="003611CF" w:rsidRDefault="003611CF" w:rsidP="003611CF">
            <w:pPr>
              <w:spacing w:before="0" w:after="0" w:line="240" w:lineRule="auto"/>
              <w:jc w:val="left"/>
              <w:rPr>
                <w:rFonts w:ascii="Arial" w:eastAsia="Calibri" w:hAnsi="Arial" w:cs="Arial"/>
                <w:b/>
                <w:color w:val="000000"/>
                <w:sz w:val="20"/>
                <w:szCs w:val="20"/>
                <w:lang w:val="hr-HR" w:eastAsia="hr-HR"/>
              </w:rPr>
            </w:pPr>
            <w:r w:rsidRPr="003611CF">
              <w:rPr>
                <w:rFonts w:ascii="Arial" w:eastAsia="Calibri" w:hAnsi="Arial" w:cs="Arial"/>
                <w:b/>
                <w:color w:val="000000"/>
                <w:sz w:val="20"/>
                <w:szCs w:val="20"/>
                <w:lang w:val="hr-HR" w:eastAsia="hr-HR"/>
              </w:rPr>
              <w:t>Ukupno</w:t>
            </w:r>
          </w:p>
        </w:tc>
        <w:tc>
          <w:tcPr>
            <w:tcW w:w="1276" w:type="dxa"/>
            <w:shd w:val="clear" w:color="auto" w:fill="FDE9D9"/>
          </w:tcPr>
          <w:p w:rsidR="003611CF" w:rsidRPr="003611CF" w:rsidRDefault="003611CF" w:rsidP="003611CF">
            <w:pPr>
              <w:spacing w:before="0" w:after="0" w:line="240" w:lineRule="auto"/>
              <w:jc w:val="center"/>
              <w:rPr>
                <w:rFonts w:ascii="Arial" w:eastAsia="Calibri" w:hAnsi="Arial" w:cs="Arial"/>
                <w:b/>
                <w:color w:val="000000"/>
                <w:sz w:val="20"/>
                <w:szCs w:val="20"/>
                <w:lang w:val="hr-HR" w:eastAsia="hr-HR"/>
              </w:rPr>
            </w:pPr>
            <w:r w:rsidRPr="003611CF">
              <w:rPr>
                <w:rFonts w:ascii="Arial" w:eastAsia="Calibri" w:hAnsi="Arial" w:cs="Arial"/>
                <w:b/>
                <w:color w:val="000000"/>
                <w:sz w:val="20"/>
                <w:szCs w:val="20"/>
                <w:lang w:val="hr-HR" w:eastAsia="hr-HR"/>
              </w:rPr>
              <w:t>11.267.006</w:t>
            </w:r>
          </w:p>
        </w:tc>
        <w:tc>
          <w:tcPr>
            <w:tcW w:w="1559" w:type="dxa"/>
            <w:shd w:val="clear" w:color="auto" w:fill="FDE9D9"/>
          </w:tcPr>
          <w:p w:rsidR="003611CF" w:rsidRPr="003611CF" w:rsidRDefault="003611CF" w:rsidP="003611CF">
            <w:pPr>
              <w:spacing w:before="0" w:after="0" w:line="240" w:lineRule="auto"/>
              <w:jc w:val="center"/>
              <w:rPr>
                <w:rFonts w:ascii="Arial" w:eastAsia="Calibri" w:hAnsi="Arial" w:cs="Arial"/>
                <w:b/>
                <w:color w:val="000000"/>
                <w:sz w:val="20"/>
                <w:szCs w:val="20"/>
                <w:lang w:val="hr-HR" w:eastAsia="hr-HR"/>
              </w:rPr>
            </w:pPr>
          </w:p>
        </w:tc>
        <w:tc>
          <w:tcPr>
            <w:tcW w:w="1276" w:type="dxa"/>
            <w:shd w:val="clear" w:color="auto" w:fill="FDE9D9"/>
          </w:tcPr>
          <w:p w:rsidR="003611CF" w:rsidRPr="003611CF" w:rsidRDefault="003611CF" w:rsidP="003611CF">
            <w:pPr>
              <w:spacing w:before="0" w:after="0" w:line="240" w:lineRule="auto"/>
              <w:jc w:val="center"/>
              <w:rPr>
                <w:rFonts w:ascii="Arial" w:eastAsia="Calibri" w:hAnsi="Arial" w:cs="Arial"/>
                <w:b/>
                <w:color w:val="000000"/>
                <w:sz w:val="20"/>
                <w:szCs w:val="20"/>
                <w:lang w:val="hr-HR" w:eastAsia="hr-HR"/>
              </w:rPr>
            </w:pPr>
            <w:r w:rsidRPr="003611CF">
              <w:rPr>
                <w:rFonts w:ascii="Arial" w:eastAsia="Calibri" w:hAnsi="Arial" w:cs="Arial"/>
                <w:b/>
                <w:color w:val="000000"/>
                <w:sz w:val="20"/>
                <w:szCs w:val="20"/>
                <w:lang w:val="hr-HR" w:eastAsia="hr-HR"/>
              </w:rPr>
              <w:t>10.131.789</w:t>
            </w:r>
          </w:p>
        </w:tc>
        <w:tc>
          <w:tcPr>
            <w:tcW w:w="1559"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szCs w:val="20"/>
                <w:lang w:val="hr-HR" w:eastAsia="hr-HR"/>
              </w:rPr>
            </w:pPr>
          </w:p>
        </w:tc>
        <w:tc>
          <w:tcPr>
            <w:tcW w:w="2977" w:type="dxa"/>
            <w:shd w:val="clear" w:color="auto" w:fill="FDE9D9"/>
          </w:tcPr>
          <w:p w:rsidR="003611CF" w:rsidRPr="003611CF" w:rsidRDefault="003611CF" w:rsidP="003611CF">
            <w:pPr>
              <w:spacing w:before="0" w:after="0" w:line="240" w:lineRule="auto"/>
              <w:jc w:val="center"/>
              <w:rPr>
                <w:rFonts w:ascii="Arial" w:eastAsia="Calibri" w:hAnsi="Arial" w:cs="Arial"/>
                <w:b/>
                <w:color w:val="000000"/>
                <w:sz w:val="20"/>
                <w:szCs w:val="20"/>
                <w:lang w:val="hr-HR" w:eastAsia="hr-HR"/>
              </w:rPr>
            </w:pPr>
            <w:r w:rsidRPr="003611CF">
              <w:rPr>
                <w:rFonts w:ascii="Arial" w:eastAsia="Calibri" w:hAnsi="Arial" w:cs="Arial"/>
                <w:b/>
                <w:color w:val="000000"/>
                <w:sz w:val="20"/>
                <w:szCs w:val="20"/>
                <w:lang w:val="hr-HR" w:eastAsia="hr-HR"/>
              </w:rPr>
              <w:t>Bolji efekti u 2020 u odnosu na 2019.</w:t>
            </w:r>
            <w:r w:rsidR="00CB5BEE">
              <w:rPr>
                <w:rFonts w:ascii="Arial" w:eastAsia="Calibri" w:hAnsi="Arial" w:cs="Arial"/>
                <w:b/>
                <w:color w:val="000000"/>
                <w:sz w:val="20"/>
                <w:szCs w:val="20"/>
                <w:lang w:val="hr-HR" w:eastAsia="hr-HR"/>
              </w:rPr>
              <w:t xml:space="preserve"> </w:t>
            </w:r>
            <w:r w:rsidRPr="003611CF">
              <w:rPr>
                <w:rFonts w:ascii="Arial" w:eastAsia="Calibri" w:hAnsi="Arial" w:cs="Arial"/>
                <w:b/>
                <w:color w:val="000000"/>
                <w:sz w:val="20"/>
                <w:szCs w:val="20"/>
                <w:lang w:val="hr-HR" w:eastAsia="hr-HR"/>
              </w:rPr>
              <w:t>godinu sa manjim brojem inspektora</w:t>
            </w:r>
          </w:p>
        </w:tc>
      </w:tr>
    </w:tbl>
    <w:p w:rsidR="003611CF" w:rsidRPr="003611CF" w:rsidRDefault="003611CF" w:rsidP="003611CF">
      <w:pPr>
        <w:spacing w:before="0" w:after="0" w:line="240" w:lineRule="auto"/>
        <w:rPr>
          <w:rFonts w:ascii="Arial" w:eastAsia="Times New Roman" w:hAnsi="Arial" w:cs="Arial"/>
          <w:sz w:val="22"/>
          <w:lang w:val="en-GB"/>
        </w:rPr>
      </w:pPr>
    </w:p>
    <w:p w:rsidR="003611CF" w:rsidRPr="003611CF" w:rsidRDefault="003611CF" w:rsidP="003611CF">
      <w:pPr>
        <w:spacing w:before="0" w:after="0" w:line="240" w:lineRule="auto"/>
        <w:rPr>
          <w:rFonts w:ascii="Calibri" w:eastAsia="Times New Roman" w:hAnsi="Calibri" w:cs="Calibri"/>
          <w:szCs w:val="24"/>
          <w:lang w:val="en-GB"/>
        </w:rPr>
      </w:pPr>
      <w:r w:rsidRPr="003611CF">
        <w:rPr>
          <w:rFonts w:ascii="Arial" w:eastAsia="Times New Roman" w:hAnsi="Arial" w:cs="Arial"/>
          <w:sz w:val="22"/>
          <w:lang w:val="en-GB"/>
        </w:rPr>
        <w:tab/>
      </w:r>
      <w:r w:rsidRPr="003611CF">
        <w:rPr>
          <w:rFonts w:ascii="Calibri" w:eastAsia="Times New Roman" w:hAnsi="Calibri" w:cs="Calibri"/>
          <w:szCs w:val="24"/>
          <w:lang w:val="en-GB"/>
        </w:rPr>
        <w:t>Ukupnim korekcijama po vrsti poreza od 11.267.006 € treba dodati i korekciju po osnovu smanjenja gubitka u dijelu kontrole poreza na dobit u ukupnom iznosu od 3.513.020 €.</w:t>
      </w:r>
    </w:p>
    <w:p w:rsidR="003611CF" w:rsidRPr="003611CF" w:rsidRDefault="003611CF" w:rsidP="003611CF">
      <w:pPr>
        <w:spacing w:before="0" w:after="0" w:line="240" w:lineRule="auto"/>
        <w:rPr>
          <w:rFonts w:ascii="Calibri" w:eastAsia="Times New Roman" w:hAnsi="Calibri" w:cs="Calibri"/>
          <w:b/>
          <w:szCs w:val="24"/>
          <w:lang w:val="en-GB"/>
        </w:rPr>
      </w:pPr>
      <w:r w:rsidRPr="003611CF">
        <w:rPr>
          <w:rFonts w:ascii="Calibri" w:eastAsia="Times New Roman" w:hAnsi="Calibri" w:cs="Calibri"/>
          <w:szCs w:val="24"/>
          <w:lang w:val="en-GB"/>
        </w:rPr>
        <w:tab/>
        <w:t>Od ukupnih korekcija naplaćeno je 2.030.626 ili 18%.</w:t>
      </w:r>
    </w:p>
    <w:p w:rsidR="003611CF" w:rsidRPr="003611CF" w:rsidRDefault="003611CF" w:rsidP="003611CF">
      <w:pPr>
        <w:spacing w:before="0" w:after="0" w:line="240" w:lineRule="auto"/>
        <w:rPr>
          <w:rFonts w:ascii="Calibri" w:eastAsia="Times New Roman" w:hAnsi="Calibri" w:cs="Calibri"/>
          <w:b/>
          <w:szCs w:val="24"/>
          <w:lang w:val="en-GB"/>
        </w:rPr>
      </w:pPr>
    </w:p>
    <w:p w:rsidR="003611CF" w:rsidRPr="00CB5BEE" w:rsidRDefault="003611CF" w:rsidP="004D6CB4">
      <w:pPr>
        <w:numPr>
          <w:ilvl w:val="0"/>
          <w:numId w:val="144"/>
        </w:numPr>
        <w:spacing w:before="0" w:after="0" w:line="240" w:lineRule="auto"/>
        <w:jc w:val="left"/>
        <w:rPr>
          <w:rFonts w:ascii="Calibri" w:eastAsia="Times New Roman" w:hAnsi="Calibri" w:cs="Calibri"/>
          <w:b/>
          <w:szCs w:val="24"/>
          <w:lang w:val="en-GB"/>
        </w:rPr>
      </w:pPr>
      <w:r w:rsidRPr="003611CF">
        <w:rPr>
          <w:rFonts w:ascii="Calibri" w:eastAsia="Times New Roman" w:hAnsi="Calibri" w:cs="Calibri"/>
          <w:b/>
          <w:szCs w:val="24"/>
          <w:lang w:val="en-GB"/>
        </w:rPr>
        <w:t xml:space="preserve">PDV POVRAĆAJ KROZ IZVRŠENI INSPEKCIJSKI NADZOR </w:t>
      </w:r>
    </w:p>
    <w:tbl>
      <w:tblPr>
        <w:tblW w:w="0" w:type="auto"/>
        <w:tblLook w:val="04A0" w:firstRow="1" w:lastRow="0" w:firstColumn="1" w:lastColumn="0" w:noHBand="0" w:noVBand="1"/>
      </w:tblPr>
      <w:tblGrid>
        <w:gridCol w:w="583"/>
        <w:gridCol w:w="2515"/>
        <w:gridCol w:w="1270"/>
        <w:gridCol w:w="1255"/>
        <w:gridCol w:w="1397"/>
        <w:gridCol w:w="1382"/>
        <w:gridCol w:w="1236"/>
      </w:tblGrid>
      <w:tr w:rsidR="003611CF" w:rsidRPr="003611CF" w:rsidTr="003611CF">
        <w:tc>
          <w:tcPr>
            <w:tcW w:w="583" w:type="dxa"/>
            <w:tcBorders>
              <w:bottom w:val="single" w:sz="12" w:space="0" w:color="FFFFFF"/>
            </w:tcBorders>
            <w:shd w:val="clear" w:color="auto" w:fill="348DA5"/>
            <w:vAlign w:val="center"/>
          </w:tcPr>
          <w:p w:rsidR="003611CF" w:rsidRPr="003611CF" w:rsidRDefault="003611CF" w:rsidP="003611CF">
            <w:pPr>
              <w:spacing w:before="0" w:after="0" w:line="240" w:lineRule="auto"/>
              <w:jc w:val="center"/>
              <w:rPr>
                <w:rFonts w:ascii="Arial" w:eastAsia="Calibri" w:hAnsi="Arial" w:cs="Arial"/>
                <w:bCs/>
                <w:color w:val="FFFFFF"/>
                <w:sz w:val="20"/>
                <w:lang w:val="en-GB"/>
              </w:rPr>
            </w:pPr>
            <w:r w:rsidRPr="003611CF">
              <w:rPr>
                <w:rFonts w:ascii="Arial" w:eastAsia="Calibri" w:hAnsi="Arial" w:cs="Arial"/>
                <w:bCs/>
                <w:color w:val="FFFFFF"/>
                <w:sz w:val="20"/>
                <w:lang w:val="en-GB"/>
              </w:rPr>
              <w:t>R.b.</w:t>
            </w:r>
          </w:p>
        </w:tc>
        <w:tc>
          <w:tcPr>
            <w:tcW w:w="2644" w:type="dxa"/>
            <w:tcBorders>
              <w:bottom w:val="single" w:sz="12" w:space="0" w:color="FFFFFF"/>
            </w:tcBorders>
            <w:shd w:val="clear" w:color="auto" w:fill="348DA5"/>
            <w:vAlign w:val="center"/>
          </w:tcPr>
          <w:p w:rsidR="003611CF" w:rsidRPr="003611CF" w:rsidRDefault="003611CF" w:rsidP="003611CF">
            <w:pPr>
              <w:spacing w:before="0" w:after="0" w:line="240" w:lineRule="auto"/>
              <w:jc w:val="center"/>
              <w:rPr>
                <w:rFonts w:ascii="Arial" w:eastAsia="Calibri" w:hAnsi="Arial" w:cs="Arial"/>
                <w:bCs/>
                <w:color w:val="FFFFFF"/>
                <w:sz w:val="20"/>
                <w:lang w:val="en-GB"/>
              </w:rPr>
            </w:pPr>
            <w:r w:rsidRPr="003611CF">
              <w:rPr>
                <w:rFonts w:ascii="Arial" w:eastAsia="Calibri" w:hAnsi="Arial" w:cs="Arial"/>
                <w:bCs/>
                <w:color w:val="FFFFFF"/>
                <w:sz w:val="20"/>
                <w:lang w:val="en-GB"/>
              </w:rPr>
              <w:t>Ishod insp. nadzora po Zahjevu za povraćaj PDV-a</w:t>
            </w:r>
          </w:p>
        </w:tc>
        <w:tc>
          <w:tcPr>
            <w:tcW w:w="1276" w:type="dxa"/>
            <w:tcBorders>
              <w:bottom w:val="single" w:sz="12" w:space="0" w:color="FFFFFF"/>
            </w:tcBorders>
            <w:shd w:val="clear" w:color="auto" w:fill="348DA5"/>
            <w:vAlign w:val="center"/>
          </w:tcPr>
          <w:p w:rsidR="003611CF" w:rsidRPr="003611CF" w:rsidRDefault="003611CF" w:rsidP="003611CF">
            <w:pPr>
              <w:spacing w:before="0" w:after="0" w:line="240" w:lineRule="auto"/>
              <w:jc w:val="center"/>
              <w:rPr>
                <w:rFonts w:ascii="Arial" w:eastAsia="Calibri" w:hAnsi="Arial" w:cs="Arial"/>
                <w:bCs/>
                <w:color w:val="FFFFFF"/>
                <w:sz w:val="20"/>
                <w:lang w:val="en-GB"/>
              </w:rPr>
            </w:pPr>
            <w:r w:rsidRPr="003611CF">
              <w:rPr>
                <w:rFonts w:ascii="Arial" w:eastAsia="Calibri" w:hAnsi="Arial" w:cs="Arial"/>
                <w:bCs/>
                <w:color w:val="FFFFFF"/>
                <w:sz w:val="20"/>
                <w:lang w:val="en-GB"/>
              </w:rPr>
              <w:t>2020</w:t>
            </w:r>
          </w:p>
        </w:tc>
        <w:tc>
          <w:tcPr>
            <w:tcW w:w="1275" w:type="dxa"/>
            <w:tcBorders>
              <w:bottom w:val="single" w:sz="12" w:space="0" w:color="FFFFFF"/>
            </w:tcBorders>
            <w:shd w:val="clear" w:color="auto" w:fill="348DA5"/>
            <w:vAlign w:val="center"/>
          </w:tcPr>
          <w:p w:rsidR="003611CF" w:rsidRPr="003611CF" w:rsidRDefault="003611CF" w:rsidP="003611CF">
            <w:pPr>
              <w:spacing w:before="0" w:after="0" w:line="240" w:lineRule="auto"/>
              <w:jc w:val="center"/>
              <w:rPr>
                <w:rFonts w:ascii="Arial" w:eastAsia="Calibri" w:hAnsi="Arial" w:cs="Arial"/>
                <w:bCs/>
                <w:color w:val="FFFFFF"/>
                <w:sz w:val="20"/>
                <w:lang w:val="en-GB"/>
              </w:rPr>
            </w:pPr>
            <w:r w:rsidRPr="003611CF">
              <w:rPr>
                <w:rFonts w:ascii="Arial" w:eastAsia="Calibri" w:hAnsi="Arial" w:cs="Arial"/>
                <w:bCs/>
                <w:color w:val="FFFFFF"/>
                <w:sz w:val="20"/>
                <w:lang w:val="en-GB"/>
              </w:rPr>
              <w:t>% od ukupnog broja povraćaja u 2020.</w:t>
            </w:r>
          </w:p>
        </w:tc>
        <w:tc>
          <w:tcPr>
            <w:tcW w:w="1418" w:type="dxa"/>
            <w:tcBorders>
              <w:bottom w:val="single" w:sz="12" w:space="0" w:color="FFFFFF"/>
            </w:tcBorders>
            <w:shd w:val="clear" w:color="auto" w:fill="348DA5"/>
            <w:vAlign w:val="center"/>
          </w:tcPr>
          <w:p w:rsidR="003611CF" w:rsidRPr="003611CF" w:rsidRDefault="003611CF" w:rsidP="003611CF">
            <w:pPr>
              <w:spacing w:before="0" w:after="0" w:line="240" w:lineRule="auto"/>
              <w:jc w:val="center"/>
              <w:rPr>
                <w:rFonts w:ascii="Arial" w:eastAsia="Calibri" w:hAnsi="Arial" w:cs="Arial"/>
                <w:bCs/>
                <w:color w:val="FFFFFF"/>
                <w:sz w:val="20"/>
                <w:lang w:val="en-GB"/>
              </w:rPr>
            </w:pPr>
            <w:r w:rsidRPr="003611CF">
              <w:rPr>
                <w:rFonts w:ascii="Arial" w:eastAsia="Calibri" w:hAnsi="Arial" w:cs="Arial"/>
                <w:bCs/>
                <w:color w:val="FFFFFF"/>
                <w:sz w:val="20"/>
                <w:lang w:val="en-GB"/>
              </w:rPr>
              <w:t>2019</w:t>
            </w:r>
          </w:p>
        </w:tc>
        <w:tc>
          <w:tcPr>
            <w:tcW w:w="1417" w:type="dxa"/>
            <w:tcBorders>
              <w:bottom w:val="single" w:sz="12" w:space="0" w:color="FFFFFF"/>
            </w:tcBorders>
            <w:shd w:val="clear" w:color="auto" w:fill="348DA5"/>
            <w:vAlign w:val="center"/>
          </w:tcPr>
          <w:p w:rsidR="003611CF" w:rsidRPr="003611CF" w:rsidRDefault="003611CF" w:rsidP="003611CF">
            <w:pPr>
              <w:spacing w:before="0" w:after="0" w:line="240" w:lineRule="auto"/>
              <w:jc w:val="center"/>
              <w:rPr>
                <w:rFonts w:ascii="Arial" w:eastAsia="Calibri" w:hAnsi="Arial" w:cs="Arial"/>
                <w:bCs/>
                <w:color w:val="FFFFFF"/>
                <w:sz w:val="20"/>
                <w:lang w:val="en-GB"/>
              </w:rPr>
            </w:pPr>
            <w:r w:rsidRPr="003611CF">
              <w:rPr>
                <w:rFonts w:ascii="Arial" w:eastAsia="Calibri" w:hAnsi="Arial" w:cs="Arial"/>
                <w:bCs/>
                <w:color w:val="FFFFFF"/>
                <w:sz w:val="20"/>
                <w:lang w:val="en-GB"/>
              </w:rPr>
              <w:t>% od ukupnog broja povraćaja u 2019.</w:t>
            </w:r>
          </w:p>
        </w:tc>
        <w:tc>
          <w:tcPr>
            <w:tcW w:w="1241" w:type="dxa"/>
            <w:tcBorders>
              <w:bottom w:val="single" w:sz="12" w:space="0" w:color="FFFFFF"/>
            </w:tcBorders>
            <w:shd w:val="clear" w:color="auto" w:fill="348DA5"/>
            <w:vAlign w:val="center"/>
          </w:tcPr>
          <w:p w:rsidR="003611CF" w:rsidRPr="003611CF" w:rsidRDefault="003611CF" w:rsidP="003611CF">
            <w:pPr>
              <w:spacing w:before="0" w:after="0" w:line="240" w:lineRule="auto"/>
              <w:jc w:val="center"/>
              <w:rPr>
                <w:rFonts w:ascii="Arial" w:eastAsia="Calibri" w:hAnsi="Arial" w:cs="Arial"/>
                <w:bCs/>
                <w:color w:val="FFFFFF"/>
                <w:sz w:val="20"/>
                <w:lang w:val="en-GB"/>
              </w:rPr>
            </w:pPr>
            <w:r w:rsidRPr="003611CF">
              <w:rPr>
                <w:rFonts w:ascii="Arial" w:eastAsia="Calibri" w:hAnsi="Arial" w:cs="Arial"/>
                <w:bCs/>
                <w:color w:val="FFFFFF"/>
                <w:sz w:val="20"/>
                <w:lang w:val="en-GB"/>
              </w:rPr>
              <w:t>Napomena</w:t>
            </w:r>
          </w:p>
        </w:tc>
      </w:tr>
      <w:tr w:rsidR="003611CF" w:rsidRPr="003611CF" w:rsidTr="003611CF">
        <w:tc>
          <w:tcPr>
            <w:tcW w:w="583" w:type="dxa"/>
            <w:shd w:val="clear" w:color="auto" w:fill="FDE9D9"/>
          </w:tcPr>
          <w:p w:rsidR="003611CF" w:rsidRPr="003611CF" w:rsidRDefault="003611CF" w:rsidP="003611CF">
            <w:pPr>
              <w:spacing w:before="0" w:after="0" w:line="240" w:lineRule="auto"/>
              <w:jc w:val="center"/>
              <w:rPr>
                <w:rFonts w:ascii="Arial" w:eastAsia="Calibri" w:hAnsi="Arial" w:cs="Arial"/>
                <w:bCs/>
                <w:color w:val="000000"/>
                <w:sz w:val="20"/>
                <w:lang w:val="en-GB"/>
              </w:rPr>
            </w:pPr>
            <w:r w:rsidRPr="003611CF">
              <w:rPr>
                <w:rFonts w:ascii="Arial" w:eastAsia="Calibri" w:hAnsi="Arial" w:cs="Arial"/>
                <w:bCs/>
                <w:color w:val="000000"/>
                <w:sz w:val="20"/>
                <w:lang w:val="en-GB"/>
              </w:rPr>
              <w:t>1.</w:t>
            </w:r>
          </w:p>
        </w:tc>
        <w:tc>
          <w:tcPr>
            <w:tcW w:w="2644" w:type="dxa"/>
            <w:shd w:val="clear" w:color="auto" w:fill="FDE9D9"/>
          </w:tcPr>
          <w:p w:rsidR="003611CF" w:rsidRPr="003611CF" w:rsidRDefault="003611CF" w:rsidP="003611CF">
            <w:pPr>
              <w:spacing w:before="0" w:after="0" w:line="240" w:lineRule="auto"/>
              <w:jc w:val="left"/>
              <w:rPr>
                <w:rFonts w:ascii="Arial" w:eastAsia="Calibri" w:hAnsi="Arial" w:cs="Arial"/>
                <w:color w:val="000000"/>
                <w:sz w:val="20"/>
                <w:lang w:val="en-GB"/>
              </w:rPr>
            </w:pPr>
            <w:r w:rsidRPr="003611CF">
              <w:rPr>
                <w:rFonts w:ascii="Arial" w:eastAsia="Calibri" w:hAnsi="Arial" w:cs="Arial"/>
                <w:color w:val="000000"/>
                <w:sz w:val="20"/>
                <w:lang w:val="en-GB"/>
              </w:rPr>
              <w:t>Broj djelimičnih nadzora</w:t>
            </w:r>
          </w:p>
        </w:tc>
        <w:tc>
          <w:tcPr>
            <w:tcW w:w="1276"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lang w:val="en-GB"/>
              </w:rPr>
            </w:pPr>
            <w:r w:rsidRPr="003611CF">
              <w:rPr>
                <w:rFonts w:ascii="Arial" w:eastAsia="Calibri" w:hAnsi="Arial" w:cs="Arial"/>
                <w:color w:val="000000"/>
                <w:sz w:val="20"/>
                <w:lang w:val="en-GB"/>
              </w:rPr>
              <w:t>11</w:t>
            </w:r>
          </w:p>
        </w:tc>
        <w:tc>
          <w:tcPr>
            <w:tcW w:w="1275"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lang w:val="en-GB"/>
              </w:rPr>
            </w:pPr>
            <w:r w:rsidRPr="003611CF">
              <w:rPr>
                <w:rFonts w:ascii="Arial" w:eastAsia="Calibri" w:hAnsi="Arial" w:cs="Arial"/>
                <w:color w:val="000000"/>
                <w:sz w:val="20"/>
                <w:lang w:val="en-GB"/>
              </w:rPr>
              <w:t>20%</w:t>
            </w:r>
          </w:p>
        </w:tc>
        <w:tc>
          <w:tcPr>
            <w:tcW w:w="1418"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lang w:val="en-GB"/>
              </w:rPr>
            </w:pPr>
            <w:r w:rsidRPr="003611CF">
              <w:rPr>
                <w:rFonts w:ascii="Arial" w:eastAsia="Calibri" w:hAnsi="Arial" w:cs="Arial"/>
                <w:color w:val="000000"/>
                <w:sz w:val="20"/>
                <w:lang w:val="en-GB"/>
              </w:rPr>
              <w:t>12</w:t>
            </w:r>
          </w:p>
        </w:tc>
        <w:tc>
          <w:tcPr>
            <w:tcW w:w="1417"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lang w:val="en-GB"/>
              </w:rPr>
            </w:pPr>
            <w:r w:rsidRPr="003611CF">
              <w:rPr>
                <w:rFonts w:ascii="Arial" w:eastAsia="Calibri" w:hAnsi="Arial" w:cs="Arial"/>
                <w:color w:val="000000"/>
                <w:sz w:val="20"/>
                <w:lang w:val="en-GB"/>
              </w:rPr>
              <w:t>31%</w:t>
            </w:r>
          </w:p>
        </w:tc>
        <w:tc>
          <w:tcPr>
            <w:tcW w:w="1241" w:type="dxa"/>
            <w:shd w:val="clear" w:color="auto" w:fill="FDE9D9"/>
          </w:tcPr>
          <w:p w:rsidR="003611CF" w:rsidRPr="003611CF" w:rsidRDefault="003611CF" w:rsidP="003611CF">
            <w:pPr>
              <w:spacing w:before="0" w:after="0" w:line="240" w:lineRule="auto"/>
              <w:rPr>
                <w:rFonts w:ascii="Arial" w:eastAsia="Calibri" w:hAnsi="Arial" w:cs="Arial"/>
                <w:color w:val="000000"/>
                <w:sz w:val="20"/>
                <w:lang w:val="en-GB"/>
              </w:rPr>
            </w:pPr>
          </w:p>
        </w:tc>
      </w:tr>
      <w:tr w:rsidR="003611CF" w:rsidRPr="003611CF" w:rsidTr="003611CF">
        <w:tc>
          <w:tcPr>
            <w:tcW w:w="583" w:type="dxa"/>
            <w:shd w:val="clear" w:color="auto" w:fill="FEF4EC"/>
          </w:tcPr>
          <w:p w:rsidR="003611CF" w:rsidRPr="003611CF" w:rsidRDefault="003611CF" w:rsidP="003611CF">
            <w:pPr>
              <w:spacing w:before="0" w:after="0" w:line="240" w:lineRule="auto"/>
              <w:jc w:val="center"/>
              <w:rPr>
                <w:rFonts w:ascii="Arial" w:eastAsia="Calibri" w:hAnsi="Arial" w:cs="Arial"/>
                <w:bCs/>
                <w:color w:val="000000"/>
                <w:sz w:val="20"/>
                <w:lang w:val="en-GB"/>
              </w:rPr>
            </w:pPr>
            <w:r w:rsidRPr="003611CF">
              <w:rPr>
                <w:rFonts w:ascii="Arial" w:eastAsia="Calibri" w:hAnsi="Arial" w:cs="Arial"/>
                <w:bCs/>
                <w:color w:val="000000"/>
                <w:sz w:val="20"/>
                <w:lang w:val="en-GB"/>
              </w:rPr>
              <w:t>2.</w:t>
            </w:r>
          </w:p>
        </w:tc>
        <w:tc>
          <w:tcPr>
            <w:tcW w:w="2644" w:type="dxa"/>
            <w:shd w:val="clear" w:color="auto" w:fill="FEF4EC"/>
          </w:tcPr>
          <w:p w:rsidR="003611CF" w:rsidRPr="003611CF" w:rsidRDefault="003611CF" w:rsidP="003611CF">
            <w:pPr>
              <w:spacing w:before="0" w:after="0" w:line="240" w:lineRule="auto"/>
              <w:jc w:val="left"/>
              <w:rPr>
                <w:rFonts w:ascii="Arial" w:eastAsia="Calibri" w:hAnsi="Arial" w:cs="Arial"/>
                <w:color w:val="000000"/>
                <w:sz w:val="20"/>
                <w:lang w:val="en-GB"/>
              </w:rPr>
            </w:pPr>
            <w:r w:rsidRPr="003611CF">
              <w:rPr>
                <w:rFonts w:ascii="Arial" w:eastAsia="Calibri" w:hAnsi="Arial" w:cs="Arial"/>
                <w:color w:val="000000"/>
                <w:sz w:val="20"/>
                <w:lang w:val="en-GB"/>
              </w:rPr>
              <w:t>Broj potpunih nadzora</w:t>
            </w:r>
          </w:p>
        </w:tc>
        <w:tc>
          <w:tcPr>
            <w:tcW w:w="1276"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lang w:val="en-GB"/>
              </w:rPr>
            </w:pPr>
            <w:r w:rsidRPr="003611CF">
              <w:rPr>
                <w:rFonts w:ascii="Arial" w:eastAsia="Calibri" w:hAnsi="Arial" w:cs="Arial"/>
                <w:color w:val="000000"/>
                <w:sz w:val="20"/>
                <w:lang w:val="en-GB"/>
              </w:rPr>
              <w:t>44</w:t>
            </w:r>
          </w:p>
        </w:tc>
        <w:tc>
          <w:tcPr>
            <w:tcW w:w="1275"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lang w:val="en-GB"/>
              </w:rPr>
            </w:pPr>
            <w:r w:rsidRPr="003611CF">
              <w:rPr>
                <w:rFonts w:ascii="Arial" w:eastAsia="Calibri" w:hAnsi="Arial" w:cs="Arial"/>
                <w:color w:val="000000"/>
                <w:sz w:val="20"/>
                <w:lang w:val="en-GB"/>
              </w:rPr>
              <w:t>80%</w:t>
            </w:r>
          </w:p>
        </w:tc>
        <w:tc>
          <w:tcPr>
            <w:tcW w:w="1418"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lang w:val="en-GB"/>
              </w:rPr>
            </w:pPr>
            <w:r w:rsidRPr="003611CF">
              <w:rPr>
                <w:rFonts w:ascii="Arial" w:eastAsia="Calibri" w:hAnsi="Arial" w:cs="Arial"/>
                <w:color w:val="000000"/>
                <w:sz w:val="20"/>
                <w:lang w:val="en-GB"/>
              </w:rPr>
              <w:t>27</w:t>
            </w:r>
          </w:p>
        </w:tc>
        <w:tc>
          <w:tcPr>
            <w:tcW w:w="1417"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lang w:val="en-GB"/>
              </w:rPr>
            </w:pPr>
            <w:r w:rsidRPr="003611CF">
              <w:rPr>
                <w:rFonts w:ascii="Arial" w:eastAsia="Calibri" w:hAnsi="Arial" w:cs="Arial"/>
                <w:color w:val="000000"/>
                <w:sz w:val="20"/>
                <w:lang w:val="en-GB"/>
              </w:rPr>
              <w:t>69%</w:t>
            </w:r>
          </w:p>
        </w:tc>
        <w:tc>
          <w:tcPr>
            <w:tcW w:w="1241" w:type="dxa"/>
            <w:shd w:val="clear" w:color="auto" w:fill="FEF4EC"/>
          </w:tcPr>
          <w:p w:rsidR="003611CF" w:rsidRPr="003611CF" w:rsidRDefault="003611CF" w:rsidP="003611CF">
            <w:pPr>
              <w:spacing w:before="0" w:after="0" w:line="240" w:lineRule="auto"/>
              <w:rPr>
                <w:rFonts w:ascii="Arial" w:eastAsia="Calibri" w:hAnsi="Arial" w:cs="Arial"/>
                <w:color w:val="000000"/>
                <w:sz w:val="20"/>
                <w:lang w:val="en-GB"/>
              </w:rPr>
            </w:pPr>
          </w:p>
        </w:tc>
      </w:tr>
      <w:tr w:rsidR="003611CF" w:rsidRPr="003611CF" w:rsidTr="003611CF">
        <w:tc>
          <w:tcPr>
            <w:tcW w:w="583" w:type="dxa"/>
            <w:shd w:val="clear" w:color="auto" w:fill="FDE9D9"/>
          </w:tcPr>
          <w:p w:rsidR="003611CF" w:rsidRPr="003611CF" w:rsidRDefault="003611CF" w:rsidP="003611CF">
            <w:pPr>
              <w:spacing w:before="0" w:after="0" w:line="240" w:lineRule="auto"/>
              <w:jc w:val="center"/>
              <w:rPr>
                <w:rFonts w:ascii="Arial" w:eastAsia="Calibri" w:hAnsi="Arial" w:cs="Arial"/>
                <w:bCs/>
                <w:color w:val="000000"/>
                <w:sz w:val="20"/>
                <w:lang w:val="en-GB"/>
              </w:rPr>
            </w:pPr>
            <w:r w:rsidRPr="003611CF">
              <w:rPr>
                <w:rFonts w:ascii="Arial" w:eastAsia="Calibri" w:hAnsi="Arial" w:cs="Arial"/>
                <w:bCs/>
                <w:color w:val="000000"/>
                <w:sz w:val="20"/>
                <w:lang w:val="en-GB"/>
              </w:rPr>
              <w:t>3.</w:t>
            </w:r>
          </w:p>
        </w:tc>
        <w:tc>
          <w:tcPr>
            <w:tcW w:w="2644" w:type="dxa"/>
            <w:shd w:val="clear" w:color="auto" w:fill="FDE9D9"/>
          </w:tcPr>
          <w:p w:rsidR="003611CF" w:rsidRPr="003611CF" w:rsidRDefault="003611CF" w:rsidP="003611CF">
            <w:pPr>
              <w:spacing w:before="0" w:after="0" w:line="240" w:lineRule="auto"/>
              <w:jc w:val="left"/>
              <w:rPr>
                <w:rFonts w:ascii="Arial" w:eastAsia="Calibri" w:hAnsi="Arial" w:cs="Arial"/>
                <w:color w:val="000000"/>
                <w:sz w:val="20"/>
                <w:lang w:val="en-GB"/>
              </w:rPr>
            </w:pPr>
            <w:r w:rsidRPr="003611CF">
              <w:rPr>
                <w:rFonts w:ascii="Arial" w:eastAsia="Calibri" w:hAnsi="Arial" w:cs="Arial"/>
                <w:color w:val="000000"/>
                <w:sz w:val="20"/>
                <w:lang w:val="en-GB"/>
              </w:rPr>
              <w:t>Ukupan iznos traženog PDV kredita</w:t>
            </w:r>
          </w:p>
        </w:tc>
        <w:tc>
          <w:tcPr>
            <w:tcW w:w="1276"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lang w:val="en-GB"/>
              </w:rPr>
            </w:pPr>
            <w:r w:rsidRPr="003611CF">
              <w:rPr>
                <w:rFonts w:ascii="Arial" w:eastAsia="Calibri" w:hAnsi="Arial" w:cs="Arial"/>
                <w:color w:val="000000"/>
                <w:sz w:val="20"/>
                <w:lang w:val="en-GB"/>
              </w:rPr>
              <w:t>27.417.867</w:t>
            </w:r>
          </w:p>
        </w:tc>
        <w:tc>
          <w:tcPr>
            <w:tcW w:w="1275"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lang w:val="en-GB"/>
              </w:rPr>
            </w:pPr>
          </w:p>
        </w:tc>
        <w:tc>
          <w:tcPr>
            <w:tcW w:w="1418"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lang w:val="en-GB"/>
              </w:rPr>
            </w:pPr>
            <w:r w:rsidRPr="003611CF">
              <w:rPr>
                <w:rFonts w:ascii="Arial" w:eastAsia="Calibri" w:hAnsi="Arial" w:cs="Arial"/>
                <w:color w:val="000000"/>
                <w:sz w:val="20"/>
                <w:lang w:val="en-GB"/>
              </w:rPr>
              <w:t>22.594.825</w:t>
            </w:r>
          </w:p>
        </w:tc>
        <w:tc>
          <w:tcPr>
            <w:tcW w:w="1417"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lang w:val="en-GB"/>
              </w:rPr>
            </w:pPr>
          </w:p>
        </w:tc>
        <w:tc>
          <w:tcPr>
            <w:tcW w:w="1241" w:type="dxa"/>
            <w:shd w:val="clear" w:color="auto" w:fill="FDE9D9"/>
          </w:tcPr>
          <w:p w:rsidR="003611CF" w:rsidRPr="003611CF" w:rsidRDefault="003611CF" w:rsidP="003611CF">
            <w:pPr>
              <w:spacing w:before="0" w:after="0" w:line="240" w:lineRule="auto"/>
              <w:rPr>
                <w:rFonts w:ascii="Arial" w:eastAsia="Calibri" w:hAnsi="Arial" w:cs="Arial"/>
                <w:color w:val="000000"/>
                <w:sz w:val="20"/>
                <w:lang w:val="en-GB"/>
              </w:rPr>
            </w:pPr>
          </w:p>
        </w:tc>
      </w:tr>
      <w:tr w:rsidR="003611CF" w:rsidRPr="003611CF" w:rsidTr="003611CF">
        <w:tc>
          <w:tcPr>
            <w:tcW w:w="583" w:type="dxa"/>
            <w:shd w:val="clear" w:color="auto" w:fill="FEF4EC"/>
          </w:tcPr>
          <w:p w:rsidR="003611CF" w:rsidRPr="003611CF" w:rsidRDefault="003611CF" w:rsidP="003611CF">
            <w:pPr>
              <w:spacing w:before="0" w:after="0" w:line="240" w:lineRule="auto"/>
              <w:jc w:val="center"/>
              <w:rPr>
                <w:rFonts w:ascii="Arial" w:eastAsia="Calibri" w:hAnsi="Arial" w:cs="Arial"/>
                <w:bCs/>
                <w:color w:val="000000"/>
                <w:sz w:val="20"/>
                <w:lang w:val="en-GB"/>
              </w:rPr>
            </w:pPr>
            <w:r w:rsidRPr="003611CF">
              <w:rPr>
                <w:rFonts w:ascii="Arial" w:eastAsia="Calibri" w:hAnsi="Arial" w:cs="Arial"/>
                <w:bCs/>
                <w:color w:val="000000"/>
                <w:sz w:val="20"/>
                <w:lang w:val="en-GB"/>
              </w:rPr>
              <w:t>4.</w:t>
            </w:r>
          </w:p>
        </w:tc>
        <w:tc>
          <w:tcPr>
            <w:tcW w:w="2644" w:type="dxa"/>
            <w:shd w:val="clear" w:color="auto" w:fill="FEF4EC"/>
          </w:tcPr>
          <w:p w:rsidR="003611CF" w:rsidRPr="003611CF" w:rsidRDefault="003611CF" w:rsidP="003611CF">
            <w:pPr>
              <w:spacing w:before="0" w:after="0" w:line="240" w:lineRule="auto"/>
              <w:jc w:val="left"/>
              <w:rPr>
                <w:rFonts w:ascii="Arial" w:eastAsia="Calibri" w:hAnsi="Arial" w:cs="Arial"/>
                <w:color w:val="000000"/>
                <w:sz w:val="20"/>
                <w:lang w:val="en-GB"/>
              </w:rPr>
            </w:pPr>
            <w:r w:rsidRPr="003611CF">
              <w:rPr>
                <w:rFonts w:ascii="Arial" w:eastAsia="Calibri" w:hAnsi="Arial" w:cs="Arial"/>
                <w:color w:val="000000"/>
                <w:sz w:val="20"/>
                <w:lang w:val="en-GB"/>
              </w:rPr>
              <w:t>Iznos osnovanog PDV kredita</w:t>
            </w:r>
          </w:p>
        </w:tc>
        <w:tc>
          <w:tcPr>
            <w:tcW w:w="1276"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lang w:val="en-GB"/>
              </w:rPr>
            </w:pPr>
            <w:r w:rsidRPr="003611CF">
              <w:rPr>
                <w:rFonts w:ascii="Arial" w:eastAsia="Calibri" w:hAnsi="Arial" w:cs="Arial"/>
                <w:color w:val="000000"/>
                <w:sz w:val="20"/>
                <w:lang w:val="en-GB"/>
              </w:rPr>
              <w:t>27.365.732</w:t>
            </w:r>
          </w:p>
        </w:tc>
        <w:tc>
          <w:tcPr>
            <w:tcW w:w="1275"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lang w:val="en-GB"/>
              </w:rPr>
            </w:pPr>
            <w:r w:rsidRPr="003611CF">
              <w:rPr>
                <w:rFonts w:ascii="Arial" w:eastAsia="Calibri" w:hAnsi="Arial" w:cs="Arial"/>
                <w:color w:val="000000"/>
                <w:sz w:val="20"/>
                <w:lang w:val="en-GB"/>
              </w:rPr>
              <w:t>99,80%</w:t>
            </w:r>
          </w:p>
        </w:tc>
        <w:tc>
          <w:tcPr>
            <w:tcW w:w="1418"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lang w:val="en-GB"/>
              </w:rPr>
            </w:pPr>
            <w:r w:rsidRPr="003611CF">
              <w:rPr>
                <w:rFonts w:ascii="Arial" w:eastAsia="Calibri" w:hAnsi="Arial" w:cs="Arial"/>
                <w:color w:val="000000"/>
                <w:sz w:val="20"/>
                <w:lang w:val="en-GB"/>
              </w:rPr>
              <w:t>22.178.563</w:t>
            </w:r>
          </w:p>
        </w:tc>
        <w:tc>
          <w:tcPr>
            <w:tcW w:w="1417" w:type="dxa"/>
            <w:shd w:val="clear" w:color="auto" w:fill="FEF4EC"/>
          </w:tcPr>
          <w:p w:rsidR="003611CF" w:rsidRPr="003611CF" w:rsidRDefault="003611CF" w:rsidP="003611CF">
            <w:pPr>
              <w:spacing w:before="0" w:after="0" w:line="240" w:lineRule="auto"/>
              <w:jc w:val="center"/>
              <w:rPr>
                <w:rFonts w:ascii="Arial" w:eastAsia="Calibri" w:hAnsi="Arial" w:cs="Arial"/>
                <w:color w:val="000000"/>
                <w:sz w:val="20"/>
                <w:lang w:val="en-GB"/>
              </w:rPr>
            </w:pPr>
            <w:r w:rsidRPr="003611CF">
              <w:rPr>
                <w:rFonts w:ascii="Arial" w:eastAsia="Calibri" w:hAnsi="Arial" w:cs="Arial"/>
                <w:color w:val="000000"/>
                <w:sz w:val="20"/>
                <w:lang w:val="en-GB"/>
              </w:rPr>
              <w:t>98%</w:t>
            </w:r>
          </w:p>
        </w:tc>
        <w:tc>
          <w:tcPr>
            <w:tcW w:w="1241" w:type="dxa"/>
            <w:shd w:val="clear" w:color="auto" w:fill="FEF4EC"/>
          </w:tcPr>
          <w:p w:rsidR="003611CF" w:rsidRPr="003611CF" w:rsidRDefault="003611CF" w:rsidP="003611CF">
            <w:pPr>
              <w:spacing w:before="0" w:after="0" w:line="240" w:lineRule="auto"/>
              <w:rPr>
                <w:rFonts w:ascii="Arial" w:eastAsia="Calibri" w:hAnsi="Arial" w:cs="Arial"/>
                <w:color w:val="000000"/>
                <w:sz w:val="20"/>
                <w:lang w:val="en-GB"/>
              </w:rPr>
            </w:pPr>
          </w:p>
        </w:tc>
      </w:tr>
      <w:tr w:rsidR="003611CF" w:rsidRPr="003611CF" w:rsidTr="003611CF">
        <w:tc>
          <w:tcPr>
            <w:tcW w:w="583" w:type="dxa"/>
            <w:shd w:val="clear" w:color="auto" w:fill="FDE9D9"/>
          </w:tcPr>
          <w:p w:rsidR="003611CF" w:rsidRPr="003611CF" w:rsidRDefault="003611CF" w:rsidP="003611CF">
            <w:pPr>
              <w:spacing w:before="0" w:after="0" w:line="240" w:lineRule="auto"/>
              <w:jc w:val="center"/>
              <w:rPr>
                <w:rFonts w:ascii="Arial" w:eastAsia="Calibri" w:hAnsi="Arial" w:cs="Arial"/>
                <w:bCs/>
                <w:color w:val="000000"/>
                <w:sz w:val="20"/>
                <w:lang w:val="en-GB"/>
              </w:rPr>
            </w:pPr>
            <w:r w:rsidRPr="003611CF">
              <w:rPr>
                <w:rFonts w:ascii="Arial" w:eastAsia="Calibri" w:hAnsi="Arial" w:cs="Arial"/>
                <w:bCs/>
                <w:color w:val="000000"/>
                <w:sz w:val="20"/>
                <w:lang w:val="en-GB"/>
              </w:rPr>
              <w:lastRenderedPageBreak/>
              <w:t>5.</w:t>
            </w:r>
          </w:p>
        </w:tc>
        <w:tc>
          <w:tcPr>
            <w:tcW w:w="2644" w:type="dxa"/>
            <w:shd w:val="clear" w:color="auto" w:fill="FDE9D9"/>
          </w:tcPr>
          <w:p w:rsidR="003611CF" w:rsidRPr="003611CF" w:rsidRDefault="003611CF" w:rsidP="003611CF">
            <w:pPr>
              <w:spacing w:before="0" w:after="0" w:line="240" w:lineRule="auto"/>
              <w:jc w:val="left"/>
              <w:rPr>
                <w:rFonts w:ascii="Arial" w:eastAsia="Calibri" w:hAnsi="Arial" w:cs="Arial"/>
                <w:color w:val="000000"/>
                <w:sz w:val="20"/>
                <w:lang w:val="en-GB"/>
              </w:rPr>
            </w:pPr>
            <w:r w:rsidRPr="003611CF">
              <w:rPr>
                <w:rFonts w:ascii="Arial" w:eastAsia="Calibri" w:hAnsi="Arial" w:cs="Arial"/>
                <w:color w:val="000000"/>
                <w:sz w:val="20"/>
                <w:lang w:val="en-GB"/>
              </w:rPr>
              <w:t>Iznos neosnovanog PDV kredita</w:t>
            </w:r>
          </w:p>
        </w:tc>
        <w:tc>
          <w:tcPr>
            <w:tcW w:w="1276"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lang w:val="en-GB"/>
              </w:rPr>
            </w:pPr>
            <w:r w:rsidRPr="003611CF">
              <w:rPr>
                <w:rFonts w:ascii="Arial" w:eastAsia="Calibri" w:hAnsi="Arial" w:cs="Arial"/>
                <w:color w:val="000000"/>
                <w:sz w:val="20"/>
                <w:lang w:val="en-GB"/>
              </w:rPr>
              <w:t>52.135</w:t>
            </w:r>
          </w:p>
        </w:tc>
        <w:tc>
          <w:tcPr>
            <w:tcW w:w="1275"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lang w:val="en-GB"/>
              </w:rPr>
            </w:pPr>
            <w:r w:rsidRPr="003611CF">
              <w:rPr>
                <w:rFonts w:ascii="Arial" w:eastAsia="Calibri" w:hAnsi="Arial" w:cs="Arial"/>
                <w:color w:val="000000"/>
                <w:sz w:val="20"/>
                <w:lang w:val="en-GB"/>
              </w:rPr>
              <w:t>0,19%</w:t>
            </w:r>
          </w:p>
        </w:tc>
        <w:tc>
          <w:tcPr>
            <w:tcW w:w="1418"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lang w:val="en-GB"/>
              </w:rPr>
            </w:pPr>
            <w:r w:rsidRPr="003611CF">
              <w:rPr>
                <w:rFonts w:ascii="Arial" w:eastAsia="Calibri" w:hAnsi="Arial" w:cs="Arial"/>
                <w:color w:val="000000"/>
                <w:sz w:val="20"/>
                <w:lang w:val="en-GB"/>
              </w:rPr>
              <w:t>416.262</w:t>
            </w:r>
          </w:p>
        </w:tc>
        <w:tc>
          <w:tcPr>
            <w:tcW w:w="1417" w:type="dxa"/>
            <w:shd w:val="clear" w:color="auto" w:fill="FDE9D9"/>
          </w:tcPr>
          <w:p w:rsidR="003611CF" w:rsidRPr="003611CF" w:rsidRDefault="003611CF" w:rsidP="003611CF">
            <w:pPr>
              <w:spacing w:before="0" w:after="0" w:line="240" w:lineRule="auto"/>
              <w:jc w:val="center"/>
              <w:rPr>
                <w:rFonts w:ascii="Arial" w:eastAsia="Calibri" w:hAnsi="Arial" w:cs="Arial"/>
                <w:color w:val="000000"/>
                <w:sz w:val="20"/>
                <w:lang w:val="en-GB"/>
              </w:rPr>
            </w:pPr>
            <w:r w:rsidRPr="003611CF">
              <w:rPr>
                <w:rFonts w:ascii="Arial" w:eastAsia="Calibri" w:hAnsi="Arial" w:cs="Arial"/>
                <w:color w:val="000000"/>
                <w:sz w:val="20"/>
                <w:lang w:val="en-GB"/>
              </w:rPr>
              <w:t>1,8%</w:t>
            </w:r>
          </w:p>
        </w:tc>
        <w:tc>
          <w:tcPr>
            <w:tcW w:w="1241" w:type="dxa"/>
            <w:shd w:val="clear" w:color="auto" w:fill="FDE9D9"/>
          </w:tcPr>
          <w:p w:rsidR="003611CF" w:rsidRPr="003611CF" w:rsidRDefault="003611CF" w:rsidP="003611CF">
            <w:pPr>
              <w:spacing w:before="0" w:after="0" w:line="240" w:lineRule="auto"/>
              <w:rPr>
                <w:rFonts w:ascii="Arial" w:eastAsia="Calibri" w:hAnsi="Arial" w:cs="Arial"/>
                <w:color w:val="000000"/>
                <w:sz w:val="20"/>
                <w:lang w:val="en-GB"/>
              </w:rPr>
            </w:pPr>
          </w:p>
        </w:tc>
      </w:tr>
    </w:tbl>
    <w:p w:rsidR="003611CF" w:rsidRPr="003611CF" w:rsidRDefault="003611CF" w:rsidP="003611CF">
      <w:pPr>
        <w:spacing w:before="0" w:after="0" w:line="240" w:lineRule="auto"/>
        <w:rPr>
          <w:rFonts w:ascii="Arial" w:eastAsia="Times New Roman" w:hAnsi="Arial" w:cs="Arial"/>
          <w:b/>
          <w:sz w:val="22"/>
          <w:lang w:val="en-GB"/>
        </w:rPr>
      </w:pPr>
    </w:p>
    <w:p w:rsidR="003611CF" w:rsidRPr="00CB5BEE" w:rsidRDefault="003611CF" w:rsidP="00CB5BEE">
      <w:pPr>
        <w:spacing w:before="0" w:after="0" w:line="240" w:lineRule="auto"/>
        <w:rPr>
          <w:rFonts w:eastAsia="Times New Roman" w:cstheme="minorHAnsi"/>
          <w:szCs w:val="24"/>
          <w:lang w:val="en-GB"/>
        </w:rPr>
      </w:pPr>
      <w:r w:rsidRPr="003611CF">
        <w:rPr>
          <w:rFonts w:ascii="Arial" w:eastAsia="Times New Roman" w:hAnsi="Arial" w:cs="Arial"/>
          <w:sz w:val="22"/>
          <w:lang w:val="en-GB"/>
        </w:rPr>
        <w:tab/>
      </w:r>
      <w:r w:rsidRPr="00CB5BEE">
        <w:rPr>
          <w:rFonts w:eastAsia="Times New Roman" w:cstheme="minorHAnsi"/>
          <w:szCs w:val="24"/>
          <w:lang w:val="en-GB"/>
        </w:rPr>
        <w:t>Ukupan broj izvršenih inspekcijskih nadzora po osnovu Zahtjeva za povraćaj PDV-a u izvještajnom periodu je 55 VPO.</w:t>
      </w:r>
    </w:p>
    <w:p w:rsidR="003611CF" w:rsidRPr="00CB5BEE" w:rsidRDefault="003611CF" w:rsidP="00CB5BEE">
      <w:pPr>
        <w:spacing w:before="0" w:after="0" w:line="240" w:lineRule="auto"/>
        <w:rPr>
          <w:rFonts w:eastAsia="Times New Roman" w:cstheme="minorHAnsi"/>
          <w:b/>
          <w:szCs w:val="24"/>
          <w:lang w:val="en-GB"/>
        </w:rPr>
      </w:pPr>
    </w:p>
    <w:p w:rsidR="003611CF" w:rsidRPr="00CB5BEE" w:rsidRDefault="003611CF" w:rsidP="004D6CB4">
      <w:pPr>
        <w:numPr>
          <w:ilvl w:val="0"/>
          <w:numId w:val="144"/>
        </w:numPr>
        <w:tabs>
          <w:tab w:val="left" w:pos="0"/>
          <w:tab w:val="left" w:pos="709"/>
        </w:tabs>
        <w:spacing w:before="0" w:after="0" w:line="240" w:lineRule="auto"/>
        <w:ind w:left="0" w:firstLine="360"/>
        <w:jc w:val="left"/>
        <w:rPr>
          <w:rFonts w:eastAsia="Times New Roman" w:cstheme="minorHAnsi"/>
          <w:b/>
          <w:szCs w:val="24"/>
          <w:lang w:val="en-GB"/>
        </w:rPr>
      </w:pPr>
      <w:r w:rsidRPr="00CB5BEE">
        <w:rPr>
          <w:rFonts w:eastAsia="Times New Roman" w:cstheme="minorHAnsi"/>
          <w:b/>
          <w:szCs w:val="24"/>
          <w:lang w:val="en-GB"/>
        </w:rPr>
        <w:t>PDV POVRAĆAJ SEKTORA ZA VPO (kroz aplikaciju Povraćaja)</w:t>
      </w:r>
    </w:p>
    <w:p w:rsidR="003611CF" w:rsidRPr="00CB5BEE" w:rsidRDefault="003611CF" w:rsidP="004D6CB4">
      <w:pPr>
        <w:numPr>
          <w:ilvl w:val="0"/>
          <w:numId w:val="147"/>
        </w:numPr>
        <w:tabs>
          <w:tab w:val="left" w:pos="0"/>
          <w:tab w:val="left" w:pos="709"/>
        </w:tabs>
        <w:spacing w:before="0" w:after="0" w:line="240" w:lineRule="auto"/>
        <w:ind w:left="0" w:firstLine="360"/>
        <w:contextualSpacing/>
        <w:jc w:val="left"/>
        <w:rPr>
          <w:rFonts w:eastAsia="Times New Roman" w:cstheme="minorHAnsi"/>
          <w:szCs w:val="24"/>
          <w:lang w:val="hr-HR" w:eastAsia="hr-HR"/>
        </w:rPr>
      </w:pPr>
      <w:r w:rsidRPr="00CB5BEE">
        <w:rPr>
          <w:rFonts w:eastAsia="Times New Roman" w:cstheme="minorHAnsi"/>
          <w:szCs w:val="24"/>
          <w:lang w:val="hr-HR" w:eastAsia="hr-HR"/>
        </w:rPr>
        <w:t>Broj podnijetih Zahtjeva za povraćaj PDV                           254</w:t>
      </w:r>
    </w:p>
    <w:p w:rsidR="003611CF" w:rsidRPr="00CB5BEE" w:rsidRDefault="003611CF" w:rsidP="004D6CB4">
      <w:pPr>
        <w:numPr>
          <w:ilvl w:val="0"/>
          <w:numId w:val="147"/>
        </w:numPr>
        <w:tabs>
          <w:tab w:val="left" w:pos="0"/>
          <w:tab w:val="left" w:pos="709"/>
        </w:tabs>
        <w:spacing w:before="0" w:after="0" w:line="240" w:lineRule="auto"/>
        <w:ind w:left="0" w:firstLine="360"/>
        <w:contextualSpacing/>
        <w:jc w:val="left"/>
        <w:rPr>
          <w:rFonts w:eastAsia="Times New Roman" w:cstheme="minorHAnsi"/>
          <w:szCs w:val="24"/>
          <w:lang w:val="hr-HR" w:eastAsia="hr-HR"/>
        </w:rPr>
      </w:pPr>
      <w:r w:rsidRPr="00CB5BEE">
        <w:rPr>
          <w:rFonts w:eastAsia="Times New Roman" w:cstheme="minorHAnsi"/>
          <w:szCs w:val="24"/>
          <w:lang w:val="hr-HR" w:eastAsia="hr-HR"/>
        </w:rPr>
        <w:t>Broj obrađenih Zahtjeva za  povraćaj PDV                          240</w:t>
      </w:r>
    </w:p>
    <w:p w:rsidR="003611CF" w:rsidRPr="00CB5BEE" w:rsidRDefault="003611CF" w:rsidP="004D6CB4">
      <w:pPr>
        <w:numPr>
          <w:ilvl w:val="0"/>
          <w:numId w:val="147"/>
        </w:numPr>
        <w:tabs>
          <w:tab w:val="left" w:pos="0"/>
          <w:tab w:val="left" w:pos="709"/>
        </w:tabs>
        <w:spacing w:before="0" w:after="0" w:line="240" w:lineRule="auto"/>
        <w:ind w:left="0" w:firstLine="360"/>
        <w:contextualSpacing/>
        <w:jc w:val="left"/>
        <w:rPr>
          <w:rFonts w:eastAsia="Times New Roman" w:cstheme="minorHAnsi"/>
          <w:szCs w:val="24"/>
          <w:lang w:val="hr-HR" w:eastAsia="hr-HR"/>
        </w:rPr>
      </w:pPr>
      <w:r w:rsidRPr="00CB5BEE">
        <w:rPr>
          <w:rFonts w:eastAsia="Times New Roman" w:cstheme="minorHAnsi"/>
          <w:szCs w:val="24"/>
          <w:lang w:val="hr-HR" w:eastAsia="hr-HR"/>
        </w:rPr>
        <w:t>Broj neobrađenih zahtjeva za povraćaj PDV                           1</w:t>
      </w:r>
    </w:p>
    <w:p w:rsidR="003611CF" w:rsidRPr="00CB5BEE" w:rsidRDefault="003611CF" w:rsidP="004D6CB4">
      <w:pPr>
        <w:numPr>
          <w:ilvl w:val="0"/>
          <w:numId w:val="147"/>
        </w:numPr>
        <w:tabs>
          <w:tab w:val="left" w:pos="0"/>
          <w:tab w:val="left" w:pos="709"/>
        </w:tabs>
        <w:spacing w:before="0" w:after="0" w:line="240" w:lineRule="auto"/>
        <w:ind w:left="0" w:firstLine="360"/>
        <w:contextualSpacing/>
        <w:jc w:val="left"/>
        <w:rPr>
          <w:rFonts w:eastAsia="Times New Roman" w:cstheme="minorHAnsi"/>
          <w:szCs w:val="24"/>
          <w:lang w:val="hr-HR" w:eastAsia="hr-HR"/>
        </w:rPr>
      </w:pPr>
      <w:r w:rsidRPr="00CB5BEE">
        <w:rPr>
          <w:rFonts w:eastAsia="Times New Roman" w:cstheme="minorHAnsi"/>
          <w:szCs w:val="24"/>
          <w:lang w:val="hr-HR" w:eastAsia="hr-HR"/>
        </w:rPr>
        <w:t>Broj storniranih Zahtjeva za povraćaj PDV                           13</w:t>
      </w:r>
    </w:p>
    <w:p w:rsidR="003611CF" w:rsidRPr="00CB5BEE" w:rsidRDefault="003611CF" w:rsidP="004D6CB4">
      <w:pPr>
        <w:numPr>
          <w:ilvl w:val="0"/>
          <w:numId w:val="147"/>
        </w:numPr>
        <w:tabs>
          <w:tab w:val="left" w:pos="0"/>
          <w:tab w:val="left" w:pos="709"/>
        </w:tabs>
        <w:spacing w:before="0" w:after="0" w:line="240" w:lineRule="auto"/>
        <w:ind w:left="0" w:firstLine="360"/>
        <w:contextualSpacing/>
        <w:jc w:val="left"/>
        <w:rPr>
          <w:rFonts w:eastAsia="Times New Roman" w:cstheme="minorHAnsi"/>
          <w:szCs w:val="24"/>
          <w:lang w:val="hr-HR" w:eastAsia="hr-HR"/>
        </w:rPr>
      </w:pPr>
      <w:r w:rsidRPr="00CB5BEE">
        <w:rPr>
          <w:rFonts w:eastAsia="Times New Roman" w:cstheme="minorHAnsi"/>
          <w:szCs w:val="24"/>
          <w:lang w:val="hr-HR" w:eastAsia="hr-HR"/>
        </w:rPr>
        <w:t>Iznos iskazanog PDV-kredita                                  56.729.935€</w:t>
      </w:r>
    </w:p>
    <w:p w:rsidR="003611CF" w:rsidRPr="00CB5BEE" w:rsidRDefault="003611CF" w:rsidP="004D6CB4">
      <w:pPr>
        <w:numPr>
          <w:ilvl w:val="0"/>
          <w:numId w:val="147"/>
        </w:numPr>
        <w:tabs>
          <w:tab w:val="left" w:pos="0"/>
          <w:tab w:val="left" w:pos="709"/>
        </w:tabs>
        <w:spacing w:before="0" w:after="0" w:line="240" w:lineRule="auto"/>
        <w:ind w:left="0" w:firstLine="360"/>
        <w:contextualSpacing/>
        <w:jc w:val="left"/>
        <w:rPr>
          <w:rFonts w:eastAsia="Times New Roman" w:cstheme="minorHAnsi"/>
          <w:szCs w:val="24"/>
          <w:lang w:val="hr-HR" w:eastAsia="hr-HR"/>
        </w:rPr>
      </w:pPr>
      <w:r w:rsidRPr="00CB5BEE">
        <w:rPr>
          <w:rFonts w:eastAsia="Times New Roman" w:cstheme="minorHAnsi"/>
          <w:szCs w:val="24"/>
          <w:lang w:val="hr-HR" w:eastAsia="hr-HR"/>
        </w:rPr>
        <w:t>Iznos sredstava za povraćenih na račun PO           34.123.127€</w:t>
      </w:r>
    </w:p>
    <w:p w:rsidR="003611CF" w:rsidRPr="00CB5BEE" w:rsidRDefault="003611CF" w:rsidP="004D6CB4">
      <w:pPr>
        <w:numPr>
          <w:ilvl w:val="0"/>
          <w:numId w:val="147"/>
        </w:numPr>
        <w:tabs>
          <w:tab w:val="left" w:pos="0"/>
          <w:tab w:val="left" w:pos="709"/>
        </w:tabs>
        <w:spacing w:before="0" w:after="0" w:line="240" w:lineRule="auto"/>
        <w:ind w:left="0" w:firstLine="360"/>
        <w:contextualSpacing/>
        <w:jc w:val="left"/>
        <w:rPr>
          <w:rFonts w:eastAsia="Times New Roman" w:cstheme="minorHAnsi"/>
          <w:szCs w:val="24"/>
          <w:lang w:val="hr-HR" w:eastAsia="hr-HR"/>
        </w:rPr>
      </w:pPr>
      <w:r w:rsidRPr="00CB5BEE">
        <w:rPr>
          <w:rFonts w:eastAsia="Times New Roman" w:cstheme="minorHAnsi"/>
          <w:szCs w:val="24"/>
          <w:lang w:val="hr-HR" w:eastAsia="hr-HR"/>
        </w:rPr>
        <w:t>Iznos za preusmjer sredstava                                 14.968.168€</w:t>
      </w:r>
    </w:p>
    <w:p w:rsidR="003611CF" w:rsidRPr="00CB5BEE" w:rsidRDefault="003611CF" w:rsidP="004D6CB4">
      <w:pPr>
        <w:numPr>
          <w:ilvl w:val="0"/>
          <w:numId w:val="147"/>
        </w:numPr>
        <w:tabs>
          <w:tab w:val="left" w:pos="0"/>
          <w:tab w:val="left" w:pos="709"/>
        </w:tabs>
        <w:spacing w:before="0" w:after="0" w:line="240" w:lineRule="auto"/>
        <w:ind w:left="0" w:firstLine="360"/>
        <w:contextualSpacing/>
        <w:jc w:val="left"/>
        <w:rPr>
          <w:rFonts w:eastAsia="Times New Roman" w:cstheme="minorHAnsi"/>
          <w:szCs w:val="24"/>
          <w:lang w:val="hr-HR" w:eastAsia="hr-HR"/>
        </w:rPr>
      </w:pPr>
      <w:r w:rsidRPr="00CB5BEE">
        <w:rPr>
          <w:rFonts w:eastAsia="Times New Roman" w:cstheme="minorHAnsi"/>
          <w:szCs w:val="24"/>
          <w:lang w:val="hr-HR" w:eastAsia="hr-HR"/>
        </w:rPr>
        <w:t>Kreirano 211 Rješenja o povraćaju od kojih se za 9 Rješenja, zahtjev djelimično usvaja, a za  202 se zahtjev usvaja.</w:t>
      </w:r>
    </w:p>
    <w:p w:rsidR="003611CF" w:rsidRPr="00CB5BEE" w:rsidRDefault="003611CF" w:rsidP="004D6CB4">
      <w:pPr>
        <w:numPr>
          <w:ilvl w:val="0"/>
          <w:numId w:val="147"/>
        </w:numPr>
        <w:tabs>
          <w:tab w:val="left" w:pos="0"/>
          <w:tab w:val="left" w:pos="709"/>
        </w:tabs>
        <w:spacing w:before="0" w:after="0" w:line="240" w:lineRule="auto"/>
        <w:ind w:left="0" w:firstLine="360"/>
        <w:contextualSpacing/>
        <w:jc w:val="left"/>
        <w:rPr>
          <w:rFonts w:eastAsia="Times New Roman" w:cstheme="minorHAnsi"/>
          <w:szCs w:val="24"/>
          <w:lang w:val="hr-HR" w:eastAsia="hr-HR"/>
        </w:rPr>
      </w:pPr>
      <w:r w:rsidRPr="00CB5BEE">
        <w:rPr>
          <w:rFonts w:eastAsia="Times New Roman" w:cstheme="minorHAnsi"/>
          <w:szCs w:val="24"/>
          <w:lang w:val="hr-HR" w:eastAsia="hr-HR"/>
        </w:rPr>
        <w:t>Iznos iz izdatih Rješenja o povratu sredstava         26.803.131€</w:t>
      </w:r>
    </w:p>
    <w:p w:rsidR="003611CF" w:rsidRPr="00CB5BEE" w:rsidRDefault="003611CF" w:rsidP="004D6CB4">
      <w:pPr>
        <w:numPr>
          <w:ilvl w:val="0"/>
          <w:numId w:val="147"/>
        </w:numPr>
        <w:tabs>
          <w:tab w:val="left" w:pos="0"/>
          <w:tab w:val="left" w:pos="709"/>
        </w:tabs>
        <w:spacing w:before="0" w:after="0" w:line="240" w:lineRule="auto"/>
        <w:ind w:left="0" w:firstLine="360"/>
        <w:contextualSpacing/>
        <w:jc w:val="left"/>
        <w:rPr>
          <w:rFonts w:eastAsia="Times New Roman" w:cstheme="minorHAnsi"/>
          <w:szCs w:val="24"/>
          <w:lang w:val="hr-HR" w:eastAsia="hr-HR"/>
        </w:rPr>
      </w:pPr>
      <w:r w:rsidRPr="00CB5BEE">
        <w:rPr>
          <w:rFonts w:eastAsia="Times New Roman" w:cstheme="minorHAnsi"/>
          <w:szCs w:val="24"/>
          <w:lang w:val="hr-HR" w:eastAsia="hr-HR"/>
        </w:rPr>
        <w:t>Iznos iz izdatih Rješenja o preusmjeru                   11.562.997€</w:t>
      </w:r>
    </w:p>
    <w:p w:rsidR="003611CF" w:rsidRPr="00E91BF1" w:rsidRDefault="003611CF" w:rsidP="004D6CB4">
      <w:pPr>
        <w:numPr>
          <w:ilvl w:val="0"/>
          <w:numId w:val="147"/>
        </w:numPr>
        <w:tabs>
          <w:tab w:val="left" w:pos="0"/>
          <w:tab w:val="left" w:pos="709"/>
        </w:tabs>
        <w:spacing w:before="0" w:after="0" w:line="240" w:lineRule="auto"/>
        <w:ind w:left="0" w:firstLine="360"/>
        <w:contextualSpacing/>
        <w:jc w:val="left"/>
        <w:rPr>
          <w:rFonts w:eastAsia="Times New Roman" w:cstheme="minorHAnsi"/>
          <w:szCs w:val="24"/>
          <w:lang w:val="hr-HR" w:eastAsia="hr-HR"/>
        </w:rPr>
      </w:pPr>
      <w:r w:rsidRPr="00CB5BEE">
        <w:rPr>
          <w:rFonts w:eastAsia="Times New Roman" w:cstheme="minorHAnsi"/>
          <w:szCs w:val="24"/>
          <w:lang w:val="hr-HR" w:eastAsia="hr-HR"/>
        </w:rPr>
        <w:t>Korekcije kroz postupak povraćaja PDV                       233.282€</w:t>
      </w:r>
    </w:p>
    <w:p w:rsidR="003611CF" w:rsidRPr="00CB5BEE" w:rsidRDefault="003611CF" w:rsidP="00E91BF1">
      <w:pPr>
        <w:tabs>
          <w:tab w:val="left" w:pos="0"/>
        </w:tabs>
        <w:spacing w:after="0" w:line="240" w:lineRule="auto"/>
        <w:rPr>
          <w:rFonts w:eastAsia="Times New Roman" w:cstheme="minorHAnsi"/>
          <w:szCs w:val="24"/>
          <w:lang w:val="en-GB"/>
        </w:rPr>
      </w:pPr>
      <w:r w:rsidRPr="00CB5BEE">
        <w:rPr>
          <w:rFonts w:eastAsia="Times New Roman" w:cstheme="minorHAnsi"/>
          <w:szCs w:val="24"/>
          <w:lang w:val="en-GB"/>
        </w:rPr>
        <w:tab/>
        <w:t xml:space="preserve">Sektor za VPO po broju podnijetih Zahtjeva za povraćaj PDV-kredita, učestvuje u ukupnim zahtjevima na nivou PU cca 10,69%, dok po iznosu traženog PDV –kredita učestvuje cca 32,47%. </w:t>
      </w:r>
    </w:p>
    <w:p w:rsidR="003611CF" w:rsidRPr="00CB5BEE" w:rsidRDefault="003611CF" w:rsidP="00CB5BEE">
      <w:pPr>
        <w:tabs>
          <w:tab w:val="left" w:pos="998"/>
          <w:tab w:val="left" w:pos="7608"/>
        </w:tabs>
        <w:spacing w:before="0" w:after="0" w:line="240" w:lineRule="auto"/>
        <w:rPr>
          <w:rFonts w:eastAsia="Times New Roman" w:cstheme="minorHAnsi"/>
          <w:b/>
          <w:szCs w:val="24"/>
          <w:lang w:val="en-GB"/>
        </w:rPr>
      </w:pPr>
    </w:p>
    <w:p w:rsidR="003611CF" w:rsidRPr="00CB5BEE" w:rsidRDefault="003611CF" w:rsidP="00CB5BEE">
      <w:pPr>
        <w:tabs>
          <w:tab w:val="left" w:pos="998"/>
          <w:tab w:val="left" w:pos="7608"/>
        </w:tabs>
        <w:spacing w:before="0" w:after="0" w:line="240" w:lineRule="auto"/>
        <w:rPr>
          <w:rFonts w:eastAsia="Times New Roman" w:cstheme="minorHAnsi"/>
          <w:b/>
          <w:szCs w:val="24"/>
          <w:lang w:val="en-GB"/>
        </w:rPr>
      </w:pPr>
      <w:r w:rsidRPr="00CB5BEE">
        <w:rPr>
          <w:rFonts w:eastAsia="Times New Roman" w:cstheme="minorHAnsi"/>
          <w:b/>
          <w:szCs w:val="24"/>
          <w:lang w:val="en-GB"/>
        </w:rPr>
        <w:t>REGISTAR STRATEŠKIH RIZIKA</w:t>
      </w:r>
    </w:p>
    <w:p w:rsidR="003611CF" w:rsidRPr="00CB5BEE" w:rsidRDefault="003611CF" w:rsidP="00E91BF1">
      <w:pPr>
        <w:tabs>
          <w:tab w:val="left" w:pos="998"/>
          <w:tab w:val="left" w:pos="7608"/>
        </w:tabs>
        <w:spacing w:before="0" w:line="240" w:lineRule="auto"/>
        <w:rPr>
          <w:rFonts w:eastAsia="Times New Roman" w:cstheme="minorHAnsi"/>
          <w:b/>
          <w:szCs w:val="24"/>
          <w:lang w:val="en-GB"/>
        </w:rPr>
      </w:pPr>
      <w:r w:rsidRPr="00CB5BEE">
        <w:rPr>
          <w:rFonts w:eastAsia="Times New Roman" w:cstheme="minorHAnsi"/>
          <w:b/>
          <w:szCs w:val="24"/>
          <w:lang w:val="en-GB"/>
        </w:rPr>
        <w:t xml:space="preserve">SERVISNE I </w:t>
      </w:r>
      <w:r w:rsidR="00E91BF1">
        <w:rPr>
          <w:rFonts w:eastAsia="Times New Roman" w:cstheme="minorHAnsi"/>
          <w:b/>
          <w:szCs w:val="24"/>
          <w:lang w:val="en-GB"/>
        </w:rPr>
        <w:t>EDUKATIVNO-KOMUNIKACIONE USLUGE</w:t>
      </w:r>
    </w:p>
    <w:p w:rsidR="003611CF" w:rsidRPr="00CB5BEE" w:rsidRDefault="003611CF" w:rsidP="004D6CB4">
      <w:pPr>
        <w:numPr>
          <w:ilvl w:val="0"/>
          <w:numId w:val="148"/>
        </w:numPr>
        <w:spacing w:before="0" w:after="0" w:line="240" w:lineRule="auto"/>
        <w:jc w:val="left"/>
        <w:rPr>
          <w:rFonts w:eastAsia="Times New Roman" w:cstheme="minorHAnsi"/>
          <w:b/>
          <w:szCs w:val="24"/>
          <w:lang w:val="en-GB"/>
        </w:rPr>
      </w:pPr>
      <w:r w:rsidRPr="00CB5BEE">
        <w:rPr>
          <w:rFonts w:eastAsia="Times New Roman" w:cstheme="minorHAnsi"/>
          <w:b/>
          <w:szCs w:val="24"/>
          <w:lang w:val="en-GB"/>
        </w:rPr>
        <w:t xml:space="preserve">Aktivnosti u vezi Savjetodavnog tijela </w:t>
      </w:r>
    </w:p>
    <w:p w:rsidR="003611CF" w:rsidRPr="00CB5BEE" w:rsidRDefault="003611CF" w:rsidP="00CB5BEE">
      <w:pPr>
        <w:spacing w:before="0" w:after="0" w:line="240" w:lineRule="auto"/>
        <w:rPr>
          <w:rFonts w:eastAsia="Times New Roman" w:cstheme="minorHAnsi"/>
          <w:szCs w:val="24"/>
          <w:lang w:val="en-GB"/>
        </w:rPr>
      </w:pPr>
      <w:r w:rsidRPr="00CB5BEE">
        <w:rPr>
          <w:rFonts w:eastAsia="Times New Roman" w:cstheme="minorHAnsi"/>
          <w:szCs w:val="24"/>
          <w:lang w:val="en-GB"/>
        </w:rPr>
        <w:tab/>
        <w:t>U periodu od 31.01.2018. godine do 23.12.2019. godine, održano je 18 sjednica Savjetodavnog Odbora za VPO, od čega 9 redovnih i 9 sastanaka radnih grupa po pojedinim oblastima.</w:t>
      </w:r>
    </w:p>
    <w:p w:rsidR="003611CF" w:rsidRPr="00CB5BEE" w:rsidRDefault="003611CF" w:rsidP="00CB5BEE">
      <w:pPr>
        <w:spacing w:before="0" w:after="0" w:line="240" w:lineRule="auto"/>
        <w:rPr>
          <w:rFonts w:eastAsia="Times New Roman" w:cstheme="minorHAnsi"/>
          <w:szCs w:val="24"/>
          <w:lang w:val="en-GB"/>
        </w:rPr>
      </w:pPr>
      <w:r w:rsidRPr="00CB5BEE">
        <w:rPr>
          <w:rFonts w:eastAsia="Times New Roman" w:cstheme="minorHAnsi"/>
          <w:szCs w:val="24"/>
          <w:lang w:val="en-GB"/>
        </w:rPr>
        <w:tab/>
        <w:t>Za prvi kvartal 2020. godine, bila je predviđena I redovna sjednica Savjetodavnog odbora, ali zbog proglašenja pandemije corona virusom, ista je održana sa zakašnjenjem 11.09.2020.godine. Na sastanku je usvojen zapisnik IV-sjednice SOVPO od 23.12.2019.</w:t>
      </w:r>
      <w:r w:rsidR="00E91BF1">
        <w:rPr>
          <w:rFonts w:eastAsia="Times New Roman" w:cstheme="minorHAnsi"/>
          <w:szCs w:val="24"/>
          <w:lang w:val="en-GB"/>
        </w:rPr>
        <w:t xml:space="preserve"> </w:t>
      </w:r>
      <w:r w:rsidRPr="00CB5BEE">
        <w:rPr>
          <w:rFonts w:eastAsia="Times New Roman" w:cstheme="minorHAnsi"/>
          <w:szCs w:val="24"/>
          <w:lang w:val="en-GB"/>
        </w:rPr>
        <w:t>godine, razmijenjene su informacije o Poreskoj reformi, naročito u dijelu komponente e-fiskalizacije, a takođe je razmatran način budućeg rada savjetodavnog tijela u uslovima aktuelne pandemije.</w:t>
      </w:r>
    </w:p>
    <w:p w:rsidR="003611CF" w:rsidRPr="00CB5BEE" w:rsidRDefault="003611CF" w:rsidP="00CB5BEE">
      <w:pPr>
        <w:spacing w:before="0" w:after="0" w:line="240" w:lineRule="auto"/>
        <w:rPr>
          <w:rFonts w:eastAsia="Times New Roman" w:cstheme="minorHAnsi"/>
          <w:szCs w:val="24"/>
          <w:lang w:val="en-GB"/>
        </w:rPr>
      </w:pPr>
    </w:p>
    <w:p w:rsidR="003611CF" w:rsidRPr="00CB5BEE" w:rsidRDefault="003611CF" w:rsidP="004D6CB4">
      <w:pPr>
        <w:numPr>
          <w:ilvl w:val="0"/>
          <w:numId w:val="148"/>
        </w:numPr>
        <w:spacing w:before="0" w:after="0" w:line="240" w:lineRule="auto"/>
        <w:jc w:val="left"/>
        <w:rPr>
          <w:rFonts w:eastAsia="Times New Roman" w:cstheme="minorHAnsi"/>
          <w:b/>
          <w:szCs w:val="24"/>
          <w:lang w:val="en-GB"/>
        </w:rPr>
      </w:pPr>
      <w:r w:rsidRPr="00CB5BEE">
        <w:rPr>
          <w:rFonts w:eastAsia="Times New Roman" w:cstheme="minorHAnsi"/>
          <w:b/>
          <w:szCs w:val="24"/>
          <w:lang w:val="en-GB"/>
        </w:rPr>
        <w:t>Druge aktivnosti iz oblasti edukativne komunikacije</w:t>
      </w:r>
    </w:p>
    <w:p w:rsidR="003611CF" w:rsidRPr="00CB5BEE" w:rsidRDefault="003611CF" w:rsidP="004D6CB4">
      <w:pPr>
        <w:numPr>
          <w:ilvl w:val="0"/>
          <w:numId w:val="149"/>
        </w:numPr>
        <w:spacing w:before="0" w:after="0" w:line="240" w:lineRule="auto"/>
        <w:jc w:val="left"/>
        <w:rPr>
          <w:rFonts w:eastAsia="Times New Roman" w:cstheme="minorHAnsi"/>
          <w:szCs w:val="24"/>
          <w:lang w:val="en-GB"/>
        </w:rPr>
      </w:pPr>
      <w:r w:rsidRPr="00CB5BEE">
        <w:rPr>
          <w:rFonts w:eastAsia="Times New Roman" w:cstheme="minorHAnsi"/>
          <w:szCs w:val="24"/>
          <w:lang w:val="en-GB"/>
        </w:rPr>
        <w:t xml:space="preserve">Uređivanje banera VPO na sajtu Poreske uprave </w:t>
      </w:r>
    </w:p>
    <w:p w:rsidR="003611CF" w:rsidRPr="00CB5BEE" w:rsidRDefault="003611CF" w:rsidP="004D6CB4">
      <w:pPr>
        <w:numPr>
          <w:ilvl w:val="0"/>
          <w:numId w:val="149"/>
        </w:numPr>
        <w:spacing w:before="0" w:after="0" w:line="240" w:lineRule="auto"/>
        <w:jc w:val="left"/>
        <w:rPr>
          <w:rFonts w:eastAsia="Times New Roman" w:cstheme="minorHAnsi"/>
          <w:szCs w:val="24"/>
          <w:lang w:val="en-GB"/>
        </w:rPr>
      </w:pPr>
      <w:r w:rsidRPr="00CB5BEE">
        <w:rPr>
          <w:rFonts w:eastAsia="Times New Roman" w:cstheme="minorHAnsi"/>
          <w:szCs w:val="24"/>
          <w:lang w:val="en-GB"/>
        </w:rPr>
        <w:t>Izrada presklipinga stampanih i elektronskih medija</w:t>
      </w:r>
    </w:p>
    <w:p w:rsidR="003611CF" w:rsidRPr="00CB5BEE" w:rsidRDefault="003611CF" w:rsidP="004D6CB4">
      <w:pPr>
        <w:numPr>
          <w:ilvl w:val="0"/>
          <w:numId w:val="149"/>
        </w:numPr>
        <w:spacing w:before="0" w:after="0" w:line="240" w:lineRule="auto"/>
        <w:jc w:val="left"/>
        <w:rPr>
          <w:rFonts w:eastAsia="Times New Roman" w:cstheme="minorHAnsi"/>
          <w:szCs w:val="24"/>
          <w:lang w:val="en-GB"/>
        </w:rPr>
      </w:pPr>
      <w:r w:rsidRPr="00CB5BEE">
        <w:rPr>
          <w:rFonts w:eastAsia="Times New Roman" w:cstheme="minorHAnsi"/>
          <w:szCs w:val="24"/>
          <w:lang w:val="en-GB"/>
        </w:rPr>
        <w:t>Pisana korespodencija po zahtjevima i upitima VPO</w:t>
      </w:r>
    </w:p>
    <w:p w:rsidR="003611CF" w:rsidRPr="00CB5BEE" w:rsidRDefault="003611CF" w:rsidP="004D6CB4">
      <w:pPr>
        <w:numPr>
          <w:ilvl w:val="0"/>
          <w:numId w:val="149"/>
        </w:numPr>
        <w:spacing w:before="0" w:after="0" w:line="240" w:lineRule="auto"/>
        <w:jc w:val="left"/>
        <w:rPr>
          <w:rFonts w:eastAsia="Times New Roman" w:cstheme="minorHAnsi"/>
          <w:szCs w:val="24"/>
          <w:lang w:val="en-GB"/>
        </w:rPr>
      </w:pPr>
      <w:r w:rsidRPr="00CB5BEE">
        <w:rPr>
          <w:rFonts w:eastAsia="Times New Roman" w:cstheme="minorHAnsi"/>
          <w:szCs w:val="24"/>
          <w:lang w:val="en-GB"/>
        </w:rPr>
        <w:t>Obavještavanje o statusu i prestanku statusa VPO</w:t>
      </w:r>
    </w:p>
    <w:p w:rsidR="003611CF" w:rsidRPr="00CB5BEE" w:rsidRDefault="003611CF" w:rsidP="004D6CB4">
      <w:pPr>
        <w:numPr>
          <w:ilvl w:val="0"/>
          <w:numId w:val="149"/>
        </w:numPr>
        <w:spacing w:before="0" w:after="0" w:line="240" w:lineRule="auto"/>
        <w:jc w:val="left"/>
        <w:rPr>
          <w:rFonts w:eastAsia="Times New Roman" w:cstheme="minorHAnsi"/>
          <w:szCs w:val="24"/>
          <w:lang w:val="en-GB"/>
        </w:rPr>
      </w:pPr>
      <w:r w:rsidRPr="00CB5BEE">
        <w:rPr>
          <w:rFonts w:eastAsia="Times New Roman" w:cstheme="minorHAnsi"/>
          <w:szCs w:val="24"/>
          <w:lang w:val="en-GB"/>
        </w:rPr>
        <w:t>Ažurno uređivanje WEB stranice za VPO na portalu Poreske uprave</w:t>
      </w:r>
    </w:p>
    <w:p w:rsidR="003611CF" w:rsidRPr="00CB5BEE" w:rsidRDefault="003611CF" w:rsidP="00CB5BEE">
      <w:pPr>
        <w:spacing w:before="0" w:after="0" w:line="240" w:lineRule="auto"/>
        <w:rPr>
          <w:rFonts w:eastAsia="Times New Roman" w:cstheme="minorHAnsi"/>
          <w:b/>
          <w:szCs w:val="24"/>
          <w:lang w:val="en-GB"/>
        </w:rPr>
      </w:pPr>
    </w:p>
    <w:p w:rsidR="003611CF" w:rsidRPr="00CB5BEE" w:rsidRDefault="003611CF" w:rsidP="004D6CB4">
      <w:pPr>
        <w:numPr>
          <w:ilvl w:val="0"/>
          <w:numId w:val="148"/>
        </w:numPr>
        <w:spacing w:before="0" w:after="0" w:line="240" w:lineRule="auto"/>
        <w:jc w:val="left"/>
        <w:rPr>
          <w:rFonts w:eastAsia="Times New Roman" w:cstheme="minorHAnsi"/>
          <w:b/>
          <w:szCs w:val="24"/>
          <w:lang w:val="en-GB"/>
        </w:rPr>
      </w:pPr>
      <w:r w:rsidRPr="00CB5BEE">
        <w:rPr>
          <w:rFonts w:eastAsia="Times New Roman" w:cstheme="minorHAnsi"/>
          <w:b/>
          <w:szCs w:val="24"/>
          <w:lang w:val="en-GB"/>
        </w:rPr>
        <w:t>Aktivnosti (Grupa za plan i analizu)</w:t>
      </w:r>
    </w:p>
    <w:p w:rsidR="003611CF" w:rsidRPr="00CB5BEE" w:rsidRDefault="003611CF" w:rsidP="004D6CB4">
      <w:pPr>
        <w:numPr>
          <w:ilvl w:val="0"/>
          <w:numId w:val="150"/>
        </w:numPr>
        <w:spacing w:before="0" w:after="0" w:line="240" w:lineRule="auto"/>
        <w:ind w:left="0" w:firstLine="360"/>
        <w:jc w:val="left"/>
        <w:rPr>
          <w:rFonts w:eastAsia="Times New Roman" w:cstheme="minorHAnsi"/>
          <w:szCs w:val="24"/>
          <w:lang w:val="en-GB"/>
        </w:rPr>
      </w:pPr>
      <w:r w:rsidRPr="00CB5BEE">
        <w:rPr>
          <w:rFonts w:eastAsia="Times New Roman" w:cstheme="minorHAnsi"/>
          <w:szCs w:val="24"/>
          <w:lang w:val="en-GB"/>
        </w:rPr>
        <w:t>Kontrola i pružanje stručne pomoći inspektorima u VPO u vršenju inspekcijskog nadzora i donošenju akata u vezi sa istim</w:t>
      </w:r>
    </w:p>
    <w:p w:rsidR="003611CF" w:rsidRPr="00CB5BEE" w:rsidRDefault="003611CF" w:rsidP="004D6CB4">
      <w:pPr>
        <w:numPr>
          <w:ilvl w:val="0"/>
          <w:numId w:val="150"/>
        </w:numPr>
        <w:spacing w:before="0" w:after="0" w:line="240" w:lineRule="auto"/>
        <w:jc w:val="left"/>
        <w:rPr>
          <w:rFonts w:eastAsia="Times New Roman" w:cstheme="minorHAnsi"/>
          <w:b/>
          <w:szCs w:val="24"/>
          <w:lang w:val="en-GB"/>
        </w:rPr>
      </w:pPr>
      <w:r w:rsidRPr="00CB5BEE">
        <w:rPr>
          <w:rFonts w:eastAsia="Times New Roman" w:cstheme="minorHAnsi"/>
          <w:szCs w:val="24"/>
          <w:lang w:val="en-GB"/>
        </w:rPr>
        <w:t>Izradamjesečnih i kvartalnih izvještaja o izvršenim inspekcijskim nadzorima</w:t>
      </w:r>
    </w:p>
    <w:p w:rsidR="003611CF" w:rsidRPr="00CB5BEE" w:rsidRDefault="003611CF" w:rsidP="004D6CB4">
      <w:pPr>
        <w:numPr>
          <w:ilvl w:val="0"/>
          <w:numId w:val="150"/>
        </w:numPr>
        <w:spacing w:before="0" w:after="0" w:line="240" w:lineRule="auto"/>
        <w:jc w:val="left"/>
        <w:rPr>
          <w:rFonts w:eastAsia="Times New Roman" w:cstheme="minorHAnsi"/>
          <w:szCs w:val="24"/>
          <w:lang w:val="en-GB"/>
        </w:rPr>
      </w:pPr>
      <w:r w:rsidRPr="00CB5BEE">
        <w:rPr>
          <w:rFonts w:eastAsia="Times New Roman" w:cstheme="minorHAnsi"/>
          <w:szCs w:val="24"/>
          <w:lang w:val="en-GB"/>
        </w:rPr>
        <w:t>Kreiranje mjesečnih i kvartalnih izvještaja za mjerenje učinaka Sektora za VPO</w:t>
      </w:r>
    </w:p>
    <w:p w:rsidR="003611CF" w:rsidRPr="00CB5BEE" w:rsidRDefault="003611CF" w:rsidP="004D6CB4">
      <w:pPr>
        <w:numPr>
          <w:ilvl w:val="0"/>
          <w:numId w:val="150"/>
        </w:numPr>
        <w:spacing w:before="0" w:after="0" w:line="240" w:lineRule="auto"/>
        <w:jc w:val="left"/>
        <w:rPr>
          <w:rFonts w:eastAsia="Times New Roman" w:cstheme="minorHAnsi"/>
          <w:szCs w:val="24"/>
          <w:lang w:val="en-GB"/>
        </w:rPr>
      </w:pPr>
      <w:r w:rsidRPr="00CB5BEE">
        <w:rPr>
          <w:rFonts w:eastAsia="Times New Roman" w:cstheme="minorHAnsi"/>
          <w:szCs w:val="24"/>
          <w:lang w:val="en-GB"/>
        </w:rPr>
        <w:t>Odgovori na pitanja i davanje pisanog mišljenja VPO</w:t>
      </w:r>
    </w:p>
    <w:p w:rsidR="003611CF" w:rsidRPr="00CB5BEE" w:rsidRDefault="003611CF" w:rsidP="004D6CB4">
      <w:pPr>
        <w:numPr>
          <w:ilvl w:val="0"/>
          <w:numId w:val="150"/>
        </w:numPr>
        <w:spacing w:before="0" w:after="0" w:line="240" w:lineRule="auto"/>
        <w:jc w:val="left"/>
        <w:rPr>
          <w:rFonts w:eastAsia="Times New Roman" w:cstheme="minorHAnsi"/>
          <w:szCs w:val="24"/>
          <w:lang w:val="en-GB"/>
        </w:rPr>
      </w:pPr>
      <w:r w:rsidRPr="00CB5BEE">
        <w:rPr>
          <w:rFonts w:eastAsia="Times New Roman" w:cstheme="minorHAnsi"/>
          <w:szCs w:val="24"/>
          <w:lang w:val="en-GB"/>
        </w:rPr>
        <w:t>Učešće u radu radnih tijela i komisija na nivou PU</w:t>
      </w:r>
    </w:p>
    <w:p w:rsidR="003611CF" w:rsidRPr="00CB5BEE" w:rsidRDefault="003611CF" w:rsidP="004D6CB4">
      <w:pPr>
        <w:numPr>
          <w:ilvl w:val="0"/>
          <w:numId w:val="150"/>
        </w:numPr>
        <w:spacing w:before="0" w:after="0" w:line="240" w:lineRule="auto"/>
        <w:jc w:val="left"/>
        <w:rPr>
          <w:rFonts w:eastAsia="Times New Roman" w:cstheme="minorHAnsi"/>
          <w:szCs w:val="24"/>
          <w:lang w:val="en-GB"/>
        </w:rPr>
      </w:pPr>
      <w:r w:rsidRPr="00CB5BEE">
        <w:rPr>
          <w:rFonts w:eastAsia="Times New Roman" w:cstheme="minorHAnsi"/>
          <w:szCs w:val="24"/>
          <w:lang w:val="en-GB"/>
        </w:rPr>
        <w:t>Izrada strateških akata za VPO- Plan poštovanja poreskih obaveza za 2021. godinu</w:t>
      </w:r>
    </w:p>
    <w:p w:rsidR="003611CF" w:rsidRPr="00CB5BEE" w:rsidRDefault="003611CF" w:rsidP="004D6CB4">
      <w:pPr>
        <w:numPr>
          <w:ilvl w:val="0"/>
          <w:numId w:val="150"/>
        </w:numPr>
        <w:spacing w:before="0" w:after="0" w:line="240" w:lineRule="auto"/>
        <w:jc w:val="left"/>
        <w:rPr>
          <w:rFonts w:eastAsia="Times New Roman" w:cstheme="minorHAnsi"/>
          <w:szCs w:val="24"/>
          <w:lang w:val="en-GB"/>
        </w:rPr>
      </w:pPr>
      <w:r w:rsidRPr="00CB5BEE">
        <w:rPr>
          <w:rFonts w:eastAsia="Times New Roman" w:cstheme="minorHAnsi"/>
          <w:szCs w:val="24"/>
          <w:lang w:val="en-GB"/>
        </w:rPr>
        <w:lastRenderedPageBreak/>
        <w:t>Izrada matrice VPO po stepenu rizičnosti, sačinjavaju se periodično – kvartalno</w:t>
      </w:r>
    </w:p>
    <w:p w:rsidR="003611CF" w:rsidRPr="00CB5BEE" w:rsidRDefault="003611CF" w:rsidP="00CB5BEE">
      <w:pPr>
        <w:spacing w:before="0" w:after="0" w:line="240" w:lineRule="auto"/>
        <w:rPr>
          <w:rFonts w:eastAsia="Times New Roman" w:cstheme="minorHAnsi"/>
          <w:szCs w:val="24"/>
          <w:lang w:val="en-GB"/>
        </w:rPr>
      </w:pPr>
    </w:p>
    <w:p w:rsidR="003611CF" w:rsidRPr="00CB5BEE" w:rsidRDefault="003611CF" w:rsidP="00CB5BEE">
      <w:pPr>
        <w:tabs>
          <w:tab w:val="left" w:pos="6996"/>
        </w:tabs>
        <w:spacing w:before="0" w:after="0" w:line="240" w:lineRule="auto"/>
        <w:rPr>
          <w:rFonts w:eastAsia="Times New Roman" w:cstheme="minorHAnsi"/>
          <w:b/>
          <w:szCs w:val="24"/>
          <w:lang w:val="en-GB"/>
        </w:rPr>
      </w:pPr>
      <w:r w:rsidRPr="00CB5BEE">
        <w:rPr>
          <w:rFonts w:eastAsia="Times New Roman" w:cstheme="minorHAnsi"/>
          <w:b/>
          <w:szCs w:val="24"/>
          <w:lang w:val="en-GB"/>
        </w:rPr>
        <w:t>REGISTAR STRATEŠKIH RIZIKA</w:t>
      </w:r>
    </w:p>
    <w:p w:rsidR="003611CF" w:rsidRPr="00CB5BEE" w:rsidRDefault="003611CF" w:rsidP="00CB5BEE">
      <w:pPr>
        <w:tabs>
          <w:tab w:val="left" w:pos="6996"/>
        </w:tabs>
        <w:spacing w:before="0" w:line="240" w:lineRule="auto"/>
        <w:rPr>
          <w:rFonts w:eastAsia="Times New Roman" w:cstheme="minorHAnsi"/>
          <w:b/>
          <w:szCs w:val="24"/>
          <w:lang w:val="en-GB"/>
        </w:rPr>
      </w:pPr>
      <w:r w:rsidRPr="00CB5BEE">
        <w:rPr>
          <w:rFonts w:eastAsia="Times New Roman" w:cstheme="minorHAnsi"/>
          <w:b/>
          <w:szCs w:val="24"/>
          <w:lang w:val="en-GB"/>
        </w:rPr>
        <w:t>REALIZACIJA GODIŠNJEG PLANA POŠTOVANJA PORESKIH PROPISA ZA 2020.GODINU IV-KVARTAL</w:t>
      </w:r>
    </w:p>
    <w:p w:rsidR="003611CF" w:rsidRPr="00E91BF1" w:rsidRDefault="003611CF" w:rsidP="004D6CB4">
      <w:pPr>
        <w:numPr>
          <w:ilvl w:val="0"/>
          <w:numId w:val="151"/>
        </w:numPr>
        <w:spacing w:before="0" w:after="0" w:line="240" w:lineRule="auto"/>
        <w:ind w:left="0" w:firstLine="360"/>
        <w:jc w:val="left"/>
        <w:rPr>
          <w:rFonts w:eastAsia="Times New Roman" w:cstheme="minorHAnsi"/>
          <w:szCs w:val="24"/>
          <w:lang w:val="en-GB"/>
        </w:rPr>
      </w:pPr>
      <w:r w:rsidRPr="00CB5BEE">
        <w:rPr>
          <w:rFonts w:eastAsia="Times New Roman" w:cstheme="minorHAnsi"/>
          <w:szCs w:val="24"/>
          <w:lang w:val="en-GB"/>
        </w:rPr>
        <w:t>Procenat realizacije Plana poštovanja poreskih propisa za period 01.01.-31.12.2020.godine iznosi cca 85%</w:t>
      </w:r>
    </w:p>
    <w:p w:rsidR="003611CF" w:rsidRPr="00CB5BEE" w:rsidRDefault="003611CF" w:rsidP="004D6CB4">
      <w:pPr>
        <w:numPr>
          <w:ilvl w:val="0"/>
          <w:numId w:val="152"/>
        </w:numPr>
        <w:spacing w:before="0" w:after="0" w:line="240" w:lineRule="auto"/>
        <w:contextualSpacing/>
        <w:jc w:val="left"/>
        <w:rPr>
          <w:rFonts w:eastAsia="Times New Roman" w:cstheme="minorHAnsi"/>
          <w:szCs w:val="24"/>
          <w:lang w:val="hr-HR" w:eastAsia="hr-HR"/>
        </w:rPr>
      </w:pPr>
      <w:r w:rsidRPr="00CB5BEE">
        <w:rPr>
          <w:rFonts w:eastAsia="Times New Roman" w:cstheme="minorHAnsi"/>
          <w:szCs w:val="24"/>
          <w:lang w:val="hr-HR" w:eastAsia="hr-HR"/>
        </w:rPr>
        <w:t>Realizovane i kontinuirane aktivnosti po planu su                                              60%</w:t>
      </w:r>
    </w:p>
    <w:p w:rsidR="003611CF" w:rsidRPr="00CB5BEE" w:rsidRDefault="003611CF" w:rsidP="004D6CB4">
      <w:pPr>
        <w:numPr>
          <w:ilvl w:val="0"/>
          <w:numId w:val="152"/>
        </w:numPr>
        <w:spacing w:before="0" w:after="0" w:line="240" w:lineRule="auto"/>
        <w:contextualSpacing/>
        <w:jc w:val="left"/>
        <w:rPr>
          <w:rFonts w:eastAsia="Times New Roman" w:cstheme="minorHAnsi"/>
          <w:szCs w:val="24"/>
          <w:lang w:val="hr-HR" w:eastAsia="hr-HR"/>
        </w:rPr>
      </w:pPr>
      <w:r w:rsidRPr="00CB5BEE">
        <w:rPr>
          <w:rFonts w:eastAsia="Times New Roman" w:cstheme="minorHAnsi"/>
          <w:szCs w:val="24"/>
          <w:lang w:val="hr-HR" w:eastAsia="hr-HR"/>
        </w:rPr>
        <w:t>Započete ili djelimično završene aktivnosti, odnosno predviđene za naredne kvartale 30%</w:t>
      </w:r>
    </w:p>
    <w:p w:rsidR="003611CF" w:rsidRPr="00CB5BEE" w:rsidRDefault="003611CF" w:rsidP="004D6CB4">
      <w:pPr>
        <w:numPr>
          <w:ilvl w:val="0"/>
          <w:numId w:val="152"/>
        </w:numPr>
        <w:spacing w:before="0" w:after="0" w:line="240" w:lineRule="auto"/>
        <w:contextualSpacing/>
        <w:jc w:val="left"/>
        <w:rPr>
          <w:rFonts w:eastAsia="Times New Roman" w:cstheme="minorHAnsi"/>
          <w:szCs w:val="24"/>
          <w:lang w:val="hr-HR" w:eastAsia="hr-HR"/>
        </w:rPr>
      </w:pPr>
      <w:r w:rsidRPr="00CB5BEE">
        <w:rPr>
          <w:rFonts w:eastAsia="Times New Roman" w:cstheme="minorHAnsi"/>
          <w:szCs w:val="24"/>
          <w:lang w:val="hr-HR" w:eastAsia="hr-HR"/>
        </w:rPr>
        <w:t>Nerealizovano                                                                       10%</w:t>
      </w:r>
    </w:p>
    <w:p w:rsidR="003611CF" w:rsidRPr="00CB5BEE" w:rsidRDefault="003611CF" w:rsidP="00CB5BEE">
      <w:pPr>
        <w:spacing w:before="0" w:after="0" w:line="240" w:lineRule="auto"/>
        <w:rPr>
          <w:rFonts w:eastAsia="Times New Roman" w:cstheme="minorHAnsi"/>
          <w:b/>
          <w:szCs w:val="24"/>
          <w:lang w:val="hr-HR" w:eastAsia="hr-HR"/>
        </w:rPr>
      </w:pPr>
    </w:p>
    <w:p w:rsidR="003611CF" w:rsidRPr="00CB5BEE" w:rsidRDefault="00E91BF1" w:rsidP="00CB5BEE">
      <w:pPr>
        <w:spacing w:before="0" w:after="0" w:line="240" w:lineRule="auto"/>
        <w:rPr>
          <w:rFonts w:eastAsia="Times New Roman" w:cstheme="minorHAnsi"/>
          <w:b/>
          <w:szCs w:val="24"/>
          <w:lang w:val="hr-HR" w:eastAsia="hr-HR"/>
        </w:rPr>
      </w:pPr>
      <w:r>
        <w:rPr>
          <w:rFonts w:eastAsia="Times New Roman" w:cstheme="minorHAnsi"/>
          <w:b/>
          <w:szCs w:val="24"/>
          <w:lang w:val="hr-HR" w:eastAsia="hr-HR"/>
        </w:rPr>
        <w:t>Nerealizovane aktivnosti:</w:t>
      </w:r>
    </w:p>
    <w:p w:rsidR="003611CF" w:rsidRPr="00CB5BEE" w:rsidRDefault="003611CF" w:rsidP="00CB5BEE">
      <w:pPr>
        <w:spacing w:before="0" w:after="0" w:line="240" w:lineRule="auto"/>
        <w:rPr>
          <w:rFonts w:eastAsia="Times New Roman" w:cstheme="minorHAnsi"/>
          <w:szCs w:val="24"/>
          <w:lang w:val="hr-HR" w:eastAsia="hr-HR"/>
        </w:rPr>
      </w:pPr>
      <w:r w:rsidRPr="00CB5BEE">
        <w:rPr>
          <w:rFonts w:eastAsia="Times New Roman" w:cstheme="minorHAnsi"/>
          <w:szCs w:val="24"/>
          <w:lang w:val="hr-HR" w:eastAsia="hr-HR"/>
        </w:rPr>
        <w:tab/>
        <w:t>Automatizovano izvještavanje</w:t>
      </w:r>
      <w:r w:rsidRPr="00CB5BEE">
        <w:rPr>
          <w:rFonts w:eastAsia="Times New Roman" w:cstheme="minorHAnsi"/>
          <w:b/>
          <w:szCs w:val="24"/>
          <w:lang w:val="hr-HR" w:eastAsia="hr-HR"/>
        </w:rPr>
        <w:t xml:space="preserve"> </w:t>
      </w:r>
      <w:r w:rsidRPr="00CB5BEE">
        <w:rPr>
          <w:rFonts w:eastAsia="Times New Roman" w:cstheme="minorHAnsi"/>
          <w:szCs w:val="24"/>
          <w:lang w:val="hr-HR" w:eastAsia="hr-HR"/>
        </w:rPr>
        <w:t>i dopuna procedura Odsjeka za inspekcijski nadzor, u dijelu sprovođenja neophodnih koraka u inspekcijskom nadzoru P/dobit i poreza i doprinosa za i iz Ličnih primanja, kao i izrada vodiča za inspekcijski nadzor u sektoru turizma.</w:t>
      </w:r>
    </w:p>
    <w:p w:rsidR="003611CF" w:rsidRPr="00CB5BEE" w:rsidRDefault="003611CF" w:rsidP="00CB5BEE">
      <w:pPr>
        <w:spacing w:before="0" w:after="0" w:line="240" w:lineRule="auto"/>
        <w:rPr>
          <w:rFonts w:eastAsia="Times New Roman" w:cstheme="minorHAnsi"/>
          <w:szCs w:val="24"/>
          <w:lang w:val="en-GB"/>
        </w:rPr>
      </w:pPr>
      <w:r w:rsidRPr="00CB5BEE">
        <w:rPr>
          <w:rFonts w:eastAsia="Times New Roman" w:cstheme="minorHAnsi"/>
          <w:szCs w:val="24"/>
          <w:lang w:val="en-GB"/>
        </w:rPr>
        <w:tab/>
        <w:t>Aktivnostima kroz Projekat SB-(implementacije novog komercijalnog IRMS programa) i Projekat e-fiskalizacije dodatno će se automatizovati i unaprijediti poslovne procesi, kako na nivou PU tako i u Sektoru za VPO.</w:t>
      </w:r>
    </w:p>
    <w:p w:rsidR="003611CF" w:rsidRPr="00CB5BEE" w:rsidRDefault="003611CF" w:rsidP="00CB5BEE">
      <w:pPr>
        <w:spacing w:before="0" w:after="0" w:line="240" w:lineRule="auto"/>
        <w:rPr>
          <w:rFonts w:eastAsia="Times New Roman" w:cstheme="minorHAnsi"/>
          <w:szCs w:val="24"/>
          <w:lang w:val="en-GB"/>
        </w:rPr>
      </w:pPr>
    </w:p>
    <w:p w:rsidR="003611CF" w:rsidRPr="00CB5BEE" w:rsidRDefault="003611CF" w:rsidP="00E91BF1">
      <w:pPr>
        <w:spacing w:before="0" w:line="240" w:lineRule="auto"/>
        <w:jc w:val="center"/>
        <w:rPr>
          <w:rFonts w:eastAsia="Times New Roman" w:cstheme="minorHAnsi"/>
          <w:b/>
          <w:szCs w:val="24"/>
          <w:lang w:val="en-GB"/>
        </w:rPr>
      </w:pPr>
      <w:r w:rsidRPr="00CB5BEE">
        <w:rPr>
          <w:rFonts w:eastAsia="Times New Roman" w:cstheme="minorHAnsi"/>
          <w:b/>
          <w:szCs w:val="24"/>
          <w:lang w:val="en-GB"/>
        </w:rPr>
        <w:t>ODJELJENJ</w:t>
      </w:r>
      <w:r w:rsidR="00CB5BEE" w:rsidRPr="00CB5BEE">
        <w:rPr>
          <w:rFonts w:eastAsia="Times New Roman" w:cstheme="minorHAnsi"/>
          <w:b/>
          <w:szCs w:val="24"/>
          <w:lang w:val="en-GB"/>
        </w:rPr>
        <w:t>E ZA PLANIRANJE I IZVJEŠTAVANJE</w:t>
      </w:r>
    </w:p>
    <w:p w:rsidR="003611CF" w:rsidRPr="00CB5BEE" w:rsidRDefault="003611CF" w:rsidP="00E91BF1">
      <w:pPr>
        <w:spacing w:before="0" w:after="0" w:line="240" w:lineRule="auto"/>
        <w:ind w:firstLine="708"/>
        <w:rPr>
          <w:rFonts w:eastAsia="Times New Roman" w:cstheme="minorHAnsi"/>
          <w:szCs w:val="24"/>
        </w:rPr>
      </w:pPr>
      <w:r w:rsidRPr="00CB5BEE">
        <w:rPr>
          <w:rFonts w:eastAsia="Times New Roman" w:cstheme="minorHAnsi"/>
          <w:szCs w:val="24"/>
        </w:rPr>
        <w:t xml:space="preserve">Ključne aktivnosti ovog odjeljenja koje su odrađene u </w:t>
      </w:r>
      <w:r w:rsidR="00E91BF1">
        <w:rPr>
          <w:rFonts w:eastAsia="Times New Roman" w:cstheme="minorHAnsi"/>
          <w:szCs w:val="24"/>
        </w:rPr>
        <w:t xml:space="preserve">izvještajnom </w:t>
      </w:r>
      <w:r w:rsidRPr="00CB5BEE">
        <w:rPr>
          <w:rFonts w:eastAsia="Times New Roman" w:cstheme="minorHAnsi"/>
          <w:szCs w:val="24"/>
        </w:rPr>
        <w:t xml:space="preserve">periodu su: </w:t>
      </w:r>
    </w:p>
    <w:p w:rsidR="003611CF" w:rsidRPr="00CB5BEE" w:rsidRDefault="003611CF" w:rsidP="004D6CB4">
      <w:pPr>
        <w:numPr>
          <w:ilvl w:val="0"/>
          <w:numId w:val="153"/>
        </w:numPr>
        <w:spacing w:before="0" w:after="0" w:line="240" w:lineRule="auto"/>
        <w:ind w:left="0" w:firstLine="360"/>
        <w:rPr>
          <w:rFonts w:eastAsia="Times New Roman" w:cstheme="minorHAnsi"/>
          <w:szCs w:val="24"/>
          <w:lang w:val="en-GB"/>
        </w:rPr>
      </w:pPr>
      <w:r w:rsidRPr="00CB5BEE">
        <w:rPr>
          <w:rFonts w:eastAsia="Times New Roman" w:cstheme="minorHAnsi"/>
          <w:szCs w:val="24"/>
          <w:lang w:val="en-GB"/>
        </w:rPr>
        <w:t>Objedinjen Izvještaj o radu na nivou Poreske uprave na kvartalnom i godišnjem nivou za 2020.</w:t>
      </w:r>
      <w:r w:rsidR="00E91BF1">
        <w:rPr>
          <w:rFonts w:eastAsia="Times New Roman" w:cstheme="minorHAnsi"/>
          <w:szCs w:val="24"/>
          <w:lang w:val="en-GB"/>
        </w:rPr>
        <w:t xml:space="preserve"> </w:t>
      </w:r>
      <w:r w:rsidRPr="00CB5BEE">
        <w:rPr>
          <w:rFonts w:eastAsia="Times New Roman" w:cstheme="minorHAnsi"/>
          <w:szCs w:val="24"/>
          <w:lang w:val="en-GB"/>
        </w:rPr>
        <w:t>godinu,</w:t>
      </w:r>
    </w:p>
    <w:p w:rsidR="003611CF" w:rsidRPr="00CB5BEE" w:rsidRDefault="003611CF" w:rsidP="004D6CB4">
      <w:pPr>
        <w:numPr>
          <w:ilvl w:val="0"/>
          <w:numId w:val="153"/>
        </w:numPr>
        <w:spacing w:before="0" w:after="0" w:line="240" w:lineRule="auto"/>
        <w:ind w:left="0" w:firstLine="360"/>
        <w:rPr>
          <w:rFonts w:eastAsia="Times New Roman" w:cstheme="minorHAnsi"/>
          <w:szCs w:val="24"/>
          <w:lang w:val="en-GB"/>
        </w:rPr>
      </w:pPr>
      <w:r w:rsidRPr="00CB5BEE">
        <w:rPr>
          <w:rFonts w:eastAsia="Times New Roman" w:cstheme="minorHAnsi"/>
          <w:szCs w:val="24"/>
          <w:lang w:val="en-GB"/>
        </w:rPr>
        <w:t>Pripremljena skraćena verzija Izvještaja o radu za 2020.godinupo kvartalima</w:t>
      </w:r>
    </w:p>
    <w:p w:rsidR="003611CF" w:rsidRPr="00CB5BEE" w:rsidRDefault="003611CF" w:rsidP="004D6CB4">
      <w:pPr>
        <w:numPr>
          <w:ilvl w:val="0"/>
          <w:numId w:val="153"/>
        </w:numPr>
        <w:spacing w:before="0" w:after="0" w:line="240" w:lineRule="auto"/>
        <w:ind w:left="0" w:firstLine="360"/>
        <w:rPr>
          <w:rFonts w:eastAsia="Times New Roman" w:cstheme="minorHAnsi"/>
          <w:szCs w:val="24"/>
          <w:lang w:val="en-GB"/>
        </w:rPr>
      </w:pPr>
      <w:r w:rsidRPr="00CB5BEE">
        <w:rPr>
          <w:rFonts w:eastAsia="Times New Roman" w:cstheme="minorHAnsi"/>
          <w:szCs w:val="24"/>
          <w:lang w:val="en-GB"/>
        </w:rPr>
        <w:t>Objedinjena realizacija Plana rada svih organizacionih jedinica na nivou Poreske uprave za 2019.</w:t>
      </w:r>
      <w:r w:rsidR="00E91BF1">
        <w:rPr>
          <w:rFonts w:eastAsia="Times New Roman" w:cstheme="minorHAnsi"/>
          <w:szCs w:val="24"/>
          <w:lang w:val="en-GB"/>
        </w:rPr>
        <w:t xml:space="preserve"> </w:t>
      </w:r>
      <w:r w:rsidRPr="00CB5BEE">
        <w:rPr>
          <w:rFonts w:eastAsia="Times New Roman" w:cstheme="minorHAnsi"/>
          <w:szCs w:val="24"/>
          <w:lang w:val="en-GB"/>
        </w:rPr>
        <w:t>g</w:t>
      </w:r>
      <w:r w:rsidR="00E91BF1">
        <w:rPr>
          <w:rFonts w:eastAsia="Times New Roman" w:cstheme="minorHAnsi"/>
          <w:szCs w:val="24"/>
          <w:lang w:val="en-GB"/>
        </w:rPr>
        <w:t>odinu</w:t>
      </w:r>
      <w:r w:rsidRPr="00CB5BEE">
        <w:rPr>
          <w:rFonts w:eastAsia="Times New Roman" w:cstheme="minorHAnsi"/>
          <w:szCs w:val="24"/>
          <w:lang w:val="en-GB"/>
        </w:rPr>
        <w:t xml:space="preserve">, </w:t>
      </w:r>
    </w:p>
    <w:p w:rsidR="003611CF" w:rsidRPr="00CB5BEE" w:rsidRDefault="003611CF" w:rsidP="004D6CB4">
      <w:pPr>
        <w:numPr>
          <w:ilvl w:val="0"/>
          <w:numId w:val="153"/>
        </w:numPr>
        <w:spacing w:before="0" w:after="0" w:line="240" w:lineRule="auto"/>
        <w:ind w:left="0" w:firstLine="360"/>
        <w:rPr>
          <w:rFonts w:eastAsia="Times New Roman" w:cstheme="minorHAnsi"/>
          <w:szCs w:val="24"/>
          <w:lang w:val="en-GB"/>
        </w:rPr>
      </w:pPr>
      <w:r w:rsidRPr="00CB5BEE">
        <w:rPr>
          <w:rFonts w:eastAsia="Times New Roman" w:cstheme="minorHAnsi"/>
          <w:szCs w:val="24"/>
          <w:lang w:val="en-GB"/>
        </w:rPr>
        <w:t>Održana Obuka zaposlenih koji će se u budućnosti baviti poreskim jazom. Obuka je trajala nedjelju dana, gdje su konsultanti primjenjujući metodu obračuna poreskog jaza, zajedno sa zaposlenim iz PUCG izračunali poreski jaz za 2018</w:t>
      </w:r>
      <w:r w:rsidR="00E91BF1">
        <w:rPr>
          <w:rFonts w:eastAsia="Times New Roman" w:cstheme="minorHAnsi"/>
          <w:szCs w:val="24"/>
          <w:lang w:val="en-GB"/>
        </w:rPr>
        <w:t xml:space="preserve">. </w:t>
      </w:r>
      <w:r w:rsidRPr="00CB5BEE">
        <w:rPr>
          <w:rFonts w:eastAsia="Times New Roman" w:cstheme="minorHAnsi"/>
          <w:szCs w:val="24"/>
          <w:lang w:val="en-GB"/>
        </w:rPr>
        <w:t>god</w:t>
      </w:r>
      <w:r w:rsidR="00E91BF1">
        <w:rPr>
          <w:rFonts w:eastAsia="Times New Roman" w:cstheme="minorHAnsi"/>
          <w:szCs w:val="24"/>
          <w:lang w:val="en-GB"/>
        </w:rPr>
        <w:t>inu</w:t>
      </w:r>
      <w:r w:rsidRPr="00CB5BEE">
        <w:rPr>
          <w:rFonts w:eastAsia="Times New Roman" w:cstheme="minorHAnsi"/>
          <w:szCs w:val="24"/>
          <w:lang w:val="en-GB"/>
        </w:rPr>
        <w:t>.</w:t>
      </w:r>
    </w:p>
    <w:p w:rsidR="003611CF" w:rsidRPr="00CB5BEE" w:rsidRDefault="003611CF" w:rsidP="004D6CB4">
      <w:pPr>
        <w:numPr>
          <w:ilvl w:val="0"/>
          <w:numId w:val="153"/>
        </w:numPr>
        <w:spacing w:before="0" w:after="0" w:line="240" w:lineRule="auto"/>
        <w:ind w:left="0" w:firstLine="360"/>
        <w:rPr>
          <w:rFonts w:eastAsia="Times New Roman" w:cstheme="minorHAnsi"/>
          <w:szCs w:val="24"/>
          <w:lang w:val="en-GB"/>
        </w:rPr>
      </w:pPr>
      <w:r w:rsidRPr="00CB5BEE">
        <w:rPr>
          <w:rFonts w:eastAsia="Times New Roman" w:cstheme="minorHAnsi"/>
          <w:szCs w:val="24"/>
          <w:lang w:val="en-GB"/>
        </w:rPr>
        <w:t>Priprema dijela FRD dokumenta koji se tiče poreskog jaza</w:t>
      </w:r>
    </w:p>
    <w:p w:rsidR="003611CF" w:rsidRPr="00CB5BEE" w:rsidRDefault="003611CF" w:rsidP="004D6CB4">
      <w:pPr>
        <w:numPr>
          <w:ilvl w:val="0"/>
          <w:numId w:val="153"/>
        </w:numPr>
        <w:spacing w:before="0" w:after="0" w:line="240" w:lineRule="auto"/>
        <w:ind w:left="0" w:firstLine="360"/>
        <w:rPr>
          <w:rFonts w:eastAsia="Times New Roman" w:cstheme="minorHAnsi"/>
          <w:szCs w:val="24"/>
          <w:lang w:val="en-GB"/>
        </w:rPr>
      </w:pPr>
      <w:r w:rsidRPr="00CB5BEE">
        <w:rPr>
          <w:rFonts w:eastAsia="Times New Roman" w:cstheme="minorHAnsi"/>
          <w:szCs w:val="24"/>
          <w:lang w:val="en-GB"/>
        </w:rPr>
        <w:t>Održani online sastanci sa ekspertskim timom KPMG, u dijelu poreskog jaza</w:t>
      </w:r>
    </w:p>
    <w:p w:rsidR="003611CF" w:rsidRPr="00CB5BEE" w:rsidRDefault="003611CF" w:rsidP="004D6CB4">
      <w:pPr>
        <w:numPr>
          <w:ilvl w:val="0"/>
          <w:numId w:val="153"/>
        </w:numPr>
        <w:spacing w:before="0" w:after="0" w:line="240" w:lineRule="auto"/>
        <w:ind w:left="0" w:firstLine="360"/>
        <w:contextualSpacing/>
        <w:rPr>
          <w:rFonts w:eastAsia="Times New Roman" w:cstheme="minorHAnsi"/>
          <w:szCs w:val="24"/>
          <w:lang w:val="en-GB"/>
        </w:rPr>
      </w:pPr>
      <w:r w:rsidRPr="00CB5BEE">
        <w:rPr>
          <w:rFonts w:eastAsia="Times New Roman" w:cstheme="minorHAnsi"/>
          <w:szCs w:val="24"/>
          <w:lang w:val="en-GB"/>
        </w:rPr>
        <w:t>Priprema izvještaja o mjerenju uspješnosti organizacionih jedinica na mjesečnom i kvartalnom nivou</w:t>
      </w:r>
    </w:p>
    <w:p w:rsidR="003611CF" w:rsidRPr="00CB5BEE" w:rsidRDefault="003611CF" w:rsidP="004D6CB4">
      <w:pPr>
        <w:numPr>
          <w:ilvl w:val="0"/>
          <w:numId w:val="153"/>
        </w:numPr>
        <w:spacing w:before="0" w:after="0" w:line="240" w:lineRule="auto"/>
        <w:ind w:left="0" w:firstLine="360"/>
        <w:contextualSpacing/>
        <w:rPr>
          <w:rFonts w:eastAsia="Times New Roman" w:cstheme="minorHAnsi"/>
          <w:szCs w:val="24"/>
          <w:lang w:val="en-GB"/>
        </w:rPr>
      </w:pPr>
      <w:r w:rsidRPr="00CB5BEE">
        <w:rPr>
          <w:rFonts w:eastAsia="Times New Roman" w:cstheme="minorHAnsi"/>
          <w:szCs w:val="24"/>
          <w:lang w:val="en-GB"/>
        </w:rPr>
        <w:t>Praćenje realizacije važne pošte na nadjeljnom i mjesečnom nivou</w:t>
      </w:r>
    </w:p>
    <w:p w:rsidR="003611CF" w:rsidRPr="00CB5BEE" w:rsidRDefault="003611CF" w:rsidP="004D6CB4">
      <w:pPr>
        <w:numPr>
          <w:ilvl w:val="0"/>
          <w:numId w:val="153"/>
        </w:numPr>
        <w:spacing w:before="0" w:after="0" w:line="240" w:lineRule="auto"/>
        <w:ind w:left="0" w:firstLine="360"/>
        <w:contextualSpacing/>
        <w:rPr>
          <w:rFonts w:eastAsia="Times New Roman" w:cstheme="minorHAnsi"/>
          <w:szCs w:val="24"/>
          <w:lang w:val="en-GB"/>
        </w:rPr>
      </w:pPr>
      <w:r w:rsidRPr="00CB5BEE">
        <w:rPr>
          <w:rFonts w:eastAsia="Times New Roman" w:cstheme="minorHAnsi"/>
          <w:szCs w:val="24"/>
          <w:lang w:val="en-GB"/>
        </w:rPr>
        <w:t>Praćenje realizacije zaključaka sa kolegijuma održanih u centrali Poreske uprave i u područnim jedinicama i na nedeljnom nivou pripremljeni odgovori na postavljena pitanja od strane područnih jedinica.</w:t>
      </w:r>
    </w:p>
    <w:p w:rsidR="003611CF" w:rsidRPr="00CB5BEE" w:rsidRDefault="003611CF" w:rsidP="004D6CB4">
      <w:pPr>
        <w:numPr>
          <w:ilvl w:val="0"/>
          <w:numId w:val="153"/>
        </w:numPr>
        <w:spacing w:before="0" w:after="0" w:line="240" w:lineRule="auto"/>
        <w:ind w:left="0" w:firstLine="360"/>
        <w:contextualSpacing/>
        <w:rPr>
          <w:rFonts w:eastAsia="Times New Roman" w:cstheme="minorHAnsi"/>
          <w:szCs w:val="24"/>
          <w:lang w:val="en-GB"/>
        </w:rPr>
      </w:pPr>
      <w:r w:rsidRPr="00CB5BEE">
        <w:rPr>
          <w:rFonts w:eastAsia="Times New Roman" w:cstheme="minorHAnsi"/>
          <w:szCs w:val="24"/>
          <w:lang w:val="en-GB"/>
        </w:rPr>
        <w:t>Praćenje realizacije zapisnika sa sastanaka održanih u i izvan Poreske uprave, po svim osnovama.</w:t>
      </w:r>
    </w:p>
    <w:p w:rsidR="003611CF" w:rsidRPr="00CB5BEE" w:rsidRDefault="003611CF" w:rsidP="004D6CB4">
      <w:pPr>
        <w:numPr>
          <w:ilvl w:val="0"/>
          <w:numId w:val="153"/>
        </w:numPr>
        <w:spacing w:before="0" w:after="0" w:line="240" w:lineRule="auto"/>
        <w:ind w:left="0" w:firstLine="360"/>
        <w:contextualSpacing/>
        <w:rPr>
          <w:rFonts w:eastAsia="Times New Roman" w:cstheme="minorHAnsi"/>
          <w:szCs w:val="24"/>
          <w:lang w:val="en-GB"/>
        </w:rPr>
      </w:pPr>
      <w:r w:rsidRPr="00CB5BEE">
        <w:rPr>
          <w:rFonts w:eastAsia="Times New Roman" w:cstheme="minorHAnsi"/>
          <w:szCs w:val="24"/>
          <w:lang w:val="en-GB"/>
        </w:rPr>
        <w:t>Učešće u radnoj grupi za institucionalni razvoj na projektu “Reforma poreske administracije”</w:t>
      </w:r>
    </w:p>
    <w:p w:rsidR="003611CF" w:rsidRPr="00CB5BEE" w:rsidRDefault="003611CF" w:rsidP="004D6CB4">
      <w:pPr>
        <w:numPr>
          <w:ilvl w:val="0"/>
          <w:numId w:val="153"/>
        </w:numPr>
        <w:spacing w:before="0" w:after="0" w:line="240" w:lineRule="auto"/>
        <w:ind w:left="0" w:firstLine="360"/>
        <w:contextualSpacing/>
        <w:rPr>
          <w:rFonts w:eastAsia="Times New Roman" w:cstheme="minorHAnsi"/>
          <w:szCs w:val="24"/>
          <w:lang w:val="hr-HR" w:eastAsia="hr-HR"/>
        </w:rPr>
      </w:pPr>
      <w:r w:rsidRPr="00CB5BEE">
        <w:rPr>
          <w:rFonts w:eastAsia="Times New Roman" w:cstheme="minorHAnsi"/>
          <w:szCs w:val="24"/>
          <w:lang w:val="hr-HR" w:eastAsia="hr-HR"/>
        </w:rPr>
        <w:t>Realizovana redovna godišnja posjeta MMF-a gdje je</w:t>
      </w:r>
      <w:r w:rsidRPr="00CB5BEE">
        <w:rPr>
          <w:rFonts w:eastAsia="Times New Roman" w:cstheme="minorHAnsi"/>
          <w:b/>
          <w:noProof/>
          <w:szCs w:val="24"/>
          <w:lang w:val="sr-Latn-ME" w:eastAsia="hr-HR"/>
        </w:rPr>
        <w:t xml:space="preserve"> </w:t>
      </w:r>
      <w:r w:rsidRPr="00CB5BEE">
        <w:rPr>
          <w:rFonts w:eastAsia="Times New Roman" w:cstheme="minorHAnsi"/>
          <w:noProof/>
          <w:szCs w:val="24"/>
          <w:lang w:val="sr-Latn-ME" w:eastAsia="hr-HR"/>
        </w:rPr>
        <w:t xml:space="preserve">razmotren napredak koji je Poreska uprava Crne Gore ostvarila po osnovu programa reforme koji se realizuje uz podršku Odjeljenja za fiskalne poslove MMF-a. </w:t>
      </w:r>
      <w:r w:rsidRPr="00CB5BEE">
        <w:rPr>
          <w:rFonts w:eastAsia="Times New Roman" w:cstheme="minorHAnsi"/>
          <w:szCs w:val="24"/>
          <w:lang w:val="hr-HR" w:eastAsia="hr-HR"/>
        </w:rPr>
        <w:t>Date su preporuke i sugestije  koje se odnose na dalje unapređenje poslovnih porcesa u Poreskoj upravi.</w:t>
      </w:r>
    </w:p>
    <w:p w:rsidR="003611CF" w:rsidRPr="00CB5BEE" w:rsidRDefault="003611CF" w:rsidP="004D6CB4">
      <w:pPr>
        <w:numPr>
          <w:ilvl w:val="0"/>
          <w:numId w:val="153"/>
        </w:numPr>
        <w:spacing w:before="0" w:after="0" w:line="240" w:lineRule="auto"/>
        <w:ind w:left="0" w:firstLine="360"/>
        <w:contextualSpacing/>
        <w:rPr>
          <w:rFonts w:eastAsia="Times New Roman" w:cstheme="minorHAnsi"/>
          <w:szCs w:val="24"/>
          <w:lang w:val="en-GB"/>
        </w:rPr>
      </w:pPr>
      <w:r w:rsidRPr="00CB5BEE">
        <w:rPr>
          <w:rFonts w:eastAsia="Times New Roman" w:cstheme="minorHAnsi"/>
          <w:szCs w:val="24"/>
          <w:lang w:val="en-GB"/>
        </w:rPr>
        <w:t>Učešće u komisiji za odabir konsultantske firme za FRD</w:t>
      </w:r>
    </w:p>
    <w:p w:rsidR="003611CF" w:rsidRPr="00CB5BEE" w:rsidRDefault="003611CF" w:rsidP="004D6CB4">
      <w:pPr>
        <w:numPr>
          <w:ilvl w:val="0"/>
          <w:numId w:val="153"/>
        </w:numPr>
        <w:spacing w:before="0" w:after="0" w:line="240" w:lineRule="auto"/>
        <w:ind w:left="0" w:firstLine="360"/>
        <w:contextualSpacing/>
        <w:rPr>
          <w:rFonts w:eastAsia="Times New Roman" w:cstheme="minorHAnsi"/>
          <w:szCs w:val="24"/>
          <w:lang w:val="en-GB"/>
        </w:rPr>
      </w:pPr>
      <w:r w:rsidRPr="00CB5BEE">
        <w:rPr>
          <w:rFonts w:eastAsia="Times New Roman" w:cstheme="minorHAnsi"/>
          <w:szCs w:val="24"/>
          <w:lang w:val="en-GB"/>
        </w:rPr>
        <w:t>Pružanje pomoći kolegema iz Područne jedince Bar i Područne jedince Podgorica u obradi rješenja o porezu na promet nepokretnosti</w:t>
      </w:r>
    </w:p>
    <w:p w:rsidR="003611CF" w:rsidRPr="00E91BF1" w:rsidRDefault="003611CF" w:rsidP="004D6CB4">
      <w:pPr>
        <w:numPr>
          <w:ilvl w:val="0"/>
          <w:numId w:val="153"/>
        </w:numPr>
        <w:spacing w:before="0" w:after="0" w:line="240" w:lineRule="auto"/>
        <w:ind w:left="0" w:firstLine="360"/>
        <w:contextualSpacing/>
        <w:rPr>
          <w:rFonts w:eastAsia="Times New Roman" w:cstheme="minorHAnsi"/>
          <w:szCs w:val="24"/>
          <w:lang w:val="en-GB"/>
        </w:rPr>
      </w:pPr>
      <w:r w:rsidRPr="00CB5BEE">
        <w:rPr>
          <w:rFonts w:eastAsia="Times New Roman" w:cstheme="minorHAnsi"/>
          <w:szCs w:val="24"/>
          <w:lang w:val="en-GB"/>
        </w:rPr>
        <w:t>Objedinjavanje i dostava redovnih i ad hoc izvještaja Ministarstvu finansija i drugim zainteresovanim institucijama, gdje je potrebno objediniti izvještaje iz više organizacionih jedinica.</w:t>
      </w:r>
    </w:p>
    <w:p w:rsidR="003611CF" w:rsidRPr="00E91BF1" w:rsidRDefault="003611CF" w:rsidP="00E91BF1">
      <w:pPr>
        <w:keepNext/>
        <w:spacing w:before="0" w:line="240" w:lineRule="auto"/>
        <w:jc w:val="center"/>
        <w:outlineLvl w:val="0"/>
        <w:rPr>
          <w:rFonts w:eastAsia="Times New Roman" w:cstheme="minorHAnsi"/>
          <w:bCs/>
          <w:szCs w:val="24"/>
          <w:lang w:val="hr-HR"/>
        </w:rPr>
      </w:pPr>
      <w:r w:rsidRPr="00CB5BEE">
        <w:rPr>
          <w:rFonts w:eastAsia="Times New Roman" w:cstheme="minorHAnsi"/>
          <w:b/>
          <w:bCs/>
          <w:iCs/>
          <w:szCs w:val="24"/>
          <w:lang w:val="hr-HR"/>
        </w:rPr>
        <w:lastRenderedPageBreak/>
        <w:t>ODJELJENJE ZA UPRAVLJANJE RIZICIMA</w:t>
      </w:r>
    </w:p>
    <w:p w:rsidR="003611CF" w:rsidRPr="00CB5BEE" w:rsidRDefault="003611CF" w:rsidP="00CB5BEE">
      <w:pPr>
        <w:spacing w:before="0" w:after="0" w:line="240" w:lineRule="auto"/>
        <w:rPr>
          <w:rFonts w:eastAsia="Times New Roman" w:cstheme="minorHAnsi"/>
          <w:iCs/>
          <w:szCs w:val="24"/>
          <w:lang w:val="en-GB"/>
        </w:rPr>
      </w:pPr>
      <w:r w:rsidRPr="00CB5BEE">
        <w:rPr>
          <w:rFonts w:eastAsia="Times New Roman" w:cstheme="minorHAnsi"/>
          <w:iCs/>
          <w:szCs w:val="24"/>
          <w:lang w:val="en-GB"/>
        </w:rPr>
        <w:tab/>
        <w:t>Poreska uprava je krajem decembra 2019. godine usvojila Program za unapređenje poštovanja poreskih obaveza za 2020.</w:t>
      </w:r>
      <w:r w:rsidR="00E91BF1">
        <w:rPr>
          <w:rFonts w:eastAsia="Times New Roman" w:cstheme="minorHAnsi"/>
          <w:iCs/>
          <w:szCs w:val="24"/>
          <w:lang w:val="en-GB"/>
        </w:rPr>
        <w:t xml:space="preserve"> </w:t>
      </w:r>
      <w:r w:rsidRPr="00CB5BEE">
        <w:rPr>
          <w:rFonts w:eastAsia="Times New Roman" w:cstheme="minorHAnsi"/>
          <w:iCs/>
          <w:szCs w:val="24"/>
          <w:lang w:val="en-GB"/>
        </w:rPr>
        <w:t xml:space="preserve">godinu koji je izradilo Odjeljenje za upravljanje rizicima pod mentorstvom MMF-a, gdje su detaljno razvijene strategije ublažavanja identifikovanih rizika i povećanja poštovanja poreskih propisa. </w:t>
      </w:r>
    </w:p>
    <w:p w:rsidR="003611CF" w:rsidRPr="00CB5BEE" w:rsidRDefault="003611CF" w:rsidP="00CB5BEE">
      <w:pPr>
        <w:spacing w:before="0" w:after="0" w:line="240" w:lineRule="auto"/>
        <w:rPr>
          <w:rFonts w:eastAsia="Times New Roman" w:cstheme="minorHAnsi"/>
          <w:iCs/>
          <w:szCs w:val="24"/>
          <w:lang w:val="en-GB"/>
        </w:rPr>
      </w:pPr>
      <w:r w:rsidRPr="00CB5BEE">
        <w:rPr>
          <w:rFonts w:eastAsia="Times New Roman" w:cstheme="minorHAnsi"/>
          <w:iCs/>
          <w:szCs w:val="24"/>
          <w:lang w:val="en-GB"/>
        </w:rPr>
        <w:tab/>
        <w:t xml:space="preserve">U cilju daljeg praćenja realizacije Programa za unapređenje poštovanja poreskih obaveza neophodno je razraditi identifikovane rizike i uspostaviti jasan tretman istih. </w:t>
      </w:r>
    </w:p>
    <w:p w:rsidR="003611CF" w:rsidRPr="00CB5BEE" w:rsidRDefault="003611CF" w:rsidP="00CB5BEE">
      <w:pPr>
        <w:spacing w:before="0" w:after="0" w:line="240" w:lineRule="auto"/>
        <w:rPr>
          <w:rFonts w:eastAsia="Times New Roman" w:cstheme="minorHAnsi"/>
          <w:iCs/>
          <w:szCs w:val="24"/>
          <w:lang w:val="en-GB"/>
        </w:rPr>
      </w:pPr>
      <w:r w:rsidRPr="00CB5BEE">
        <w:rPr>
          <w:rFonts w:eastAsia="Times New Roman" w:cstheme="minorHAnsi"/>
          <w:iCs/>
          <w:szCs w:val="24"/>
          <w:lang w:val="en-GB"/>
        </w:rPr>
        <w:tab/>
        <w:t xml:space="preserve">Program  unapređenja poštovanja poreskih obaveza obuhvata: </w:t>
      </w:r>
    </w:p>
    <w:p w:rsidR="003611CF" w:rsidRPr="00CB5BEE" w:rsidRDefault="003611CF" w:rsidP="004D6CB4">
      <w:pPr>
        <w:numPr>
          <w:ilvl w:val="0"/>
          <w:numId w:val="116"/>
        </w:numPr>
        <w:spacing w:before="0" w:after="0" w:line="240" w:lineRule="auto"/>
        <w:contextualSpacing/>
        <w:jc w:val="left"/>
        <w:rPr>
          <w:rFonts w:eastAsia="Times New Roman" w:cstheme="minorHAnsi"/>
          <w:iCs/>
          <w:szCs w:val="24"/>
          <w:lang w:val="hr-HR" w:eastAsia="hr-HR"/>
        </w:rPr>
      </w:pPr>
      <w:r w:rsidRPr="00CB5BEE">
        <w:rPr>
          <w:rFonts w:eastAsia="Times New Roman" w:cstheme="minorHAnsi"/>
          <w:iCs/>
          <w:szCs w:val="24"/>
          <w:lang w:val="hr-HR" w:eastAsia="hr-HR"/>
        </w:rPr>
        <w:t xml:space="preserve">pristup Poreske uprave Programu za unapređenje poštovanja poreskih propisa,  </w:t>
      </w:r>
    </w:p>
    <w:p w:rsidR="003611CF" w:rsidRPr="00CB5BEE" w:rsidRDefault="003611CF" w:rsidP="004D6CB4">
      <w:pPr>
        <w:numPr>
          <w:ilvl w:val="0"/>
          <w:numId w:val="116"/>
        </w:numPr>
        <w:spacing w:before="0" w:after="0" w:line="240" w:lineRule="auto"/>
        <w:contextualSpacing/>
        <w:jc w:val="left"/>
        <w:rPr>
          <w:rFonts w:eastAsia="Times New Roman" w:cstheme="minorHAnsi"/>
          <w:iCs/>
          <w:szCs w:val="24"/>
          <w:lang w:val="hr-HR" w:eastAsia="hr-HR"/>
        </w:rPr>
      </w:pPr>
      <w:r w:rsidRPr="00CB5BEE">
        <w:rPr>
          <w:rFonts w:eastAsia="Times New Roman" w:cstheme="minorHAnsi"/>
          <w:iCs/>
          <w:szCs w:val="24"/>
          <w:lang w:val="hr-HR" w:eastAsia="hr-HR"/>
        </w:rPr>
        <w:t xml:space="preserve">kategorije poreskih obveznika u Crnoj Gori (fizička lica, pravna lica, poslodavci), </w:t>
      </w:r>
    </w:p>
    <w:p w:rsidR="003611CF" w:rsidRPr="00CB5BEE" w:rsidRDefault="003611CF" w:rsidP="004D6CB4">
      <w:pPr>
        <w:numPr>
          <w:ilvl w:val="0"/>
          <w:numId w:val="116"/>
        </w:numPr>
        <w:spacing w:before="0" w:after="0" w:line="240" w:lineRule="auto"/>
        <w:contextualSpacing/>
        <w:jc w:val="left"/>
        <w:rPr>
          <w:rFonts w:eastAsia="Times New Roman" w:cstheme="minorHAnsi"/>
          <w:iCs/>
          <w:szCs w:val="24"/>
          <w:lang w:val="hr-HR" w:eastAsia="hr-HR"/>
        </w:rPr>
      </w:pPr>
      <w:r w:rsidRPr="00CB5BEE">
        <w:rPr>
          <w:rFonts w:eastAsia="Times New Roman" w:cstheme="minorHAnsi"/>
          <w:iCs/>
          <w:szCs w:val="24"/>
          <w:lang w:val="hr-HR" w:eastAsia="hr-HR"/>
        </w:rPr>
        <w:t xml:space="preserve">osnovne poreske oblike kojima se upravlja, </w:t>
      </w:r>
    </w:p>
    <w:p w:rsidR="003611CF" w:rsidRPr="00CB5BEE" w:rsidRDefault="003611CF" w:rsidP="004D6CB4">
      <w:pPr>
        <w:numPr>
          <w:ilvl w:val="0"/>
          <w:numId w:val="116"/>
        </w:numPr>
        <w:spacing w:before="0" w:after="0" w:line="240" w:lineRule="auto"/>
        <w:contextualSpacing/>
        <w:jc w:val="left"/>
        <w:rPr>
          <w:rFonts w:eastAsia="Times New Roman" w:cstheme="minorHAnsi"/>
          <w:iCs/>
          <w:szCs w:val="24"/>
          <w:lang w:val="hr-HR" w:eastAsia="hr-HR"/>
        </w:rPr>
      </w:pPr>
      <w:r w:rsidRPr="00CB5BEE">
        <w:rPr>
          <w:rFonts w:eastAsia="Times New Roman" w:cstheme="minorHAnsi"/>
          <w:iCs/>
          <w:szCs w:val="24"/>
          <w:lang w:val="hr-HR" w:eastAsia="hr-HR"/>
        </w:rPr>
        <w:t xml:space="preserve">oblasti na kojima će biti fokus aktivnosti poštovanja obaveza u 2020.godini, </w:t>
      </w:r>
    </w:p>
    <w:p w:rsidR="003611CF" w:rsidRPr="00CB5BEE" w:rsidRDefault="003611CF" w:rsidP="004D6CB4">
      <w:pPr>
        <w:numPr>
          <w:ilvl w:val="0"/>
          <w:numId w:val="116"/>
        </w:numPr>
        <w:spacing w:before="0" w:after="0" w:line="240" w:lineRule="auto"/>
        <w:ind w:left="0" w:firstLine="360"/>
        <w:contextualSpacing/>
        <w:jc w:val="left"/>
        <w:rPr>
          <w:rFonts w:eastAsia="Times New Roman" w:cstheme="minorHAnsi"/>
          <w:iCs/>
          <w:szCs w:val="24"/>
          <w:lang w:val="en-US" w:eastAsia="hr-HR"/>
        </w:rPr>
      </w:pPr>
      <w:r w:rsidRPr="00CB5BEE">
        <w:rPr>
          <w:rFonts w:eastAsia="Times New Roman" w:cstheme="minorHAnsi"/>
          <w:iCs/>
          <w:szCs w:val="24"/>
          <w:lang w:val="hr-HR" w:eastAsia="hr-HR"/>
        </w:rPr>
        <w:t>Kampanje za poštovanje obaveza za 2020. godinu (u kojima je prepoznat nizak stepen poštovanja poreskih obaveza), tri kampanje i to: Ljetnja turistička sezona, Zimska turistička sezona i Građevinski sektor;</w:t>
      </w:r>
    </w:p>
    <w:p w:rsidR="003611CF" w:rsidRPr="00CB5BEE" w:rsidRDefault="003611CF" w:rsidP="004D6CB4">
      <w:pPr>
        <w:numPr>
          <w:ilvl w:val="0"/>
          <w:numId w:val="116"/>
        </w:numPr>
        <w:spacing w:before="0" w:after="0" w:line="240" w:lineRule="auto"/>
        <w:ind w:left="0" w:firstLine="360"/>
        <w:contextualSpacing/>
        <w:jc w:val="left"/>
        <w:rPr>
          <w:rFonts w:eastAsia="Times New Roman" w:cstheme="minorHAnsi"/>
          <w:iCs/>
          <w:szCs w:val="24"/>
          <w:lang w:val="hr-HR" w:eastAsia="hr-HR"/>
        </w:rPr>
      </w:pPr>
      <w:r w:rsidRPr="00CB5BEE">
        <w:rPr>
          <w:rFonts w:eastAsia="Times New Roman" w:cstheme="minorHAnsi"/>
          <w:iCs/>
          <w:szCs w:val="24"/>
          <w:lang w:val="hr-HR" w:eastAsia="hr-HR"/>
        </w:rPr>
        <w:t xml:space="preserve">ostale inicijative koje se odnose na poštovanje obaveza; </w:t>
      </w:r>
    </w:p>
    <w:p w:rsidR="003611CF" w:rsidRPr="00CB5BEE" w:rsidRDefault="003611CF" w:rsidP="004D6CB4">
      <w:pPr>
        <w:numPr>
          <w:ilvl w:val="0"/>
          <w:numId w:val="116"/>
        </w:numPr>
        <w:spacing w:before="0" w:after="0" w:line="240" w:lineRule="auto"/>
        <w:ind w:left="0" w:firstLine="360"/>
        <w:contextualSpacing/>
        <w:jc w:val="left"/>
        <w:rPr>
          <w:rFonts w:eastAsia="Times New Roman" w:cstheme="minorHAnsi"/>
          <w:iCs/>
          <w:szCs w:val="24"/>
          <w:lang w:val="en-US" w:eastAsia="hr-HR"/>
        </w:rPr>
      </w:pPr>
      <w:r w:rsidRPr="00CB5BEE">
        <w:rPr>
          <w:rFonts w:eastAsia="Times New Roman" w:cstheme="minorHAnsi"/>
          <w:iCs/>
          <w:szCs w:val="24"/>
          <w:lang w:val="hr-HR" w:eastAsia="hr-HR"/>
        </w:rPr>
        <w:t xml:space="preserve">Registar rizika - gdje su identifikovani rizici po osnovnim poreskim oblicima i isti rangirani na bazi: neregistracije, nepodnošenja prijava, netačnog izvještavanja/podataka i neplaćanja. Rangiranje se vrši u skladu sa matricom rizika, na osnovu izvjesnosti (vjerovatnoće da se nešto desi) i posljedica (uticaja i/ili ishoda nekog događaja koji će uticati na ciljeve Poreske uprave), pa su rizici ocijenjeni primjenom skale koja ima četiri nivoa: ozbiljan, visok, umjeren i nizak. </w:t>
      </w:r>
    </w:p>
    <w:p w:rsidR="003611CF" w:rsidRPr="00CB5BEE" w:rsidRDefault="003611CF" w:rsidP="00CB5BEE">
      <w:pPr>
        <w:spacing w:before="0" w:after="0" w:line="240" w:lineRule="auto"/>
        <w:rPr>
          <w:rFonts w:eastAsia="Calibri" w:cstheme="minorHAnsi"/>
          <w:iCs/>
          <w:szCs w:val="24"/>
          <w:lang w:val="hr-HR"/>
        </w:rPr>
      </w:pPr>
      <w:r w:rsidRPr="00CB5BEE">
        <w:rPr>
          <w:rFonts w:eastAsia="Calibri" w:cstheme="minorHAnsi"/>
          <w:iCs/>
          <w:szCs w:val="24"/>
          <w:lang w:val="hr-HR"/>
        </w:rPr>
        <w:tab/>
        <w:t xml:space="preserve">Rad Odjeljenja za upravljanje rizicima je fokusiran na rizike ozbiljan i visok. </w:t>
      </w:r>
    </w:p>
    <w:p w:rsidR="003611CF" w:rsidRPr="00CB5BEE" w:rsidRDefault="003611CF" w:rsidP="00CB5BEE">
      <w:pPr>
        <w:spacing w:before="0" w:after="0" w:line="240" w:lineRule="auto"/>
        <w:rPr>
          <w:rFonts w:eastAsia="Times New Roman" w:cstheme="minorHAnsi"/>
          <w:iCs/>
          <w:szCs w:val="24"/>
          <w:lang w:val="en-GB"/>
        </w:rPr>
      </w:pPr>
      <w:r w:rsidRPr="00CB5BEE">
        <w:rPr>
          <w:rFonts w:eastAsia="Calibri" w:cstheme="minorHAnsi"/>
          <w:iCs/>
          <w:szCs w:val="24"/>
          <w:lang w:val="hr-HR"/>
        </w:rPr>
        <w:tab/>
      </w:r>
      <w:r w:rsidRPr="00CB5BEE">
        <w:rPr>
          <w:rFonts w:eastAsia="Times New Roman" w:cstheme="minorHAnsi"/>
          <w:iCs/>
          <w:szCs w:val="24"/>
          <w:lang w:val="en-GB"/>
        </w:rPr>
        <w:t>Zaposleni u Odjeljenju za analizu rizika su i članovi Komisije za analizu i praćenje duga po osnovu PDV- a koja prati ispunjavanje plana naplate PDV-a u skladu sa Planom naplate Poreske uprave za tekuću godinu, analizu stanja kretanja PDV-a u smislu utvrđivanja razloga (osnov) povraćaja PDV-a, praćenje poštovanja procedura za povraćaj PDV-a.</w:t>
      </w:r>
    </w:p>
    <w:p w:rsidR="003611CF" w:rsidRPr="00CB5BEE" w:rsidRDefault="003611CF" w:rsidP="00CB5BEE">
      <w:pPr>
        <w:spacing w:before="0" w:after="0" w:line="240" w:lineRule="auto"/>
        <w:rPr>
          <w:rFonts w:eastAsia="Times New Roman" w:cstheme="minorHAnsi"/>
          <w:iCs/>
          <w:szCs w:val="24"/>
          <w:lang w:val="en-GB"/>
        </w:rPr>
      </w:pPr>
      <w:r w:rsidRPr="00CB5BEE">
        <w:rPr>
          <w:rFonts w:eastAsia="Times New Roman" w:cstheme="minorHAnsi"/>
          <w:iCs/>
          <w:szCs w:val="24"/>
          <w:lang w:val="en-GB"/>
        </w:rPr>
        <w:tab/>
        <w:t>Zaposleni Odjeljenja su i članovi Radne grupe za uvođenje i praćenje implementacije sistema za elektronsku fiskalizaciju računa, za potrebe projekta “Reforma poreske administracije – dodatno finansiranje” te stoga u kontinuitetu prisustvuju sastancima i aktivno rade na potrebnim stvarima koji se tiču e_fiskalizacije.</w:t>
      </w:r>
    </w:p>
    <w:p w:rsidR="003611CF" w:rsidRPr="00CB5BEE" w:rsidRDefault="003611CF" w:rsidP="00CB5BEE">
      <w:pPr>
        <w:spacing w:before="0" w:after="0" w:line="240" w:lineRule="auto"/>
        <w:rPr>
          <w:rFonts w:eastAsia="Times New Roman" w:cstheme="minorHAnsi"/>
          <w:iCs/>
          <w:szCs w:val="24"/>
          <w:lang w:val="en-GB"/>
        </w:rPr>
      </w:pPr>
    </w:p>
    <w:p w:rsidR="003611CF" w:rsidRPr="00E91BF1" w:rsidRDefault="003611CF" w:rsidP="00E91BF1">
      <w:pPr>
        <w:keepNext/>
        <w:spacing w:before="0" w:after="0" w:line="240" w:lineRule="auto"/>
        <w:outlineLvl w:val="1"/>
        <w:rPr>
          <w:rFonts w:eastAsia="Times New Roman" w:cstheme="minorHAnsi"/>
          <w:b/>
          <w:szCs w:val="24"/>
          <w:lang w:val="en-US"/>
        </w:rPr>
      </w:pPr>
      <w:r w:rsidRPr="00CB5BEE">
        <w:rPr>
          <w:rFonts w:eastAsia="Times New Roman" w:cstheme="minorHAnsi"/>
          <w:b/>
          <w:szCs w:val="24"/>
          <w:lang w:val="en-US"/>
        </w:rPr>
        <w:t>Rad Odjeljenja u I kvartalu:</w:t>
      </w:r>
    </w:p>
    <w:p w:rsidR="003611CF" w:rsidRPr="00CB5BEE" w:rsidRDefault="003611CF" w:rsidP="004D6CB4">
      <w:pPr>
        <w:numPr>
          <w:ilvl w:val="0"/>
          <w:numId w:val="154"/>
        </w:numPr>
        <w:spacing w:before="0" w:after="0" w:line="240" w:lineRule="auto"/>
        <w:ind w:left="0" w:firstLine="360"/>
        <w:contextualSpacing/>
        <w:rPr>
          <w:rFonts w:eastAsia="Times New Roman" w:cstheme="minorHAnsi"/>
          <w:iCs/>
          <w:szCs w:val="24"/>
          <w:lang w:val="hr-HR" w:eastAsia="hr-HR"/>
        </w:rPr>
      </w:pPr>
      <w:r w:rsidRPr="00CB5BEE">
        <w:rPr>
          <w:rFonts w:eastAsia="Times New Roman" w:cstheme="minorHAnsi"/>
          <w:iCs/>
          <w:szCs w:val="24"/>
          <w:lang w:val="hr-HR" w:eastAsia="hr-HR"/>
        </w:rPr>
        <w:t xml:space="preserve">Definisan je Plan rada Odjeljenja za upravljanje rizicima za 2020.godinu; </w:t>
      </w:r>
    </w:p>
    <w:p w:rsidR="003611CF" w:rsidRPr="00CB5BEE" w:rsidRDefault="003611CF" w:rsidP="004D6CB4">
      <w:pPr>
        <w:numPr>
          <w:ilvl w:val="0"/>
          <w:numId w:val="154"/>
        </w:numPr>
        <w:spacing w:before="0" w:after="0" w:line="240" w:lineRule="auto"/>
        <w:ind w:left="0" w:firstLine="360"/>
        <w:contextualSpacing/>
        <w:rPr>
          <w:rFonts w:eastAsia="Times New Roman" w:cstheme="minorHAnsi"/>
          <w:iCs/>
          <w:szCs w:val="24"/>
          <w:lang w:val="hr-HR" w:eastAsia="hr-HR"/>
        </w:rPr>
      </w:pPr>
      <w:r w:rsidRPr="00CB5BEE">
        <w:rPr>
          <w:rFonts w:eastAsia="Times New Roman" w:cstheme="minorHAnsi"/>
          <w:iCs/>
          <w:szCs w:val="24"/>
          <w:lang w:val="hr-HR" w:eastAsia="hr-HR"/>
        </w:rPr>
        <w:t>Usvojen  je Akcioni plan za Ljetnju turističku sezonu za 2020.godinu;</w:t>
      </w:r>
    </w:p>
    <w:p w:rsidR="003611CF" w:rsidRPr="00CB5BEE" w:rsidRDefault="003611CF" w:rsidP="004D6CB4">
      <w:pPr>
        <w:numPr>
          <w:ilvl w:val="0"/>
          <w:numId w:val="154"/>
        </w:numPr>
        <w:spacing w:before="0" w:after="0" w:line="240" w:lineRule="auto"/>
        <w:ind w:left="0" w:firstLine="360"/>
        <w:contextualSpacing/>
        <w:rPr>
          <w:rFonts w:eastAsia="Times New Roman" w:cstheme="minorHAnsi"/>
          <w:iCs/>
          <w:szCs w:val="24"/>
          <w:lang w:val="hr-HR" w:eastAsia="hr-HR"/>
        </w:rPr>
      </w:pPr>
      <w:r w:rsidRPr="00CB5BEE">
        <w:rPr>
          <w:rFonts w:eastAsia="Times New Roman" w:cstheme="minorHAnsi"/>
          <w:iCs/>
          <w:szCs w:val="24"/>
          <w:lang w:val="hr-HR" w:eastAsia="hr-HR"/>
        </w:rPr>
        <w:t xml:space="preserve">Analiza poreskih obveznika, na dnevnom nivou, koji su podnijeli zahtjev za povraćaj PDV kredita; </w:t>
      </w:r>
    </w:p>
    <w:p w:rsidR="003611CF" w:rsidRPr="00CB5BEE" w:rsidRDefault="003611CF" w:rsidP="004D6CB4">
      <w:pPr>
        <w:numPr>
          <w:ilvl w:val="0"/>
          <w:numId w:val="154"/>
        </w:numPr>
        <w:spacing w:before="0" w:after="0" w:line="240" w:lineRule="auto"/>
        <w:ind w:left="0" w:firstLine="360"/>
        <w:contextualSpacing/>
        <w:rPr>
          <w:rFonts w:eastAsia="Times New Roman" w:cstheme="minorHAnsi"/>
          <w:iCs/>
          <w:szCs w:val="24"/>
          <w:lang w:val="hr-HR" w:eastAsia="hr-HR"/>
        </w:rPr>
      </w:pPr>
      <w:r w:rsidRPr="00CB5BEE">
        <w:rPr>
          <w:rFonts w:eastAsia="Times New Roman" w:cstheme="minorHAnsi"/>
          <w:iCs/>
          <w:szCs w:val="24"/>
          <w:lang w:val="hr-HR" w:eastAsia="hr-HR"/>
        </w:rPr>
        <w:t>Urađena je analiza povezanih lica (koja se pojavljuju u više firmi), na osnovu izvještaja dostavljenih od Sektora za usluge i registraciju – Odsjek za centralni registar privrednih subjekata (CRPS);</w:t>
      </w:r>
    </w:p>
    <w:p w:rsidR="003611CF" w:rsidRPr="00CB5BEE" w:rsidRDefault="003611CF" w:rsidP="004D6CB4">
      <w:pPr>
        <w:numPr>
          <w:ilvl w:val="0"/>
          <w:numId w:val="154"/>
        </w:numPr>
        <w:spacing w:before="0" w:after="0" w:line="240" w:lineRule="auto"/>
        <w:ind w:left="0" w:firstLine="360"/>
        <w:contextualSpacing/>
        <w:rPr>
          <w:rFonts w:eastAsia="Times New Roman" w:cstheme="minorHAnsi"/>
          <w:iCs/>
          <w:szCs w:val="24"/>
          <w:lang w:val="hr-HR" w:eastAsia="hr-HR"/>
        </w:rPr>
      </w:pPr>
      <w:r w:rsidRPr="00CB5BEE">
        <w:rPr>
          <w:rFonts w:eastAsia="Times New Roman" w:cstheme="minorHAnsi"/>
          <w:iCs/>
          <w:szCs w:val="24"/>
          <w:lang w:val="hr-HR" w:eastAsia="hr-HR"/>
        </w:rPr>
        <w:t>Prateći Program za unapređenje poštovanja poreskih propisa, analizirana je  kategorija srednjih poreskih obveznika, po internoj klasifikaciji, njih 1.957. Urađena je sintetika podnošenja poreskih prijava i poreskih dugova po vrsti poreza i stepenu rizičnosti, izdvojeni poreski obveznici sa najvećim dugom, urađena podjela po djelatnosti koju obavljaju, izdvojeni visoko i ozbiljno rizični poreski obveznici;</w:t>
      </w:r>
    </w:p>
    <w:p w:rsidR="003611CF" w:rsidRPr="00CB5BEE" w:rsidRDefault="003611CF" w:rsidP="004D6CB4">
      <w:pPr>
        <w:numPr>
          <w:ilvl w:val="0"/>
          <w:numId w:val="154"/>
        </w:numPr>
        <w:spacing w:before="0" w:after="0" w:line="240" w:lineRule="auto"/>
        <w:ind w:left="0" w:firstLine="360"/>
        <w:contextualSpacing/>
        <w:rPr>
          <w:rFonts w:eastAsia="Times New Roman" w:cstheme="minorHAnsi"/>
          <w:iCs/>
          <w:szCs w:val="24"/>
          <w:lang w:val="hr-HR" w:eastAsia="hr-HR"/>
        </w:rPr>
      </w:pPr>
      <w:r w:rsidRPr="00CB5BEE">
        <w:rPr>
          <w:rFonts w:eastAsia="Times New Roman" w:cstheme="minorHAnsi"/>
          <w:iCs/>
          <w:szCs w:val="24"/>
          <w:lang w:val="hr-HR" w:eastAsia="hr-HR"/>
        </w:rPr>
        <w:t>Rađena je analiza poreskih obveznika koji obavljaju djelatnost na teritoriji glavnog grada Podgorica, po zonama,  na osnovu podataka dobijenih od IT sektora i Sektora za operativu u oblasti inspekcijskog nadzora i izdvojeni su visoko rizični poreski obveznici;</w:t>
      </w:r>
    </w:p>
    <w:p w:rsidR="003611CF" w:rsidRPr="00CB5BEE" w:rsidRDefault="003611CF" w:rsidP="004D6CB4">
      <w:pPr>
        <w:numPr>
          <w:ilvl w:val="0"/>
          <w:numId w:val="154"/>
        </w:numPr>
        <w:spacing w:before="0" w:after="0" w:line="240" w:lineRule="auto"/>
        <w:ind w:left="0" w:firstLine="360"/>
        <w:contextualSpacing/>
        <w:rPr>
          <w:rFonts w:eastAsia="Times New Roman" w:cstheme="minorHAnsi"/>
          <w:iCs/>
          <w:szCs w:val="24"/>
          <w:lang w:val="hr-HR" w:eastAsia="hr-HR"/>
        </w:rPr>
      </w:pPr>
      <w:r w:rsidRPr="00CB5BEE">
        <w:rPr>
          <w:rFonts w:eastAsia="Times New Roman" w:cstheme="minorHAnsi"/>
          <w:iCs/>
          <w:szCs w:val="24"/>
          <w:lang w:val="hr-HR" w:eastAsia="hr-HR"/>
        </w:rPr>
        <w:lastRenderedPageBreak/>
        <w:t>Rađena je a</w:t>
      </w:r>
      <w:r w:rsidRPr="00CB5BEE">
        <w:rPr>
          <w:rFonts w:eastAsia="Times New Roman" w:cstheme="minorHAnsi"/>
          <w:iCs/>
          <w:szCs w:val="24"/>
          <w:lang w:val="en-US" w:eastAsia="hr-HR"/>
        </w:rPr>
        <w:t xml:space="preserve">naliza ljetnje turističke sezone 2019.godine za potrebe </w:t>
      </w:r>
      <w:r w:rsidRPr="00CB5BEE">
        <w:rPr>
          <w:rFonts w:eastAsia="Times New Roman" w:cstheme="minorHAnsi"/>
          <w:iCs/>
          <w:szCs w:val="24"/>
          <w:lang w:val="hr-HR" w:eastAsia="hr-HR"/>
        </w:rPr>
        <w:t>predsezone 2020.godine, na osnovu izvještaja kontrolisanih obveznika dostavljenih od strane Sektora za operativu u oblasti inspekcijskog nadzora i podataka dobijenih od IT sektora;</w:t>
      </w:r>
    </w:p>
    <w:p w:rsidR="003611CF" w:rsidRPr="00CB5BEE" w:rsidRDefault="003611CF" w:rsidP="004D6CB4">
      <w:pPr>
        <w:numPr>
          <w:ilvl w:val="0"/>
          <w:numId w:val="154"/>
        </w:numPr>
        <w:spacing w:before="0" w:after="0" w:line="240" w:lineRule="auto"/>
        <w:ind w:left="0" w:firstLine="360"/>
        <w:contextualSpacing/>
        <w:rPr>
          <w:rFonts w:eastAsia="Times New Roman" w:cstheme="minorHAnsi"/>
          <w:iCs/>
          <w:szCs w:val="24"/>
          <w:lang w:val="hr-HR" w:eastAsia="hr-HR"/>
        </w:rPr>
      </w:pPr>
      <w:r w:rsidRPr="00CB5BEE">
        <w:rPr>
          <w:rFonts w:eastAsia="Times New Roman" w:cstheme="minorHAnsi"/>
          <w:iCs/>
          <w:szCs w:val="24"/>
          <w:lang w:val="hr-HR" w:eastAsia="hr-HR"/>
        </w:rPr>
        <w:t>Službenici Odjeljenja za upravljenje rizicima prisustvovali predavanjima za procjenu poreskog jaza u okviru projekta „Projekat reforme poreske administracije“;</w:t>
      </w:r>
    </w:p>
    <w:p w:rsidR="003611CF" w:rsidRPr="00E91BF1" w:rsidRDefault="003611CF" w:rsidP="004D6CB4">
      <w:pPr>
        <w:numPr>
          <w:ilvl w:val="0"/>
          <w:numId w:val="154"/>
        </w:numPr>
        <w:spacing w:before="0" w:after="0" w:line="240" w:lineRule="auto"/>
        <w:ind w:left="0" w:firstLine="360"/>
        <w:contextualSpacing/>
        <w:rPr>
          <w:rFonts w:eastAsia="Times New Roman" w:cstheme="minorHAnsi"/>
          <w:iCs/>
          <w:szCs w:val="24"/>
          <w:lang w:val="hr-HR" w:eastAsia="hr-HR"/>
        </w:rPr>
      </w:pPr>
      <w:r w:rsidRPr="00CB5BEE">
        <w:rPr>
          <w:rFonts w:eastAsia="Times New Roman" w:cstheme="minorHAnsi"/>
          <w:iCs/>
          <w:szCs w:val="24"/>
          <w:lang w:val="hr-HR" w:eastAsia="hr-HR"/>
        </w:rPr>
        <w:t>U kontinuitetu se prati realizacija Programa unapređenja poštovanja propisa.</w:t>
      </w:r>
    </w:p>
    <w:p w:rsidR="003611CF" w:rsidRPr="00CB5BEE" w:rsidRDefault="003611CF" w:rsidP="00E91BF1">
      <w:pPr>
        <w:spacing w:before="0" w:after="0" w:line="240" w:lineRule="auto"/>
        <w:rPr>
          <w:rFonts w:eastAsia="Times New Roman" w:cstheme="minorHAnsi"/>
          <w:iCs/>
          <w:szCs w:val="24"/>
          <w:lang w:val="hr-HR" w:eastAsia="hr-HR"/>
        </w:rPr>
      </w:pPr>
    </w:p>
    <w:p w:rsidR="003611CF" w:rsidRPr="00E91BF1" w:rsidRDefault="003611CF" w:rsidP="00E91BF1">
      <w:pPr>
        <w:keepNext/>
        <w:spacing w:before="0" w:after="0" w:line="240" w:lineRule="auto"/>
        <w:outlineLvl w:val="1"/>
        <w:rPr>
          <w:rFonts w:eastAsia="Times New Roman" w:cstheme="minorHAnsi"/>
          <w:b/>
          <w:szCs w:val="24"/>
          <w:lang w:val="en-US"/>
        </w:rPr>
      </w:pPr>
      <w:r w:rsidRPr="00CB5BEE">
        <w:rPr>
          <w:rFonts w:eastAsia="Times New Roman" w:cstheme="minorHAnsi"/>
          <w:b/>
          <w:szCs w:val="24"/>
          <w:lang w:val="en-US"/>
        </w:rPr>
        <w:t>Rad Odjeljenja u II kvartalu:</w:t>
      </w:r>
    </w:p>
    <w:p w:rsidR="003611CF" w:rsidRPr="00CB5BEE" w:rsidRDefault="003611CF" w:rsidP="004D6CB4">
      <w:pPr>
        <w:numPr>
          <w:ilvl w:val="0"/>
          <w:numId w:val="155"/>
        </w:numPr>
        <w:spacing w:before="0" w:after="0" w:line="240" w:lineRule="auto"/>
        <w:ind w:left="0" w:firstLine="360"/>
        <w:contextualSpacing/>
        <w:rPr>
          <w:rFonts w:eastAsia="Times New Roman" w:cstheme="minorHAnsi"/>
          <w:szCs w:val="24"/>
          <w:lang w:val="hr-HR" w:eastAsia="hr-HR"/>
        </w:rPr>
      </w:pPr>
      <w:r w:rsidRPr="00CB5BEE">
        <w:rPr>
          <w:rFonts w:eastAsia="Times New Roman" w:cstheme="minorHAnsi"/>
          <w:szCs w:val="24"/>
          <w:lang w:val="hr-HR" w:eastAsia="hr-HR"/>
        </w:rPr>
        <w:t xml:space="preserve">U skladu sa Programom za unapređenje poštovanja poreskih propisa i internoj klasifikaciji urađena je analiza kategorije srednjih poreskih obveznika, odnosno: sintetika podnošenja poreskih prijava i stanja duga po vrsti poreza i stepenu rizičnosti na osnovu čega su izdvojeni visoko i ozbiljno rizični poreski obveznici; </w:t>
      </w:r>
    </w:p>
    <w:p w:rsidR="003611CF" w:rsidRPr="00CB5BEE" w:rsidRDefault="003611CF" w:rsidP="004D6CB4">
      <w:pPr>
        <w:numPr>
          <w:ilvl w:val="0"/>
          <w:numId w:val="155"/>
        </w:numPr>
        <w:spacing w:before="0" w:after="0" w:line="240" w:lineRule="auto"/>
        <w:ind w:left="0" w:firstLine="360"/>
        <w:contextualSpacing/>
        <w:rPr>
          <w:rFonts w:eastAsia="Times New Roman" w:cstheme="minorHAnsi"/>
          <w:szCs w:val="24"/>
          <w:lang w:val="hr-HR" w:eastAsia="hr-HR"/>
        </w:rPr>
      </w:pPr>
      <w:r w:rsidRPr="00CB5BEE">
        <w:rPr>
          <w:rFonts w:eastAsia="Times New Roman" w:cstheme="minorHAnsi"/>
          <w:szCs w:val="24"/>
          <w:lang w:val="hr-HR" w:eastAsia="hr-HR"/>
        </w:rPr>
        <w:t xml:space="preserve">U okviru Kampanje za poštovanje obaveza za 2020.godinu u građevisnkom sektoru urađena je detaljna analiza određenog broja poreskih obveznika koji obavljaju građevisnku djelatnost: sintetika podnošenja poreskih prijava po poreskom obliku, visina duga po poreskom obliku i stepenu rizičnosti, ukupan dug po poreskom obvezniku,  povezana lica koja se javljaju kod navedenih poreskih obveznika; </w:t>
      </w:r>
    </w:p>
    <w:p w:rsidR="003611CF" w:rsidRPr="00CB5BEE" w:rsidRDefault="003611CF" w:rsidP="004D6CB4">
      <w:pPr>
        <w:numPr>
          <w:ilvl w:val="0"/>
          <w:numId w:val="155"/>
        </w:numPr>
        <w:spacing w:before="0" w:after="0" w:line="240" w:lineRule="auto"/>
        <w:ind w:left="0" w:firstLine="360"/>
        <w:contextualSpacing/>
        <w:rPr>
          <w:rFonts w:eastAsia="Times New Roman" w:cstheme="minorHAnsi"/>
          <w:szCs w:val="24"/>
          <w:lang w:val="hr-HR" w:eastAsia="hr-HR"/>
        </w:rPr>
      </w:pPr>
      <w:r w:rsidRPr="00CB5BEE">
        <w:rPr>
          <w:rFonts w:eastAsia="Times New Roman" w:cstheme="minorHAnsi"/>
          <w:szCs w:val="24"/>
          <w:lang w:val="hr-HR" w:eastAsia="hr-HR"/>
        </w:rPr>
        <w:t>Izvještaj za potrebe Ljetnje turističke sezone 2020.godine</w:t>
      </w:r>
      <w:r w:rsidRPr="00CB5BEE">
        <w:rPr>
          <w:rFonts w:eastAsia="Times New Roman" w:cstheme="minorHAnsi"/>
          <w:szCs w:val="24"/>
          <w:lang w:val="en-US" w:eastAsia="hr-HR"/>
        </w:rPr>
        <w:t xml:space="preserve"> </w:t>
      </w:r>
      <w:r w:rsidRPr="00CB5BEE">
        <w:rPr>
          <w:rFonts w:eastAsia="Times New Roman" w:cstheme="minorHAnsi"/>
          <w:szCs w:val="24"/>
          <w:lang w:val="hr-HR" w:eastAsia="hr-HR"/>
        </w:rPr>
        <w:t xml:space="preserve">na osnovu podataka IT sektora i izvještaja kontrolisanih obveznika od strane Sektora za operativu u oblasti inspekcijskog nadzora. Kriterijumi  na osnovu kojih je rađena analiza po područnim jedinicama su:  kazne, dug, nepodnošenje prijava, promet. </w:t>
      </w:r>
      <w:r w:rsidRPr="00CB5BEE">
        <w:rPr>
          <w:rFonts w:eastAsia="Times New Roman" w:cstheme="minorHAnsi"/>
          <w:bCs/>
          <w:szCs w:val="24"/>
          <w:lang w:val="hr-HR" w:eastAsia="hr-HR"/>
        </w:rPr>
        <w:t>Analiza je ra</w:t>
      </w:r>
      <w:r w:rsidRPr="00CB5BEE">
        <w:rPr>
          <w:rFonts w:eastAsia="Times New Roman" w:cstheme="minorHAnsi"/>
          <w:szCs w:val="24"/>
          <w:lang w:val="hr-HR" w:eastAsia="hr-HR"/>
        </w:rPr>
        <w:t>đ</w:t>
      </w:r>
      <w:r w:rsidRPr="00CB5BEE">
        <w:rPr>
          <w:rFonts w:eastAsia="Times New Roman" w:cstheme="minorHAnsi"/>
          <w:bCs/>
          <w:szCs w:val="24"/>
          <w:lang w:val="hr-HR" w:eastAsia="hr-HR"/>
        </w:rPr>
        <w:t>ena na osnovu identifikovanih rizika po poreskim oblicima na bazi: registracije, podnošenja prijava, ta</w:t>
      </w:r>
      <w:r w:rsidRPr="00CB5BEE">
        <w:rPr>
          <w:rFonts w:eastAsia="Times New Roman" w:cstheme="minorHAnsi"/>
          <w:szCs w:val="24"/>
          <w:lang w:val="hr-HR" w:eastAsia="hr-HR"/>
        </w:rPr>
        <w:t>čn</w:t>
      </w:r>
      <w:r w:rsidRPr="00CB5BEE">
        <w:rPr>
          <w:rFonts w:eastAsia="Times New Roman" w:cstheme="minorHAnsi"/>
          <w:bCs/>
          <w:szCs w:val="24"/>
          <w:lang w:val="hr-HR" w:eastAsia="hr-HR"/>
        </w:rPr>
        <w:t>og izvještavanja i blagovremenog pla</w:t>
      </w:r>
      <w:r w:rsidRPr="00CB5BEE">
        <w:rPr>
          <w:rFonts w:eastAsia="Times New Roman" w:cstheme="minorHAnsi"/>
          <w:szCs w:val="24"/>
          <w:lang w:val="hr-HR" w:eastAsia="hr-HR"/>
        </w:rPr>
        <w:t>ć</w:t>
      </w:r>
      <w:r w:rsidRPr="00CB5BEE">
        <w:rPr>
          <w:rFonts w:eastAsia="Times New Roman" w:cstheme="minorHAnsi"/>
          <w:bCs/>
          <w:szCs w:val="24"/>
          <w:lang w:val="hr-HR" w:eastAsia="hr-HR"/>
        </w:rPr>
        <w:t xml:space="preserve">anja. </w:t>
      </w:r>
      <w:r w:rsidRPr="00CB5BEE">
        <w:rPr>
          <w:rFonts w:eastAsia="Times New Roman" w:cstheme="minorHAnsi"/>
          <w:szCs w:val="24"/>
          <w:lang w:val="hr-HR" w:eastAsia="hr-HR"/>
        </w:rPr>
        <w:t xml:space="preserve">Takođe je urađena sintetika poreskih prijava i dugova po vrsti poreza i stepenu rizičnosti i izvršen uporedni prikaz za period septembar 2019/maj 2020.godine. Na  osnovu navedenog, izdvojeni su visoko rizični poreski obveznici i dat predlog za kontrolu istih Sektoru za operativu u oblasti inspekcijskog nadzora; </w:t>
      </w:r>
    </w:p>
    <w:p w:rsidR="003611CF" w:rsidRPr="00CB5BEE" w:rsidRDefault="003611CF" w:rsidP="004D6CB4">
      <w:pPr>
        <w:numPr>
          <w:ilvl w:val="0"/>
          <w:numId w:val="155"/>
        </w:numPr>
        <w:spacing w:before="0" w:after="0" w:line="240" w:lineRule="auto"/>
        <w:ind w:left="0" w:firstLine="360"/>
        <w:contextualSpacing/>
        <w:rPr>
          <w:rFonts w:eastAsia="Times New Roman" w:cstheme="minorHAnsi"/>
          <w:szCs w:val="24"/>
          <w:lang w:val="hr-HR" w:eastAsia="hr-HR"/>
        </w:rPr>
      </w:pPr>
      <w:r w:rsidRPr="00CB5BEE">
        <w:rPr>
          <w:rFonts w:eastAsia="Times New Roman" w:cstheme="minorHAnsi"/>
          <w:szCs w:val="24"/>
          <w:lang w:val="hr-HR" w:eastAsia="hr-HR"/>
        </w:rPr>
        <w:t xml:space="preserve">Analiza poreskih obveznika, koji su podnijeli zahtjev za povraćaj PDV kredita po područnim jedinicama, na dnevnom nivou; </w:t>
      </w:r>
    </w:p>
    <w:p w:rsidR="003611CF" w:rsidRPr="00CB5BEE" w:rsidRDefault="003611CF" w:rsidP="004D6CB4">
      <w:pPr>
        <w:numPr>
          <w:ilvl w:val="0"/>
          <w:numId w:val="155"/>
        </w:numPr>
        <w:spacing w:before="0" w:after="0" w:line="240" w:lineRule="auto"/>
        <w:ind w:left="0" w:firstLine="360"/>
        <w:contextualSpacing/>
        <w:rPr>
          <w:rFonts w:eastAsia="Times New Roman" w:cstheme="minorHAnsi"/>
          <w:szCs w:val="24"/>
          <w:lang w:val="hr-HR" w:eastAsia="hr-HR"/>
        </w:rPr>
      </w:pPr>
      <w:r w:rsidRPr="00CB5BEE">
        <w:rPr>
          <w:rFonts w:eastAsia="Calibri" w:cstheme="minorHAnsi"/>
          <w:bCs/>
          <w:szCs w:val="24"/>
          <w:lang w:eastAsia="hr-HR"/>
        </w:rPr>
        <w:t xml:space="preserve">Službenici Odjeljenja za upravljanje rizicima </w:t>
      </w:r>
      <w:r w:rsidRPr="00CB5BEE">
        <w:rPr>
          <w:rFonts w:eastAsia="Times New Roman" w:cstheme="minorHAnsi"/>
          <w:iCs/>
          <w:szCs w:val="24"/>
          <w:lang w:val="hr-HR" w:eastAsia="hr-HR"/>
        </w:rPr>
        <w:t xml:space="preserve">članovi Radne grupe za uvođenje i praćenje implementacije sistema za elektronsku fiskalizaciju računa, pa u skladu sa tim obavljaju sve neophodne zadatke; </w:t>
      </w:r>
    </w:p>
    <w:p w:rsidR="003611CF" w:rsidRPr="00CB5BEE" w:rsidRDefault="003611CF" w:rsidP="004D6CB4">
      <w:pPr>
        <w:numPr>
          <w:ilvl w:val="0"/>
          <w:numId w:val="155"/>
        </w:numPr>
        <w:spacing w:before="0" w:after="0" w:line="240" w:lineRule="auto"/>
        <w:ind w:left="0" w:firstLine="360"/>
        <w:contextualSpacing/>
        <w:rPr>
          <w:rFonts w:eastAsia="Times New Roman" w:cstheme="minorHAnsi"/>
          <w:szCs w:val="24"/>
          <w:lang w:val="hr-HR" w:eastAsia="hr-HR"/>
        </w:rPr>
      </w:pPr>
      <w:r w:rsidRPr="00CB5BEE">
        <w:rPr>
          <w:rFonts w:eastAsia="Times New Roman" w:cstheme="minorHAnsi"/>
          <w:szCs w:val="24"/>
          <w:lang w:val="hr-HR" w:eastAsia="hr-HR"/>
        </w:rPr>
        <w:t xml:space="preserve">U kontinuitetu se prati realizacija Programa unapređenja poštovanja poreskih obaveza kako bi se u drugoj polovini godine revidirao Registar rizika i krajem godine usvojio Program unapređenja poštovanja poreskih obaveza za 2021.godinu. </w:t>
      </w:r>
    </w:p>
    <w:p w:rsidR="003611CF" w:rsidRPr="00CB5BEE" w:rsidRDefault="003611CF" w:rsidP="00E91BF1">
      <w:pPr>
        <w:spacing w:before="0" w:after="0" w:line="240" w:lineRule="auto"/>
        <w:rPr>
          <w:rFonts w:eastAsia="Times New Roman" w:cstheme="minorHAnsi"/>
          <w:szCs w:val="24"/>
          <w:lang w:val="en-GB"/>
        </w:rPr>
      </w:pPr>
    </w:p>
    <w:p w:rsidR="003611CF" w:rsidRPr="00E91BF1" w:rsidRDefault="003611CF" w:rsidP="00E91BF1">
      <w:pPr>
        <w:keepNext/>
        <w:keepLines/>
        <w:spacing w:before="0" w:after="0" w:line="240" w:lineRule="auto"/>
        <w:outlineLvl w:val="1"/>
        <w:rPr>
          <w:rFonts w:eastAsia="Times New Roman" w:cstheme="minorHAnsi"/>
          <w:b/>
          <w:szCs w:val="24"/>
          <w:lang w:val="en-US"/>
        </w:rPr>
      </w:pPr>
      <w:r w:rsidRPr="00CB5BEE">
        <w:rPr>
          <w:rFonts w:eastAsia="Times New Roman" w:cstheme="minorHAnsi"/>
          <w:b/>
          <w:szCs w:val="24"/>
          <w:lang w:val="en-US"/>
        </w:rPr>
        <w:t>Rad Odjeljenja u III kvartalu:</w:t>
      </w:r>
    </w:p>
    <w:p w:rsidR="003611CF" w:rsidRPr="00CB5BEE" w:rsidRDefault="00E91BF1" w:rsidP="00E91BF1">
      <w:pPr>
        <w:spacing w:before="0" w:after="0" w:line="240" w:lineRule="auto"/>
        <w:ind w:firstLine="709"/>
        <w:contextualSpacing/>
        <w:rPr>
          <w:rFonts w:eastAsia="Times New Roman" w:cstheme="minorHAnsi"/>
          <w:szCs w:val="24"/>
          <w:lang w:val="hr-HR" w:eastAsia="hr-HR"/>
        </w:rPr>
      </w:pPr>
      <w:r>
        <w:rPr>
          <w:rFonts w:eastAsia="Times New Roman" w:cstheme="minorHAnsi"/>
          <w:szCs w:val="24"/>
          <w:lang w:val="hr-HR" w:eastAsia="hr-HR"/>
        </w:rPr>
        <w:t xml:space="preserve">- </w:t>
      </w:r>
      <w:r w:rsidR="003611CF" w:rsidRPr="00CB5BEE">
        <w:rPr>
          <w:rFonts w:eastAsia="Times New Roman" w:cstheme="minorHAnsi"/>
          <w:szCs w:val="24"/>
          <w:lang w:val="hr-HR" w:eastAsia="hr-HR"/>
        </w:rPr>
        <w:t xml:space="preserve">U skladu sa Programom za unapređenje poštovanja poreskih propisa i internoj klasifikaciji urađena je analiza kategorije srednjih poreskih obveznika, odnosno: sintetika podnošenja poreskih prijava i stanja duga po vrsti poreza i stepenu rizičnosti na osnovu čega su izdvojeni visoko i ozbiljno rizični poreski obveznici; </w:t>
      </w:r>
    </w:p>
    <w:p w:rsidR="003611CF" w:rsidRPr="00CB5BEE" w:rsidRDefault="00E91BF1" w:rsidP="00E91BF1">
      <w:pPr>
        <w:spacing w:before="0" w:after="0" w:line="240" w:lineRule="auto"/>
        <w:ind w:firstLine="709"/>
        <w:contextualSpacing/>
        <w:rPr>
          <w:rFonts w:eastAsia="Times New Roman" w:cstheme="minorHAnsi"/>
          <w:szCs w:val="24"/>
          <w:lang w:val="hr-HR" w:eastAsia="hr-HR"/>
        </w:rPr>
      </w:pPr>
      <w:r>
        <w:rPr>
          <w:rFonts w:eastAsia="Times New Roman" w:cstheme="minorHAnsi"/>
          <w:szCs w:val="24"/>
          <w:lang w:val="hr-HR" w:eastAsia="hr-HR"/>
        </w:rPr>
        <w:t xml:space="preserve">- </w:t>
      </w:r>
      <w:r w:rsidR="003611CF" w:rsidRPr="00CB5BEE">
        <w:rPr>
          <w:rFonts w:eastAsia="Times New Roman" w:cstheme="minorHAnsi"/>
          <w:szCs w:val="24"/>
          <w:lang w:val="hr-HR" w:eastAsia="hr-HR"/>
        </w:rPr>
        <w:t xml:space="preserve">U okviru Kampanje za poštovanje obaveza za 2020.godinu u građevinskom sektoru urađena je detaljna analiza određenog broja poreskih obveznika koji obavljaju građevisnku djelatnost: sintetika podnošenja poreskih prijava po poreskom obliku, visina duga po poreskom obliku i stepenu rizičnosti, ukupan dug po poreskom obvezniku,  povezana lica koja se javljaju kod navedenih poreskih obveznika; </w:t>
      </w:r>
    </w:p>
    <w:p w:rsidR="003611CF" w:rsidRPr="00CB5BEE" w:rsidRDefault="00E91BF1" w:rsidP="00E91BF1">
      <w:pPr>
        <w:spacing w:before="0" w:after="0" w:line="240" w:lineRule="auto"/>
        <w:ind w:firstLine="709"/>
        <w:contextualSpacing/>
        <w:rPr>
          <w:rFonts w:eastAsia="Times New Roman" w:cstheme="minorHAnsi"/>
          <w:szCs w:val="24"/>
          <w:lang w:val="hr-HR" w:eastAsia="hr-HR"/>
        </w:rPr>
      </w:pPr>
      <w:r>
        <w:rPr>
          <w:rFonts w:eastAsia="Times New Roman" w:cstheme="minorHAnsi"/>
          <w:szCs w:val="24"/>
          <w:lang w:val="hr-HR" w:eastAsia="hr-HR"/>
        </w:rPr>
        <w:t xml:space="preserve">- </w:t>
      </w:r>
      <w:r w:rsidR="003611CF" w:rsidRPr="00CB5BEE">
        <w:rPr>
          <w:rFonts w:eastAsia="Times New Roman" w:cstheme="minorHAnsi"/>
          <w:szCs w:val="24"/>
          <w:lang w:val="hr-HR" w:eastAsia="hr-HR"/>
        </w:rPr>
        <w:t>Izvještaj za potrebe Ljetnje turističke sezone 2020.godine</w:t>
      </w:r>
      <w:r w:rsidR="003611CF" w:rsidRPr="00CB5BEE">
        <w:rPr>
          <w:rFonts w:eastAsia="Times New Roman" w:cstheme="minorHAnsi"/>
          <w:szCs w:val="24"/>
          <w:lang w:val="en-US" w:eastAsia="hr-HR"/>
        </w:rPr>
        <w:t xml:space="preserve"> </w:t>
      </w:r>
      <w:r w:rsidR="003611CF" w:rsidRPr="00CB5BEE">
        <w:rPr>
          <w:rFonts w:eastAsia="Times New Roman" w:cstheme="minorHAnsi"/>
          <w:szCs w:val="24"/>
          <w:lang w:val="hr-HR" w:eastAsia="hr-HR"/>
        </w:rPr>
        <w:t xml:space="preserve">na osnovu podataka IT sektora i izvještaja kontrolisanih obveznika od strane Sektora za operativu u oblasti inspekcijskog nadzora. Kriterijumi  na osnovu kojih je rađena analiza po područnim jedinicama su:  kazne, dug, </w:t>
      </w:r>
      <w:r w:rsidR="003611CF" w:rsidRPr="00CB5BEE">
        <w:rPr>
          <w:rFonts w:eastAsia="Times New Roman" w:cstheme="minorHAnsi"/>
          <w:szCs w:val="24"/>
          <w:lang w:val="hr-HR" w:eastAsia="hr-HR"/>
        </w:rPr>
        <w:lastRenderedPageBreak/>
        <w:t xml:space="preserve">nepodnošenje prijava, promet. </w:t>
      </w:r>
      <w:r w:rsidR="003611CF" w:rsidRPr="00CB5BEE">
        <w:rPr>
          <w:rFonts w:eastAsia="Times New Roman" w:cstheme="minorHAnsi"/>
          <w:bCs/>
          <w:szCs w:val="24"/>
          <w:lang w:val="hr-HR" w:eastAsia="hr-HR"/>
        </w:rPr>
        <w:t>Analiza je ra</w:t>
      </w:r>
      <w:r w:rsidR="003611CF" w:rsidRPr="00CB5BEE">
        <w:rPr>
          <w:rFonts w:eastAsia="Times New Roman" w:cstheme="minorHAnsi"/>
          <w:szCs w:val="24"/>
          <w:lang w:val="hr-HR" w:eastAsia="hr-HR"/>
        </w:rPr>
        <w:t>đ</w:t>
      </w:r>
      <w:r w:rsidR="003611CF" w:rsidRPr="00CB5BEE">
        <w:rPr>
          <w:rFonts w:eastAsia="Times New Roman" w:cstheme="minorHAnsi"/>
          <w:bCs/>
          <w:szCs w:val="24"/>
          <w:lang w:val="hr-HR" w:eastAsia="hr-HR"/>
        </w:rPr>
        <w:t>ena na osnovu identifikovanih rizika po poreskim oblicima na bazi: registracije, podnošenja prijava, ta</w:t>
      </w:r>
      <w:r w:rsidR="003611CF" w:rsidRPr="00CB5BEE">
        <w:rPr>
          <w:rFonts w:eastAsia="Times New Roman" w:cstheme="minorHAnsi"/>
          <w:szCs w:val="24"/>
          <w:lang w:val="hr-HR" w:eastAsia="hr-HR"/>
        </w:rPr>
        <w:t>čn</w:t>
      </w:r>
      <w:r w:rsidR="003611CF" w:rsidRPr="00CB5BEE">
        <w:rPr>
          <w:rFonts w:eastAsia="Times New Roman" w:cstheme="minorHAnsi"/>
          <w:bCs/>
          <w:szCs w:val="24"/>
          <w:lang w:val="hr-HR" w:eastAsia="hr-HR"/>
        </w:rPr>
        <w:t>og izvještavanja i blagovremenog pla</w:t>
      </w:r>
      <w:r w:rsidR="003611CF" w:rsidRPr="00CB5BEE">
        <w:rPr>
          <w:rFonts w:eastAsia="Times New Roman" w:cstheme="minorHAnsi"/>
          <w:szCs w:val="24"/>
          <w:lang w:val="hr-HR" w:eastAsia="hr-HR"/>
        </w:rPr>
        <w:t>ć</w:t>
      </w:r>
      <w:r w:rsidR="003611CF" w:rsidRPr="00CB5BEE">
        <w:rPr>
          <w:rFonts w:eastAsia="Times New Roman" w:cstheme="minorHAnsi"/>
          <w:bCs/>
          <w:szCs w:val="24"/>
          <w:lang w:val="hr-HR" w:eastAsia="hr-HR"/>
        </w:rPr>
        <w:t xml:space="preserve">anja; </w:t>
      </w:r>
    </w:p>
    <w:p w:rsidR="003611CF" w:rsidRPr="00CB5BEE" w:rsidRDefault="00E91BF1" w:rsidP="00E91BF1">
      <w:pPr>
        <w:spacing w:before="0" w:after="0" w:line="240" w:lineRule="auto"/>
        <w:ind w:firstLine="709"/>
        <w:contextualSpacing/>
        <w:rPr>
          <w:rFonts w:eastAsia="Times New Roman" w:cstheme="minorHAnsi"/>
          <w:szCs w:val="24"/>
          <w:lang w:val="hr-HR" w:eastAsia="hr-HR"/>
        </w:rPr>
      </w:pPr>
      <w:r>
        <w:rPr>
          <w:rFonts w:eastAsia="Times New Roman" w:cstheme="minorHAnsi"/>
          <w:szCs w:val="24"/>
          <w:lang w:val="hr-HR" w:eastAsia="hr-HR"/>
        </w:rPr>
        <w:t xml:space="preserve">- </w:t>
      </w:r>
      <w:r w:rsidR="003611CF" w:rsidRPr="00CB5BEE">
        <w:rPr>
          <w:rFonts w:eastAsia="Times New Roman" w:cstheme="minorHAnsi"/>
          <w:szCs w:val="24"/>
          <w:lang w:val="hr-HR" w:eastAsia="hr-HR"/>
        </w:rPr>
        <w:t xml:space="preserve">Analiza poreskih obveznika, koji su podnijeli zahtjev za povraćaj PDV kredita po područnim jedinicama, na dnevnom nivou; </w:t>
      </w:r>
    </w:p>
    <w:p w:rsidR="003611CF" w:rsidRPr="00CB5BEE" w:rsidRDefault="00E91BF1" w:rsidP="00E91BF1">
      <w:pPr>
        <w:spacing w:before="0" w:after="0" w:line="240" w:lineRule="auto"/>
        <w:ind w:firstLine="709"/>
        <w:contextualSpacing/>
        <w:rPr>
          <w:rFonts w:eastAsia="Times New Roman" w:cstheme="minorHAnsi"/>
          <w:szCs w:val="24"/>
          <w:lang w:val="hr-HR" w:eastAsia="hr-HR"/>
        </w:rPr>
      </w:pPr>
      <w:r>
        <w:rPr>
          <w:rFonts w:eastAsia="Calibri" w:cstheme="minorHAnsi"/>
          <w:bCs/>
          <w:szCs w:val="24"/>
          <w:lang w:eastAsia="hr-HR"/>
        </w:rPr>
        <w:t xml:space="preserve">- </w:t>
      </w:r>
      <w:r w:rsidR="003611CF" w:rsidRPr="00CB5BEE">
        <w:rPr>
          <w:rFonts w:eastAsia="Calibri" w:cstheme="minorHAnsi"/>
          <w:bCs/>
          <w:szCs w:val="24"/>
          <w:lang w:eastAsia="hr-HR"/>
        </w:rPr>
        <w:t xml:space="preserve">Službenici Odjeljenja za upravljanje rizicima su </w:t>
      </w:r>
      <w:r w:rsidR="003611CF" w:rsidRPr="00CB5BEE">
        <w:rPr>
          <w:rFonts w:eastAsia="Times New Roman" w:cstheme="minorHAnsi"/>
          <w:iCs/>
          <w:szCs w:val="24"/>
          <w:lang w:val="hr-HR" w:eastAsia="hr-HR"/>
        </w:rPr>
        <w:t xml:space="preserve">članovi Radne grupe za uvođenje i praćenje implementacije sistema za elektronsku fiskalizaciju računa, pa u skladu sa tim obavljaju sve neophodne zadatke u kontinuitetu; </w:t>
      </w:r>
    </w:p>
    <w:p w:rsidR="003611CF" w:rsidRPr="00CB5BEE" w:rsidRDefault="00E91BF1" w:rsidP="00E91BF1">
      <w:pPr>
        <w:spacing w:before="0" w:after="0" w:line="240" w:lineRule="auto"/>
        <w:ind w:firstLine="709"/>
        <w:contextualSpacing/>
        <w:rPr>
          <w:rFonts w:eastAsia="Times New Roman" w:cstheme="minorHAnsi"/>
          <w:szCs w:val="24"/>
          <w:lang w:val="hr-HR" w:eastAsia="hr-HR"/>
        </w:rPr>
      </w:pPr>
      <w:r>
        <w:rPr>
          <w:rFonts w:eastAsia="Times New Roman" w:cstheme="minorHAnsi"/>
          <w:iCs/>
          <w:szCs w:val="24"/>
          <w:lang w:val="hr-HR" w:eastAsia="hr-HR"/>
        </w:rPr>
        <w:t xml:space="preserve">- </w:t>
      </w:r>
      <w:r w:rsidR="003611CF" w:rsidRPr="00CB5BEE">
        <w:rPr>
          <w:rFonts w:eastAsia="Times New Roman" w:cstheme="minorHAnsi"/>
          <w:iCs/>
          <w:szCs w:val="24"/>
          <w:lang w:val="hr-HR" w:eastAsia="hr-HR"/>
        </w:rPr>
        <w:t>Analiza za društva koja su u stečaju i imaju povezana lica u novootvorenim društvima;</w:t>
      </w:r>
    </w:p>
    <w:p w:rsidR="003611CF" w:rsidRPr="00CB5BEE" w:rsidRDefault="00E91BF1" w:rsidP="00E91BF1">
      <w:pPr>
        <w:spacing w:before="0" w:after="0" w:line="240" w:lineRule="auto"/>
        <w:ind w:firstLine="709"/>
        <w:contextualSpacing/>
        <w:rPr>
          <w:rFonts w:eastAsia="Times New Roman" w:cstheme="minorHAnsi"/>
          <w:szCs w:val="24"/>
          <w:lang w:val="hr-HR" w:eastAsia="hr-HR"/>
        </w:rPr>
      </w:pPr>
      <w:r>
        <w:rPr>
          <w:rFonts w:eastAsia="Times New Roman" w:cstheme="minorHAnsi"/>
          <w:szCs w:val="24"/>
          <w:lang w:val="hr-HR" w:eastAsia="hr-HR"/>
        </w:rPr>
        <w:t xml:space="preserve">- </w:t>
      </w:r>
      <w:r w:rsidR="003611CF" w:rsidRPr="00CB5BEE">
        <w:rPr>
          <w:rFonts w:eastAsia="Times New Roman" w:cstheme="minorHAnsi"/>
          <w:szCs w:val="24"/>
          <w:lang w:val="hr-HR" w:eastAsia="hr-HR"/>
        </w:rPr>
        <w:t xml:space="preserve">Na osnovu podataka koje smo dobili od Sektora za operativu u oblasti naplate, Sektora za operativu u oblasti inspekcijskog nadzora, Sektora za usluge i registraciju, Sektora za razvoj informacionih tehnologija u oblasti Poreskog sistema, Službenici Odjeljenja za upravlajnje rizicima su revidirali Program za unapređenje poštovanja poreskih obaveza, kao i Registar rizika u pogledu poštovanja poreskih obaveza za 2020. godinu i pripremaju izradu novog plana za 2021. godinu , koji treba da se usvoji krajem godine; </w:t>
      </w:r>
    </w:p>
    <w:p w:rsidR="003611CF" w:rsidRPr="00CB5BEE" w:rsidRDefault="00E91BF1" w:rsidP="00E91BF1">
      <w:pPr>
        <w:spacing w:before="0" w:after="0" w:line="240" w:lineRule="auto"/>
        <w:ind w:firstLine="709"/>
        <w:contextualSpacing/>
        <w:rPr>
          <w:rFonts w:eastAsia="Times New Roman" w:cstheme="minorHAnsi"/>
          <w:szCs w:val="24"/>
          <w:lang w:val="hr-HR" w:eastAsia="hr-HR"/>
        </w:rPr>
      </w:pPr>
      <w:r>
        <w:rPr>
          <w:rFonts w:eastAsia="Times New Roman" w:cstheme="minorHAnsi"/>
          <w:szCs w:val="24"/>
          <w:lang w:val="hr-HR" w:eastAsia="hr-HR"/>
        </w:rPr>
        <w:t xml:space="preserve">- </w:t>
      </w:r>
      <w:r w:rsidR="003611CF" w:rsidRPr="00CB5BEE">
        <w:rPr>
          <w:rFonts w:eastAsia="Times New Roman" w:cstheme="minorHAnsi"/>
          <w:szCs w:val="24"/>
          <w:lang w:val="hr-HR" w:eastAsia="hr-HR"/>
        </w:rPr>
        <w:t>Analiza poreskih obveznika po djelatnostima, broj zaposlenih; podjela po ostvarenom prometu na mikro, male, srednje i velike poreske obveznike;</w:t>
      </w:r>
    </w:p>
    <w:p w:rsidR="003611CF" w:rsidRPr="00CB5BEE" w:rsidRDefault="00E91BF1" w:rsidP="00E91BF1">
      <w:pPr>
        <w:spacing w:before="0" w:after="0" w:line="240" w:lineRule="auto"/>
        <w:ind w:firstLine="709"/>
        <w:contextualSpacing/>
        <w:rPr>
          <w:rFonts w:eastAsia="Times New Roman" w:cstheme="minorHAnsi"/>
          <w:szCs w:val="24"/>
          <w:lang w:val="hr-HR" w:eastAsia="hr-HR"/>
        </w:rPr>
      </w:pPr>
      <w:r>
        <w:rPr>
          <w:rFonts w:eastAsia="Times New Roman" w:cstheme="minorHAnsi"/>
          <w:szCs w:val="24"/>
          <w:lang w:val="hr-HR" w:eastAsia="hr-HR"/>
        </w:rPr>
        <w:t xml:space="preserve">- </w:t>
      </w:r>
      <w:r w:rsidR="003611CF" w:rsidRPr="00CB5BEE">
        <w:rPr>
          <w:rFonts w:eastAsia="Times New Roman" w:cstheme="minorHAnsi"/>
          <w:szCs w:val="24"/>
          <w:lang w:val="hr-HR" w:eastAsia="hr-HR"/>
        </w:rPr>
        <w:t>Urađen je Izvještaj o realizaciji programa za unapređenje poštovanja poreskih propisa na dan 25.09.2020. godine.</w:t>
      </w:r>
    </w:p>
    <w:p w:rsidR="003611CF" w:rsidRPr="00CB5BEE" w:rsidRDefault="003611CF" w:rsidP="00CB5BEE">
      <w:pPr>
        <w:spacing w:before="0" w:after="0" w:line="240" w:lineRule="auto"/>
        <w:ind w:left="360"/>
        <w:rPr>
          <w:rFonts w:eastAsia="Times New Roman" w:cstheme="minorHAnsi"/>
          <w:szCs w:val="24"/>
          <w:lang w:val="hr-HR" w:eastAsia="hr-HR"/>
        </w:rPr>
      </w:pPr>
    </w:p>
    <w:p w:rsidR="003611CF" w:rsidRPr="00E91BF1" w:rsidRDefault="003611CF" w:rsidP="00E91BF1">
      <w:pPr>
        <w:keepNext/>
        <w:keepLines/>
        <w:spacing w:before="0" w:after="0" w:line="240" w:lineRule="auto"/>
        <w:outlineLvl w:val="1"/>
        <w:rPr>
          <w:rFonts w:eastAsia="Times New Roman" w:cstheme="minorHAnsi"/>
          <w:b/>
          <w:szCs w:val="24"/>
          <w:lang w:val="en-US"/>
        </w:rPr>
      </w:pPr>
      <w:r w:rsidRPr="00CB5BEE">
        <w:rPr>
          <w:rFonts w:eastAsia="Times New Roman" w:cstheme="minorHAnsi"/>
          <w:b/>
          <w:szCs w:val="24"/>
          <w:lang w:val="en-US"/>
        </w:rPr>
        <w:t>Rad Odjeljenja u IV kvartalu:</w:t>
      </w:r>
    </w:p>
    <w:p w:rsidR="003611CF" w:rsidRPr="00CB5BEE" w:rsidRDefault="00E91BF1" w:rsidP="00E91BF1">
      <w:pPr>
        <w:spacing w:before="0" w:after="0" w:line="240" w:lineRule="auto"/>
        <w:ind w:firstLine="709"/>
        <w:contextualSpacing/>
        <w:rPr>
          <w:rFonts w:eastAsia="Times New Roman" w:cstheme="minorHAnsi"/>
          <w:szCs w:val="24"/>
          <w:lang w:val="hr-HR" w:eastAsia="hr-HR"/>
        </w:rPr>
      </w:pPr>
      <w:r>
        <w:rPr>
          <w:rFonts w:eastAsia="Times New Roman" w:cstheme="minorHAnsi"/>
          <w:szCs w:val="24"/>
          <w:lang w:val="hr-HR" w:eastAsia="hr-HR"/>
        </w:rPr>
        <w:t xml:space="preserve">- </w:t>
      </w:r>
      <w:r w:rsidR="003611CF" w:rsidRPr="00CB5BEE">
        <w:rPr>
          <w:rFonts w:eastAsia="Times New Roman" w:cstheme="minorHAnsi"/>
          <w:szCs w:val="24"/>
          <w:lang w:val="hr-HR" w:eastAsia="hr-HR"/>
        </w:rPr>
        <w:t xml:space="preserve">Analiza poreskih obveznika, koji su podnijeli zahtjev za povraćaj PDV kredita po područnim jedinicama, na dnevnom nivou; </w:t>
      </w:r>
    </w:p>
    <w:p w:rsidR="003611CF" w:rsidRPr="00CB5BEE" w:rsidRDefault="00E91BF1" w:rsidP="00E91BF1">
      <w:pPr>
        <w:spacing w:before="0" w:after="0" w:line="240" w:lineRule="auto"/>
        <w:ind w:firstLine="709"/>
        <w:contextualSpacing/>
        <w:rPr>
          <w:rFonts w:eastAsia="Times New Roman" w:cstheme="minorHAnsi"/>
          <w:szCs w:val="24"/>
          <w:lang w:val="hr-HR" w:eastAsia="hr-HR"/>
        </w:rPr>
      </w:pPr>
      <w:r>
        <w:rPr>
          <w:rFonts w:eastAsia="Times New Roman" w:cstheme="minorHAnsi"/>
          <w:szCs w:val="24"/>
          <w:lang w:val="hr-HR" w:eastAsia="hr-HR"/>
        </w:rPr>
        <w:t xml:space="preserve">- </w:t>
      </w:r>
      <w:r w:rsidR="003611CF" w:rsidRPr="00CB5BEE">
        <w:rPr>
          <w:rFonts w:eastAsia="Times New Roman" w:cstheme="minorHAnsi"/>
          <w:szCs w:val="24"/>
          <w:lang w:val="hr-HR" w:eastAsia="hr-HR"/>
        </w:rPr>
        <w:t xml:space="preserve">U skladu sa Programom za unapređenje poštovanja poreskih propisa i internoj klasifikaciji urađena je analiza kategorije srednjih poreskih obveznika, odnosno: sintetika podnošenja poreskih prijava i stanja duga po vrsti poreza i stepenu rizičnosti na osnovu čega su izdvojeni visoko i ozbiljno rizični poreski obveznici; </w:t>
      </w:r>
    </w:p>
    <w:p w:rsidR="003611CF" w:rsidRPr="00CB5BEE" w:rsidRDefault="00E91BF1" w:rsidP="00E91BF1">
      <w:pPr>
        <w:spacing w:before="0" w:after="0" w:line="240" w:lineRule="auto"/>
        <w:ind w:firstLine="709"/>
        <w:contextualSpacing/>
        <w:rPr>
          <w:rFonts w:eastAsia="Times New Roman" w:cstheme="minorHAnsi"/>
          <w:szCs w:val="24"/>
          <w:lang w:val="hr-HR" w:eastAsia="hr-HR"/>
        </w:rPr>
      </w:pPr>
      <w:r>
        <w:rPr>
          <w:rFonts w:eastAsia="Calibri" w:cstheme="minorHAnsi"/>
          <w:bCs/>
          <w:szCs w:val="24"/>
          <w:lang w:eastAsia="hr-HR"/>
        </w:rPr>
        <w:t xml:space="preserve">- </w:t>
      </w:r>
      <w:r w:rsidR="003611CF" w:rsidRPr="00CB5BEE">
        <w:rPr>
          <w:rFonts w:eastAsia="Calibri" w:cstheme="minorHAnsi"/>
          <w:bCs/>
          <w:szCs w:val="24"/>
          <w:lang w:eastAsia="hr-HR"/>
        </w:rPr>
        <w:t xml:space="preserve">Službenici Odjeljenja za upravljanje rizicima su </w:t>
      </w:r>
      <w:r w:rsidR="003611CF" w:rsidRPr="00CB5BEE">
        <w:rPr>
          <w:rFonts w:eastAsia="Times New Roman" w:cstheme="minorHAnsi"/>
          <w:iCs/>
          <w:szCs w:val="24"/>
          <w:lang w:val="hr-HR" w:eastAsia="hr-HR"/>
        </w:rPr>
        <w:t xml:space="preserve">članovi Radne grupe za uvođenje i praćenje implementacije sistema za elektronsku fiskalizaciju računa, pa u skladu sa tim obavljaju sve neophodne zadatke u kontinuitetu; </w:t>
      </w:r>
    </w:p>
    <w:p w:rsidR="003611CF" w:rsidRPr="00CB5BEE" w:rsidRDefault="00E91BF1" w:rsidP="00E91BF1">
      <w:pPr>
        <w:spacing w:before="0" w:after="0" w:line="240" w:lineRule="auto"/>
        <w:ind w:firstLine="709"/>
        <w:contextualSpacing/>
        <w:rPr>
          <w:rFonts w:eastAsia="Times New Roman" w:cstheme="minorHAnsi"/>
          <w:szCs w:val="24"/>
          <w:lang w:val="hr-HR" w:eastAsia="hr-HR"/>
        </w:rPr>
      </w:pPr>
      <w:r>
        <w:rPr>
          <w:rFonts w:eastAsia="Times New Roman" w:cstheme="minorHAnsi"/>
          <w:szCs w:val="24"/>
          <w:lang w:val="hr-HR" w:eastAsia="hr-HR"/>
        </w:rPr>
        <w:t xml:space="preserve">- </w:t>
      </w:r>
      <w:r w:rsidR="003611CF" w:rsidRPr="00CB5BEE">
        <w:rPr>
          <w:rFonts w:eastAsia="Times New Roman" w:cstheme="minorHAnsi"/>
          <w:szCs w:val="24"/>
          <w:lang w:val="hr-HR" w:eastAsia="hr-HR"/>
        </w:rPr>
        <w:t>Službenici Odjeljenja za upravlajnje rizicima su uradili finalne verzije Programa za unapređenje poštovanja poreskih obaveza i Registra rizika u pogledu poštovanja poreskih obaveza za 2021. Godinu,</w:t>
      </w:r>
    </w:p>
    <w:p w:rsidR="003611CF" w:rsidRPr="00CB5BEE" w:rsidRDefault="00E91BF1" w:rsidP="00E91BF1">
      <w:pPr>
        <w:spacing w:before="0" w:after="0" w:line="240" w:lineRule="auto"/>
        <w:ind w:firstLine="709"/>
        <w:contextualSpacing/>
        <w:rPr>
          <w:rFonts w:eastAsia="Times New Roman" w:cstheme="minorHAnsi"/>
          <w:szCs w:val="24"/>
          <w:lang w:val="hr-HR" w:eastAsia="hr-HR"/>
        </w:rPr>
      </w:pPr>
      <w:r>
        <w:rPr>
          <w:rFonts w:eastAsia="Times New Roman" w:cstheme="minorHAnsi"/>
          <w:szCs w:val="24"/>
          <w:lang w:val="hr-HR" w:eastAsia="hr-HR"/>
        </w:rPr>
        <w:t xml:space="preserve">- </w:t>
      </w:r>
      <w:r w:rsidR="003611CF" w:rsidRPr="00CB5BEE">
        <w:rPr>
          <w:rFonts w:eastAsia="Times New Roman" w:cstheme="minorHAnsi"/>
          <w:szCs w:val="24"/>
          <w:lang w:val="hr-HR" w:eastAsia="hr-HR"/>
        </w:rPr>
        <w:t xml:space="preserve">Programa za unapređenje poštovanja poreskih obaveza  je usvojen krajem decembra 2020. Od strane Odbora za rizike i Direktora i objavljen na sajtu Poreske uprave; </w:t>
      </w:r>
    </w:p>
    <w:p w:rsidR="003611CF" w:rsidRPr="00CB5BEE" w:rsidRDefault="00E91BF1" w:rsidP="00E91BF1">
      <w:pPr>
        <w:spacing w:before="0" w:after="0" w:line="240" w:lineRule="auto"/>
        <w:ind w:firstLine="709"/>
        <w:contextualSpacing/>
        <w:rPr>
          <w:rFonts w:eastAsia="Times New Roman" w:cstheme="minorHAnsi"/>
          <w:szCs w:val="24"/>
          <w:lang w:val="hr-HR" w:eastAsia="hr-HR"/>
        </w:rPr>
      </w:pPr>
      <w:r>
        <w:rPr>
          <w:rFonts w:eastAsia="Times New Roman" w:cstheme="minorHAnsi"/>
          <w:szCs w:val="24"/>
          <w:lang w:val="hr-HR" w:eastAsia="hr-HR"/>
        </w:rPr>
        <w:t xml:space="preserve">- </w:t>
      </w:r>
      <w:r w:rsidR="003611CF" w:rsidRPr="00CB5BEE">
        <w:rPr>
          <w:rFonts w:eastAsia="Times New Roman" w:cstheme="minorHAnsi"/>
          <w:szCs w:val="24"/>
          <w:lang w:val="hr-HR" w:eastAsia="hr-HR"/>
        </w:rPr>
        <w:t>Urađena je analiza poreskih obveznika po djelatnostima  koje obavljaju: zdravstvena i socijalna zaštita, usluge smeštaja i pripremanje i posluživanje pića i hrane, saobraćaj i skladištenje, finansijske djelatnosti i djelatnosti osiguranja, poslovanje nekretninama, administrativne i pomoćne uslužne djelatnosti, informisanje i komunikacija, građevinska djelatnost , trgovina i ostale uslužne djelatnosti;</w:t>
      </w:r>
    </w:p>
    <w:p w:rsidR="003611CF" w:rsidRPr="00CB5BEE" w:rsidRDefault="00E91BF1" w:rsidP="00E91BF1">
      <w:pPr>
        <w:spacing w:before="0" w:after="0" w:line="240" w:lineRule="auto"/>
        <w:ind w:firstLine="709"/>
        <w:contextualSpacing/>
        <w:rPr>
          <w:rFonts w:eastAsia="Times New Roman" w:cstheme="minorHAnsi"/>
          <w:szCs w:val="24"/>
          <w:lang w:val="hr-HR" w:eastAsia="hr-HR"/>
        </w:rPr>
      </w:pPr>
      <w:r>
        <w:rPr>
          <w:rFonts w:eastAsia="Calibri" w:cstheme="minorHAnsi"/>
          <w:bCs/>
          <w:szCs w:val="24"/>
          <w:lang w:eastAsia="hr-HR"/>
        </w:rPr>
        <w:t xml:space="preserve">- </w:t>
      </w:r>
      <w:r w:rsidR="003611CF" w:rsidRPr="00CB5BEE">
        <w:rPr>
          <w:rFonts w:eastAsia="Calibri" w:cstheme="minorHAnsi"/>
          <w:bCs/>
          <w:szCs w:val="24"/>
          <w:lang w:eastAsia="hr-HR"/>
        </w:rPr>
        <w:t xml:space="preserve">Službenici Odjeljenja za upravljanje rizicima su </w:t>
      </w:r>
      <w:r w:rsidR="003611CF" w:rsidRPr="00CB5BEE">
        <w:rPr>
          <w:rFonts w:eastAsia="Times New Roman" w:cstheme="minorHAnsi"/>
          <w:iCs/>
          <w:szCs w:val="24"/>
          <w:lang w:val="hr-HR" w:eastAsia="hr-HR"/>
        </w:rPr>
        <w:t>članovi Radne grupe za uvođenje i praćenje implementacije sistema za elektronsku fiskalizaciju računa, te s toga prisustvuju sastancima i realizuju potrebne aktivnosti;</w:t>
      </w:r>
    </w:p>
    <w:p w:rsidR="003611CF" w:rsidRPr="00CB5BEE" w:rsidRDefault="00E91BF1" w:rsidP="00E91BF1">
      <w:pPr>
        <w:spacing w:before="0" w:after="0" w:line="240" w:lineRule="auto"/>
        <w:ind w:firstLine="709"/>
        <w:contextualSpacing/>
        <w:rPr>
          <w:rFonts w:eastAsia="Times New Roman" w:cstheme="minorHAnsi"/>
          <w:szCs w:val="24"/>
          <w:lang w:val="hr-HR" w:eastAsia="hr-HR"/>
        </w:rPr>
      </w:pPr>
      <w:r>
        <w:rPr>
          <w:rFonts w:eastAsia="Times New Roman" w:cstheme="minorHAnsi"/>
          <w:iCs/>
          <w:szCs w:val="24"/>
          <w:lang w:val="hr-HR" w:eastAsia="hr-HR"/>
        </w:rPr>
        <w:t xml:space="preserve">- </w:t>
      </w:r>
      <w:r w:rsidR="003611CF" w:rsidRPr="00CB5BEE">
        <w:rPr>
          <w:rFonts w:eastAsia="Times New Roman" w:cstheme="minorHAnsi"/>
          <w:iCs/>
          <w:szCs w:val="24"/>
          <w:lang w:val="hr-HR" w:eastAsia="hr-HR"/>
        </w:rPr>
        <w:t>Za potrebe Sektora za operativu u oblasti inspekcijskog nadzora je urađena analiza otvorenih naloga za vršenje inspekcijskog nadzora: poreski obveznici koji su u stečaju, u postupku za prestanak registracije, neaktivni, njihova urednost u podnošenju prijava, imovina kojom raspolažu, i to je sve urađeno po godinama;</w:t>
      </w:r>
    </w:p>
    <w:p w:rsidR="003611CF" w:rsidRDefault="00E91BF1" w:rsidP="0024765B">
      <w:pPr>
        <w:spacing w:before="0" w:after="0" w:line="240" w:lineRule="auto"/>
        <w:ind w:firstLine="709"/>
        <w:contextualSpacing/>
        <w:rPr>
          <w:rFonts w:eastAsia="Times New Roman" w:cstheme="minorHAnsi"/>
          <w:szCs w:val="24"/>
          <w:lang w:val="hr-HR" w:eastAsia="hr-HR"/>
        </w:rPr>
      </w:pPr>
      <w:r>
        <w:rPr>
          <w:rFonts w:eastAsia="Times New Roman" w:cstheme="minorHAnsi"/>
          <w:iCs/>
          <w:szCs w:val="24"/>
          <w:lang w:val="hr-HR" w:eastAsia="hr-HR"/>
        </w:rPr>
        <w:t xml:space="preserve">- </w:t>
      </w:r>
      <w:r w:rsidR="003611CF" w:rsidRPr="00CB5BEE">
        <w:rPr>
          <w:rFonts w:eastAsia="Times New Roman" w:cstheme="minorHAnsi"/>
          <w:iCs/>
          <w:szCs w:val="24"/>
          <w:lang w:val="hr-HR" w:eastAsia="hr-HR"/>
        </w:rPr>
        <w:t>Urađena je i analiza rada inspektora po godinama, po područnim jedinicama i po broju kontrola, odnosno, po broju podnijetih inicijativa za kontrolu, kao i razlogu za iste.</w:t>
      </w:r>
    </w:p>
    <w:p w:rsidR="0024765B" w:rsidRPr="0024765B" w:rsidRDefault="0024765B" w:rsidP="0024765B">
      <w:pPr>
        <w:spacing w:before="0" w:after="0" w:line="240" w:lineRule="auto"/>
        <w:ind w:firstLine="709"/>
        <w:contextualSpacing/>
        <w:rPr>
          <w:rFonts w:eastAsia="Times New Roman" w:cstheme="minorHAnsi"/>
          <w:szCs w:val="24"/>
          <w:lang w:val="hr-HR" w:eastAsia="hr-HR"/>
        </w:rPr>
      </w:pPr>
    </w:p>
    <w:p w:rsidR="003611CF" w:rsidRPr="0024765B" w:rsidRDefault="003611CF" w:rsidP="0024765B">
      <w:pPr>
        <w:spacing w:before="0" w:line="240" w:lineRule="auto"/>
        <w:jc w:val="center"/>
        <w:rPr>
          <w:rFonts w:eastAsia="Times New Roman" w:cstheme="minorHAnsi"/>
          <w:b/>
          <w:szCs w:val="24"/>
          <w:lang w:val="en-GB"/>
        </w:rPr>
      </w:pPr>
      <w:r w:rsidRPr="00CB5BEE">
        <w:rPr>
          <w:rFonts w:eastAsia="Times New Roman" w:cstheme="minorHAnsi"/>
          <w:b/>
          <w:szCs w:val="24"/>
          <w:lang w:val="en-GB"/>
        </w:rPr>
        <w:lastRenderedPageBreak/>
        <w:t>ODJELJENJE ZA U</w:t>
      </w:r>
      <w:r w:rsidR="0024765B">
        <w:rPr>
          <w:rFonts w:eastAsia="Times New Roman" w:cstheme="minorHAnsi"/>
          <w:b/>
          <w:szCs w:val="24"/>
          <w:lang w:val="en-GB"/>
        </w:rPr>
        <w:t>NUTRAŠNJU KONTROLU I INTEGRITET</w:t>
      </w:r>
    </w:p>
    <w:p w:rsidR="003611CF" w:rsidRPr="00CB5BEE" w:rsidRDefault="003611CF" w:rsidP="00CB5BEE">
      <w:pPr>
        <w:spacing w:before="0" w:after="0" w:line="240" w:lineRule="auto"/>
        <w:rPr>
          <w:rFonts w:eastAsia="Times New Roman" w:cstheme="minorHAnsi"/>
          <w:szCs w:val="24"/>
          <w:lang w:val="en-GB"/>
        </w:rPr>
      </w:pPr>
      <w:r w:rsidRPr="00CB5BEE">
        <w:rPr>
          <w:rFonts w:eastAsia="Times New Roman" w:cstheme="minorHAnsi"/>
          <w:szCs w:val="24"/>
          <w:lang w:val="en-GB"/>
        </w:rPr>
        <w:tab/>
        <w:t>U izvještajnom periodu Odjeljenje za unutrašnju kontrolu i integritet je izvršilo 105 kontrola pravilnog sprovodjenja propisa, zakonitosti, blagovremenosti, odgovornosti i efikasnosti sprovodjenja propisanih postupaka i procedura rada organizacionih jedinica Poreske uprave.</w:t>
      </w:r>
    </w:p>
    <w:p w:rsidR="003611CF" w:rsidRPr="00CB5BEE" w:rsidRDefault="003611CF" w:rsidP="00CB5BEE">
      <w:pPr>
        <w:spacing w:before="0" w:after="0" w:line="240" w:lineRule="auto"/>
        <w:rPr>
          <w:rFonts w:eastAsia="Times New Roman" w:cstheme="minorHAnsi"/>
          <w:szCs w:val="24"/>
          <w:lang w:val="en-GB"/>
        </w:rPr>
      </w:pPr>
      <w:r w:rsidRPr="00CB5BEE">
        <w:rPr>
          <w:rFonts w:eastAsia="Times New Roman" w:cstheme="minorHAnsi"/>
          <w:szCs w:val="24"/>
          <w:lang w:val="en-GB"/>
        </w:rPr>
        <w:tab/>
        <w:t>U izvještajnom periodu vršena je kontrola Sektora Poreske uprave koja je predviđena godišnjim planom kontrola kao i 9 područnih jedinica i svih ekzpozitura u nihovom sastavu.</w:t>
      </w:r>
    </w:p>
    <w:p w:rsidR="003611CF" w:rsidRPr="00CB5BEE" w:rsidRDefault="003611CF" w:rsidP="00CB5BEE">
      <w:pPr>
        <w:spacing w:before="0" w:after="0" w:line="240" w:lineRule="auto"/>
        <w:rPr>
          <w:rFonts w:eastAsia="Times New Roman" w:cstheme="minorHAnsi"/>
          <w:szCs w:val="24"/>
          <w:lang w:val="en-GB"/>
        </w:rPr>
      </w:pPr>
      <w:r w:rsidRPr="00CB5BEE">
        <w:rPr>
          <w:rFonts w:eastAsia="Times New Roman" w:cstheme="minorHAnsi"/>
          <w:szCs w:val="24"/>
          <w:lang w:val="en-GB"/>
        </w:rPr>
        <w:t>Po eksternim prijavama (3 pritužbe na rad službenika i 2 prijave korupcije) izvršene su kontrole koje nijesu bile obuhvaćene godišnjim planom kontrola.</w:t>
      </w:r>
    </w:p>
    <w:p w:rsidR="003611CF" w:rsidRPr="00CB5BEE" w:rsidRDefault="003611CF" w:rsidP="00CB5BEE">
      <w:pPr>
        <w:spacing w:before="0" w:after="0" w:line="240" w:lineRule="auto"/>
        <w:rPr>
          <w:rFonts w:eastAsia="Times New Roman" w:cstheme="minorHAnsi"/>
          <w:szCs w:val="24"/>
          <w:lang w:val="en-GB"/>
        </w:rPr>
      </w:pPr>
      <w:r w:rsidRPr="00CB5BEE">
        <w:rPr>
          <w:rFonts w:eastAsia="Times New Roman" w:cstheme="minorHAnsi"/>
          <w:szCs w:val="24"/>
          <w:lang w:val="en-GB"/>
        </w:rPr>
        <w:tab/>
        <w:t xml:space="preserve">Takođe, kontrole su izvršene i po prijavama rukovodilaca organizacionih cijelena koje se odnose na zastoj u radu službenika na pojedinim referatima, zbog odsutnosti (bolovonja) službenika. </w:t>
      </w:r>
    </w:p>
    <w:p w:rsidR="003611CF" w:rsidRPr="00CB5BEE" w:rsidRDefault="003611CF" w:rsidP="00CB5BEE">
      <w:pPr>
        <w:spacing w:before="0" w:after="0" w:line="240" w:lineRule="auto"/>
        <w:rPr>
          <w:rFonts w:eastAsia="Times New Roman" w:cstheme="minorHAnsi"/>
          <w:szCs w:val="24"/>
          <w:lang w:val="en-GB"/>
        </w:rPr>
      </w:pPr>
      <w:r w:rsidRPr="00CB5BEE">
        <w:rPr>
          <w:rFonts w:eastAsia="Times New Roman" w:cstheme="minorHAnsi"/>
          <w:szCs w:val="24"/>
          <w:lang w:val="en-GB"/>
        </w:rPr>
        <w:tab/>
        <w:t xml:space="preserve">Poseban predmet kontrola koje su vršene u izvještajnom periodu je bilo poštovanje Etičkog kodeksa službenika i namještenika zaposlenih u Poreskoj upravi posebno u dijelu poštovanja radne discipline i   dolazaka i odlazaka sa posla državnih službenika i namještenika. U tom  smislu od više državnih službenika zatražene su izjave o razlozima nepoštovanja radnog vremena,izazivanju  konfliktnih  situacijima između zaposlenih, eksterne pritužbe na rad  od strane stranaka i dr.  </w:t>
      </w:r>
    </w:p>
    <w:p w:rsidR="003611CF" w:rsidRPr="00CB5BEE" w:rsidRDefault="003611CF" w:rsidP="00CB5BEE">
      <w:pPr>
        <w:spacing w:before="0" w:after="0" w:line="240" w:lineRule="auto"/>
        <w:rPr>
          <w:rFonts w:eastAsia="Times New Roman" w:cstheme="minorHAnsi"/>
          <w:szCs w:val="24"/>
          <w:lang w:val="en-GB"/>
        </w:rPr>
      </w:pPr>
      <w:r w:rsidRPr="00CB5BEE">
        <w:rPr>
          <w:rFonts w:eastAsia="Times New Roman" w:cstheme="minorHAnsi"/>
          <w:szCs w:val="24"/>
          <w:lang w:val="en-GB"/>
        </w:rPr>
        <w:tab/>
        <w:t xml:space="preserve">Nakon uvođenja mjera Vlade Crne Gore u vezi zdrastvene zaštite povodom pandemije COVID/19, unutrašnja kontrola je izvršila sve neophdne mjere i radnje na sprovođenju zaključaka Vlade u cilju spriječavanja širenja   ove zarazne bolesti. </w:t>
      </w:r>
    </w:p>
    <w:p w:rsidR="003611CF" w:rsidRPr="00CB5BEE" w:rsidRDefault="003611CF" w:rsidP="00CB5BEE">
      <w:pPr>
        <w:spacing w:before="0" w:after="0" w:line="240" w:lineRule="auto"/>
        <w:rPr>
          <w:rFonts w:eastAsia="Times New Roman" w:cstheme="minorHAnsi"/>
          <w:szCs w:val="24"/>
          <w:lang w:val="en-GB"/>
        </w:rPr>
      </w:pPr>
      <w:r w:rsidRPr="00CB5BEE">
        <w:rPr>
          <w:rFonts w:eastAsia="Times New Roman" w:cstheme="minorHAnsi"/>
          <w:szCs w:val="24"/>
          <w:lang w:val="en-GB"/>
        </w:rPr>
        <w:tab/>
        <w:t xml:space="preserve">Unutrašnjom kontrolom je na referatu „nekretnina“ u  područnim jedinicama Budva,  Bar i Podgorica, konsatovan veliki broj nezavršenih predmeta, zbog čega je akcenat stavljen na kontrolu službenika  koji vode ovaj referat. Zatraženo je od načelnika i šefova Filijala da izvrše popis svih nezavršenih predmeta sa jasnim utvrđivanjem rokova za završetak, kao i da se izvrši preraspodjela radnog vremena i da se organizuje prekovremeni rad. </w:t>
      </w:r>
    </w:p>
    <w:p w:rsidR="003611CF" w:rsidRPr="00CB5BEE" w:rsidRDefault="003611CF" w:rsidP="00CB5BEE">
      <w:pPr>
        <w:spacing w:before="0" w:after="0" w:line="240" w:lineRule="auto"/>
        <w:rPr>
          <w:rFonts w:eastAsia="Times New Roman" w:cstheme="minorHAnsi"/>
          <w:szCs w:val="24"/>
          <w:lang w:val="sl-SI"/>
        </w:rPr>
      </w:pPr>
      <w:r w:rsidRPr="00CB5BEE">
        <w:rPr>
          <w:rFonts w:eastAsia="Times New Roman" w:cstheme="minorHAnsi"/>
          <w:szCs w:val="24"/>
          <w:lang w:val="sl-SI"/>
        </w:rPr>
        <w:tab/>
        <w:t>U izvještjnom periodu Odjeljenje za unutrašnju kontrolu i integritet je izvršilo provjeru korupcje po prijavi stranke u CRPS-u i utvrdilo da u radnjama službenice nije bilo elemenata koruptivnih radnji o čemu je obavjestilo Agenciju za spriječavanje korupcije.</w:t>
      </w:r>
    </w:p>
    <w:p w:rsidR="003611CF" w:rsidRPr="00CB5BEE" w:rsidRDefault="003611CF" w:rsidP="00CB5BEE">
      <w:pPr>
        <w:spacing w:before="0" w:after="0" w:line="240" w:lineRule="auto"/>
        <w:rPr>
          <w:rFonts w:eastAsia="Times New Roman" w:cstheme="minorHAnsi"/>
          <w:szCs w:val="24"/>
          <w:lang w:val="sl-SI"/>
        </w:rPr>
      </w:pPr>
      <w:r w:rsidRPr="00CB5BEE">
        <w:rPr>
          <w:rFonts w:eastAsia="Times New Roman" w:cstheme="minorHAnsi"/>
          <w:szCs w:val="24"/>
          <w:lang w:val="sl-SI"/>
        </w:rPr>
        <w:tab/>
        <w:t xml:space="preserve">U izvještajnom periodu, Odjeljenje za unutrašnju kontrolu ispratilo je primopredaju dužnosti načelnika u područnim jedinicama u Podgorici i Pljevljima. </w:t>
      </w:r>
    </w:p>
    <w:p w:rsidR="003611CF" w:rsidRPr="00CB5BEE" w:rsidRDefault="003611CF" w:rsidP="00CB5BEE">
      <w:pPr>
        <w:spacing w:before="0" w:after="0" w:line="240" w:lineRule="auto"/>
        <w:rPr>
          <w:rFonts w:eastAsia="Times New Roman" w:cstheme="minorHAnsi"/>
          <w:szCs w:val="24"/>
          <w:lang w:val="sl-SI"/>
        </w:rPr>
      </w:pPr>
      <w:r w:rsidRPr="00CB5BEE">
        <w:rPr>
          <w:rFonts w:eastAsia="Times New Roman" w:cstheme="minorHAnsi"/>
          <w:szCs w:val="24"/>
          <w:lang w:val="sl-SI"/>
        </w:rPr>
        <w:tab/>
        <w:t>U kontinuitetu je pružana  pomoć u organizaciji posla pri rasporedu službenika iz programa  Stop siva ekonomija, organizovani intervijui sa novozaposlenim i njihovim mentorima, kontroli rada inspekcije i dati su predlozi da se predmeti na zalihama pregledaju i dostave analizi rizika na procjenu, stanje hipoteka u  kontrolisanim PJ (preduzimanje mjera naplate – i povratno izvještaji o naplaćenim hipotekama), provjera povraćaja PDV-a  koji je vršen bez kontrole inspekcije za 2019 i 2020 godinu.</w:t>
      </w:r>
    </w:p>
    <w:p w:rsidR="003611CF" w:rsidRPr="00CB5BEE" w:rsidRDefault="003611CF" w:rsidP="00CB5BEE">
      <w:pPr>
        <w:spacing w:before="0" w:after="0" w:line="240" w:lineRule="auto"/>
        <w:rPr>
          <w:rFonts w:eastAsia="Times New Roman" w:cstheme="minorHAnsi"/>
          <w:szCs w:val="24"/>
          <w:lang w:val="sl-SI"/>
        </w:rPr>
      </w:pPr>
      <w:r w:rsidRPr="00CB5BEE">
        <w:rPr>
          <w:rFonts w:eastAsia="Times New Roman" w:cstheme="minorHAnsi"/>
          <w:szCs w:val="24"/>
          <w:lang w:val="sl-SI"/>
        </w:rPr>
        <w:tab/>
        <w:t xml:space="preserve">Sastavni dio ovog  Izvještaja je i  tabelarni pregled  u kojem su dati podaci o svim izvršenim kontrolama  koji sadrži predloge mjera, nosioce aktivnosti, rokove realizacije i statuse postupka. </w:t>
      </w:r>
    </w:p>
    <w:p w:rsidR="003611CF" w:rsidRPr="00CB5BEE" w:rsidRDefault="003611CF" w:rsidP="0024765B">
      <w:pPr>
        <w:spacing w:before="0" w:after="0" w:line="240" w:lineRule="auto"/>
        <w:rPr>
          <w:rFonts w:eastAsia="Times New Roman" w:cstheme="minorHAnsi"/>
          <w:b/>
          <w:szCs w:val="24"/>
          <w:lang w:val="en-GB"/>
        </w:rPr>
      </w:pPr>
    </w:p>
    <w:p w:rsidR="003611CF" w:rsidRPr="0024765B" w:rsidRDefault="003611CF" w:rsidP="0024765B">
      <w:pPr>
        <w:spacing w:before="0" w:line="240" w:lineRule="auto"/>
        <w:ind w:left="357"/>
        <w:jc w:val="center"/>
        <w:rPr>
          <w:rFonts w:eastAsia="Times New Roman" w:cstheme="minorHAnsi"/>
          <w:b/>
          <w:szCs w:val="24"/>
          <w:lang w:val="en-GB"/>
        </w:rPr>
      </w:pPr>
      <w:r w:rsidRPr="00CB5BEE">
        <w:rPr>
          <w:rFonts w:eastAsia="Times New Roman" w:cstheme="minorHAnsi"/>
          <w:b/>
          <w:szCs w:val="24"/>
          <w:lang w:val="en-GB"/>
        </w:rPr>
        <w:t xml:space="preserve">ODJELJENJE ZA MEĐUNARODNU </w:t>
      </w:r>
      <w:r w:rsidR="0024765B">
        <w:rPr>
          <w:rFonts w:eastAsia="Times New Roman" w:cstheme="minorHAnsi"/>
          <w:b/>
          <w:szCs w:val="24"/>
          <w:lang w:val="en-GB"/>
        </w:rPr>
        <w:t>SARADNJU I RAZMJENU INFORMACIJA</w:t>
      </w:r>
    </w:p>
    <w:p w:rsidR="003611CF" w:rsidRPr="00CB5BEE" w:rsidRDefault="003611CF" w:rsidP="004D6CB4">
      <w:pPr>
        <w:numPr>
          <w:ilvl w:val="0"/>
          <w:numId w:val="117"/>
        </w:numPr>
        <w:spacing w:before="0" w:after="0" w:line="240" w:lineRule="auto"/>
        <w:ind w:left="0" w:firstLine="360"/>
        <w:rPr>
          <w:rFonts w:eastAsia="Times New Roman" w:cstheme="minorHAnsi"/>
          <w:szCs w:val="24"/>
          <w:lang w:val="en-GB"/>
        </w:rPr>
      </w:pPr>
      <w:r w:rsidRPr="00CB5BEE">
        <w:rPr>
          <w:rFonts w:eastAsia="Times New Roman" w:cstheme="minorHAnsi"/>
          <w:szCs w:val="24"/>
          <w:lang w:val="en-GB"/>
        </w:rPr>
        <w:t>Višekorisnička IPA (projekat se finansira sredstvima Evropske Komisije a sprovode ga eksperti MMf)</w:t>
      </w:r>
    </w:p>
    <w:p w:rsidR="003611CF" w:rsidRPr="00CB5BEE" w:rsidRDefault="003611CF" w:rsidP="004D6CB4">
      <w:pPr>
        <w:numPr>
          <w:ilvl w:val="0"/>
          <w:numId w:val="117"/>
        </w:numPr>
        <w:spacing w:before="0" w:after="0" w:line="240" w:lineRule="auto"/>
        <w:ind w:left="0" w:firstLine="360"/>
        <w:rPr>
          <w:rFonts w:eastAsia="Times New Roman" w:cstheme="minorHAnsi"/>
          <w:szCs w:val="24"/>
          <w:lang w:val="en-GB"/>
        </w:rPr>
      </w:pPr>
      <w:r w:rsidRPr="00CB5BEE">
        <w:rPr>
          <w:rFonts w:eastAsia="Times New Roman" w:cstheme="minorHAnsi"/>
          <w:szCs w:val="24"/>
          <w:lang w:val="en-GB"/>
        </w:rPr>
        <w:t>U  I kvartalu 2020 godine, nastavljeno je praćenje sprovođenja aktivnosti (kvartalno) kod realizacije preporuka eksperata MMF-a na osnovu TADAT izvještaja. U ovom izvještajnom periodu realizovana je jedna posjeta.  Oblast koja je bila pokrivena je poreska kontrola (šta budući IT system treba da ima da bi podržao savremenu poreskeu kontrolu, Izrada godišnjeg plana kontrola, e-kontrole, trasferne cijene).</w:t>
      </w:r>
    </w:p>
    <w:p w:rsidR="003611CF" w:rsidRPr="00CB5BEE" w:rsidRDefault="003611CF" w:rsidP="004D6CB4">
      <w:pPr>
        <w:numPr>
          <w:ilvl w:val="0"/>
          <w:numId w:val="117"/>
        </w:numPr>
        <w:spacing w:before="0" w:after="0" w:line="240" w:lineRule="auto"/>
        <w:ind w:left="0" w:firstLine="360"/>
        <w:rPr>
          <w:rFonts w:eastAsia="Times New Roman" w:cstheme="minorHAnsi"/>
          <w:szCs w:val="24"/>
          <w:lang w:val="en-GB"/>
        </w:rPr>
      </w:pPr>
      <w:r w:rsidRPr="00CB5BEE">
        <w:rPr>
          <w:rFonts w:eastAsia="Times New Roman" w:cstheme="minorHAnsi"/>
          <w:szCs w:val="24"/>
          <w:lang w:val="en-GB"/>
        </w:rPr>
        <w:t xml:space="preserve"> Završena je godišnja Misija MMF-a, koja prati realizaciju preporuka koje su pokrile sledeće oblasti: Upravljanje reformskom agendum (izrada buduće vizije; racionalizacija menadžmenta i upravljanja reformom; preusmjeravanje resursa na reformske aktivnosti sa punim radnim </w:t>
      </w:r>
      <w:r w:rsidRPr="00CB5BEE">
        <w:rPr>
          <w:rFonts w:eastAsia="Times New Roman" w:cstheme="minorHAnsi"/>
          <w:szCs w:val="24"/>
          <w:lang w:val="en-GB"/>
        </w:rPr>
        <w:lastRenderedPageBreak/>
        <w:t>vremenom); planiranje i mjerenje učinka; razvoj upravljanja rizicima vezanih za poštovanje poreskih obaveza; modernizovanje funkcije inspekcijskog nadzora; dalja podrška za razvoj kapaciteta.</w:t>
      </w:r>
    </w:p>
    <w:p w:rsidR="003611CF" w:rsidRPr="00CB5BEE" w:rsidRDefault="0024765B" w:rsidP="0024765B">
      <w:pPr>
        <w:spacing w:before="0" w:after="0" w:line="240" w:lineRule="auto"/>
        <w:ind w:firstLine="360"/>
        <w:rPr>
          <w:rFonts w:eastAsia="Times New Roman" w:cstheme="minorHAnsi"/>
          <w:szCs w:val="24"/>
          <w:lang w:val="en-GB"/>
        </w:rPr>
      </w:pPr>
      <w:r>
        <w:rPr>
          <w:rFonts w:eastAsia="Times New Roman" w:cstheme="minorHAnsi"/>
          <w:szCs w:val="24"/>
          <w:lang w:val="en-GB"/>
        </w:rPr>
        <w:t xml:space="preserve">- </w:t>
      </w:r>
      <w:r w:rsidR="003611CF" w:rsidRPr="00CB5BEE">
        <w:rPr>
          <w:rFonts w:eastAsia="Times New Roman" w:cstheme="minorHAnsi"/>
          <w:szCs w:val="24"/>
          <w:lang w:val="en-GB"/>
        </w:rPr>
        <w:t>U trećem kvartalu održane radionice MMF-konsultanata na teme: poreska kontrola, povraćaj PDV-a i veliki poreski obveznici na osnovu preporuka iz izvjestaja sačinjenog od strane eksperata donijete procedure vezane za pdv povraćaj i predlog nove organizacije unutar Sektora za operative u oblasti inspekcijskog nadzora. Dostava potrebnih podataka za Ministarsto finansija na njihov zahtjev a tiče se međunarodne saradnje i razvoja  administartivnih kapaciteta Poreske uprave (19 zahtjeva)</w:t>
      </w:r>
    </w:p>
    <w:p w:rsidR="003611CF" w:rsidRPr="00CB5BEE" w:rsidRDefault="0024765B" w:rsidP="0024765B">
      <w:pPr>
        <w:spacing w:before="0" w:after="0" w:line="240" w:lineRule="auto"/>
        <w:ind w:firstLine="360"/>
        <w:rPr>
          <w:rFonts w:eastAsia="Times New Roman" w:cstheme="minorHAnsi"/>
          <w:szCs w:val="24"/>
          <w:lang w:val="en-GB"/>
        </w:rPr>
      </w:pPr>
      <w:r>
        <w:rPr>
          <w:rFonts w:eastAsia="Times New Roman" w:cstheme="minorHAnsi"/>
          <w:szCs w:val="24"/>
          <w:lang w:val="en-GB"/>
        </w:rPr>
        <w:t xml:space="preserve">- </w:t>
      </w:r>
      <w:r w:rsidR="003611CF" w:rsidRPr="00CB5BEE">
        <w:rPr>
          <w:rFonts w:eastAsia="Times New Roman" w:cstheme="minorHAnsi"/>
          <w:szCs w:val="24"/>
          <w:lang w:val="en-GB"/>
        </w:rPr>
        <w:t>Predstavnicima Delegacije Evropske unije u Crnoj Gori – dostavljeni kvartalni izvještaj za (I, II, III i IV kvartal) 2020 godinu.</w:t>
      </w:r>
    </w:p>
    <w:p w:rsidR="003611CF" w:rsidRPr="00CB5BEE" w:rsidRDefault="0024765B" w:rsidP="0024765B">
      <w:pPr>
        <w:spacing w:before="0" w:after="0" w:line="240" w:lineRule="auto"/>
        <w:ind w:firstLine="360"/>
        <w:rPr>
          <w:rFonts w:eastAsia="Times New Roman" w:cstheme="minorHAnsi"/>
          <w:szCs w:val="24"/>
          <w:lang w:val="en-GB"/>
        </w:rPr>
      </w:pPr>
      <w:r>
        <w:rPr>
          <w:rFonts w:eastAsia="Times New Roman" w:cstheme="minorHAnsi"/>
          <w:szCs w:val="24"/>
          <w:lang w:val="en-GB"/>
        </w:rPr>
        <w:t xml:space="preserve">- </w:t>
      </w:r>
      <w:r w:rsidR="003611CF" w:rsidRPr="00CB5BEE">
        <w:rPr>
          <w:rFonts w:eastAsia="Times New Roman" w:cstheme="minorHAnsi"/>
          <w:szCs w:val="24"/>
          <w:lang w:val="en-GB"/>
        </w:rPr>
        <w:t>Nastavak aktivnosti i dostava podataka Ministasrtvu vanjskih poslova kao i Evropskih integracija vezano za ispunjavanje uslova za administrativne kapacitete i obaveze iz pregovaračke pozicije za poglavlje 16. Dostava izvještaja za Mjerila II i III za (I, II i III kvartal) 2020.sastavni dio PPCG – pregoivaračke pozicije.</w:t>
      </w:r>
    </w:p>
    <w:p w:rsidR="003611CF" w:rsidRPr="00CB5BEE" w:rsidRDefault="0024765B" w:rsidP="0024765B">
      <w:pPr>
        <w:spacing w:before="0" w:after="0" w:line="240" w:lineRule="auto"/>
        <w:ind w:firstLine="360"/>
        <w:rPr>
          <w:rFonts w:eastAsia="Times New Roman" w:cstheme="minorHAnsi"/>
          <w:szCs w:val="24"/>
          <w:lang w:val="en-GB"/>
        </w:rPr>
      </w:pPr>
      <w:r>
        <w:rPr>
          <w:rFonts w:eastAsia="Times New Roman" w:cstheme="minorHAnsi"/>
          <w:szCs w:val="24"/>
          <w:lang w:val="en-GB"/>
        </w:rPr>
        <w:t xml:space="preserve">- </w:t>
      </w:r>
      <w:r w:rsidR="003611CF" w:rsidRPr="00CB5BEE">
        <w:rPr>
          <w:rFonts w:eastAsia="Times New Roman" w:cstheme="minorHAnsi"/>
          <w:szCs w:val="24"/>
          <w:lang w:val="en-GB"/>
        </w:rPr>
        <w:t>Dostavljeni kvartalni izvještaji (I, II i III kvartal) kao i kumulativni za 2019 godinu. Za Projekat PFM 201-2020</w:t>
      </w:r>
    </w:p>
    <w:p w:rsidR="003611CF" w:rsidRPr="00CB5BEE" w:rsidRDefault="0024765B" w:rsidP="0024765B">
      <w:pPr>
        <w:spacing w:before="0" w:after="0" w:line="240" w:lineRule="auto"/>
        <w:ind w:firstLine="360"/>
        <w:rPr>
          <w:rFonts w:eastAsia="Times New Roman" w:cstheme="minorHAnsi"/>
          <w:szCs w:val="24"/>
          <w:lang w:val="en-GB"/>
        </w:rPr>
      </w:pPr>
      <w:r>
        <w:rPr>
          <w:rFonts w:eastAsia="Times New Roman" w:cstheme="minorHAnsi"/>
          <w:szCs w:val="24"/>
          <w:lang w:val="en-GB"/>
        </w:rPr>
        <w:t xml:space="preserve">- </w:t>
      </w:r>
      <w:r w:rsidR="003611CF" w:rsidRPr="00CB5BEE">
        <w:rPr>
          <w:rFonts w:eastAsia="Times New Roman" w:cstheme="minorHAnsi"/>
          <w:szCs w:val="24"/>
          <w:lang w:val="en-GB"/>
        </w:rPr>
        <w:t>IOTA / poslovi kontakt osobe (on-line, održano niz webinara) na osnovu godišnjeg plana rada za 2020. Održana (on –line Generalna skupština)</w:t>
      </w:r>
    </w:p>
    <w:p w:rsidR="003611CF" w:rsidRPr="00CB5BEE" w:rsidRDefault="0024765B" w:rsidP="0024765B">
      <w:pPr>
        <w:spacing w:before="0" w:after="0" w:line="240" w:lineRule="auto"/>
        <w:ind w:firstLine="360"/>
        <w:rPr>
          <w:rFonts w:eastAsia="Times New Roman" w:cstheme="minorHAnsi"/>
          <w:szCs w:val="24"/>
          <w:lang w:val="en-GB"/>
        </w:rPr>
      </w:pPr>
      <w:r>
        <w:rPr>
          <w:rFonts w:eastAsia="Times New Roman" w:cstheme="minorHAnsi"/>
          <w:szCs w:val="24"/>
          <w:lang w:val="en-GB"/>
        </w:rPr>
        <w:t xml:space="preserve">- </w:t>
      </w:r>
      <w:r w:rsidR="003611CF" w:rsidRPr="00CB5BEE">
        <w:rPr>
          <w:rFonts w:eastAsia="Times New Roman" w:cstheme="minorHAnsi"/>
          <w:szCs w:val="24"/>
          <w:lang w:val="en-GB"/>
        </w:rPr>
        <w:t>Dostavljen odgovor na upitnik o trenutnoj situacija kada je u pitanju razmjena informacija na zahtjev EAOI u cilju samoprocjene kao I faze ocjene spremnosti države za automatsku razmjenu informacija. Na dostavljene komentare od strane Brisela odgovoreno, dopunjen upitnik.</w:t>
      </w:r>
    </w:p>
    <w:p w:rsidR="003611CF" w:rsidRPr="00CB5BEE" w:rsidRDefault="0024765B" w:rsidP="0024765B">
      <w:pPr>
        <w:spacing w:before="0" w:after="0" w:line="240" w:lineRule="auto"/>
        <w:ind w:firstLine="360"/>
        <w:rPr>
          <w:rFonts w:eastAsia="Times New Roman" w:cstheme="minorHAnsi"/>
          <w:szCs w:val="24"/>
          <w:lang w:val="en-GB"/>
        </w:rPr>
      </w:pPr>
      <w:r>
        <w:rPr>
          <w:rFonts w:eastAsia="Times New Roman" w:cstheme="minorHAnsi"/>
          <w:szCs w:val="24"/>
          <w:lang w:val="en-GB"/>
        </w:rPr>
        <w:t xml:space="preserve">- </w:t>
      </w:r>
      <w:r w:rsidR="003611CF" w:rsidRPr="00CB5BEE">
        <w:rPr>
          <w:rFonts w:eastAsia="Times New Roman" w:cstheme="minorHAnsi"/>
          <w:szCs w:val="24"/>
          <w:lang w:val="en-GB"/>
        </w:rPr>
        <w:t>CEF /održano niz (on –line radionica)seminara vezanih za razmjenu inforamcija o načinu rada za vrijeme Covid  19</w:t>
      </w:r>
    </w:p>
    <w:p w:rsidR="003611CF" w:rsidRPr="00CB5BEE" w:rsidRDefault="0024765B" w:rsidP="0024765B">
      <w:pPr>
        <w:spacing w:before="0" w:after="0" w:line="240" w:lineRule="auto"/>
        <w:ind w:firstLine="360"/>
        <w:rPr>
          <w:rFonts w:eastAsia="Times New Roman" w:cstheme="minorHAnsi"/>
          <w:szCs w:val="24"/>
          <w:lang w:val="en-GB"/>
        </w:rPr>
      </w:pPr>
      <w:r>
        <w:rPr>
          <w:rFonts w:eastAsia="Times New Roman" w:cstheme="minorHAnsi"/>
          <w:szCs w:val="24"/>
          <w:lang w:val="en-GB"/>
        </w:rPr>
        <w:t xml:space="preserve">- </w:t>
      </w:r>
      <w:r w:rsidR="003611CF" w:rsidRPr="00CB5BEE">
        <w:rPr>
          <w:rFonts w:eastAsia="Times New Roman" w:cstheme="minorHAnsi"/>
          <w:szCs w:val="24"/>
          <w:lang w:val="en-GB"/>
        </w:rPr>
        <w:t>Dostavljen polugodišnji izvještaj, pripremljen materijal za sastanak Pod odbora za trgovinu, industriju, carine i poreze. Dostavljen Izvjestaj za drugu polovinu godine.</w:t>
      </w:r>
    </w:p>
    <w:p w:rsidR="003611CF" w:rsidRPr="00CB5BEE" w:rsidRDefault="0024765B" w:rsidP="0024765B">
      <w:pPr>
        <w:spacing w:before="0" w:after="0" w:line="240" w:lineRule="auto"/>
        <w:ind w:firstLine="360"/>
        <w:rPr>
          <w:rFonts w:eastAsia="Times New Roman" w:cstheme="minorHAnsi"/>
          <w:szCs w:val="24"/>
          <w:lang w:val="en-GB"/>
        </w:rPr>
      </w:pPr>
      <w:r>
        <w:rPr>
          <w:rFonts w:eastAsia="Times New Roman" w:cstheme="minorHAnsi"/>
          <w:szCs w:val="24"/>
          <w:lang w:val="en-GB"/>
        </w:rPr>
        <w:t xml:space="preserve">- </w:t>
      </w:r>
      <w:r w:rsidR="003611CF" w:rsidRPr="00CB5BEE">
        <w:rPr>
          <w:rFonts w:eastAsia="Times New Roman" w:cstheme="minorHAnsi"/>
          <w:szCs w:val="24"/>
          <w:lang w:val="en-GB"/>
        </w:rPr>
        <w:t>Dostavljen polugodišnji izvještaj koji prati realizaciju aktivnosti iz projekta PFM (Upravljanje javnim finasijama).</w:t>
      </w:r>
      <w:r>
        <w:rPr>
          <w:rFonts w:eastAsia="Times New Roman" w:cstheme="minorHAnsi"/>
          <w:szCs w:val="24"/>
          <w:lang w:val="en-GB"/>
        </w:rPr>
        <w:t xml:space="preserve"> </w:t>
      </w:r>
      <w:r w:rsidR="003611CF" w:rsidRPr="00CB5BEE">
        <w:rPr>
          <w:rFonts w:eastAsia="Times New Roman" w:cstheme="minorHAnsi"/>
          <w:szCs w:val="24"/>
          <w:lang w:val="en-GB"/>
        </w:rPr>
        <w:t>Pripremnjen material i dostavljeni odgovori na pitanja vezana za održani On-line sastanak sa predstavnicma Evropske Komisije. Dostavljen godisnji Izvjestaj.</w:t>
      </w:r>
    </w:p>
    <w:p w:rsidR="003611CF" w:rsidRPr="00CB5BEE" w:rsidRDefault="0024765B" w:rsidP="0024765B">
      <w:pPr>
        <w:spacing w:before="0" w:after="0" w:line="240" w:lineRule="auto"/>
        <w:ind w:firstLine="360"/>
        <w:rPr>
          <w:rFonts w:eastAsia="Times New Roman" w:cstheme="minorHAnsi"/>
          <w:szCs w:val="24"/>
          <w:lang w:val="en-GB"/>
        </w:rPr>
      </w:pPr>
      <w:r>
        <w:rPr>
          <w:rFonts w:eastAsia="Times New Roman" w:cstheme="minorHAnsi"/>
          <w:szCs w:val="24"/>
          <w:lang w:val="en-GB"/>
        </w:rPr>
        <w:t xml:space="preserve">- </w:t>
      </w:r>
      <w:r w:rsidR="003611CF" w:rsidRPr="00CB5BEE">
        <w:rPr>
          <w:rFonts w:eastAsia="Times New Roman" w:cstheme="minorHAnsi"/>
          <w:szCs w:val="24"/>
          <w:lang w:val="en-GB"/>
        </w:rPr>
        <w:t>Dostavljen polugodišnji izvještaj kao i material vezan za održani sastanak on-line sa predstavnicima Evropske Komisije vezano za poglavlje 16”oporezivanje”. Dostavljen godisnji izvjestaj. Utvrdjena nadleznost/ relevantnost za 25 celexa vezano za oporezivanje/razmjenu informacija.</w:t>
      </w:r>
    </w:p>
    <w:p w:rsidR="003611CF" w:rsidRPr="00CB5BEE" w:rsidRDefault="0024765B" w:rsidP="0024765B">
      <w:pPr>
        <w:spacing w:before="0" w:after="0" w:line="240" w:lineRule="auto"/>
        <w:ind w:firstLine="360"/>
        <w:rPr>
          <w:rFonts w:eastAsia="Times New Roman" w:cstheme="minorHAnsi"/>
          <w:szCs w:val="24"/>
          <w:lang w:val="en-GB"/>
        </w:rPr>
      </w:pPr>
      <w:r>
        <w:rPr>
          <w:rFonts w:eastAsia="Times New Roman" w:cstheme="minorHAnsi"/>
          <w:szCs w:val="24"/>
          <w:lang w:val="en-GB"/>
        </w:rPr>
        <w:t xml:space="preserve">- </w:t>
      </w:r>
      <w:r w:rsidR="003611CF" w:rsidRPr="00CB5BEE">
        <w:rPr>
          <w:rFonts w:eastAsia="Times New Roman" w:cstheme="minorHAnsi"/>
          <w:szCs w:val="24"/>
          <w:lang w:val="en-GB"/>
        </w:rPr>
        <w:t>Dostavljen izvještaj o trenutnom statusus na projektu RARP vezan za PER -Prioritetna reformska mjera11:  Suzbijanje sive ekonomije kroz reformu Poreske uprave</w:t>
      </w:r>
    </w:p>
    <w:p w:rsidR="003611CF" w:rsidRPr="00CB5BEE" w:rsidRDefault="0024765B" w:rsidP="0024765B">
      <w:pPr>
        <w:spacing w:before="0" w:after="0" w:line="240" w:lineRule="auto"/>
        <w:ind w:firstLine="360"/>
        <w:rPr>
          <w:rFonts w:eastAsia="Times New Roman" w:cstheme="minorHAnsi"/>
          <w:szCs w:val="24"/>
          <w:lang w:val="en-GB"/>
        </w:rPr>
      </w:pPr>
      <w:r>
        <w:rPr>
          <w:rFonts w:eastAsia="Times New Roman" w:cstheme="minorHAnsi"/>
          <w:szCs w:val="24"/>
          <w:lang w:val="en-GB"/>
        </w:rPr>
        <w:t xml:space="preserve">- </w:t>
      </w:r>
      <w:r w:rsidR="003611CF" w:rsidRPr="00CB5BEE">
        <w:rPr>
          <w:rFonts w:eastAsia="Times New Roman" w:cstheme="minorHAnsi"/>
          <w:szCs w:val="24"/>
          <w:lang w:val="en-GB"/>
        </w:rPr>
        <w:t>Održan on-line sastanak sa predstavnicima OECD-a vezano za ispunjavanje obaveza koje proizilaze iz članstva u Globalnom forumu (tiče se razmjene informacija, nedavno potpisane Konvencije MAAC). Dostavljen popunjen upitnik, kao nastavak procjene spremnosti Uprave za razmjenu informacija</w:t>
      </w:r>
      <w:r>
        <w:rPr>
          <w:rFonts w:eastAsia="Times New Roman" w:cstheme="minorHAnsi"/>
          <w:szCs w:val="24"/>
          <w:lang w:val="en-GB"/>
        </w:rPr>
        <w:t>. Održ</w:t>
      </w:r>
      <w:r w:rsidR="003611CF" w:rsidRPr="00CB5BEE">
        <w:rPr>
          <w:rFonts w:eastAsia="Times New Roman" w:cstheme="minorHAnsi"/>
          <w:szCs w:val="24"/>
          <w:lang w:val="en-GB"/>
        </w:rPr>
        <w:t>ana 2 sastanka. Dostavljen novi Upitnik koji se tice zastite podataka unutar organizacije, kao i administrativnih kapaciteta koji su angazovani na poslovima razmjene informacija.</w:t>
      </w:r>
    </w:p>
    <w:p w:rsidR="003611CF" w:rsidRPr="00CB5BEE" w:rsidRDefault="0024765B" w:rsidP="0024765B">
      <w:pPr>
        <w:spacing w:before="0" w:after="0" w:line="240" w:lineRule="auto"/>
        <w:ind w:firstLine="360"/>
        <w:rPr>
          <w:rFonts w:eastAsia="Times New Roman" w:cstheme="minorHAnsi"/>
          <w:szCs w:val="24"/>
          <w:lang w:val="en-GB"/>
        </w:rPr>
      </w:pPr>
      <w:r>
        <w:rPr>
          <w:rFonts w:eastAsia="Times New Roman" w:cstheme="minorHAnsi"/>
          <w:szCs w:val="24"/>
          <w:lang w:val="en-GB"/>
        </w:rPr>
        <w:t xml:space="preserve">- </w:t>
      </w:r>
      <w:r w:rsidR="003611CF" w:rsidRPr="00CB5BEE">
        <w:rPr>
          <w:rFonts w:eastAsia="Times New Roman" w:cstheme="minorHAnsi"/>
          <w:szCs w:val="24"/>
          <w:lang w:val="en-GB"/>
        </w:rPr>
        <w:t xml:space="preserve">Prevodi materijala za potrebe direktora, menadžmenta i službenika Poreske Uprave Crne Gore u vidu pozivnih pisama za radionice IOTA-e, CEF-a, EBRA i CRFA kao i za radionice vezano za problematiku </w:t>
      </w:r>
      <w:r>
        <w:rPr>
          <w:rFonts w:eastAsia="Times New Roman" w:cstheme="minorHAnsi"/>
          <w:szCs w:val="24"/>
          <w:lang w:val="en-GB"/>
        </w:rPr>
        <w:t xml:space="preserve"> OECD-ovog BEPS-a: 32 dokumenta.</w:t>
      </w:r>
    </w:p>
    <w:p w:rsidR="003611CF" w:rsidRPr="00CB5BEE" w:rsidRDefault="003611CF" w:rsidP="00CB5BEE">
      <w:pPr>
        <w:spacing w:before="0" w:after="0" w:line="240" w:lineRule="auto"/>
        <w:rPr>
          <w:rFonts w:eastAsia="Times New Roman" w:cstheme="minorHAnsi"/>
          <w:szCs w:val="24"/>
          <w:lang w:val="en-GB"/>
        </w:rPr>
      </w:pPr>
    </w:p>
    <w:p w:rsidR="003611CF" w:rsidRPr="00CB5BEE" w:rsidRDefault="003611CF" w:rsidP="0024765B">
      <w:pPr>
        <w:spacing w:before="0" w:line="240" w:lineRule="auto"/>
        <w:rPr>
          <w:rFonts w:eastAsia="Times New Roman" w:cstheme="minorHAnsi"/>
          <w:b/>
          <w:szCs w:val="24"/>
          <w:lang w:val="en-GB"/>
        </w:rPr>
      </w:pPr>
      <w:r w:rsidRPr="00CB5BEE">
        <w:rPr>
          <w:rFonts w:eastAsia="Times New Roman" w:cstheme="minorHAnsi"/>
          <w:b/>
          <w:szCs w:val="24"/>
          <w:lang w:val="en-GB"/>
        </w:rPr>
        <w:t>AKTIVNOSTI NA REALIZACIJI PROJEKTA</w:t>
      </w:r>
      <w:r w:rsidR="0024765B">
        <w:rPr>
          <w:rFonts w:eastAsia="Times New Roman" w:cstheme="minorHAnsi"/>
          <w:b/>
          <w:szCs w:val="24"/>
          <w:lang w:val="en-GB"/>
        </w:rPr>
        <w:t xml:space="preserve"> REFORMA PORESKE ADMINISTRACIJE</w:t>
      </w:r>
    </w:p>
    <w:p w:rsidR="003611CF" w:rsidRPr="00CB5BEE" w:rsidRDefault="003611CF" w:rsidP="00CB5BEE">
      <w:pPr>
        <w:spacing w:before="0" w:after="0" w:line="240" w:lineRule="auto"/>
        <w:rPr>
          <w:rFonts w:eastAsia="Times New Roman" w:cstheme="minorHAnsi"/>
          <w:b/>
          <w:szCs w:val="24"/>
          <w:lang w:val="en-GB"/>
        </w:rPr>
      </w:pPr>
      <w:r w:rsidRPr="00CB5BEE">
        <w:rPr>
          <w:rFonts w:eastAsia="Times New Roman" w:cstheme="minorHAnsi"/>
          <w:b/>
          <w:szCs w:val="24"/>
          <w:lang w:val="en-GB"/>
        </w:rPr>
        <w:t>Prva komponenta- analitički procesi, potkomponen</w:t>
      </w:r>
      <w:r w:rsidR="0024765B">
        <w:rPr>
          <w:rFonts w:eastAsia="Times New Roman" w:cstheme="minorHAnsi"/>
          <w:b/>
          <w:szCs w:val="24"/>
          <w:lang w:val="en-GB"/>
        </w:rPr>
        <w:t>ta 1.1   Institucionalni razvoj</w:t>
      </w:r>
    </w:p>
    <w:p w:rsidR="003611CF" w:rsidRPr="00CB5BEE" w:rsidRDefault="003611CF" w:rsidP="00D4124F">
      <w:pPr>
        <w:spacing w:after="0" w:line="240" w:lineRule="auto"/>
        <w:rPr>
          <w:rFonts w:eastAsia="Times New Roman" w:cstheme="minorHAnsi"/>
          <w:szCs w:val="24"/>
          <w:u w:val="single"/>
          <w:lang w:val="en-GB"/>
        </w:rPr>
      </w:pPr>
      <w:r w:rsidRPr="00CB5BEE">
        <w:rPr>
          <w:rFonts w:eastAsia="Times New Roman" w:cstheme="minorHAnsi"/>
          <w:szCs w:val="24"/>
          <w:u w:val="single"/>
          <w:lang w:val="en-GB"/>
        </w:rPr>
        <w:t>Analitički procesi</w:t>
      </w:r>
    </w:p>
    <w:p w:rsidR="003611CF" w:rsidRPr="00CB5BEE" w:rsidRDefault="003611CF" w:rsidP="00CB5BEE">
      <w:pPr>
        <w:spacing w:before="0" w:after="0" w:line="240" w:lineRule="auto"/>
        <w:rPr>
          <w:rFonts w:eastAsia="Times New Roman" w:cstheme="minorHAnsi"/>
          <w:szCs w:val="24"/>
          <w:lang w:val="en-GB"/>
        </w:rPr>
      </w:pPr>
      <w:r w:rsidRPr="00CB5BEE">
        <w:rPr>
          <w:rFonts w:eastAsia="Times New Roman" w:cstheme="minorHAnsi"/>
          <w:szCs w:val="24"/>
          <w:lang w:val="en-GB"/>
        </w:rPr>
        <w:lastRenderedPageBreak/>
        <w:tab/>
        <w:t xml:space="preserve">Pripremljen je izvještaj o analizi analitičkih funkcija i preporuka za organizacione i kadrovske promjene unutar Poreske uprave, uključujući definisanje uloga, odgovornosti, potreba za informacijama i tokova informacija kako bi se obezbijedilo automatsko prikupljanje podataka potrebnih za sprovođenje analiza. </w:t>
      </w:r>
    </w:p>
    <w:p w:rsidR="003611CF" w:rsidRPr="00CB5BEE" w:rsidRDefault="003611CF" w:rsidP="00CB5BEE">
      <w:pPr>
        <w:spacing w:before="0" w:after="0" w:line="240" w:lineRule="auto"/>
        <w:rPr>
          <w:rFonts w:eastAsia="Times New Roman" w:cstheme="minorHAnsi"/>
          <w:szCs w:val="24"/>
          <w:lang w:val="en-GB"/>
        </w:rPr>
      </w:pPr>
      <w:r w:rsidRPr="00CB5BEE">
        <w:rPr>
          <w:rFonts w:eastAsia="Times New Roman" w:cstheme="minorHAnsi"/>
          <w:szCs w:val="24"/>
          <w:lang w:val="en-GB"/>
        </w:rPr>
        <w:tab/>
        <w:t xml:space="preserve">Izvještaj je prezentovan tokom februarske posjete konsultanta Poreskoj upravi, tokom koje je održana radionica za procjenu poreskog jaza, koristeći podatke za 2018. godine.  </w:t>
      </w:r>
    </w:p>
    <w:p w:rsidR="003611CF" w:rsidRPr="00CB5BEE" w:rsidRDefault="003611CF" w:rsidP="00CB5BEE">
      <w:pPr>
        <w:spacing w:before="0" w:after="0" w:line="240" w:lineRule="auto"/>
        <w:rPr>
          <w:rFonts w:eastAsia="Times New Roman" w:cstheme="minorHAnsi"/>
          <w:szCs w:val="24"/>
          <w:lang w:val="en-GB"/>
        </w:rPr>
      </w:pPr>
      <w:r w:rsidRPr="00CB5BEE">
        <w:rPr>
          <w:rFonts w:eastAsia="Times New Roman" w:cstheme="minorHAnsi"/>
          <w:szCs w:val="24"/>
          <w:lang w:val="en-GB"/>
        </w:rPr>
        <w:tab/>
        <w:t xml:space="preserve">Produžen je angažman Slavenu Mićkoviću, savjetniku za analitičke procese i poresko modeliranje, do avgusta 2021. godine., </w:t>
      </w:r>
    </w:p>
    <w:p w:rsidR="003611CF" w:rsidRPr="00CB5BEE" w:rsidRDefault="003611CF" w:rsidP="00CB5BEE">
      <w:pPr>
        <w:spacing w:before="0" w:after="0" w:line="240" w:lineRule="auto"/>
        <w:rPr>
          <w:rFonts w:eastAsia="Times New Roman" w:cstheme="minorHAnsi"/>
          <w:szCs w:val="24"/>
          <w:lang w:val="en-GB"/>
        </w:rPr>
      </w:pPr>
      <w:r w:rsidRPr="00CB5BEE">
        <w:rPr>
          <w:rFonts w:eastAsia="Times New Roman" w:cstheme="minorHAnsi"/>
          <w:b/>
          <w:szCs w:val="24"/>
          <w:lang w:val="en-GB"/>
        </w:rPr>
        <w:tab/>
      </w:r>
      <w:r w:rsidRPr="00CB5BEE">
        <w:rPr>
          <w:rFonts w:eastAsia="Times New Roman" w:cstheme="minorHAnsi"/>
          <w:szCs w:val="24"/>
          <w:lang w:val="en-GB"/>
        </w:rPr>
        <w:t>Kontrola kvaliteta: Nakon pregleda djelova Dokumenta funkcionalnih zahtjeva od strane KPMG, u drugoj polovini juna je dostavljen nacrt Izvještaja, nakon čega su održani sastanci u cilju  dodatnih pojašnjenja.</w:t>
      </w:r>
    </w:p>
    <w:p w:rsidR="003611CF" w:rsidRPr="00CB5BEE" w:rsidRDefault="003611CF" w:rsidP="00CB5BEE">
      <w:pPr>
        <w:spacing w:before="0" w:after="0" w:line="240" w:lineRule="auto"/>
        <w:rPr>
          <w:rFonts w:eastAsia="Times New Roman" w:cstheme="minorHAnsi"/>
          <w:szCs w:val="24"/>
          <w:lang w:val="en-GB"/>
        </w:rPr>
      </w:pPr>
    </w:p>
    <w:p w:rsidR="003611CF" w:rsidRPr="00CB5BEE" w:rsidRDefault="003611CF" w:rsidP="00CB5BEE">
      <w:pPr>
        <w:spacing w:before="0" w:after="0" w:line="240" w:lineRule="auto"/>
        <w:rPr>
          <w:rFonts w:eastAsia="Times New Roman" w:cstheme="minorHAnsi"/>
          <w:b/>
          <w:szCs w:val="24"/>
          <w:lang w:val="en-GB"/>
        </w:rPr>
      </w:pPr>
      <w:r w:rsidRPr="00CB5BEE">
        <w:rPr>
          <w:rFonts w:eastAsia="Times New Roman" w:cstheme="minorHAnsi"/>
          <w:b/>
          <w:szCs w:val="24"/>
          <w:lang w:val="en-GB"/>
        </w:rPr>
        <w:t>Podkomponen</w:t>
      </w:r>
      <w:r w:rsidR="0024765B">
        <w:rPr>
          <w:rFonts w:eastAsia="Times New Roman" w:cstheme="minorHAnsi"/>
          <w:b/>
          <w:szCs w:val="24"/>
          <w:lang w:val="en-GB"/>
        </w:rPr>
        <w:t>ta 1.2:  Upravljanje promjenama</w:t>
      </w:r>
    </w:p>
    <w:p w:rsidR="003611CF" w:rsidRPr="00CB5BEE" w:rsidRDefault="003611CF" w:rsidP="00CB5BEE">
      <w:pPr>
        <w:spacing w:before="0" w:after="0" w:line="240" w:lineRule="auto"/>
        <w:rPr>
          <w:rFonts w:eastAsia="Times New Roman" w:cstheme="minorHAnsi"/>
          <w:szCs w:val="24"/>
          <w:u w:val="single"/>
          <w:lang w:val="en-GB"/>
        </w:rPr>
      </w:pPr>
      <w:r w:rsidRPr="00CB5BEE">
        <w:rPr>
          <w:rFonts w:eastAsia="Times New Roman" w:cstheme="minorHAnsi"/>
          <w:szCs w:val="24"/>
          <w:u w:val="single"/>
          <w:lang w:val="en-GB"/>
        </w:rPr>
        <w:t>Upravljanje promjenama</w:t>
      </w:r>
    </w:p>
    <w:p w:rsidR="003611CF" w:rsidRPr="00CB5BEE" w:rsidRDefault="003611CF" w:rsidP="00CB5BEE">
      <w:pPr>
        <w:spacing w:before="0" w:after="0" w:line="240" w:lineRule="auto"/>
        <w:rPr>
          <w:rFonts w:eastAsia="Times New Roman" w:cstheme="minorHAnsi"/>
          <w:szCs w:val="24"/>
          <w:lang w:val="en-GB"/>
        </w:rPr>
      </w:pPr>
      <w:r w:rsidRPr="00CB5BEE">
        <w:rPr>
          <w:rFonts w:eastAsia="Times New Roman" w:cstheme="minorHAnsi"/>
          <w:szCs w:val="24"/>
          <w:lang w:val="en-GB"/>
        </w:rPr>
        <w:tab/>
        <w:t>Završna faza izrade Strategije upravljanje promjenama.Obavljeni intervjui sa predsjednicima radnih grupa. Dostavljena draft verzija Strategije. Održano niz sastanaka sa konsultantom u cilju pojašnjenja strukture, načina radai i postojećih poslovnih procesa u PU.</w:t>
      </w:r>
    </w:p>
    <w:p w:rsidR="003611CF" w:rsidRPr="00CB5BEE" w:rsidRDefault="003611CF" w:rsidP="00CB5BEE">
      <w:pPr>
        <w:spacing w:before="0" w:after="0" w:line="240" w:lineRule="auto"/>
        <w:rPr>
          <w:rFonts w:eastAsia="Times New Roman" w:cstheme="minorHAnsi"/>
          <w:szCs w:val="24"/>
          <w:lang w:val="en-GB"/>
        </w:rPr>
      </w:pPr>
    </w:p>
    <w:p w:rsidR="003611CF" w:rsidRPr="00CB5BEE" w:rsidRDefault="003611CF" w:rsidP="00CB5BEE">
      <w:pPr>
        <w:spacing w:before="0" w:after="0" w:line="240" w:lineRule="auto"/>
        <w:rPr>
          <w:rFonts w:eastAsia="Times New Roman" w:cstheme="minorHAnsi"/>
          <w:szCs w:val="24"/>
          <w:u w:val="single"/>
          <w:lang w:val="en-GB"/>
        </w:rPr>
      </w:pPr>
      <w:r w:rsidRPr="00CB5BEE">
        <w:rPr>
          <w:rFonts w:eastAsia="Times New Roman" w:cstheme="minorHAnsi"/>
          <w:b/>
          <w:szCs w:val="24"/>
          <w:lang w:val="en-GB"/>
        </w:rPr>
        <w:t>Potkomponenta 1.3   Upravljanje projektom</w:t>
      </w:r>
    </w:p>
    <w:p w:rsidR="003611CF" w:rsidRPr="00CB5BEE" w:rsidRDefault="003611CF" w:rsidP="00D4124F">
      <w:pPr>
        <w:spacing w:after="0" w:line="240" w:lineRule="auto"/>
        <w:rPr>
          <w:rFonts w:eastAsia="Times New Roman" w:cstheme="minorHAnsi"/>
          <w:szCs w:val="24"/>
          <w:u w:val="single"/>
          <w:lang w:val="en-GB"/>
        </w:rPr>
      </w:pPr>
      <w:r w:rsidRPr="00CB5BEE">
        <w:rPr>
          <w:rFonts w:eastAsia="Times New Roman" w:cstheme="minorHAnsi"/>
          <w:szCs w:val="24"/>
          <w:u w:val="single"/>
          <w:lang w:val="en-GB"/>
        </w:rPr>
        <w:t xml:space="preserve">Kontrola kvaliteta </w:t>
      </w:r>
    </w:p>
    <w:p w:rsidR="003611CF" w:rsidRPr="00CB5BEE" w:rsidRDefault="003611CF" w:rsidP="00CB5BEE">
      <w:pPr>
        <w:spacing w:before="0" w:after="0" w:line="240" w:lineRule="auto"/>
        <w:rPr>
          <w:rFonts w:eastAsia="Times New Roman" w:cstheme="minorHAnsi"/>
          <w:szCs w:val="24"/>
          <w:lang w:val="en-GB"/>
        </w:rPr>
      </w:pPr>
      <w:r w:rsidRPr="00CB5BEE">
        <w:rPr>
          <w:rFonts w:eastAsia="Times New Roman" w:cstheme="minorHAnsi"/>
          <w:szCs w:val="24"/>
          <w:lang w:val="en-GB"/>
        </w:rPr>
        <w:tab/>
        <w:t xml:space="preserve">Potpisan je ugovor sa konsultantskom firmom “KPMG”, koja će pružiti usluge kontrole kvaliteta tokom trajanja implementacije projekta, tj. pružiće detaljni pregled, smjernice, kao i evaluaciju ključnih rezultata prilikom uvođenja novog integrisanog informacionog sistema. </w:t>
      </w:r>
    </w:p>
    <w:p w:rsidR="003611CF" w:rsidRPr="00CB5BEE" w:rsidRDefault="003611CF" w:rsidP="00CB5BEE">
      <w:pPr>
        <w:spacing w:before="0" w:after="0" w:line="240" w:lineRule="auto"/>
        <w:rPr>
          <w:rFonts w:eastAsia="Times New Roman" w:cstheme="minorHAnsi"/>
          <w:szCs w:val="24"/>
          <w:lang w:val="en-GB"/>
        </w:rPr>
      </w:pPr>
      <w:r w:rsidRPr="00CB5BEE">
        <w:rPr>
          <w:rFonts w:eastAsia="Times New Roman" w:cstheme="minorHAnsi"/>
          <w:szCs w:val="24"/>
          <w:lang w:val="en-GB"/>
        </w:rPr>
        <w:tab/>
        <w:t xml:space="preserve">Prva ugovorena aktivnost se odnosi na provjeru kvaliteta Dokumenta funkcionalnih zahtjeva.  </w:t>
      </w:r>
    </w:p>
    <w:p w:rsidR="003611CF" w:rsidRPr="008F68A8" w:rsidRDefault="003611CF" w:rsidP="00CB5BEE">
      <w:pPr>
        <w:spacing w:before="0" w:after="0" w:line="240" w:lineRule="auto"/>
        <w:rPr>
          <w:rFonts w:eastAsia="Times New Roman" w:cstheme="minorHAnsi"/>
          <w:szCs w:val="24"/>
          <w:lang w:val="en-GB"/>
        </w:rPr>
      </w:pPr>
      <w:r w:rsidRPr="00CB5BEE">
        <w:rPr>
          <w:rFonts w:eastAsia="Times New Roman" w:cstheme="minorHAnsi"/>
          <w:szCs w:val="24"/>
          <w:lang w:val="en-GB"/>
        </w:rPr>
        <w:tab/>
        <w:t>Nakon pregleda djelova Dokumenta funkcionalnih zahtjeva, u drugoj polovini juna je dostavljen nacrt Izvještaja. Održani su on –line ra</w:t>
      </w:r>
      <w:r w:rsidR="0024765B">
        <w:rPr>
          <w:rFonts w:eastAsia="Times New Roman" w:cstheme="minorHAnsi"/>
          <w:szCs w:val="24"/>
          <w:lang w:val="en-GB"/>
        </w:rPr>
        <w:t>dni sastanci u funkciji razjašnjenja i unapr</w:t>
      </w:r>
      <w:r w:rsidRPr="00CB5BEE">
        <w:rPr>
          <w:rFonts w:eastAsia="Times New Roman" w:cstheme="minorHAnsi"/>
          <w:szCs w:val="24"/>
          <w:lang w:val="en-GB"/>
        </w:rPr>
        <w:t>eđenja dokumentacije. Održano niz sastanaka sa konsultantom za moderira</w:t>
      </w:r>
      <w:r w:rsidR="0024765B">
        <w:rPr>
          <w:rFonts w:eastAsia="Times New Roman" w:cstheme="minorHAnsi"/>
          <w:szCs w:val="24"/>
          <w:lang w:val="en-GB"/>
        </w:rPr>
        <w:t>nje kod opisa poslovnih procesa</w:t>
      </w:r>
      <w:r w:rsidRPr="00CB5BEE">
        <w:rPr>
          <w:rFonts w:eastAsia="Times New Roman" w:cstheme="minorHAnsi"/>
          <w:szCs w:val="24"/>
          <w:lang w:val="en-GB"/>
        </w:rPr>
        <w:t>,</w:t>
      </w:r>
      <w:r w:rsidR="0024765B">
        <w:rPr>
          <w:rFonts w:eastAsia="Times New Roman" w:cstheme="minorHAnsi"/>
          <w:szCs w:val="24"/>
          <w:lang w:val="en-GB"/>
        </w:rPr>
        <w:t xml:space="preserve"> nakon čega je dok</w:t>
      </w:r>
      <w:r w:rsidRPr="00CB5BEE">
        <w:rPr>
          <w:rFonts w:eastAsia="Times New Roman" w:cstheme="minorHAnsi"/>
          <w:szCs w:val="24"/>
          <w:lang w:val="en-GB"/>
        </w:rPr>
        <w:t xml:space="preserve">ument od starne radnih grupa dostavljen konsultantu na finalizaciju. Rok za završetak je </w:t>
      </w:r>
      <w:r w:rsidR="0024765B">
        <w:rPr>
          <w:rFonts w:eastAsia="Times New Roman" w:cstheme="minorHAnsi"/>
          <w:szCs w:val="24"/>
          <w:lang w:val="en-GB"/>
        </w:rPr>
        <w:t>25.10.2020. godine.</w:t>
      </w:r>
    </w:p>
    <w:p w:rsidR="003611CF" w:rsidRPr="00CB5BEE" w:rsidRDefault="003611CF" w:rsidP="00D4124F">
      <w:pPr>
        <w:spacing w:after="0" w:line="240" w:lineRule="auto"/>
        <w:rPr>
          <w:rFonts w:eastAsia="Times New Roman" w:cstheme="minorHAnsi"/>
          <w:szCs w:val="24"/>
          <w:u w:val="single"/>
          <w:lang w:val="en-GB"/>
        </w:rPr>
      </w:pPr>
      <w:r w:rsidRPr="00CB5BEE">
        <w:rPr>
          <w:rFonts w:eastAsia="Times New Roman" w:cstheme="minorHAnsi"/>
          <w:szCs w:val="24"/>
          <w:u w:val="single"/>
          <w:lang w:val="en-GB"/>
        </w:rPr>
        <w:t xml:space="preserve">Posjete tima Svjetske banke  </w:t>
      </w:r>
    </w:p>
    <w:p w:rsidR="003611CF" w:rsidRPr="00CB5BEE" w:rsidRDefault="003611CF" w:rsidP="00CB5BEE">
      <w:pPr>
        <w:spacing w:before="0" w:after="0" w:line="240" w:lineRule="auto"/>
        <w:rPr>
          <w:rFonts w:eastAsia="Times New Roman" w:cstheme="minorHAnsi"/>
          <w:szCs w:val="24"/>
          <w:lang w:val="en-GB"/>
        </w:rPr>
      </w:pPr>
      <w:r w:rsidRPr="00CB5BEE">
        <w:rPr>
          <w:rFonts w:eastAsia="Times New Roman" w:cstheme="minorHAnsi"/>
          <w:szCs w:val="24"/>
          <w:lang w:val="en-GB"/>
        </w:rPr>
        <w:tab/>
        <w:t>Tim Svjetske banke je boravio u Crnoj Gori u periodu 20-21. januara 2020. god., kao i 24-28. februara 2020. god. u funkciji podrške implementaciji komponente za elektronsku fiskalizaciju računa, kao i podršku u implementaciji ostalim aktivnostima na Projektu. Takođe je održan on –line sastanak sa Svjetskom bankom (Misija jun 2020) Realizovan on-line sastanak sa predstavnicima Svjetske banke (jedinica za upravljanje projektom, Direktor, Ministarstvo finasija, Pomoćnik za IT I consultant za e-fiskalizaciju I poslovne procese I IT). Sačinjen izvještaj. Izrađen I odobren od starne Svjetske Banke polugodišnji Izvještaj o napretku projekta. Održani (3) on-line sastanka sa predstavnicima Svjetske Banke I projektne jedinice vezano za aktivnosti koje se preduzimaju u cilju realizaciej projekta I revašnju problema.</w:t>
      </w:r>
    </w:p>
    <w:p w:rsidR="003611CF" w:rsidRPr="00CB5BEE" w:rsidRDefault="003611CF" w:rsidP="00CB5BEE">
      <w:pPr>
        <w:spacing w:before="0" w:after="0" w:line="240" w:lineRule="auto"/>
        <w:rPr>
          <w:rFonts w:eastAsia="Times New Roman" w:cstheme="minorHAnsi"/>
          <w:szCs w:val="24"/>
          <w:u w:val="single"/>
          <w:lang w:val="en-GB"/>
        </w:rPr>
      </w:pPr>
    </w:p>
    <w:p w:rsidR="003611CF" w:rsidRPr="0024765B" w:rsidRDefault="003611CF" w:rsidP="00CB5BEE">
      <w:pPr>
        <w:spacing w:before="0" w:after="0" w:line="240" w:lineRule="auto"/>
        <w:rPr>
          <w:rFonts w:eastAsia="Times New Roman" w:cstheme="minorHAnsi"/>
          <w:b/>
          <w:szCs w:val="24"/>
          <w:lang w:val="en-GB"/>
        </w:rPr>
      </w:pPr>
      <w:r w:rsidRPr="00CB5BEE">
        <w:rPr>
          <w:rFonts w:eastAsia="Times New Roman" w:cstheme="minorHAnsi"/>
          <w:b/>
          <w:szCs w:val="24"/>
          <w:lang w:val="en-GB"/>
        </w:rPr>
        <w:t>Dru</w:t>
      </w:r>
      <w:r w:rsidR="0024765B">
        <w:rPr>
          <w:rFonts w:eastAsia="Times New Roman" w:cstheme="minorHAnsi"/>
          <w:b/>
          <w:szCs w:val="24"/>
          <w:lang w:val="en-GB"/>
        </w:rPr>
        <w:t>ga komponenta- poslovni procesi</w:t>
      </w:r>
    </w:p>
    <w:p w:rsidR="00D4124F" w:rsidRPr="0024765B" w:rsidRDefault="003611CF" w:rsidP="00CB5BEE">
      <w:pPr>
        <w:spacing w:before="0" w:after="0" w:line="240" w:lineRule="auto"/>
        <w:rPr>
          <w:rFonts w:eastAsia="Times New Roman" w:cstheme="minorHAnsi"/>
          <w:b/>
          <w:szCs w:val="24"/>
          <w:lang w:val="en-GB"/>
        </w:rPr>
      </w:pPr>
      <w:r w:rsidRPr="00CB5BEE">
        <w:rPr>
          <w:rFonts w:eastAsia="Times New Roman" w:cstheme="minorHAnsi"/>
          <w:b/>
          <w:szCs w:val="24"/>
          <w:lang w:val="en-GB"/>
        </w:rPr>
        <w:t>Podkomponenta 2.2: Čišćen</w:t>
      </w:r>
      <w:r w:rsidR="0024765B">
        <w:rPr>
          <w:rFonts w:eastAsia="Times New Roman" w:cstheme="minorHAnsi"/>
          <w:b/>
          <w:szCs w:val="24"/>
          <w:lang w:val="en-GB"/>
        </w:rPr>
        <w:t>je podataka i IT infrastruktura</w:t>
      </w:r>
    </w:p>
    <w:p w:rsidR="003611CF" w:rsidRPr="00CB5BEE" w:rsidRDefault="003611CF" w:rsidP="00D4124F">
      <w:pPr>
        <w:spacing w:after="0" w:line="240" w:lineRule="auto"/>
        <w:rPr>
          <w:rFonts w:eastAsia="Times New Roman" w:cstheme="minorHAnsi"/>
          <w:szCs w:val="24"/>
          <w:u w:val="single"/>
          <w:lang w:val="en-GB"/>
        </w:rPr>
      </w:pPr>
      <w:r w:rsidRPr="00CB5BEE">
        <w:rPr>
          <w:rFonts w:eastAsia="Times New Roman" w:cstheme="minorHAnsi"/>
          <w:szCs w:val="24"/>
          <w:u w:val="single"/>
          <w:lang w:val="en-GB"/>
        </w:rPr>
        <w:t xml:space="preserve">Prečišćavanje i racionalizacija podatka </w:t>
      </w:r>
    </w:p>
    <w:p w:rsidR="003611CF" w:rsidRPr="00CB5BEE" w:rsidRDefault="003611CF" w:rsidP="00CB5BEE">
      <w:pPr>
        <w:spacing w:before="0" w:after="0" w:line="240" w:lineRule="auto"/>
        <w:rPr>
          <w:rFonts w:eastAsia="Times New Roman" w:cstheme="minorHAnsi"/>
          <w:szCs w:val="24"/>
          <w:lang w:val="en-GB"/>
        </w:rPr>
      </w:pPr>
      <w:r w:rsidRPr="00CB5BEE">
        <w:rPr>
          <w:rFonts w:eastAsia="Times New Roman" w:cstheme="minorHAnsi"/>
          <w:szCs w:val="24"/>
          <w:lang w:val="en-GB"/>
        </w:rPr>
        <w:tab/>
        <w:t xml:space="preserve">U predhodnom periodu, konsultantska firma (“Coming-Computer Engineering”) je započela svoj angažman, kojim je, između ostalog, predviđena priprema Strategije čišćenja podataka i generalnog plana čišćenja i konverzije podataka; definisanje detaljne procedure za čišćenje podataka, obuku i upravljanje internim timom za čišćenje podataka (poslovni i IT korisnici); kontrola implementacije procesa i savjeti u vezi čiščenja podataka; priprema sistema za migraciju podataka </w:t>
      </w:r>
      <w:r w:rsidRPr="00CB5BEE">
        <w:rPr>
          <w:rFonts w:eastAsia="Times New Roman" w:cstheme="minorHAnsi"/>
          <w:szCs w:val="24"/>
          <w:lang w:val="en-GB"/>
        </w:rPr>
        <w:lastRenderedPageBreak/>
        <w:t xml:space="preserve">sa starih sistema na novi sistem, kao i savjetodavne usluge u procesu pripreme testne i produkcione migracije podataka. </w:t>
      </w:r>
    </w:p>
    <w:p w:rsidR="003611CF" w:rsidRPr="00CB5BEE" w:rsidRDefault="003611CF" w:rsidP="00CB5BEE">
      <w:pPr>
        <w:spacing w:before="0" w:after="0" w:line="240" w:lineRule="auto"/>
        <w:rPr>
          <w:rFonts w:eastAsia="Times New Roman" w:cstheme="minorHAnsi"/>
          <w:szCs w:val="24"/>
          <w:lang w:val="en-GB"/>
        </w:rPr>
      </w:pPr>
      <w:r w:rsidRPr="00CB5BEE">
        <w:rPr>
          <w:rFonts w:eastAsia="Times New Roman" w:cstheme="minorHAnsi"/>
          <w:szCs w:val="24"/>
          <w:lang w:val="en-GB"/>
        </w:rPr>
        <w:tab/>
        <w:t>U martu 2020</w:t>
      </w:r>
      <w:r w:rsidR="0024765B">
        <w:rPr>
          <w:rFonts w:eastAsia="Times New Roman" w:cstheme="minorHAnsi"/>
          <w:szCs w:val="24"/>
          <w:lang w:val="en-GB"/>
        </w:rPr>
        <w:t>.</w:t>
      </w:r>
      <w:r w:rsidRPr="00CB5BEE">
        <w:rPr>
          <w:rFonts w:eastAsia="Times New Roman" w:cstheme="minorHAnsi"/>
          <w:szCs w:val="24"/>
          <w:lang w:val="en-GB"/>
        </w:rPr>
        <w:t xml:space="preserve"> godine formalno završena ugovorena prva faza, tj.</w:t>
      </w:r>
      <w:r w:rsidR="0024765B">
        <w:rPr>
          <w:rFonts w:eastAsia="Times New Roman" w:cstheme="minorHAnsi"/>
          <w:szCs w:val="24"/>
          <w:lang w:val="en-GB"/>
        </w:rPr>
        <w:t xml:space="preserve"> </w:t>
      </w:r>
      <w:r w:rsidRPr="00CB5BEE">
        <w:rPr>
          <w:rFonts w:eastAsia="Times New Roman" w:cstheme="minorHAnsi"/>
          <w:szCs w:val="24"/>
          <w:lang w:val="en-GB"/>
        </w:rPr>
        <w:t xml:space="preserve">završena je Strategija čišćenja podataka, Akcioni plan, Katalog podataka, kao i Lista identifikovanih problema. </w:t>
      </w:r>
    </w:p>
    <w:p w:rsidR="003611CF" w:rsidRPr="00CB5BEE" w:rsidRDefault="003611CF" w:rsidP="00CB5BEE">
      <w:pPr>
        <w:spacing w:before="0" w:after="0" w:line="240" w:lineRule="auto"/>
        <w:rPr>
          <w:rFonts w:eastAsia="Times New Roman" w:cstheme="minorHAnsi"/>
          <w:szCs w:val="24"/>
          <w:lang w:val="en-GB"/>
        </w:rPr>
      </w:pPr>
      <w:r w:rsidRPr="00CB5BEE">
        <w:rPr>
          <w:rFonts w:eastAsia="Times New Roman" w:cstheme="minorHAnsi"/>
          <w:szCs w:val="24"/>
          <w:lang w:val="en-GB"/>
        </w:rPr>
        <w:tab/>
        <w:t xml:space="preserve">U aprilu 2020. godine je završena druga ugovorena faza, koja se odnosi na pripremu procedura za čišćenje, kao i obuku zaposlenih koji će biti uključeni u sami proces čišćenja. </w:t>
      </w:r>
    </w:p>
    <w:p w:rsidR="003611CF" w:rsidRPr="00CB5BEE" w:rsidRDefault="003611CF" w:rsidP="00CB5BEE">
      <w:pPr>
        <w:spacing w:before="0" w:after="0" w:line="240" w:lineRule="auto"/>
        <w:rPr>
          <w:rFonts w:eastAsia="Times New Roman" w:cstheme="minorHAnsi"/>
          <w:szCs w:val="24"/>
          <w:lang w:val="en-GB"/>
        </w:rPr>
      </w:pPr>
      <w:r w:rsidRPr="00CB5BEE">
        <w:rPr>
          <w:rFonts w:eastAsia="Times New Roman" w:cstheme="minorHAnsi"/>
          <w:szCs w:val="24"/>
          <w:lang w:val="en-GB"/>
        </w:rPr>
        <w:t>Započeta je treća faza, a koja se konkretno odnosi na proces čišćenja podataka, u skladu sa usvojenim dokumentima i planovima. Izvještaj o napretku treće faze će biti dostavljen od strane konsultantske firme početkom jula mjeseca.</w:t>
      </w:r>
    </w:p>
    <w:p w:rsidR="003611CF" w:rsidRDefault="003611CF" w:rsidP="00CB5BEE">
      <w:pPr>
        <w:spacing w:before="0" w:after="0" w:line="240" w:lineRule="auto"/>
        <w:rPr>
          <w:rFonts w:eastAsia="Times New Roman" w:cstheme="minorHAnsi"/>
          <w:szCs w:val="24"/>
          <w:lang w:val="en-GB"/>
        </w:rPr>
      </w:pPr>
      <w:r w:rsidRPr="00CB5BEE">
        <w:rPr>
          <w:rFonts w:eastAsia="Times New Roman" w:cstheme="minorHAnsi"/>
          <w:szCs w:val="24"/>
          <w:lang w:val="en-GB"/>
        </w:rPr>
        <w:tab/>
        <w:t xml:space="preserve">Dostavljen Izvještaj o napretku. Započete aktivnosti na III fazi u skladu sa usvojenim akcionim planom (početak </w:t>
      </w:r>
      <w:r w:rsidR="0077079D">
        <w:rPr>
          <w:rFonts w:eastAsia="Times New Roman" w:cstheme="minorHAnsi"/>
          <w:szCs w:val="24"/>
          <w:lang w:val="en-GB"/>
        </w:rPr>
        <w:t>čišćenja transakcionih podataka</w:t>
      </w:r>
      <w:r w:rsidRPr="00CB5BEE">
        <w:rPr>
          <w:rFonts w:eastAsia="Times New Roman" w:cstheme="minorHAnsi"/>
          <w:szCs w:val="24"/>
          <w:lang w:val="en-GB"/>
        </w:rPr>
        <w:t xml:space="preserve"> i zaostatka vezanog za šifrarnike iz II faze).</w:t>
      </w:r>
      <w:r w:rsidR="0024765B">
        <w:rPr>
          <w:rFonts w:eastAsia="Times New Roman" w:cstheme="minorHAnsi"/>
          <w:szCs w:val="24"/>
          <w:lang w:val="en-GB"/>
        </w:rPr>
        <w:t xml:space="preserve"> Sačinjena dva izvješ</w:t>
      </w:r>
      <w:r w:rsidRPr="00CB5BEE">
        <w:rPr>
          <w:rFonts w:eastAsia="Times New Roman" w:cstheme="minorHAnsi"/>
          <w:szCs w:val="24"/>
          <w:lang w:val="en-GB"/>
        </w:rPr>
        <w:t>taja o napretku (od</w:t>
      </w:r>
      <w:r w:rsidR="0024765B">
        <w:rPr>
          <w:rFonts w:eastAsia="Times New Roman" w:cstheme="minorHAnsi"/>
          <w:szCs w:val="24"/>
          <w:lang w:val="en-GB"/>
        </w:rPr>
        <w:t xml:space="preserve"> predviđ</w:t>
      </w:r>
      <w:r w:rsidRPr="00CB5BEE">
        <w:rPr>
          <w:rFonts w:eastAsia="Times New Roman" w:cstheme="minorHAnsi"/>
          <w:szCs w:val="24"/>
          <w:lang w:val="en-GB"/>
        </w:rPr>
        <w:t>enih 5) o sta</w:t>
      </w:r>
      <w:r w:rsidR="0024765B">
        <w:rPr>
          <w:rFonts w:eastAsia="Times New Roman" w:cstheme="minorHAnsi"/>
          <w:szCs w:val="24"/>
          <w:lang w:val="en-GB"/>
        </w:rPr>
        <w:t>tusu aktivnosti iz faze III. Sač</w:t>
      </w:r>
      <w:r w:rsidRPr="00CB5BEE">
        <w:rPr>
          <w:rFonts w:eastAsia="Times New Roman" w:cstheme="minorHAnsi"/>
          <w:szCs w:val="24"/>
          <w:lang w:val="en-GB"/>
        </w:rPr>
        <w:t>injen anex ugovora</w:t>
      </w:r>
      <w:r w:rsidR="0024765B">
        <w:rPr>
          <w:rFonts w:eastAsia="Times New Roman" w:cstheme="minorHAnsi"/>
          <w:szCs w:val="24"/>
          <w:lang w:val="en-GB"/>
        </w:rPr>
        <w:t xml:space="preserve"> sa firmom Coming vezana za plaćanje (po isporuci svakog izvješ</w:t>
      </w:r>
      <w:r w:rsidR="008F68A8">
        <w:rPr>
          <w:rFonts w:eastAsia="Times New Roman" w:cstheme="minorHAnsi"/>
          <w:szCs w:val="24"/>
          <w:lang w:val="en-GB"/>
        </w:rPr>
        <w:t>taja).</w:t>
      </w:r>
    </w:p>
    <w:p w:rsidR="00D4124F" w:rsidRPr="008F68A8" w:rsidRDefault="00D4124F" w:rsidP="00CB5BEE">
      <w:pPr>
        <w:spacing w:before="0" w:after="0" w:line="240" w:lineRule="auto"/>
        <w:rPr>
          <w:rFonts w:eastAsia="Times New Roman" w:cstheme="minorHAnsi"/>
          <w:szCs w:val="24"/>
          <w:lang w:val="en-GB"/>
        </w:rPr>
      </w:pPr>
    </w:p>
    <w:p w:rsidR="003611CF" w:rsidRPr="00CB5BEE" w:rsidRDefault="003611CF" w:rsidP="00CB5BEE">
      <w:pPr>
        <w:spacing w:before="0" w:after="0" w:line="240" w:lineRule="auto"/>
        <w:rPr>
          <w:rFonts w:eastAsia="Times New Roman" w:cstheme="minorHAnsi"/>
          <w:szCs w:val="24"/>
          <w:u w:val="single"/>
          <w:lang w:val="en-GB"/>
        </w:rPr>
      </w:pPr>
      <w:r w:rsidRPr="00CB5BEE">
        <w:rPr>
          <w:rFonts w:eastAsia="Times New Roman" w:cstheme="minorHAnsi"/>
          <w:szCs w:val="24"/>
          <w:u w:val="single"/>
          <w:lang w:val="en-GB"/>
        </w:rPr>
        <w:t>IT infrastruktura za podršku integrisanom poreskom IT sistemu</w:t>
      </w:r>
    </w:p>
    <w:p w:rsidR="003611CF" w:rsidRPr="00CB5BEE" w:rsidRDefault="003611CF" w:rsidP="00CB5BEE">
      <w:pPr>
        <w:spacing w:before="0" w:after="0" w:line="240" w:lineRule="auto"/>
        <w:rPr>
          <w:rFonts w:eastAsia="Times New Roman" w:cstheme="minorHAnsi"/>
          <w:szCs w:val="24"/>
          <w:lang w:val="en-GB"/>
        </w:rPr>
      </w:pPr>
      <w:r w:rsidRPr="00CB5BEE">
        <w:rPr>
          <w:rFonts w:eastAsia="Times New Roman" w:cstheme="minorHAnsi"/>
          <w:szCs w:val="24"/>
          <w:lang w:val="en-GB"/>
        </w:rPr>
        <w:tab/>
        <w:t xml:space="preserve">Nakon sprovedene procedure, izabrana je konsultantska firma (“Teched Consulting Services”) koja će pružiti usluge za izradu tehničko - infrastrukturne arhitekture budućeg informacionog sistema. </w:t>
      </w:r>
    </w:p>
    <w:p w:rsidR="003611CF" w:rsidRPr="00CB5BEE" w:rsidRDefault="003611CF" w:rsidP="00CB5BEE">
      <w:pPr>
        <w:spacing w:before="0" w:after="0" w:line="240" w:lineRule="auto"/>
        <w:rPr>
          <w:rFonts w:eastAsia="Times New Roman" w:cstheme="minorHAnsi"/>
          <w:szCs w:val="24"/>
          <w:lang w:val="en-GB"/>
        </w:rPr>
      </w:pPr>
      <w:r w:rsidRPr="00CB5BEE">
        <w:rPr>
          <w:rFonts w:eastAsia="Times New Roman" w:cstheme="minorHAnsi"/>
          <w:szCs w:val="24"/>
          <w:lang w:val="en-GB"/>
        </w:rPr>
        <w:tab/>
        <w:t>Tokom marta 2020.</w:t>
      </w:r>
      <w:r w:rsidR="0077079D">
        <w:rPr>
          <w:rFonts w:eastAsia="Times New Roman" w:cstheme="minorHAnsi"/>
          <w:szCs w:val="24"/>
          <w:lang w:val="en-GB"/>
        </w:rPr>
        <w:t xml:space="preserve"> godine</w:t>
      </w:r>
      <w:r w:rsidRPr="00CB5BEE">
        <w:rPr>
          <w:rFonts w:eastAsia="Times New Roman" w:cstheme="minorHAnsi"/>
          <w:szCs w:val="24"/>
          <w:lang w:val="en-GB"/>
        </w:rPr>
        <w:t>, obavljen je niz konferencijskih razgovora u funkciji razmjene mišljenja, kao i davanja komentara na dostavljene radne verzije dokumentacije. Završetak kompletne dokumentacije, tj.</w:t>
      </w:r>
      <w:r w:rsidR="0077079D">
        <w:rPr>
          <w:rFonts w:eastAsia="Times New Roman" w:cstheme="minorHAnsi"/>
          <w:szCs w:val="24"/>
          <w:lang w:val="en-GB"/>
        </w:rPr>
        <w:t xml:space="preserve"> </w:t>
      </w:r>
      <w:r w:rsidRPr="00CB5BEE">
        <w:rPr>
          <w:rFonts w:eastAsia="Times New Roman" w:cstheme="minorHAnsi"/>
          <w:szCs w:val="24"/>
          <w:lang w:val="en-GB"/>
        </w:rPr>
        <w:t>cjelokupnog konsultantskog angažmana se očekuje u prvoj polovini aprila 2020.</w:t>
      </w:r>
      <w:r w:rsidR="0077079D">
        <w:rPr>
          <w:rFonts w:eastAsia="Times New Roman" w:cstheme="minorHAnsi"/>
          <w:szCs w:val="24"/>
          <w:lang w:val="en-GB"/>
        </w:rPr>
        <w:t xml:space="preserve"> godine. Izrađen dok</w:t>
      </w:r>
      <w:r w:rsidRPr="00CB5BEE">
        <w:rPr>
          <w:rFonts w:eastAsia="Times New Roman" w:cstheme="minorHAnsi"/>
          <w:szCs w:val="24"/>
          <w:lang w:val="en-GB"/>
        </w:rPr>
        <w:t xml:space="preserve">ument za IT infrastrukturu dostavljen KPMG na komentare. Održano niz sastanaka Implementacionog odbora u cilju pokretanja aktivnosti na dopuni dokumenta na </w:t>
      </w:r>
      <w:r w:rsidR="0077079D">
        <w:rPr>
          <w:rFonts w:eastAsia="Times New Roman" w:cstheme="minorHAnsi"/>
          <w:szCs w:val="24"/>
          <w:lang w:val="en-GB"/>
        </w:rPr>
        <w:t>osnovu dobijenih kometara. Završ</w:t>
      </w:r>
      <w:r w:rsidRPr="00CB5BEE">
        <w:rPr>
          <w:rFonts w:eastAsia="Times New Roman" w:cstheme="minorHAnsi"/>
          <w:szCs w:val="24"/>
          <w:lang w:val="en-GB"/>
        </w:rPr>
        <w:t xml:space="preserve">ena aktivnost. </w:t>
      </w:r>
    </w:p>
    <w:p w:rsidR="003611CF" w:rsidRPr="00CB5BEE" w:rsidRDefault="003611CF" w:rsidP="00CB5BEE">
      <w:pPr>
        <w:spacing w:before="0" w:after="0" w:line="240" w:lineRule="auto"/>
        <w:rPr>
          <w:rFonts w:eastAsia="Times New Roman" w:cstheme="minorHAnsi"/>
          <w:b/>
          <w:szCs w:val="24"/>
          <w:lang w:val="en-GB"/>
        </w:rPr>
      </w:pPr>
    </w:p>
    <w:p w:rsidR="003611CF" w:rsidRPr="0077079D" w:rsidRDefault="003611CF" w:rsidP="00CB5BEE">
      <w:pPr>
        <w:spacing w:before="0" w:after="0" w:line="240" w:lineRule="auto"/>
        <w:rPr>
          <w:rFonts w:eastAsia="Times New Roman" w:cstheme="minorHAnsi"/>
          <w:b/>
          <w:szCs w:val="24"/>
          <w:lang w:val="en-GB"/>
        </w:rPr>
      </w:pPr>
      <w:r w:rsidRPr="00CB5BEE">
        <w:rPr>
          <w:rFonts w:eastAsia="Times New Roman" w:cstheme="minorHAnsi"/>
          <w:b/>
          <w:szCs w:val="24"/>
          <w:lang w:val="en-GB"/>
        </w:rPr>
        <w:t xml:space="preserve">Potkomponenta 2.3   Integrisani IT sistem </w:t>
      </w:r>
      <w:r w:rsidR="0077079D">
        <w:rPr>
          <w:rFonts w:eastAsia="Times New Roman" w:cstheme="minorHAnsi"/>
          <w:b/>
          <w:szCs w:val="24"/>
          <w:lang w:val="en-GB"/>
        </w:rPr>
        <w:t>za upravljanje prihodima (IRMS)</w:t>
      </w:r>
    </w:p>
    <w:p w:rsidR="003611CF" w:rsidRPr="00CB5BEE" w:rsidRDefault="003611CF" w:rsidP="00D4124F">
      <w:pPr>
        <w:spacing w:after="0" w:line="240" w:lineRule="auto"/>
        <w:rPr>
          <w:rFonts w:eastAsia="Times New Roman" w:cstheme="minorHAnsi"/>
          <w:szCs w:val="24"/>
          <w:u w:val="single"/>
          <w:lang w:val="en-GB"/>
        </w:rPr>
      </w:pPr>
      <w:r w:rsidRPr="00CB5BEE">
        <w:rPr>
          <w:rFonts w:eastAsia="Times New Roman" w:cstheme="minorHAnsi"/>
          <w:szCs w:val="24"/>
          <w:u w:val="single"/>
          <w:lang w:val="en-GB"/>
        </w:rPr>
        <w:t>Specifikacije za Integrisani IT sistem za upravljanje prihodima</w:t>
      </w:r>
    </w:p>
    <w:p w:rsidR="003611CF" w:rsidRPr="00CB5BEE" w:rsidRDefault="003611CF" w:rsidP="00CB5BEE">
      <w:pPr>
        <w:spacing w:before="0" w:after="0" w:line="240" w:lineRule="auto"/>
        <w:rPr>
          <w:rFonts w:eastAsia="Times New Roman" w:cstheme="minorHAnsi"/>
          <w:szCs w:val="24"/>
          <w:lang w:val="en-GB"/>
        </w:rPr>
      </w:pPr>
      <w:r w:rsidRPr="00CB5BEE">
        <w:rPr>
          <w:rFonts w:eastAsia="Times New Roman" w:cstheme="minorHAnsi"/>
          <w:szCs w:val="24"/>
          <w:lang w:val="en-GB"/>
        </w:rPr>
        <w:tab/>
        <w:t>U predhodnom periodu, u procesu pisanja Dokumenta funkcionalnih zahtjeva, završen je opis postojećih poslovnih procesa/stanja („AS IS“). Kako je utvrđena potreba za konsultantskim uslugama u određenim oblastima rada, a radi boljeg i preciznijeg definisanja tzv. „TO BE“/ budućih funkcionalnosti u novom Integrisanom IT sistemu za upravljanje prihodima, u oktobru 2019.</w:t>
      </w:r>
      <w:r w:rsidR="0077079D">
        <w:rPr>
          <w:rFonts w:eastAsia="Times New Roman" w:cstheme="minorHAnsi"/>
          <w:szCs w:val="24"/>
          <w:lang w:val="en-GB"/>
        </w:rPr>
        <w:t xml:space="preserve"> godine,</w:t>
      </w:r>
      <w:r w:rsidRPr="00CB5BEE">
        <w:rPr>
          <w:rFonts w:eastAsia="Times New Roman" w:cstheme="minorHAnsi"/>
          <w:szCs w:val="24"/>
          <w:lang w:val="en-GB"/>
        </w:rPr>
        <w:t xml:space="preserve"> je izabrana konsultantska firma “AARC” iz Irske, sa rokom završetka posla od 5 mjeseca, a koji je završen u drugoj polovini marta 2020.</w:t>
      </w:r>
      <w:r w:rsidR="0077079D">
        <w:rPr>
          <w:rFonts w:eastAsia="Times New Roman" w:cstheme="minorHAnsi"/>
          <w:szCs w:val="24"/>
          <w:lang w:val="en-GB"/>
        </w:rPr>
        <w:t xml:space="preserve"> </w:t>
      </w:r>
      <w:r w:rsidRPr="00CB5BEE">
        <w:rPr>
          <w:rFonts w:eastAsia="Times New Roman" w:cstheme="minorHAnsi"/>
          <w:szCs w:val="24"/>
          <w:lang w:val="en-GB"/>
        </w:rPr>
        <w:t>godine. U skladu sa Projektnim zadatakom, “AARC” je pripremio Početni izvještaj u kome je definisana metodologija za realizaciju posla, uključujući detaljni plan aktivnosti sa opredjeljenim resursima. U skladu sa početnim izvještajem, fokus aktivnosti je bio na realizaciji aktivnosti iz oblasti unutrašnje kontrole i integriteta, poreske kontrole, poreskih prijava i računovodstva, kao i usluga koje se pružaju poreskim obveznicima. U okviru navedenih oblasti, realizovane su posjete relevantnih eksperata, i sve aktivnosti su realizovane u skladu sa usvojenim planom.</w:t>
      </w:r>
    </w:p>
    <w:p w:rsidR="003611CF" w:rsidRPr="00CB5BEE" w:rsidRDefault="003611CF" w:rsidP="00CB5BEE">
      <w:pPr>
        <w:spacing w:before="0" w:after="0" w:line="240" w:lineRule="auto"/>
        <w:rPr>
          <w:rFonts w:eastAsia="Times New Roman" w:cstheme="minorHAnsi"/>
          <w:szCs w:val="24"/>
          <w:lang w:val="en-GB"/>
        </w:rPr>
      </w:pPr>
      <w:r w:rsidRPr="00CB5BEE">
        <w:rPr>
          <w:rFonts w:eastAsia="Times New Roman" w:cstheme="minorHAnsi"/>
          <w:szCs w:val="24"/>
          <w:lang w:val="en-GB"/>
        </w:rPr>
        <w:tab/>
        <w:t>IT savjetnik je zajedno sa radnim grupama radio na definisanju budućih funkcionalnosti novog IT sistema, obezbjeđujući koordinaciju između radnih grupa, u funkciji pripreme Dokumenta funkcionalnih zahtjeva. U skladu sa definisanim rokom (mart 2020. god.), radne grupe su intezivno radile na dostavi svih neophodnih inputa.</w:t>
      </w:r>
    </w:p>
    <w:p w:rsidR="003611CF" w:rsidRPr="00CB5BEE" w:rsidRDefault="003611CF" w:rsidP="00CB5BEE">
      <w:pPr>
        <w:spacing w:before="0" w:after="0" w:line="240" w:lineRule="auto"/>
        <w:rPr>
          <w:rFonts w:eastAsia="Times New Roman" w:cstheme="minorHAnsi"/>
          <w:szCs w:val="24"/>
          <w:lang w:val="en-GB"/>
        </w:rPr>
      </w:pPr>
      <w:r w:rsidRPr="00CB5BEE">
        <w:rPr>
          <w:rFonts w:eastAsia="Times New Roman" w:cstheme="minorHAnsi"/>
          <w:szCs w:val="24"/>
          <w:lang w:val="en-GB"/>
        </w:rPr>
        <w:tab/>
        <w:t xml:space="preserve">Realizovane su studijske posjete Centralnom registru Španije, kao i Poreskoj upravi Hrvatske (žalbeni postupak/unutrašnja kontrola i integritet). </w:t>
      </w:r>
    </w:p>
    <w:p w:rsidR="003611CF" w:rsidRPr="00CB5BEE" w:rsidRDefault="003611CF" w:rsidP="00CB5BEE">
      <w:pPr>
        <w:spacing w:before="0" w:after="0" w:line="240" w:lineRule="auto"/>
        <w:rPr>
          <w:rFonts w:eastAsia="Times New Roman" w:cstheme="minorHAnsi"/>
          <w:szCs w:val="24"/>
          <w:lang w:val="en-GB"/>
        </w:rPr>
      </w:pPr>
      <w:r w:rsidRPr="00CB5BEE">
        <w:rPr>
          <w:rFonts w:eastAsia="Times New Roman" w:cstheme="minorHAnsi"/>
          <w:szCs w:val="24"/>
          <w:lang w:val="en-GB"/>
        </w:rPr>
        <w:tab/>
        <w:t xml:space="preserve">U pripremi dokumenta funkcionalnih zahtjeva došlo je do određenog kašnjenja u odnosu na usvojeni plan, što kasnije može prouzrokovati kašnjenje u pogledu početka implementacije IRMS projekta. </w:t>
      </w:r>
    </w:p>
    <w:p w:rsidR="003611CF" w:rsidRPr="00CB5BEE" w:rsidRDefault="003611CF" w:rsidP="00CB5BEE">
      <w:pPr>
        <w:spacing w:before="0" w:after="0" w:line="240" w:lineRule="auto"/>
        <w:rPr>
          <w:rFonts w:eastAsia="Times New Roman" w:cstheme="minorHAnsi"/>
          <w:szCs w:val="24"/>
          <w:lang w:val="en-GB"/>
        </w:rPr>
      </w:pPr>
      <w:r w:rsidRPr="00CB5BEE">
        <w:rPr>
          <w:rFonts w:eastAsia="Times New Roman" w:cstheme="minorHAnsi"/>
          <w:szCs w:val="24"/>
          <w:lang w:val="en-GB"/>
        </w:rPr>
        <w:lastRenderedPageBreak/>
        <w:tab/>
        <w:t>U toku je usaglašavanje dokumenta na osnovu datih preporuka od strane firme koja vrši kontrolu kvaliteta KPMG.</w:t>
      </w:r>
      <w:r w:rsidR="0077079D">
        <w:rPr>
          <w:rFonts w:eastAsia="Times New Roman" w:cstheme="minorHAnsi"/>
          <w:szCs w:val="24"/>
          <w:lang w:val="en-GB"/>
        </w:rPr>
        <w:t xml:space="preserve"> Usaglaš</w:t>
      </w:r>
      <w:r w:rsidRPr="00CB5BEE">
        <w:rPr>
          <w:rFonts w:eastAsia="Times New Roman" w:cstheme="minorHAnsi"/>
          <w:szCs w:val="24"/>
          <w:lang w:val="en-GB"/>
        </w:rPr>
        <w:t>a</w:t>
      </w:r>
      <w:r w:rsidR="0077079D">
        <w:rPr>
          <w:rFonts w:eastAsia="Times New Roman" w:cstheme="minorHAnsi"/>
          <w:szCs w:val="24"/>
          <w:lang w:val="en-GB"/>
        </w:rPr>
        <w:t>vanje dokumenta nakon slanja dr</w:t>
      </w:r>
      <w:r w:rsidRPr="00CB5BEE">
        <w:rPr>
          <w:rFonts w:eastAsia="Times New Roman" w:cstheme="minorHAnsi"/>
          <w:szCs w:val="24"/>
          <w:lang w:val="en-GB"/>
        </w:rPr>
        <w:t>aft v</w:t>
      </w:r>
      <w:r w:rsidR="0077079D">
        <w:rPr>
          <w:rFonts w:eastAsia="Times New Roman" w:cstheme="minorHAnsi"/>
          <w:szCs w:val="24"/>
          <w:lang w:val="en-GB"/>
        </w:rPr>
        <w:t>e</w:t>
      </w:r>
      <w:r w:rsidRPr="00CB5BEE">
        <w:rPr>
          <w:rFonts w:eastAsia="Times New Roman" w:cstheme="minorHAnsi"/>
          <w:szCs w:val="24"/>
          <w:lang w:val="en-GB"/>
        </w:rPr>
        <w:t xml:space="preserve">rzije od strane </w:t>
      </w:r>
      <w:r w:rsidR="0077079D">
        <w:rPr>
          <w:rFonts w:eastAsia="Times New Roman" w:cstheme="minorHAnsi"/>
          <w:szCs w:val="24"/>
          <w:lang w:val="en-GB"/>
        </w:rPr>
        <w:t>KPMG završeno. Dokument usvojen</w:t>
      </w:r>
      <w:r w:rsidRPr="00CB5BEE">
        <w:rPr>
          <w:rFonts w:eastAsia="Times New Roman" w:cstheme="minorHAnsi"/>
          <w:szCs w:val="24"/>
          <w:lang w:val="en-GB"/>
        </w:rPr>
        <w:t>.</w:t>
      </w:r>
      <w:r w:rsidR="0077079D">
        <w:rPr>
          <w:rFonts w:eastAsia="Times New Roman" w:cstheme="minorHAnsi"/>
          <w:szCs w:val="24"/>
          <w:lang w:val="en-GB"/>
        </w:rPr>
        <w:t xml:space="preserve"> Slijedi tehničko sređ</w:t>
      </w:r>
      <w:r w:rsidRPr="00CB5BEE">
        <w:rPr>
          <w:rFonts w:eastAsia="Times New Roman" w:cstheme="minorHAnsi"/>
          <w:szCs w:val="24"/>
          <w:lang w:val="en-GB"/>
        </w:rPr>
        <w:t>ivanje dokumenta.</w:t>
      </w:r>
    </w:p>
    <w:p w:rsidR="003611CF" w:rsidRPr="00CB5BEE" w:rsidRDefault="003611CF" w:rsidP="00CB5BEE">
      <w:pPr>
        <w:spacing w:before="0" w:after="0" w:line="240" w:lineRule="auto"/>
        <w:rPr>
          <w:rFonts w:eastAsia="Times New Roman" w:cstheme="minorHAnsi"/>
          <w:szCs w:val="24"/>
          <w:lang w:val="en-GB"/>
        </w:rPr>
      </w:pPr>
      <w:r w:rsidRPr="00CB5BEE">
        <w:rPr>
          <w:rFonts w:eastAsia="Times New Roman" w:cstheme="minorHAnsi"/>
          <w:szCs w:val="24"/>
          <w:lang w:val="en-GB"/>
        </w:rPr>
        <w:tab/>
        <w:t>Završen je Projektni  zadatak za uvođenje “Data warehouse / Skladište podataka” sistema, koji je planirano da bude operativan prije puštanja u funkciju novog IT integrisanog sistema. Dostavljen Svjetskoj banci na komentare. Dostavljeni koment</w:t>
      </w:r>
      <w:r w:rsidR="0077079D">
        <w:rPr>
          <w:rFonts w:eastAsia="Times New Roman" w:cstheme="minorHAnsi"/>
          <w:szCs w:val="24"/>
          <w:lang w:val="en-GB"/>
        </w:rPr>
        <w:t>ari od strane Svjetske Banke. Oč</w:t>
      </w:r>
      <w:r w:rsidRPr="00CB5BEE">
        <w:rPr>
          <w:rFonts w:eastAsia="Times New Roman" w:cstheme="minorHAnsi"/>
          <w:szCs w:val="24"/>
          <w:lang w:val="en-GB"/>
        </w:rPr>
        <w:t>ekuje se raspisivanje tendera za dwh.</w:t>
      </w:r>
    </w:p>
    <w:p w:rsidR="003611CF" w:rsidRPr="00CB5BEE" w:rsidRDefault="003611CF" w:rsidP="00CB5BEE">
      <w:pPr>
        <w:spacing w:before="0" w:after="0" w:line="240" w:lineRule="auto"/>
        <w:rPr>
          <w:rFonts w:eastAsia="Times New Roman" w:cstheme="minorHAnsi"/>
          <w:szCs w:val="24"/>
          <w:lang w:val="en-GB"/>
        </w:rPr>
      </w:pPr>
    </w:p>
    <w:p w:rsidR="003611CF" w:rsidRPr="0077079D" w:rsidRDefault="003611CF" w:rsidP="00CB5BEE">
      <w:pPr>
        <w:spacing w:before="0" w:after="0" w:line="240" w:lineRule="auto"/>
        <w:rPr>
          <w:rFonts w:eastAsia="Times New Roman" w:cstheme="minorHAnsi"/>
          <w:b/>
          <w:szCs w:val="24"/>
          <w:lang w:val="en-US"/>
        </w:rPr>
      </w:pPr>
      <w:r w:rsidRPr="00CB5BEE">
        <w:rPr>
          <w:rFonts w:eastAsia="Times New Roman" w:cstheme="minorHAnsi"/>
          <w:b/>
          <w:szCs w:val="24"/>
          <w:lang w:val="en-US"/>
        </w:rPr>
        <w:t>Treća komponent</w:t>
      </w:r>
      <w:r w:rsidR="0077079D">
        <w:rPr>
          <w:rFonts w:eastAsia="Times New Roman" w:cstheme="minorHAnsi"/>
          <w:b/>
          <w:szCs w:val="24"/>
          <w:lang w:val="en-US"/>
        </w:rPr>
        <w:t>a - Usluge poreskim obveznicima</w:t>
      </w:r>
    </w:p>
    <w:p w:rsidR="003611CF" w:rsidRPr="00CB5BEE" w:rsidRDefault="003611CF" w:rsidP="00CB5BEE">
      <w:pPr>
        <w:spacing w:before="0" w:after="0" w:line="240" w:lineRule="auto"/>
        <w:rPr>
          <w:rFonts w:eastAsia="Times New Roman" w:cstheme="minorHAnsi"/>
          <w:szCs w:val="24"/>
          <w:lang w:val="en-US"/>
        </w:rPr>
      </w:pPr>
      <w:r w:rsidRPr="00CB5BEE">
        <w:rPr>
          <w:rFonts w:eastAsia="Times New Roman" w:cstheme="minorHAnsi"/>
          <w:szCs w:val="24"/>
          <w:lang w:val="en-US"/>
        </w:rPr>
        <w:tab/>
      </w:r>
      <w:r w:rsidRPr="00CB5BEE">
        <w:rPr>
          <w:rFonts w:eastAsia="Times New Roman" w:cstheme="minorHAnsi"/>
          <w:szCs w:val="24"/>
          <w:lang w:val="en-GB"/>
        </w:rPr>
        <w:t>Periodično anketiranje i provjera rezultata-Pripremljen tender za angažman konsultantske firme za pripremu, sprovođenje i analizu rezultata dva važna istraživanja – „Istraživanje zadovoljstva poreskih obveznika" i „Istraživanje zadovoljstva zaposlenih u Poreskoj upravi Crne Gore", za 2021.godinu.</w:t>
      </w:r>
    </w:p>
    <w:p w:rsidR="003611CF" w:rsidRPr="00CB5BEE" w:rsidRDefault="003611CF" w:rsidP="00CB5BEE">
      <w:pPr>
        <w:spacing w:before="0" w:after="0" w:line="240" w:lineRule="auto"/>
        <w:rPr>
          <w:rFonts w:eastAsia="Times New Roman" w:cstheme="minorHAnsi"/>
          <w:szCs w:val="24"/>
          <w:lang w:val="en-GB"/>
        </w:rPr>
      </w:pPr>
    </w:p>
    <w:p w:rsidR="003611CF" w:rsidRPr="00CB5BEE" w:rsidRDefault="003611CF" w:rsidP="00CB5BEE">
      <w:pPr>
        <w:spacing w:before="0" w:after="0" w:line="240" w:lineRule="auto"/>
        <w:rPr>
          <w:rFonts w:eastAsia="Times New Roman" w:cstheme="minorHAnsi"/>
          <w:szCs w:val="24"/>
          <w:lang w:val="en-GB"/>
        </w:rPr>
      </w:pPr>
      <w:r w:rsidRPr="00CB5BEE">
        <w:rPr>
          <w:rFonts w:eastAsia="Times New Roman" w:cstheme="minorHAnsi"/>
          <w:b/>
          <w:szCs w:val="24"/>
          <w:lang w:val="en-GB"/>
        </w:rPr>
        <w:t xml:space="preserve"> Četvrta komponenta - Elektronska fiskalizacija</w:t>
      </w:r>
    </w:p>
    <w:p w:rsidR="003611CF" w:rsidRPr="00CB5BEE" w:rsidRDefault="003611CF" w:rsidP="00CB5BEE">
      <w:pPr>
        <w:spacing w:before="0" w:after="0" w:line="240" w:lineRule="auto"/>
        <w:rPr>
          <w:rFonts w:eastAsia="Times New Roman" w:cstheme="minorHAnsi"/>
          <w:szCs w:val="24"/>
          <w:lang w:val="en-GB"/>
        </w:rPr>
      </w:pPr>
      <w:r w:rsidRPr="00CB5BEE">
        <w:rPr>
          <w:rFonts w:eastAsia="Times New Roman" w:cstheme="minorHAnsi"/>
          <w:szCs w:val="24"/>
          <w:lang w:val="en-GB"/>
        </w:rPr>
        <w:tab/>
        <w:t>Završen tender. Odabrana firma OSA-NEOS. Zaključen ugovor. Započete aktivnosti na realizaciji projekta.</w:t>
      </w:r>
      <w:r w:rsidR="0077079D">
        <w:rPr>
          <w:rFonts w:eastAsia="Times New Roman" w:cstheme="minorHAnsi"/>
          <w:szCs w:val="24"/>
          <w:lang w:val="en-GB"/>
        </w:rPr>
        <w:t xml:space="preserve"> </w:t>
      </w:r>
      <w:r w:rsidRPr="00CB5BEE">
        <w:rPr>
          <w:rFonts w:eastAsia="Times New Roman" w:cstheme="minorHAnsi"/>
          <w:szCs w:val="24"/>
          <w:lang w:val="en-GB"/>
        </w:rPr>
        <w:t>Usvojen projektni Plan i projektna povelja. Izrađene finskcionalna i tehnička specifikacija. Održano niz sastanaka sa predstavnicima privrede. Završena nabavka hardware opreme. Definisani su kanali komukacije putem kojih će javnost komunicirati sa Poreskom upravom Crne Gore (e-mail, FAQ na portalu, sastanak sa IT zajednicom), tako da je realizovana javna objava funkcionalne i tehničke specifikacije za fiskalizacijski servis te organizacija sastanka s IT zajedn</w:t>
      </w:r>
      <w:r w:rsidR="0077079D">
        <w:rPr>
          <w:rFonts w:eastAsia="Times New Roman" w:cstheme="minorHAnsi"/>
          <w:szCs w:val="24"/>
          <w:lang w:val="en-GB"/>
        </w:rPr>
        <w:t>icom. Završena I faza Projekta.</w:t>
      </w:r>
    </w:p>
    <w:p w:rsidR="003611CF" w:rsidRPr="00CB5BEE" w:rsidRDefault="003611CF" w:rsidP="00CB5BEE">
      <w:pPr>
        <w:spacing w:before="0" w:after="0" w:line="240" w:lineRule="auto"/>
        <w:rPr>
          <w:rFonts w:eastAsia="Times New Roman" w:cstheme="minorHAnsi"/>
          <w:szCs w:val="24"/>
          <w:lang w:val="en-GB"/>
        </w:rPr>
      </w:pPr>
    </w:p>
    <w:p w:rsidR="003611CF" w:rsidRPr="008F68A8" w:rsidRDefault="003611CF" w:rsidP="008F68A8">
      <w:pPr>
        <w:spacing w:before="0" w:line="240" w:lineRule="auto"/>
        <w:jc w:val="center"/>
        <w:rPr>
          <w:rFonts w:eastAsia="Times New Roman" w:cstheme="minorHAnsi"/>
          <w:bCs/>
          <w:szCs w:val="24"/>
          <w:lang w:val="en-GB"/>
        </w:rPr>
      </w:pPr>
      <w:r w:rsidRPr="00CB5BEE">
        <w:rPr>
          <w:rFonts w:eastAsia="Times New Roman" w:cstheme="minorHAnsi"/>
          <w:b/>
          <w:szCs w:val="24"/>
          <w:lang w:val="en-GB"/>
        </w:rPr>
        <w:t>SLUŽBA ZA FINANSIJE I JAVNE NABAVKE</w:t>
      </w:r>
    </w:p>
    <w:p w:rsidR="003611CF" w:rsidRPr="00CB5BEE" w:rsidRDefault="003611CF" w:rsidP="00CB5BEE">
      <w:pPr>
        <w:spacing w:before="0" w:after="0" w:line="240" w:lineRule="auto"/>
        <w:rPr>
          <w:rFonts w:eastAsia="Calibri" w:cstheme="minorHAnsi"/>
          <w:szCs w:val="24"/>
          <w:lang w:val="hr-HR"/>
        </w:rPr>
      </w:pPr>
      <w:r w:rsidRPr="00CB5BEE">
        <w:rPr>
          <w:rFonts w:eastAsia="Calibri" w:cstheme="minorHAnsi"/>
          <w:bCs/>
          <w:iCs/>
          <w:szCs w:val="24"/>
        </w:rPr>
        <w:tab/>
      </w:r>
      <w:r w:rsidRPr="00CB5BEE">
        <w:rPr>
          <w:rFonts w:eastAsia="Calibri" w:cstheme="minorHAnsi"/>
          <w:szCs w:val="24"/>
          <w:lang w:val="hr-HR"/>
        </w:rPr>
        <w:t>Služb</w:t>
      </w:r>
      <w:r w:rsidR="008F68A8">
        <w:rPr>
          <w:rFonts w:eastAsia="Calibri" w:cstheme="minorHAnsi"/>
          <w:szCs w:val="24"/>
          <w:lang w:val="hr-HR"/>
        </w:rPr>
        <w:t xml:space="preserve">a za finansije i javne nabavke je u izvještajnom periodu </w:t>
      </w:r>
      <w:r w:rsidRPr="00CB5BEE">
        <w:rPr>
          <w:rFonts w:eastAsia="Calibri" w:cstheme="minorHAnsi"/>
          <w:szCs w:val="24"/>
          <w:lang w:val="hr-HR"/>
        </w:rPr>
        <w:t>obavila je sljedeće poslove:</w:t>
      </w:r>
    </w:p>
    <w:p w:rsidR="003611CF" w:rsidRPr="00CB5BEE" w:rsidRDefault="003611CF" w:rsidP="00CB5BEE">
      <w:pPr>
        <w:spacing w:before="0" w:after="0" w:line="240" w:lineRule="auto"/>
        <w:ind w:firstLine="720"/>
        <w:rPr>
          <w:rFonts w:eastAsia="Times New Roman" w:cstheme="minorHAnsi"/>
          <w:b/>
          <w:bCs/>
          <w:szCs w:val="24"/>
        </w:rPr>
      </w:pPr>
      <w:r w:rsidRPr="00CB5BEE">
        <w:rPr>
          <w:rFonts w:eastAsia="Times New Roman" w:cstheme="minorHAnsi"/>
          <w:bCs/>
          <w:szCs w:val="24"/>
        </w:rPr>
        <w:t>1</w:t>
      </w:r>
      <w:r w:rsidRPr="00CB5BEE">
        <w:rPr>
          <w:rFonts w:eastAsia="Times New Roman" w:cstheme="minorHAnsi"/>
          <w:b/>
          <w:bCs/>
          <w:szCs w:val="24"/>
        </w:rPr>
        <w:t>.</w:t>
      </w:r>
      <w:r w:rsidRPr="00CB5BEE">
        <w:rPr>
          <w:rFonts w:eastAsia="Times New Roman" w:cstheme="minorHAnsi"/>
          <w:szCs w:val="24"/>
        </w:rPr>
        <w:t xml:space="preserve"> Izvršeno je usaglašavanje svih plaćanja po pozicijama, u skladu sa odobrenim Mjesečnim planom korišćenja budžetskih sredstava Poreske uprave. Nakon izvršenog usaglašavanja troškova po pozicijama i po programima sačinjen je izveštaj o realizovanim aktivnostima u toku 2019. godine i Pregled neizmirenih obaveza iz 2019. godine dostavljen Ministarstvu finasija do 31.01.2020. godine.</w:t>
      </w:r>
      <w:r w:rsidRPr="00CB5BEE">
        <w:rPr>
          <w:rFonts w:eastAsia="Times New Roman" w:cstheme="minorHAnsi"/>
          <w:b/>
          <w:bCs/>
          <w:szCs w:val="24"/>
        </w:rPr>
        <w:t xml:space="preserve"> </w:t>
      </w:r>
    </w:p>
    <w:p w:rsidR="003611CF" w:rsidRPr="00CB5BEE" w:rsidRDefault="003611CF" w:rsidP="00CB5BEE">
      <w:pPr>
        <w:spacing w:before="0" w:after="0" w:line="240" w:lineRule="auto"/>
        <w:ind w:firstLine="720"/>
        <w:rPr>
          <w:rFonts w:eastAsia="Times New Roman" w:cstheme="minorHAnsi"/>
          <w:szCs w:val="24"/>
        </w:rPr>
      </w:pPr>
      <w:r w:rsidRPr="00CB5BEE">
        <w:rPr>
          <w:rFonts w:eastAsia="Times New Roman" w:cstheme="minorHAnsi"/>
          <w:szCs w:val="24"/>
        </w:rPr>
        <w:t>Urađen je Godišnji finansijski izvještaj Poreske uprave (Izvještaj o novčanim tokovima III i Izvještaj o neizmirenim obavezama) i dostavljen Ministarstvu finansija, u rokovima i  na način propisan Pravilnikom o jedinstvenoj klasifikaciji računa za Budžet Crne Gore, budžete vanbudžetskih fondova i budžete opština („Službeni list CG“ broj 35/05 i 81/05) i Pravilnikom o načinu sačinjavanja i podnošenja finansijskih izvještaja budžeta, državnih fondova i jedinica lokalne samouprave („Službeni list CG“ broj 23/14) kao i Izjava o načinu utroška sredstava nakon isteka fiskalne godine i Izvještaj o načinu utroška sredstava tekuče budžetske rezerve.</w:t>
      </w:r>
    </w:p>
    <w:p w:rsidR="003611CF" w:rsidRPr="00CB5BEE" w:rsidRDefault="003611CF" w:rsidP="00CB5BEE">
      <w:pPr>
        <w:spacing w:before="0" w:after="0" w:line="240" w:lineRule="auto"/>
        <w:ind w:firstLine="283"/>
        <w:rPr>
          <w:rFonts w:eastAsia="Times New Roman" w:cstheme="minorHAnsi"/>
          <w:szCs w:val="24"/>
          <w:lang w:val="en-GB"/>
        </w:rPr>
      </w:pPr>
      <w:r w:rsidRPr="00CB5BEE">
        <w:rPr>
          <w:rFonts w:eastAsia="Times New Roman" w:cstheme="minorHAnsi"/>
          <w:szCs w:val="24"/>
          <w:lang w:val="en-GB"/>
        </w:rPr>
        <w:tab/>
        <w:t xml:space="preserve">Takođe je urađen </w:t>
      </w:r>
      <w:r w:rsidRPr="00CB5BEE">
        <w:rPr>
          <w:rFonts w:eastAsia="Times New Roman" w:cstheme="minorHAnsi"/>
          <w:bCs/>
          <w:szCs w:val="24"/>
          <w:lang w:val="en-GB"/>
        </w:rPr>
        <w:t>Izvještaj o izvršenju programskog budžeta za 2019. godinu</w:t>
      </w:r>
      <w:r w:rsidRPr="00CB5BEE">
        <w:rPr>
          <w:rFonts w:eastAsia="Times New Roman" w:cstheme="minorHAnsi"/>
          <w:szCs w:val="24"/>
          <w:lang w:val="en-GB"/>
        </w:rPr>
        <w:t xml:space="preserve">  sa detaljnom analizom indikatora izvršenja za i isti dostavljen Ministarstvu finansija do 31. marta 2020. godine. </w:t>
      </w:r>
    </w:p>
    <w:p w:rsidR="003611CF" w:rsidRPr="00CB5BEE" w:rsidRDefault="003611CF" w:rsidP="00CB5BEE">
      <w:pPr>
        <w:spacing w:before="0" w:after="0" w:line="240" w:lineRule="auto"/>
        <w:ind w:firstLine="283"/>
        <w:rPr>
          <w:rFonts w:eastAsia="Times New Roman" w:cstheme="minorHAnsi"/>
          <w:szCs w:val="24"/>
          <w:lang w:val="en-GB"/>
        </w:rPr>
      </w:pPr>
      <w:r w:rsidRPr="00CB5BEE">
        <w:rPr>
          <w:rFonts w:eastAsia="Times New Roman" w:cstheme="minorHAnsi"/>
          <w:szCs w:val="24"/>
          <w:lang w:val="en-GB"/>
        </w:rPr>
        <w:tab/>
        <w:t>Urađen  kvartalni finansijski izvještaji Poreske uprave (Izvještaj o novčanim tokovima III i Izvještaj o neizmirenim obavezama) i dostavljen Ministarstvu finansija, u rokovima i  na način propisan Pravilnikom o jedinstvenoj klasifikaciji računa za Budžet Crne Gore, budžete vanbudžetskih fondova i budžete opština („Službeni list CG“ broj 35/05 i 81/05) i Pravilnikom o načinu sačinjavanja i podnošenja finansijskih izvještaja budžeta, državnih fondova i jedinica lokalne samouprave („Službeni list CG“ broj 23/14).</w:t>
      </w:r>
    </w:p>
    <w:p w:rsidR="003611CF" w:rsidRPr="00CB5BEE" w:rsidRDefault="003611CF" w:rsidP="00CB5BEE">
      <w:pPr>
        <w:spacing w:before="0" w:after="0" w:line="240" w:lineRule="auto"/>
        <w:ind w:firstLine="720"/>
        <w:rPr>
          <w:rFonts w:eastAsia="Times New Roman" w:cstheme="minorHAnsi"/>
          <w:szCs w:val="24"/>
        </w:rPr>
      </w:pPr>
      <w:r w:rsidRPr="00CB5BEE">
        <w:rPr>
          <w:rFonts w:eastAsia="Times New Roman" w:cstheme="minorHAnsi"/>
          <w:bCs/>
          <w:szCs w:val="24"/>
        </w:rPr>
        <w:t>2.</w:t>
      </w:r>
      <w:r w:rsidRPr="00CB5BEE">
        <w:rPr>
          <w:rFonts w:eastAsia="Times New Roman" w:cstheme="minorHAnsi"/>
          <w:szCs w:val="24"/>
        </w:rPr>
        <w:t xml:space="preserve"> Na osnovu izvješ</w:t>
      </w:r>
      <w:r w:rsidR="008F68A8">
        <w:rPr>
          <w:rFonts w:eastAsia="Times New Roman" w:cstheme="minorHAnsi"/>
          <w:szCs w:val="24"/>
        </w:rPr>
        <w:t>taja Centralne popisne komisije</w:t>
      </w:r>
      <w:r w:rsidRPr="00CB5BEE">
        <w:rPr>
          <w:rFonts w:eastAsia="Times New Roman" w:cstheme="minorHAnsi"/>
          <w:szCs w:val="24"/>
        </w:rPr>
        <w:t xml:space="preserve"> i sravnjenja popisnog stanja imovine (pokretne i nepokretne), opreme i robe u ekonomatu Poreske uprave  sa knjigovodstvenim stanjem, donešene su i sprovedene Odluke Direktora Poreske uprave o rashodovanju osnovnih sredstava po Područnim jedinicama i u Centrali Poreske uprave. </w:t>
      </w:r>
    </w:p>
    <w:p w:rsidR="003611CF" w:rsidRPr="00CB5BEE" w:rsidRDefault="003611CF" w:rsidP="00CB5BEE">
      <w:pPr>
        <w:spacing w:before="0" w:after="0" w:line="240" w:lineRule="auto"/>
        <w:ind w:firstLine="720"/>
        <w:rPr>
          <w:rFonts w:eastAsia="Times New Roman" w:cstheme="minorHAnsi"/>
          <w:szCs w:val="24"/>
        </w:rPr>
      </w:pPr>
      <w:r w:rsidRPr="00CB5BEE">
        <w:rPr>
          <w:rFonts w:eastAsia="Times New Roman" w:cstheme="minorHAnsi"/>
          <w:szCs w:val="24"/>
        </w:rPr>
        <w:lastRenderedPageBreak/>
        <w:t xml:space="preserve">Izvještaj o </w:t>
      </w:r>
      <w:r w:rsidR="008F68A8">
        <w:rPr>
          <w:rFonts w:eastAsia="Times New Roman" w:cstheme="minorHAnsi"/>
          <w:szCs w:val="24"/>
        </w:rPr>
        <w:t>pokretnoj i nepokretnoj imovini</w:t>
      </w:r>
      <w:r w:rsidRPr="00CB5BEE">
        <w:rPr>
          <w:rFonts w:eastAsia="Times New Roman" w:cstheme="minorHAnsi"/>
          <w:szCs w:val="24"/>
        </w:rPr>
        <w:t xml:space="preserve">, kao i ostaloj opremi kojom raspolaže Poreska uprava, </w:t>
      </w:r>
      <w:r w:rsidRPr="00CB5BEE">
        <w:rPr>
          <w:rFonts w:eastAsia="Times New Roman" w:cstheme="minorHAnsi"/>
          <w:bCs/>
          <w:szCs w:val="24"/>
        </w:rPr>
        <w:t>d</w:t>
      </w:r>
      <w:r w:rsidR="008F68A8">
        <w:rPr>
          <w:rFonts w:eastAsia="Times New Roman" w:cstheme="minorHAnsi"/>
          <w:bCs/>
          <w:szCs w:val="24"/>
        </w:rPr>
        <w:t xml:space="preserve">ostavljen je Upravi za imovinu </w:t>
      </w:r>
      <w:r w:rsidRPr="00CB5BEE">
        <w:rPr>
          <w:rFonts w:eastAsia="Times New Roman" w:cstheme="minorHAnsi"/>
          <w:bCs/>
          <w:szCs w:val="24"/>
        </w:rPr>
        <w:t>do 31.03.2020. godine, sistematizovan po grupama i sintetičkim kontima,</w:t>
      </w:r>
      <w:r w:rsidRPr="00CB5BEE">
        <w:rPr>
          <w:rFonts w:eastAsia="Times New Roman" w:cstheme="minorHAnsi"/>
          <w:szCs w:val="24"/>
        </w:rPr>
        <w:t xml:space="preserve"> shodno Pravilniku o jedinstvenoj klasifikaciji računa za Budžet Crne Gore, budžete vanbudžetskih fondova i budžete opština (»</w:t>
      </w:r>
      <w:r w:rsidR="008F68A8">
        <w:rPr>
          <w:rFonts w:eastAsia="Times New Roman" w:cstheme="minorHAnsi"/>
          <w:szCs w:val="24"/>
        </w:rPr>
        <w:t>Sl. list CG» br. 37/05 i 81/05)</w:t>
      </w:r>
      <w:r w:rsidRPr="00CB5BEE">
        <w:rPr>
          <w:rFonts w:eastAsia="Times New Roman" w:cstheme="minorHAnsi"/>
          <w:szCs w:val="24"/>
        </w:rPr>
        <w:t xml:space="preserve">, sa </w:t>
      </w:r>
      <w:r w:rsidRPr="00CB5BEE">
        <w:rPr>
          <w:rFonts w:eastAsia="Times New Roman" w:cstheme="minorHAnsi"/>
          <w:bCs/>
          <w:szCs w:val="24"/>
        </w:rPr>
        <w:t>urađenim obračunom amortizacije</w:t>
      </w:r>
      <w:r w:rsidRPr="00CB5BEE">
        <w:rPr>
          <w:rFonts w:eastAsia="Times New Roman" w:cstheme="minorHAnsi"/>
          <w:szCs w:val="24"/>
        </w:rPr>
        <w:t xml:space="preserve"> u skladu sa Pravilnikom o utvrđivanju amortizacije budžetskih i vanbudžetskih korisnika   (Sl. List CG» br. 32/03). </w:t>
      </w:r>
    </w:p>
    <w:p w:rsidR="003611CF" w:rsidRPr="00CB5BEE" w:rsidRDefault="003611CF" w:rsidP="00CB5BEE">
      <w:pPr>
        <w:spacing w:before="0" w:after="0" w:line="240" w:lineRule="auto"/>
        <w:rPr>
          <w:rFonts w:eastAsia="Times New Roman" w:cstheme="minorHAnsi"/>
          <w:szCs w:val="24"/>
        </w:rPr>
      </w:pPr>
      <w:r w:rsidRPr="00CB5BEE">
        <w:rPr>
          <w:rFonts w:eastAsia="Times New Roman" w:cstheme="minorHAnsi"/>
          <w:b/>
          <w:bCs/>
          <w:szCs w:val="24"/>
        </w:rPr>
        <w:tab/>
      </w:r>
      <w:r w:rsidRPr="00CB5BEE">
        <w:rPr>
          <w:rFonts w:eastAsia="Times New Roman" w:cstheme="minorHAnsi"/>
          <w:bCs/>
          <w:szCs w:val="24"/>
        </w:rPr>
        <w:t>3.</w:t>
      </w:r>
      <w:r w:rsidR="008F68A8">
        <w:rPr>
          <w:rFonts w:eastAsia="Times New Roman" w:cstheme="minorHAnsi"/>
          <w:szCs w:val="24"/>
        </w:rPr>
        <w:t xml:space="preserve"> Urađeni su mjesečni  </w:t>
      </w:r>
      <w:r w:rsidRPr="00CB5BEE">
        <w:rPr>
          <w:rFonts w:eastAsia="Times New Roman" w:cstheme="minorHAnsi"/>
          <w:szCs w:val="24"/>
        </w:rPr>
        <w:t>izveštaji o zaposlenim službenicima i  namještenicima  i  njihovim zaradama (Obrazac RAD-1), za potrebe Zavoda za statistiku.</w:t>
      </w:r>
    </w:p>
    <w:p w:rsidR="003611CF" w:rsidRPr="00CB5BEE" w:rsidRDefault="003611CF" w:rsidP="00CB5BEE">
      <w:pPr>
        <w:spacing w:before="0" w:after="0" w:line="240" w:lineRule="auto"/>
        <w:ind w:firstLine="720"/>
        <w:rPr>
          <w:rFonts w:eastAsia="Times New Roman" w:cstheme="minorHAnsi"/>
          <w:iCs/>
          <w:szCs w:val="24"/>
        </w:rPr>
      </w:pPr>
      <w:r w:rsidRPr="00CB5BEE">
        <w:rPr>
          <w:rFonts w:eastAsia="Times New Roman" w:cstheme="minorHAnsi"/>
          <w:szCs w:val="24"/>
        </w:rPr>
        <w:t xml:space="preserve">Na zahtjev Republičkog zavoda za statistiku urađen je i dostavljen Izvještaj o troškovima rada za  IV kvartal 2019. godine (Obrazac </w:t>
      </w:r>
      <w:r w:rsidRPr="00CB5BEE">
        <w:rPr>
          <w:rFonts w:eastAsia="Times New Roman" w:cstheme="minorHAnsi"/>
          <w:i/>
          <w:szCs w:val="24"/>
        </w:rPr>
        <w:t>–</w:t>
      </w:r>
      <w:r w:rsidRPr="00CB5BEE">
        <w:rPr>
          <w:rFonts w:eastAsia="Times New Roman" w:cstheme="minorHAnsi"/>
          <w:szCs w:val="24"/>
        </w:rPr>
        <w:t>ITR-G</w:t>
      </w:r>
      <w:r w:rsidRPr="00CB5BEE">
        <w:rPr>
          <w:rFonts w:eastAsia="Times New Roman" w:cstheme="minorHAnsi"/>
          <w:i/>
          <w:szCs w:val="24"/>
        </w:rPr>
        <w:t>).</w:t>
      </w:r>
    </w:p>
    <w:p w:rsidR="003611CF" w:rsidRPr="00CB5BEE" w:rsidRDefault="003611CF" w:rsidP="00CB5BEE">
      <w:pPr>
        <w:spacing w:before="0" w:after="0" w:line="240" w:lineRule="auto"/>
        <w:rPr>
          <w:rFonts w:eastAsia="Times New Roman" w:cstheme="minorHAnsi"/>
          <w:szCs w:val="24"/>
        </w:rPr>
      </w:pPr>
      <w:r w:rsidRPr="00CB5BEE">
        <w:rPr>
          <w:rFonts w:eastAsia="Times New Roman" w:cstheme="minorHAnsi"/>
          <w:b/>
          <w:bCs/>
          <w:szCs w:val="24"/>
        </w:rPr>
        <w:tab/>
      </w:r>
      <w:r w:rsidRPr="00CB5BEE">
        <w:rPr>
          <w:rFonts w:eastAsia="Times New Roman" w:cstheme="minorHAnsi"/>
          <w:szCs w:val="24"/>
        </w:rPr>
        <w:t xml:space="preserve">Urađeni su i  dostavljeni Poreskoj upravi godišnji OPD-3 obrasci u januaru i mjesečni OPP ND i IOPPD obrasci do 15 u mjesecu za prethodni mjesec. </w:t>
      </w:r>
    </w:p>
    <w:p w:rsidR="003611CF" w:rsidRPr="00CB5BEE" w:rsidRDefault="003611CF" w:rsidP="00CB5BEE">
      <w:pPr>
        <w:spacing w:before="0" w:after="0" w:line="240" w:lineRule="auto"/>
        <w:ind w:firstLine="720"/>
        <w:rPr>
          <w:rFonts w:eastAsia="Times New Roman" w:cstheme="minorHAnsi"/>
          <w:szCs w:val="24"/>
        </w:rPr>
      </w:pPr>
      <w:r w:rsidRPr="00CB5BEE">
        <w:rPr>
          <w:rFonts w:eastAsia="Times New Roman" w:cstheme="minorHAnsi"/>
          <w:bCs/>
          <w:szCs w:val="24"/>
        </w:rPr>
        <w:t>4.</w:t>
      </w:r>
      <w:r w:rsidRPr="00CB5BEE">
        <w:rPr>
          <w:rFonts w:eastAsia="Times New Roman" w:cstheme="minorHAnsi"/>
          <w:szCs w:val="24"/>
        </w:rPr>
        <w:t xml:space="preserve"> Mjesečno su pripremani podaci za obračun plata, za sve službenike Poreske uprave na osnovu evidencije prisustva na radu službenika, evidencije bolovanja na osnovu izveštaja o privremenoj spriječenosti za rad, kao o obrada podataka neophodna za ovjeru obrazaca za kredite i obrazaca za dozvoljene minuse.</w:t>
      </w:r>
    </w:p>
    <w:p w:rsidR="003611CF" w:rsidRPr="00CB5BEE" w:rsidRDefault="003611CF" w:rsidP="00CB5BEE">
      <w:pPr>
        <w:spacing w:before="0" w:after="0" w:line="240" w:lineRule="auto"/>
        <w:ind w:firstLine="720"/>
        <w:rPr>
          <w:rFonts w:eastAsia="Times New Roman" w:cstheme="minorHAnsi"/>
          <w:szCs w:val="24"/>
        </w:rPr>
      </w:pPr>
      <w:r w:rsidRPr="00CB5BEE">
        <w:rPr>
          <w:rFonts w:eastAsia="Times New Roman" w:cstheme="minorHAnsi"/>
          <w:szCs w:val="24"/>
        </w:rPr>
        <w:t xml:space="preserve">5. Odrađeni i dostavljeni Fondu Pio M-4 obrasci, za sve službenike Poreske uprave, za 2019. godinu. </w:t>
      </w:r>
    </w:p>
    <w:p w:rsidR="003611CF" w:rsidRPr="00CB5BEE" w:rsidRDefault="003611CF" w:rsidP="00CB5BEE">
      <w:pPr>
        <w:spacing w:before="0" w:after="0" w:line="240" w:lineRule="auto"/>
        <w:rPr>
          <w:rFonts w:eastAsia="Times New Roman" w:cstheme="minorHAnsi"/>
          <w:szCs w:val="24"/>
        </w:rPr>
      </w:pPr>
      <w:r w:rsidRPr="00CB5BEE">
        <w:rPr>
          <w:rFonts w:eastAsia="Times New Roman" w:cstheme="minorHAnsi"/>
          <w:bCs/>
          <w:szCs w:val="24"/>
        </w:rPr>
        <w:t xml:space="preserve">            6.</w:t>
      </w:r>
      <w:r w:rsidRPr="00CB5BEE">
        <w:rPr>
          <w:rFonts w:eastAsia="Times New Roman" w:cstheme="minorHAnsi"/>
          <w:szCs w:val="24"/>
        </w:rPr>
        <w:t xml:space="preserve"> Obrađeni su računi za nabavljenu robu i usluge kroz knjigu ulaznih faktura i dostavljeni su odgovorajaću zahtjevi za plaćanje Državnom trezoru, radi izmirenja obaveza nastalih navedenim nabavkama.</w:t>
      </w:r>
    </w:p>
    <w:p w:rsidR="003611CF" w:rsidRPr="00CB5BEE" w:rsidRDefault="003611CF" w:rsidP="00CB5BEE">
      <w:pPr>
        <w:spacing w:before="0" w:after="0" w:line="240" w:lineRule="auto"/>
        <w:rPr>
          <w:rFonts w:eastAsia="Times New Roman" w:cstheme="minorHAnsi"/>
          <w:szCs w:val="24"/>
        </w:rPr>
      </w:pPr>
      <w:r w:rsidRPr="00CB5BEE">
        <w:rPr>
          <w:rFonts w:eastAsia="Times New Roman" w:cstheme="minorHAnsi"/>
          <w:szCs w:val="24"/>
        </w:rPr>
        <w:tab/>
        <w:t xml:space="preserve">7. Redovno je praćena realizacija svih Ugovora za nabavljene robu i usluge za potrebe Poreske uprave. </w:t>
      </w:r>
    </w:p>
    <w:p w:rsidR="003611CF" w:rsidRPr="00CB5BEE" w:rsidRDefault="003611CF" w:rsidP="00CB5BEE">
      <w:pPr>
        <w:spacing w:before="0" w:after="0" w:line="240" w:lineRule="auto"/>
        <w:rPr>
          <w:rFonts w:eastAsia="Times New Roman" w:cstheme="minorHAnsi"/>
          <w:szCs w:val="24"/>
        </w:rPr>
      </w:pPr>
      <w:r w:rsidRPr="00CB5BEE">
        <w:rPr>
          <w:rFonts w:eastAsia="Times New Roman" w:cstheme="minorHAnsi"/>
          <w:szCs w:val="24"/>
        </w:rPr>
        <w:tab/>
        <w:t>8. Obrađeni su i dostavljeni Upravi za imovinu računi za troškove kancelarijskog materijala i troškove mobilne i fiksne telefonije u skladu sa Uredbom o objedinjavanju javnih nabavki roba i usluga.</w:t>
      </w:r>
    </w:p>
    <w:p w:rsidR="003611CF" w:rsidRPr="00CB5BEE" w:rsidRDefault="003611CF" w:rsidP="00CB5BEE">
      <w:pPr>
        <w:spacing w:before="0" w:after="0" w:line="240" w:lineRule="auto"/>
        <w:rPr>
          <w:rFonts w:eastAsia="Times New Roman" w:cstheme="minorHAnsi"/>
          <w:szCs w:val="24"/>
        </w:rPr>
      </w:pPr>
      <w:r w:rsidRPr="00CB5BEE">
        <w:rPr>
          <w:rFonts w:eastAsia="Times New Roman" w:cstheme="minorHAnsi"/>
          <w:szCs w:val="24"/>
        </w:rPr>
        <w:tab/>
        <w:t>9. Redovno su knjiženi plaćeni računi za sve vrste troškova kroz Glavnu knjigu kao i kroz glavne knjige  za program Svjetske banke „Reforma poreske administracije“.</w:t>
      </w:r>
    </w:p>
    <w:p w:rsidR="003611CF" w:rsidRPr="00CB5BEE" w:rsidRDefault="003611CF" w:rsidP="00CB5BEE">
      <w:pPr>
        <w:spacing w:before="0" w:after="0" w:line="240" w:lineRule="auto"/>
        <w:rPr>
          <w:rFonts w:eastAsia="Times New Roman" w:cstheme="minorHAnsi"/>
          <w:szCs w:val="24"/>
        </w:rPr>
      </w:pPr>
      <w:r w:rsidRPr="00CB5BEE">
        <w:rPr>
          <w:rFonts w:eastAsia="Times New Roman" w:cstheme="minorHAnsi"/>
          <w:szCs w:val="24"/>
        </w:rPr>
        <w:tab/>
        <w:t>10. Redovno su unošene fakture za nabavku roba i usluga i zaduženja po dobavljačima kroz program za evidenciju dobavljača kao i sravnjenje međusobnih obaveza i potraživanja sa dobavljačima.</w:t>
      </w:r>
    </w:p>
    <w:p w:rsidR="003611CF" w:rsidRPr="00CB5BEE" w:rsidRDefault="003611CF" w:rsidP="00CB5BEE">
      <w:pPr>
        <w:spacing w:before="0" w:after="0" w:line="240" w:lineRule="auto"/>
        <w:rPr>
          <w:rFonts w:eastAsia="Times New Roman" w:cstheme="minorHAnsi"/>
          <w:szCs w:val="24"/>
        </w:rPr>
      </w:pPr>
      <w:r w:rsidRPr="00CB5BEE">
        <w:rPr>
          <w:rFonts w:eastAsia="Times New Roman" w:cstheme="minorHAnsi"/>
          <w:szCs w:val="24"/>
        </w:rPr>
        <w:tab/>
        <w:t>11. Periodično je unošena je nabavka osnovnih sredstava u Knjigovodstvu osnovnih sradstava, vršen premještaj već postojećih osnovnih sredstava po lokacijama u skladu sa poslatim obavještenjima o premještajima organizacionih cjelina Poreske uprave.</w:t>
      </w:r>
    </w:p>
    <w:p w:rsidR="003611CF" w:rsidRPr="00CB5BEE" w:rsidRDefault="003611CF" w:rsidP="00CB5BEE">
      <w:pPr>
        <w:spacing w:before="0" w:after="0" w:line="240" w:lineRule="auto"/>
        <w:rPr>
          <w:rFonts w:eastAsia="Times New Roman" w:cstheme="minorHAnsi"/>
          <w:szCs w:val="24"/>
          <w:lang w:val="en-GB"/>
        </w:rPr>
      </w:pPr>
      <w:r w:rsidRPr="00CB5BEE">
        <w:rPr>
          <w:rFonts w:eastAsia="Times New Roman" w:cstheme="minorHAnsi"/>
          <w:szCs w:val="24"/>
        </w:rPr>
        <w:t xml:space="preserve">            </w:t>
      </w:r>
      <w:r w:rsidRPr="00CB5BEE">
        <w:rPr>
          <w:rFonts w:eastAsia="Times New Roman" w:cstheme="minorHAnsi"/>
          <w:bCs/>
          <w:szCs w:val="24"/>
        </w:rPr>
        <w:t>12.</w:t>
      </w:r>
      <w:r w:rsidRPr="00CB5BEE">
        <w:rPr>
          <w:rFonts w:eastAsia="Times New Roman" w:cstheme="minorHAnsi"/>
          <w:szCs w:val="24"/>
        </w:rPr>
        <w:t xml:space="preserve"> U okviru materijalnog knjigovodstva vršeni su poslovi prijema opreme, sitnog inventara i potrošnog materijala i o tome se sačinile odgovarajuće evidencije. Na bazi dostavljenih zahtjeva Organizacionih cjelina, vršeno je izdavanje potrošnog materijala i o tome vođena analitička evidencija po vrsti artikla i po korisnicima</w:t>
      </w:r>
      <w:r w:rsidRPr="00CB5BEE">
        <w:rPr>
          <w:rFonts w:eastAsia="Times New Roman" w:cstheme="minorHAnsi"/>
          <w:szCs w:val="24"/>
          <w:lang w:val="en-GB"/>
        </w:rPr>
        <w:t xml:space="preserve">.  </w:t>
      </w:r>
    </w:p>
    <w:p w:rsidR="003611CF" w:rsidRPr="00CB5BEE" w:rsidRDefault="003611CF" w:rsidP="00CB5BEE">
      <w:pPr>
        <w:spacing w:before="0" w:after="0" w:line="240" w:lineRule="auto"/>
        <w:rPr>
          <w:rFonts w:eastAsia="Times New Roman" w:cstheme="minorHAnsi"/>
          <w:szCs w:val="24"/>
          <w:lang w:val="en-GB"/>
        </w:rPr>
      </w:pPr>
      <w:r w:rsidRPr="00CB5BEE">
        <w:rPr>
          <w:rFonts w:eastAsia="Times New Roman" w:cstheme="minorHAnsi"/>
          <w:szCs w:val="24"/>
          <w:lang w:val="en-GB"/>
        </w:rPr>
        <w:tab/>
        <w:t>13. Izvršena priprema podataka o osnovnim sredstvima po vrstama i stopama amortizacije radi migracije podataka u ARS aplikaciju (Jedinstvena evidencija državne imovine).</w:t>
      </w:r>
    </w:p>
    <w:p w:rsidR="003611CF" w:rsidRPr="00CB5BEE" w:rsidRDefault="003611CF" w:rsidP="00CB5BEE">
      <w:pPr>
        <w:spacing w:before="0" w:after="0" w:line="240" w:lineRule="auto"/>
        <w:ind w:firstLine="720"/>
        <w:rPr>
          <w:rFonts w:eastAsia="Times New Roman" w:cstheme="minorHAnsi"/>
          <w:bCs/>
          <w:szCs w:val="24"/>
        </w:rPr>
      </w:pPr>
      <w:r w:rsidRPr="00CB5BEE">
        <w:rPr>
          <w:rFonts w:eastAsia="Times New Roman" w:cstheme="minorHAnsi"/>
          <w:szCs w:val="24"/>
        </w:rPr>
        <w:t xml:space="preserve"> </w:t>
      </w:r>
      <w:r w:rsidRPr="00CB5BEE">
        <w:rPr>
          <w:rFonts w:eastAsia="Times New Roman" w:cstheme="minorHAnsi"/>
          <w:bCs/>
          <w:szCs w:val="24"/>
        </w:rPr>
        <w:t>14</w:t>
      </w:r>
      <w:r w:rsidRPr="00CB5BEE">
        <w:rPr>
          <w:rFonts w:eastAsia="Times New Roman" w:cstheme="minorHAnsi"/>
          <w:szCs w:val="24"/>
        </w:rPr>
        <w:t>. Isplaćeni su prispjeli gotovinski računi, u skladu sa važećim zakonskim propisom, preko blagajne, izvršena je isplata određenih ličnih primanja (dnevnice, putni troškovi i  dr.).</w:t>
      </w:r>
      <w:r w:rsidRPr="00CB5BEE">
        <w:rPr>
          <w:rFonts w:eastAsia="Times New Roman" w:cstheme="minorHAnsi"/>
          <w:bCs/>
          <w:szCs w:val="24"/>
        </w:rPr>
        <w:t xml:space="preserve"> </w:t>
      </w:r>
    </w:p>
    <w:p w:rsidR="003611CF" w:rsidRPr="00CB5BEE" w:rsidRDefault="003611CF" w:rsidP="00CB5BEE">
      <w:pPr>
        <w:spacing w:before="0" w:after="0" w:line="240" w:lineRule="auto"/>
        <w:ind w:firstLine="720"/>
        <w:rPr>
          <w:rFonts w:eastAsia="Times New Roman" w:cstheme="minorHAnsi"/>
          <w:bCs/>
          <w:szCs w:val="24"/>
        </w:rPr>
      </w:pPr>
      <w:r w:rsidRPr="00CB5BEE">
        <w:rPr>
          <w:rFonts w:eastAsia="Times New Roman" w:cstheme="minorHAnsi"/>
          <w:bCs/>
          <w:szCs w:val="24"/>
        </w:rPr>
        <w:t>15. U skladu sa Zakonom o budžetu i fiskalnoj odgovornosti izvršeno je prikupljanje, priprema podataka kao i izrada Zahtjeva za dodjelu budžetskih sredstava Poreskoj upravi za 2021. godinu.</w:t>
      </w:r>
    </w:p>
    <w:p w:rsidR="003611CF" w:rsidRPr="00CB5BEE" w:rsidRDefault="003611CF" w:rsidP="00CB5BEE">
      <w:pPr>
        <w:spacing w:before="0" w:after="0" w:line="240" w:lineRule="auto"/>
        <w:ind w:firstLine="283"/>
        <w:rPr>
          <w:rFonts w:eastAsia="Times New Roman" w:cstheme="minorHAnsi"/>
          <w:szCs w:val="24"/>
          <w:lang w:val="en-GB"/>
        </w:rPr>
      </w:pPr>
      <w:r w:rsidRPr="00CB5BEE">
        <w:rPr>
          <w:rFonts w:eastAsia="Times New Roman" w:cstheme="minorHAnsi"/>
          <w:bCs/>
          <w:szCs w:val="24"/>
          <w:lang w:val="en-GB"/>
        </w:rPr>
        <w:t xml:space="preserve">        16.</w:t>
      </w:r>
      <w:r w:rsidRPr="00CB5BEE">
        <w:rPr>
          <w:rFonts w:eastAsia="Times New Roman" w:cstheme="minorHAnsi"/>
          <w:szCs w:val="24"/>
          <w:lang w:val="en-GB"/>
        </w:rPr>
        <w:t xml:space="preserve"> U okviru Službe za finansije i javne nabavke obavljaju se poslovi javnih nabavki koji su propisani Zakonom o javnim nabavkama, a u okviru Budžetom odobrenih sredstava mjesečnim planom po pozicijama za tekuću godinu. Struktura realizovanih javnih nabavki je prikazana u sledećoj tabeli:</w:t>
      </w:r>
    </w:p>
    <w:p w:rsidR="003611CF" w:rsidRPr="003611CF" w:rsidRDefault="003611CF" w:rsidP="003611CF">
      <w:pPr>
        <w:spacing w:before="0" w:after="0" w:line="240" w:lineRule="auto"/>
        <w:ind w:firstLine="283"/>
        <w:rPr>
          <w:rFonts w:ascii="Arial" w:eastAsia="Times New Roman" w:hAnsi="Arial" w:cs="Arial"/>
          <w:sz w:val="22"/>
          <w:lang w:val="en-GB"/>
        </w:rPr>
      </w:pPr>
    </w:p>
    <w:tbl>
      <w:tblPr>
        <w:tblW w:w="0" w:type="auto"/>
        <w:jc w:val="center"/>
        <w:tblLook w:val="04A0" w:firstRow="1" w:lastRow="0" w:firstColumn="1" w:lastColumn="0" w:noHBand="0" w:noVBand="1"/>
      </w:tblPr>
      <w:tblGrid>
        <w:gridCol w:w="3209"/>
        <w:gridCol w:w="3201"/>
        <w:gridCol w:w="3228"/>
      </w:tblGrid>
      <w:tr w:rsidR="003611CF" w:rsidRPr="003611CF" w:rsidTr="003611CF">
        <w:trPr>
          <w:jc w:val="center"/>
        </w:trPr>
        <w:tc>
          <w:tcPr>
            <w:tcW w:w="3284" w:type="dxa"/>
            <w:tcBorders>
              <w:bottom w:val="single" w:sz="12" w:space="0" w:color="FFFFFF"/>
            </w:tcBorders>
            <w:shd w:val="clear" w:color="auto" w:fill="348DA5"/>
          </w:tcPr>
          <w:p w:rsidR="003611CF" w:rsidRPr="003611CF" w:rsidRDefault="003611CF" w:rsidP="003611CF">
            <w:pPr>
              <w:spacing w:before="0" w:after="0" w:line="240" w:lineRule="auto"/>
              <w:ind w:firstLine="720"/>
              <w:jc w:val="center"/>
              <w:rPr>
                <w:rFonts w:ascii="Arial" w:eastAsia="Calibri" w:hAnsi="Arial" w:cs="Arial"/>
                <w:bCs/>
                <w:color w:val="FFFFFF"/>
                <w:sz w:val="20"/>
                <w:lang w:val="sr-Latn-ME"/>
              </w:rPr>
            </w:pPr>
            <w:r w:rsidRPr="003611CF">
              <w:rPr>
                <w:rFonts w:ascii="Arial" w:eastAsia="Calibri" w:hAnsi="Arial" w:cs="Arial"/>
                <w:bCs/>
                <w:color w:val="FFFFFF"/>
                <w:sz w:val="20"/>
                <w:lang w:val="en-GB"/>
              </w:rPr>
              <w:lastRenderedPageBreak/>
              <w:t>Metod nabavke</w:t>
            </w:r>
          </w:p>
        </w:tc>
        <w:tc>
          <w:tcPr>
            <w:tcW w:w="3285" w:type="dxa"/>
            <w:tcBorders>
              <w:bottom w:val="single" w:sz="12" w:space="0" w:color="FFFFFF"/>
            </w:tcBorders>
            <w:shd w:val="clear" w:color="auto" w:fill="348DA5"/>
          </w:tcPr>
          <w:p w:rsidR="003611CF" w:rsidRPr="003611CF" w:rsidRDefault="003611CF" w:rsidP="003611CF">
            <w:pPr>
              <w:spacing w:before="0" w:after="0" w:line="240" w:lineRule="auto"/>
              <w:ind w:firstLine="720"/>
              <w:jc w:val="center"/>
              <w:rPr>
                <w:rFonts w:ascii="Arial" w:eastAsia="Calibri" w:hAnsi="Arial" w:cs="Arial"/>
                <w:bCs/>
                <w:color w:val="FFFFFF"/>
                <w:sz w:val="20"/>
                <w:lang w:val="sr-Latn-ME"/>
              </w:rPr>
            </w:pPr>
            <w:r w:rsidRPr="003611CF">
              <w:rPr>
                <w:rFonts w:ascii="Arial" w:eastAsia="Calibri" w:hAnsi="Arial" w:cs="Arial"/>
                <w:bCs/>
                <w:color w:val="FFFFFF"/>
                <w:sz w:val="20"/>
                <w:lang w:val="en-GB"/>
              </w:rPr>
              <w:t>Broj nabavki</w:t>
            </w:r>
          </w:p>
        </w:tc>
        <w:tc>
          <w:tcPr>
            <w:tcW w:w="3285" w:type="dxa"/>
            <w:tcBorders>
              <w:bottom w:val="single" w:sz="12" w:space="0" w:color="FFFFFF"/>
            </w:tcBorders>
            <w:shd w:val="clear" w:color="auto" w:fill="348DA5"/>
          </w:tcPr>
          <w:p w:rsidR="003611CF" w:rsidRPr="003611CF" w:rsidRDefault="003611CF" w:rsidP="003611CF">
            <w:pPr>
              <w:spacing w:before="0" w:after="0" w:line="240" w:lineRule="auto"/>
              <w:ind w:firstLine="720"/>
              <w:jc w:val="center"/>
              <w:rPr>
                <w:rFonts w:ascii="Arial" w:eastAsia="Calibri" w:hAnsi="Arial" w:cs="Arial"/>
                <w:bCs/>
                <w:color w:val="FFFFFF"/>
                <w:sz w:val="20"/>
                <w:lang w:val="sr-Latn-ME"/>
              </w:rPr>
            </w:pPr>
            <w:r w:rsidRPr="003611CF">
              <w:rPr>
                <w:rFonts w:ascii="Arial" w:eastAsia="Calibri" w:hAnsi="Arial" w:cs="Arial"/>
                <w:bCs/>
                <w:color w:val="FFFFFF"/>
                <w:sz w:val="20"/>
                <w:lang w:val="en-GB"/>
              </w:rPr>
              <w:t>Iznos</w:t>
            </w:r>
          </w:p>
        </w:tc>
      </w:tr>
      <w:tr w:rsidR="003611CF" w:rsidRPr="003611CF" w:rsidTr="003611CF">
        <w:trPr>
          <w:jc w:val="center"/>
        </w:trPr>
        <w:tc>
          <w:tcPr>
            <w:tcW w:w="3284" w:type="dxa"/>
            <w:shd w:val="clear" w:color="auto" w:fill="FDE9D9"/>
          </w:tcPr>
          <w:p w:rsidR="003611CF" w:rsidRPr="003611CF" w:rsidRDefault="003611CF" w:rsidP="003611CF">
            <w:pPr>
              <w:spacing w:before="0" w:after="0" w:line="240" w:lineRule="auto"/>
              <w:rPr>
                <w:rFonts w:ascii="Arial" w:eastAsia="Calibri" w:hAnsi="Arial" w:cs="Arial"/>
                <w:bCs/>
                <w:color w:val="000000"/>
                <w:sz w:val="20"/>
                <w:lang w:val="sr-Latn-ME"/>
              </w:rPr>
            </w:pPr>
            <w:r w:rsidRPr="003611CF">
              <w:rPr>
                <w:rFonts w:ascii="Arial" w:eastAsia="Calibri" w:hAnsi="Arial" w:cs="Arial"/>
                <w:bCs/>
                <w:color w:val="000000"/>
                <w:sz w:val="20"/>
                <w:lang w:val="en-GB"/>
              </w:rPr>
              <w:t>Tender</w:t>
            </w:r>
          </w:p>
        </w:tc>
        <w:tc>
          <w:tcPr>
            <w:tcW w:w="3285" w:type="dxa"/>
            <w:shd w:val="clear" w:color="auto" w:fill="FDE9D9"/>
          </w:tcPr>
          <w:p w:rsidR="003611CF" w:rsidRPr="003611CF" w:rsidRDefault="003611CF" w:rsidP="003611CF">
            <w:pPr>
              <w:spacing w:before="0" w:after="0" w:line="240" w:lineRule="auto"/>
              <w:ind w:firstLine="720"/>
              <w:jc w:val="center"/>
              <w:rPr>
                <w:rFonts w:ascii="Arial" w:eastAsia="Calibri" w:hAnsi="Arial" w:cs="Arial"/>
                <w:color w:val="000000"/>
                <w:sz w:val="20"/>
                <w:lang w:val="sr-Latn-ME"/>
              </w:rPr>
            </w:pPr>
            <w:r w:rsidRPr="003611CF">
              <w:rPr>
                <w:rFonts w:ascii="Arial" w:eastAsia="Calibri" w:hAnsi="Arial" w:cs="Arial"/>
                <w:color w:val="000000"/>
                <w:sz w:val="20"/>
                <w:lang w:val="en-GB"/>
              </w:rPr>
              <w:t>13</w:t>
            </w:r>
          </w:p>
        </w:tc>
        <w:tc>
          <w:tcPr>
            <w:tcW w:w="3285" w:type="dxa"/>
            <w:shd w:val="clear" w:color="auto" w:fill="FDE9D9"/>
          </w:tcPr>
          <w:p w:rsidR="003611CF" w:rsidRPr="003611CF" w:rsidRDefault="003611CF" w:rsidP="003611CF">
            <w:pPr>
              <w:spacing w:before="0" w:after="0" w:line="240" w:lineRule="auto"/>
              <w:ind w:firstLine="720"/>
              <w:jc w:val="center"/>
              <w:rPr>
                <w:rFonts w:ascii="Arial" w:eastAsia="Calibri" w:hAnsi="Arial" w:cs="Arial"/>
                <w:color w:val="000000"/>
                <w:sz w:val="20"/>
                <w:lang w:val="sr-Latn-ME"/>
              </w:rPr>
            </w:pPr>
            <w:r w:rsidRPr="003611CF">
              <w:rPr>
                <w:rFonts w:ascii="Arial" w:eastAsia="Calibri" w:hAnsi="Arial" w:cs="Arial"/>
                <w:color w:val="000000"/>
                <w:sz w:val="20"/>
                <w:lang w:val="en-GB"/>
              </w:rPr>
              <w:t>792.802,51</w:t>
            </w:r>
          </w:p>
        </w:tc>
      </w:tr>
      <w:tr w:rsidR="003611CF" w:rsidRPr="003611CF" w:rsidTr="003611CF">
        <w:trPr>
          <w:jc w:val="center"/>
        </w:trPr>
        <w:tc>
          <w:tcPr>
            <w:tcW w:w="3284" w:type="dxa"/>
            <w:shd w:val="clear" w:color="auto" w:fill="FEF4EC"/>
          </w:tcPr>
          <w:p w:rsidR="003611CF" w:rsidRPr="003611CF" w:rsidRDefault="003611CF" w:rsidP="003611CF">
            <w:pPr>
              <w:spacing w:before="0" w:after="0" w:line="240" w:lineRule="auto"/>
              <w:rPr>
                <w:rFonts w:ascii="Arial" w:eastAsia="Calibri" w:hAnsi="Arial" w:cs="Arial"/>
                <w:bCs/>
                <w:color w:val="000000"/>
                <w:sz w:val="20"/>
                <w:lang w:val="sr-Latn-ME"/>
              </w:rPr>
            </w:pPr>
            <w:r w:rsidRPr="003611CF">
              <w:rPr>
                <w:rFonts w:ascii="Arial" w:eastAsia="Calibri" w:hAnsi="Arial" w:cs="Arial"/>
                <w:bCs/>
                <w:color w:val="000000"/>
                <w:sz w:val="20"/>
                <w:lang w:val="en-GB"/>
              </w:rPr>
              <w:t>Nabavke male vrijednosti</w:t>
            </w:r>
          </w:p>
        </w:tc>
        <w:tc>
          <w:tcPr>
            <w:tcW w:w="3285" w:type="dxa"/>
            <w:shd w:val="clear" w:color="auto" w:fill="FEF4EC"/>
          </w:tcPr>
          <w:p w:rsidR="003611CF" w:rsidRPr="003611CF" w:rsidRDefault="003611CF" w:rsidP="003611CF">
            <w:pPr>
              <w:spacing w:before="0" w:after="0" w:line="240" w:lineRule="auto"/>
              <w:ind w:firstLine="720"/>
              <w:jc w:val="center"/>
              <w:rPr>
                <w:rFonts w:ascii="Arial" w:eastAsia="Calibri" w:hAnsi="Arial" w:cs="Arial"/>
                <w:color w:val="000000"/>
                <w:sz w:val="20"/>
                <w:lang w:val="sr-Latn-ME"/>
              </w:rPr>
            </w:pPr>
            <w:r w:rsidRPr="003611CF">
              <w:rPr>
                <w:rFonts w:ascii="Arial" w:eastAsia="Calibri" w:hAnsi="Arial" w:cs="Arial"/>
                <w:color w:val="000000"/>
                <w:sz w:val="20"/>
                <w:lang w:val="en-GB"/>
              </w:rPr>
              <w:t>59</w:t>
            </w:r>
          </w:p>
        </w:tc>
        <w:tc>
          <w:tcPr>
            <w:tcW w:w="3285" w:type="dxa"/>
            <w:shd w:val="clear" w:color="auto" w:fill="FEF4EC"/>
          </w:tcPr>
          <w:p w:rsidR="003611CF" w:rsidRPr="003611CF" w:rsidRDefault="003611CF" w:rsidP="003611CF">
            <w:pPr>
              <w:spacing w:before="0" w:after="0" w:line="240" w:lineRule="auto"/>
              <w:ind w:firstLine="720"/>
              <w:jc w:val="center"/>
              <w:rPr>
                <w:rFonts w:ascii="Arial" w:eastAsia="Calibri" w:hAnsi="Arial" w:cs="Arial"/>
                <w:color w:val="000000"/>
                <w:sz w:val="20"/>
                <w:lang w:val="sr-Latn-ME"/>
              </w:rPr>
            </w:pPr>
            <w:r w:rsidRPr="003611CF">
              <w:rPr>
                <w:rFonts w:ascii="Arial" w:eastAsia="Calibri" w:hAnsi="Arial" w:cs="Arial"/>
                <w:color w:val="000000"/>
                <w:sz w:val="20"/>
                <w:lang w:val="en-GB"/>
              </w:rPr>
              <w:t>77.510,62</w:t>
            </w:r>
          </w:p>
        </w:tc>
      </w:tr>
      <w:tr w:rsidR="003611CF" w:rsidRPr="003611CF" w:rsidTr="003611CF">
        <w:trPr>
          <w:jc w:val="center"/>
        </w:trPr>
        <w:tc>
          <w:tcPr>
            <w:tcW w:w="3284" w:type="dxa"/>
            <w:shd w:val="clear" w:color="auto" w:fill="FDE9D9"/>
          </w:tcPr>
          <w:p w:rsidR="003611CF" w:rsidRPr="003611CF" w:rsidRDefault="003611CF" w:rsidP="003611CF">
            <w:pPr>
              <w:spacing w:before="0" w:after="0" w:line="240" w:lineRule="auto"/>
              <w:rPr>
                <w:rFonts w:ascii="Arial" w:eastAsia="Calibri" w:hAnsi="Arial" w:cs="Arial"/>
                <w:bCs/>
                <w:color w:val="000000"/>
                <w:sz w:val="20"/>
                <w:lang w:val="sr-Latn-ME"/>
              </w:rPr>
            </w:pPr>
            <w:r w:rsidRPr="003611CF">
              <w:rPr>
                <w:rFonts w:ascii="Arial" w:eastAsia="Calibri" w:hAnsi="Arial" w:cs="Arial"/>
                <w:bCs/>
                <w:color w:val="000000"/>
                <w:sz w:val="20"/>
                <w:lang w:val="en-GB"/>
              </w:rPr>
              <w:t>Jednostavne nabavke</w:t>
            </w:r>
          </w:p>
        </w:tc>
        <w:tc>
          <w:tcPr>
            <w:tcW w:w="3285" w:type="dxa"/>
            <w:shd w:val="clear" w:color="auto" w:fill="FDE9D9"/>
          </w:tcPr>
          <w:p w:rsidR="003611CF" w:rsidRPr="003611CF" w:rsidRDefault="003611CF" w:rsidP="003611CF">
            <w:pPr>
              <w:spacing w:before="0" w:after="0" w:line="240" w:lineRule="auto"/>
              <w:ind w:firstLine="720"/>
              <w:jc w:val="center"/>
              <w:rPr>
                <w:rFonts w:ascii="Arial" w:eastAsia="Calibri" w:hAnsi="Arial" w:cs="Arial"/>
                <w:color w:val="000000"/>
                <w:sz w:val="20"/>
                <w:lang w:val="sr-Latn-ME"/>
              </w:rPr>
            </w:pPr>
            <w:r w:rsidRPr="003611CF">
              <w:rPr>
                <w:rFonts w:ascii="Arial" w:eastAsia="Calibri" w:hAnsi="Arial" w:cs="Arial"/>
                <w:color w:val="000000"/>
                <w:sz w:val="20"/>
                <w:lang w:val="en-GB"/>
              </w:rPr>
              <w:t>33</w:t>
            </w:r>
          </w:p>
        </w:tc>
        <w:tc>
          <w:tcPr>
            <w:tcW w:w="3285" w:type="dxa"/>
            <w:shd w:val="clear" w:color="auto" w:fill="FDE9D9"/>
          </w:tcPr>
          <w:p w:rsidR="003611CF" w:rsidRPr="003611CF" w:rsidRDefault="003611CF" w:rsidP="003611CF">
            <w:pPr>
              <w:spacing w:before="0" w:after="0" w:line="240" w:lineRule="auto"/>
              <w:ind w:firstLine="720"/>
              <w:jc w:val="center"/>
              <w:rPr>
                <w:rFonts w:ascii="Arial" w:eastAsia="Calibri" w:hAnsi="Arial" w:cs="Arial"/>
                <w:color w:val="000000"/>
                <w:sz w:val="20"/>
                <w:lang w:val="sr-Latn-ME"/>
              </w:rPr>
            </w:pPr>
            <w:r w:rsidRPr="003611CF">
              <w:rPr>
                <w:rFonts w:ascii="Arial" w:eastAsia="Calibri" w:hAnsi="Arial" w:cs="Arial"/>
                <w:color w:val="000000"/>
                <w:sz w:val="20"/>
                <w:lang w:val="en-GB"/>
              </w:rPr>
              <w:t>30.142,37</w:t>
            </w:r>
          </w:p>
        </w:tc>
      </w:tr>
      <w:tr w:rsidR="003611CF" w:rsidRPr="003611CF" w:rsidTr="003611CF">
        <w:trPr>
          <w:jc w:val="center"/>
        </w:trPr>
        <w:tc>
          <w:tcPr>
            <w:tcW w:w="3284" w:type="dxa"/>
            <w:shd w:val="clear" w:color="auto" w:fill="FEF4EC"/>
          </w:tcPr>
          <w:p w:rsidR="003611CF" w:rsidRPr="003611CF" w:rsidRDefault="003611CF" w:rsidP="003611CF">
            <w:pPr>
              <w:spacing w:before="0" w:after="0" w:line="240" w:lineRule="auto"/>
              <w:rPr>
                <w:rFonts w:ascii="Arial" w:eastAsia="Calibri" w:hAnsi="Arial" w:cs="Arial"/>
                <w:b/>
                <w:bCs/>
                <w:color w:val="000000"/>
                <w:sz w:val="20"/>
                <w:lang w:val="sr-Latn-ME"/>
              </w:rPr>
            </w:pPr>
            <w:r w:rsidRPr="003611CF">
              <w:rPr>
                <w:rFonts w:ascii="Arial" w:eastAsia="Calibri" w:hAnsi="Arial" w:cs="Arial"/>
                <w:b/>
                <w:bCs/>
                <w:color w:val="000000"/>
                <w:sz w:val="20"/>
                <w:lang w:val="en-GB"/>
              </w:rPr>
              <w:t>Ukupno</w:t>
            </w:r>
          </w:p>
        </w:tc>
        <w:tc>
          <w:tcPr>
            <w:tcW w:w="3285" w:type="dxa"/>
            <w:shd w:val="clear" w:color="auto" w:fill="FEF4EC"/>
          </w:tcPr>
          <w:p w:rsidR="003611CF" w:rsidRPr="003611CF" w:rsidRDefault="003611CF" w:rsidP="003611CF">
            <w:pPr>
              <w:spacing w:before="0" w:after="0" w:line="240" w:lineRule="auto"/>
              <w:ind w:firstLine="720"/>
              <w:jc w:val="center"/>
              <w:rPr>
                <w:rFonts w:ascii="Arial" w:eastAsia="Calibri" w:hAnsi="Arial" w:cs="Arial"/>
                <w:b/>
                <w:color w:val="000000"/>
                <w:sz w:val="20"/>
                <w:lang w:val="sr-Latn-ME"/>
              </w:rPr>
            </w:pPr>
            <w:r w:rsidRPr="003611CF">
              <w:rPr>
                <w:rFonts w:ascii="Arial" w:eastAsia="Calibri" w:hAnsi="Arial" w:cs="Arial"/>
                <w:b/>
                <w:color w:val="000000"/>
                <w:sz w:val="20"/>
                <w:lang w:val="en-GB"/>
              </w:rPr>
              <w:t>105</w:t>
            </w:r>
          </w:p>
        </w:tc>
        <w:tc>
          <w:tcPr>
            <w:tcW w:w="3285" w:type="dxa"/>
            <w:shd w:val="clear" w:color="auto" w:fill="FEF4EC"/>
          </w:tcPr>
          <w:p w:rsidR="003611CF" w:rsidRPr="003611CF" w:rsidRDefault="003611CF" w:rsidP="003611CF">
            <w:pPr>
              <w:spacing w:before="0" w:after="0" w:line="240" w:lineRule="auto"/>
              <w:ind w:firstLine="720"/>
              <w:jc w:val="center"/>
              <w:rPr>
                <w:rFonts w:ascii="Arial" w:eastAsia="Calibri" w:hAnsi="Arial" w:cs="Arial"/>
                <w:b/>
                <w:color w:val="000000"/>
                <w:sz w:val="20"/>
                <w:lang w:val="sr-Latn-ME"/>
              </w:rPr>
            </w:pPr>
            <w:r w:rsidRPr="003611CF">
              <w:rPr>
                <w:rFonts w:ascii="Arial" w:eastAsia="Calibri" w:hAnsi="Arial" w:cs="Arial"/>
                <w:b/>
                <w:color w:val="000000"/>
                <w:sz w:val="20"/>
                <w:lang w:val="en-GB"/>
              </w:rPr>
              <w:t>900.455,50</w:t>
            </w:r>
          </w:p>
        </w:tc>
      </w:tr>
    </w:tbl>
    <w:p w:rsidR="003611CF" w:rsidRPr="003611CF" w:rsidRDefault="003611CF" w:rsidP="003611CF">
      <w:pPr>
        <w:spacing w:before="0" w:after="0" w:line="240" w:lineRule="auto"/>
        <w:ind w:firstLine="720"/>
        <w:rPr>
          <w:rFonts w:ascii="Arial" w:eastAsia="Times New Roman" w:hAnsi="Arial" w:cs="Arial"/>
          <w:sz w:val="22"/>
          <w:lang w:val="en-GB"/>
        </w:rPr>
      </w:pPr>
    </w:p>
    <w:p w:rsidR="003611CF" w:rsidRPr="00CB5BEE" w:rsidRDefault="003611CF" w:rsidP="003611CF">
      <w:pPr>
        <w:spacing w:before="0" w:after="0" w:line="240" w:lineRule="auto"/>
        <w:ind w:firstLine="283"/>
        <w:rPr>
          <w:rFonts w:eastAsia="Times New Roman" w:cstheme="minorHAnsi"/>
          <w:szCs w:val="24"/>
          <w:lang w:val="en-GB"/>
        </w:rPr>
      </w:pPr>
      <w:r w:rsidRPr="003611CF">
        <w:rPr>
          <w:rFonts w:ascii="Arial" w:eastAsia="Times New Roman" w:hAnsi="Arial" w:cs="Arial"/>
          <w:b/>
          <w:bCs/>
          <w:sz w:val="22"/>
          <w:lang w:val="en-GB"/>
        </w:rPr>
        <w:tab/>
      </w:r>
      <w:r w:rsidRPr="00CB5BEE">
        <w:rPr>
          <w:rFonts w:eastAsia="Times New Roman" w:cstheme="minorHAnsi"/>
          <w:bCs/>
          <w:szCs w:val="24"/>
          <w:lang w:val="en-GB"/>
        </w:rPr>
        <w:t xml:space="preserve">17. </w:t>
      </w:r>
      <w:r w:rsidRPr="00CB5BEE">
        <w:rPr>
          <w:rFonts w:eastAsia="Times New Roman" w:cstheme="minorHAnsi"/>
          <w:szCs w:val="24"/>
          <w:lang w:val="en-GB"/>
        </w:rPr>
        <w:t xml:space="preserve">Planom Budžeta za 2020. godinu, za period od 01.01.2020. godine do 31.12.2020. godine, Poreskoj upravi je odobreno sredstava u iznosu od 8.243.805,43€, od čega je za isti period iskorišteno 7.789.986,81€. Procenat iskorištenosti odobrenih sredstava, za program za period od 01.01.2020. godine do 31.12.2020. godine, je 94,50%. </w:t>
      </w:r>
    </w:p>
    <w:p w:rsidR="003611CF" w:rsidRPr="00CB5BEE" w:rsidRDefault="003611CF" w:rsidP="003611CF">
      <w:pPr>
        <w:spacing w:before="0" w:after="0" w:line="240" w:lineRule="auto"/>
        <w:rPr>
          <w:rFonts w:eastAsia="Times New Roman" w:cstheme="minorHAnsi"/>
          <w:bCs/>
          <w:szCs w:val="24"/>
        </w:rPr>
      </w:pPr>
      <w:r w:rsidRPr="00CB5BEE">
        <w:rPr>
          <w:rFonts w:eastAsia="Times New Roman" w:cstheme="minorHAnsi"/>
          <w:i/>
          <w:iCs/>
          <w:szCs w:val="24"/>
        </w:rPr>
        <w:tab/>
      </w:r>
      <w:r w:rsidRPr="00CB5BEE">
        <w:rPr>
          <w:rFonts w:eastAsia="Times New Roman" w:cstheme="minorHAnsi"/>
          <w:szCs w:val="24"/>
        </w:rPr>
        <w:t xml:space="preserve">Struktura odobrenih i utrošenih sredstava za izdatke Budžeta Poreske uprave, po   programima, data je u </w:t>
      </w:r>
      <w:r w:rsidRPr="00CB5BEE">
        <w:rPr>
          <w:rFonts w:eastAsia="Times New Roman" w:cstheme="minorHAnsi"/>
          <w:bCs/>
          <w:szCs w:val="24"/>
        </w:rPr>
        <w:t xml:space="preserve">Tabeli koja je prilog ovom Izvještaju. </w:t>
      </w:r>
    </w:p>
    <w:p w:rsidR="003611CF" w:rsidRPr="00CB5BEE" w:rsidRDefault="003611CF" w:rsidP="003611CF">
      <w:pPr>
        <w:spacing w:before="0" w:after="0" w:line="240" w:lineRule="auto"/>
        <w:rPr>
          <w:rFonts w:eastAsia="Times New Roman" w:cstheme="minorHAnsi"/>
          <w:szCs w:val="24"/>
          <w:lang w:val="en-GB"/>
        </w:rPr>
      </w:pPr>
      <w:r w:rsidRPr="00CB5BEE">
        <w:rPr>
          <w:rFonts w:eastAsia="Times New Roman" w:cstheme="minorHAnsi"/>
          <w:bCs/>
          <w:szCs w:val="24"/>
          <w:lang w:val="en-GB"/>
        </w:rPr>
        <w:tab/>
        <w:t>Planom Budžeta za 2020. godinu Poreskoj upravi su za</w:t>
      </w:r>
      <w:r w:rsidRPr="00CB5BEE">
        <w:rPr>
          <w:rFonts w:eastAsia="Times New Roman" w:cstheme="minorHAnsi"/>
          <w:szCs w:val="24"/>
          <w:lang w:val="en-US"/>
        </w:rPr>
        <w:t xml:space="preserve"> program Uprava za imovinu-Objedinjenje javne nabavke (Poreska uprava), namijenjen za plaćanje troškova kancelarijskog materijala, kompjuterskog materijala i opreme, goriva i motornog ulja, kancelarijskog namještaja i prevoznih sredstava kao i usluga mobilne i fiksne telefonije, interneta i osiguranja,</w:t>
      </w:r>
      <w:r w:rsidRPr="00CB5BEE">
        <w:rPr>
          <w:rFonts w:eastAsia="Times New Roman" w:cstheme="minorHAnsi"/>
          <w:szCs w:val="24"/>
          <w:lang w:val="en-GB"/>
        </w:rPr>
        <w:t xml:space="preserve"> za period od 01.01.2020. godine do 31.12.2020. godine</w:t>
      </w:r>
      <w:r w:rsidRPr="00CB5BEE">
        <w:rPr>
          <w:rFonts w:eastAsia="Times New Roman" w:cstheme="minorHAnsi"/>
          <w:szCs w:val="24"/>
          <w:lang w:val="en-US"/>
        </w:rPr>
        <w:t xml:space="preserve"> odobreno sredstava u iznosu od 518.047,25€ od čega je za isti period </w:t>
      </w:r>
      <w:r w:rsidRPr="00CB5BEE">
        <w:rPr>
          <w:rFonts w:eastAsia="Times New Roman" w:cstheme="minorHAnsi"/>
          <w:szCs w:val="24"/>
          <w:lang w:val="en-GB"/>
        </w:rPr>
        <w:t xml:space="preserve">iskorišten iznos od 333.420,59€. Procenat iskorištenosti odobrenih sredstava, za navedeni program za period od 01.01.2020. godine do 31.12.2020. godine, je 64,36%. </w:t>
      </w:r>
    </w:p>
    <w:p w:rsidR="004E6DC8" w:rsidRPr="00CB5BEE" w:rsidRDefault="003611CF" w:rsidP="00CB5BEE">
      <w:pPr>
        <w:spacing w:before="0" w:after="0" w:line="240" w:lineRule="auto"/>
        <w:rPr>
          <w:rFonts w:eastAsia="Times New Roman" w:cstheme="minorHAnsi"/>
          <w:szCs w:val="24"/>
        </w:rPr>
      </w:pPr>
      <w:r w:rsidRPr="00CB5BEE">
        <w:rPr>
          <w:rFonts w:eastAsia="Times New Roman" w:cstheme="minorHAnsi"/>
          <w:bCs/>
          <w:szCs w:val="24"/>
        </w:rPr>
        <w:t xml:space="preserve"> </w:t>
      </w:r>
      <w:r w:rsidRPr="00CB5BEE">
        <w:rPr>
          <w:rFonts w:eastAsia="Times New Roman" w:cstheme="minorHAnsi"/>
          <w:bCs/>
          <w:szCs w:val="24"/>
        </w:rPr>
        <w:tab/>
        <w:t xml:space="preserve">18. </w:t>
      </w:r>
      <w:r w:rsidRPr="00CB5BEE">
        <w:rPr>
          <w:rFonts w:eastAsia="Times New Roman" w:cstheme="minorHAnsi"/>
          <w:szCs w:val="24"/>
        </w:rPr>
        <w:t>Pored gore navedenih aktivnosti, ova Služba je pratila i devizni račun Poreske uprave kod Podgoričke banke. U toku izvještajnog perioda 2020. godine na ovaj devizni račun je od različitih pravnih lica uplaćen iznos od 3.372.027,53€. Navedeni iznos sredstava je preusmjeren na Rje</w:t>
      </w:r>
      <w:r w:rsidR="00CB5BEE">
        <w:rPr>
          <w:rFonts w:eastAsia="Times New Roman" w:cstheme="minorHAnsi"/>
          <w:szCs w:val="24"/>
        </w:rPr>
        <w:t>šenjem određene uplatne račune.</w:t>
      </w:r>
    </w:p>
    <w:p w:rsidR="008823F9" w:rsidRDefault="004E6DC8" w:rsidP="004E6DC8">
      <w:pPr>
        <w:tabs>
          <w:tab w:val="left" w:pos="1815"/>
        </w:tabs>
        <w:spacing w:before="0" w:after="0" w:line="240" w:lineRule="auto"/>
        <w:rPr>
          <w:rFonts w:ascii="Calibri" w:eastAsia="Times New Roman" w:hAnsi="Calibri" w:cs="Arial"/>
          <w:b/>
          <w:szCs w:val="24"/>
          <w:lang w:val="en-GB"/>
        </w:rPr>
      </w:pPr>
      <w:r w:rsidRPr="004E6DC8">
        <w:rPr>
          <w:rFonts w:ascii="Calibri" w:eastAsia="Times New Roman" w:hAnsi="Calibri" w:cs="Arial"/>
          <w:b/>
          <w:szCs w:val="24"/>
          <w:lang w:val="en-GB"/>
        </w:rPr>
        <w:t xml:space="preserve">           </w:t>
      </w:r>
    </w:p>
    <w:p w:rsidR="004E6DC8" w:rsidRPr="004E6DC8" w:rsidRDefault="008823F9" w:rsidP="004E6DC8">
      <w:pPr>
        <w:tabs>
          <w:tab w:val="left" w:pos="1815"/>
        </w:tabs>
        <w:spacing w:before="0" w:after="0" w:line="240" w:lineRule="auto"/>
        <w:rPr>
          <w:rFonts w:ascii="Calibri" w:eastAsia="Times New Roman" w:hAnsi="Calibri" w:cs="Arial"/>
          <w:b/>
          <w:szCs w:val="24"/>
          <w:lang w:val="en-GB"/>
        </w:rPr>
      </w:pPr>
      <w:r>
        <w:rPr>
          <w:rFonts w:ascii="Calibri" w:eastAsia="Times New Roman" w:hAnsi="Calibri" w:cs="Arial"/>
          <w:b/>
          <w:szCs w:val="24"/>
          <w:lang w:val="en-GB"/>
        </w:rPr>
        <w:t xml:space="preserve">            </w:t>
      </w:r>
      <w:r w:rsidR="004E6DC8" w:rsidRPr="004E6DC8">
        <w:rPr>
          <w:rFonts w:ascii="Calibri" w:eastAsia="Times New Roman" w:hAnsi="Calibri" w:cs="Arial"/>
          <w:b/>
          <w:szCs w:val="24"/>
          <w:lang w:val="en-GB"/>
        </w:rPr>
        <w:t xml:space="preserve">  Zaključak</w:t>
      </w:r>
    </w:p>
    <w:p w:rsidR="004E6DC8" w:rsidRPr="004E6DC8" w:rsidRDefault="007774B9" w:rsidP="00D4124F">
      <w:pPr>
        <w:tabs>
          <w:tab w:val="left" w:pos="1815"/>
        </w:tabs>
        <w:spacing w:after="0" w:line="240" w:lineRule="auto"/>
        <w:rPr>
          <w:rFonts w:ascii="Calibri" w:eastAsia="Times New Roman" w:hAnsi="Calibri" w:cs="Arial"/>
          <w:b/>
          <w:szCs w:val="24"/>
          <w:lang w:val="en-GB"/>
        </w:rPr>
      </w:pPr>
      <w:r>
        <w:rPr>
          <w:rFonts w:ascii="Calibri" w:eastAsia="Times New Roman" w:hAnsi="Calibri" w:cs="Arial"/>
          <w:szCs w:val="24"/>
          <w:lang w:val="en-GB"/>
        </w:rPr>
        <w:t xml:space="preserve">             </w:t>
      </w:r>
      <w:r w:rsidR="004E6DC8" w:rsidRPr="004E6DC8">
        <w:rPr>
          <w:rFonts w:ascii="Calibri" w:eastAsia="Times New Roman" w:hAnsi="Calibri" w:cs="Arial"/>
          <w:szCs w:val="24"/>
          <w:lang w:val="en-GB"/>
        </w:rPr>
        <w:t>Izvještaj o radu Poreske uprave za 2020. godinu predstavlja srž najvažnijih aktivnosti u okviru njene nadležnosti. Situacija sa pandemijom korona virusa, koja je pogodila cijeli svijet, uticala je i na rezultate realizovane u izvještajnom periodu u vidu smanjene naplate, ali upkros tome za navedeni period Poreska uprava je:</w:t>
      </w:r>
    </w:p>
    <w:p w:rsidR="004E6DC8" w:rsidRPr="004E6DC8" w:rsidRDefault="004E6DC8" w:rsidP="004E6DC8">
      <w:pPr>
        <w:tabs>
          <w:tab w:val="left" w:pos="0"/>
        </w:tabs>
        <w:spacing w:before="0" w:after="0" w:line="240" w:lineRule="auto"/>
        <w:contextualSpacing/>
        <w:rPr>
          <w:rFonts w:ascii="Calibri" w:eastAsia="Times New Roman" w:hAnsi="Calibri" w:cs="Arial"/>
          <w:szCs w:val="24"/>
          <w:lang w:val="en-GB"/>
        </w:rPr>
      </w:pPr>
      <w:r>
        <w:rPr>
          <w:rFonts w:ascii="Calibri" w:eastAsia="Times New Roman" w:hAnsi="Calibri" w:cs="Arial"/>
          <w:szCs w:val="24"/>
          <w:lang w:val="en-GB"/>
        </w:rPr>
        <w:tab/>
        <w:t xml:space="preserve">- </w:t>
      </w:r>
      <w:r w:rsidRPr="004E6DC8">
        <w:rPr>
          <w:rFonts w:ascii="Calibri" w:eastAsia="Times New Roman" w:hAnsi="Calibri" w:cs="Arial"/>
          <w:szCs w:val="24"/>
          <w:lang w:val="en-GB"/>
        </w:rPr>
        <w:t>nastavila sprovođenje aktivnosti iz Poslovne strategije za period 2019-2022. kao krovni strateški dokument,</w:t>
      </w:r>
    </w:p>
    <w:p w:rsidR="004E6DC8" w:rsidRPr="004E6DC8" w:rsidRDefault="004E6DC8" w:rsidP="004E6DC8">
      <w:pPr>
        <w:tabs>
          <w:tab w:val="left" w:pos="0"/>
        </w:tabs>
        <w:spacing w:before="0" w:after="0" w:line="240" w:lineRule="auto"/>
        <w:contextualSpacing/>
        <w:rPr>
          <w:rFonts w:ascii="Calibri" w:eastAsia="Times New Roman" w:hAnsi="Calibri" w:cs="Arial"/>
          <w:szCs w:val="24"/>
          <w:lang w:val="en-GB"/>
        </w:rPr>
      </w:pPr>
      <w:r>
        <w:rPr>
          <w:rFonts w:ascii="Calibri" w:eastAsia="Times New Roman" w:hAnsi="Calibri" w:cs="Arial"/>
          <w:szCs w:val="24"/>
          <w:lang w:val="en-GB"/>
        </w:rPr>
        <w:tab/>
        <w:t xml:space="preserve">- </w:t>
      </w:r>
      <w:r w:rsidRPr="004E6DC8">
        <w:rPr>
          <w:rFonts w:ascii="Calibri" w:eastAsia="Times New Roman" w:hAnsi="Calibri" w:cs="Arial"/>
          <w:szCs w:val="24"/>
          <w:lang w:val="en-GB"/>
        </w:rPr>
        <w:t xml:space="preserve">nastavila sa sprovođenjem 2 velika projekta - </w:t>
      </w:r>
      <w:r w:rsidRPr="004E6DC8">
        <w:rPr>
          <w:rFonts w:ascii="Calibri" w:eastAsia="Times New Roman" w:hAnsi="Calibri" w:cs="Arial"/>
          <w:szCs w:val="24"/>
          <w:lang w:val="sr-Latn-ME"/>
        </w:rPr>
        <w:t xml:space="preserve">Integrisani sistem za upravljenje prihodima </w:t>
      </w:r>
      <w:r w:rsidRPr="004E6DC8">
        <w:rPr>
          <w:rFonts w:ascii="Calibri" w:eastAsia="Times New Roman" w:hAnsi="Calibri" w:cs="Arial"/>
          <w:szCs w:val="24"/>
          <w:lang w:val="en-GB"/>
        </w:rPr>
        <w:t>i Sistem elektronske fiskalizacije,</w:t>
      </w:r>
    </w:p>
    <w:p w:rsidR="004E6DC8" w:rsidRPr="004E6DC8" w:rsidRDefault="004E6DC8" w:rsidP="004E6DC8">
      <w:pPr>
        <w:tabs>
          <w:tab w:val="left" w:pos="0"/>
        </w:tabs>
        <w:spacing w:before="0" w:after="0" w:line="240" w:lineRule="auto"/>
        <w:contextualSpacing/>
        <w:rPr>
          <w:rFonts w:ascii="Calibri" w:eastAsia="Times New Roman" w:hAnsi="Calibri" w:cs="Arial"/>
          <w:szCs w:val="24"/>
          <w:lang w:val="en-GB"/>
        </w:rPr>
      </w:pPr>
      <w:r>
        <w:rPr>
          <w:rFonts w:ascii="Calibri" w:eastAsia="Times New Roman" w:hAnsi="Calibri" w:cs="Arial"/>
          <w:szCs w:val="24"/>
          <w:lang w:val="en-GB"/>
        </w:rPr>
        <w:tab/>
        <w:t xml:space="preserve">- </w:t>
      </w:r>
      <w:r w:rsidRPr="004E6DC8">
        <w:rPr>
          <w:rFonts w:ascii="Calibri" w:eastAsia="Times New Roman" w:hAnsi="Calibri" w:cs="Arial"/>
          <w:szCs w:val="24"/>
          <w:lang w:val="en-GB"/>
        </w:rPr>
        <w:t>realizovala konsultantske misije MMF-a,</w:t>
      </w:r>
    </w:p>
    <w:p w:rsidR="004E6DC8" w:rsidRDefault="004E6DC8" w:rsidP="004E6DC8">
      <w:pPr>
        <w:tabs>
          <w:tab w:val="left" w:pos="0"/>
        </w:tabs>
        <w:spacing w:before="0" w:after="0" w:line="240" w:lineRule="auto"/>
        <w:contextualSpacing/>
        <w:rPr>
          <w:rFonts w:ascii="Calibri" w:eastAsia="Times New Roman" w:hAnsi="Calibri" w:cs="Arial"/>
          <w:szCs w:val="24"/>
          <w:lang w:val="en-GB"/>
        </w:rPr>
      </w:pPr>
      <w:r>
        <w:rPr>
          <w:rFonts w:ascii="Calibri" w:eastAsia="Times New Roman" w:hAnsi="Calibri" w:cs="Arial"/>
          <w:szCs w:val="24"/>
          <w:lang w:val="en-GB"/>
        </w:rPr>
        <w:tab/>
        <w:t xml:space="preserve">- </w:t>
      </w:r>
      <w:r w:rsidRPr="004E6DC8">
        <w:rPr>
          <w:rFonts w:ascii="Calibri" w:eastAsia="Times New Roman" w:hAnsi="Calibri" w:cs="Arial"/>
          <w:szCs w:val="24"/>
          <w:lang w:val="en-GB"/>
        </w:rPr>
        <w:t>nastavila kampanju borbe protiv sive ekonomije.</w:t>
      </w:r>
    </w:p>
    <w:p w:rsidR="008823F9" w:rsidRDefault="008823F9" w:rsidP="004E6DC8">
      <w:pPr>
        <w:tabs>
          <w:tab w:val="left" w:pos="0"/>
        </w:tabs>
        <w:spacing w:before="0" w:after="0" w:line="240" w:lineRule="auto"/>
        <w:contextualSpacing/>
        <w:rPr>
          <w:rFonts w:ascii="Calibri" w:eastAsia="Times New Roman" w:hAnsi="Calibri" w:cs="Arial"/>
          <w:szCs w:val="24"/>
          <w:lang w:val="en-GB"/>
        </w:rPr>
      </w:pPr>
    </w:p>
    <w:p w:rsidR="007774B9" w:rsidRDefault="007774B9" w:rsidP="004E6DC8">
      <w:pPr>
        <w:tabs>
          <w:tab w:val="left" w:pos="0"/>
        </w:tabs>
        <w:spacing w:before="0" w:after="0" w:line="240" w:lineRule="auto"/>
        <w:contextualSpacing/>
        <w:rPr>
          <w:rFonts w:ascii="Calibri" w:eastAsia="Times New Roman" w:hAnsi="Calibri" w:cs="Arial"/>
          <w:szCs w:val="24"/>
          <w:lang w:val="en-GB"/>
        </w:rPr>
      </w:pPr>
    </w:p>
    <w:p w:rsidR="007774B9" w:rsidRPr="007774B9" w:rsidRDefault="007774B9" w:rsidP="004E6DC8">
      <w:pPr>
        <w:tabs>
          <w:tab w:val="left" w:pos="0"/>
        </w:tabs>
        <w:spacing w:before="0" w:after="0" w:line="240" w:lineRule="auto"/>
        <w:contextualSpacing/>
        <w:rPr>
          <w:rFonts w:ascii="Calibri" w:eastAsia="Times New Roman" w:hAnsi="Calibri" w:cs="Arial"/>
          <w:b/>
          <w:szCs w:val="24"/>
          <w:lang w:val="en-GB"/>
        </w:rPr>
      </w:pPr>
      <w:r>
        <w:rPr>
          <w:rFonts w:ascii="Calibri" w:eastAsia="Times New Roman" w:hAnsi="Calibri" w:cs="Arial"/>
          <w:szCs w:val="24"/>
          <w:lang w:val="en-GB"/>
        </w:rPr>
        <w:tab/>
      </w:r>
      <w:r w:rsidRPr="007774B9">
        <w:rPr>
          <w:rFonts w:ascii="Calibri" w:eastAsia="Times New Roman" w:hAnsi="Calibri" w:cs="Arial"/>
          <w:b/>
          <w:szCs w:val="24"/>
          <w:lang w:val="en-GB"/>
        </w:rPr>
        <w:t xml:space="preserve">Predlog mjera za unapređenje </w:t>
      </w:r>
    </w:p>
    <w:p w:rsidR="007774B9" w:rsidRPr="007774B9" w:rsidRDefault="007774B9" w:rsidP="00D4124F">
      <w:pPr>
        <w:spacing w:after="0" w:line="240" w:lineRule="auto"/>
        <w:ind w:firstLine="709"/>
        <w:rPr>
          <w:rFonts w:eastAsia="Calibri" w:cs="Times New Roman"/>
          <w:szCs w:val="24"/>
          <w:lang w:val="hr-HR"/>
        </w:rPr>
      </w:pPr>
      <w:r w:rsidRPr="007774B9">
        <w:rPr>
          <w:rFonts w:eastAsia="Constantia" w:cs="Times New Roman"/>
          <w:szCs w:val="24"/>
          <w:lang w:val="hr-HR"/>
        </w:rPr>
        <w:t xml:space="preserve">Jedan od osnovnih strateških ciljeva </w:t>
      </w:r>
      <w:r w:rsidR="007A417E">
        <w:rPr>
          <w:rFonts w:eastAsia="Constantia" w:cs="Times New Roman"/>
          <w:szCs w:val="24"/>
          <w:lang w:val="hr-HR"/>
        </w:rPr>
        <w:t>U</w:t>
      </w:r>
      <w:r w:rsidRPr="007774B9">
        <w:rPr>
          <w:rFonts w:eastAsia="Constantia" w:cs="Times New Roman"/>
          <w:szCs w:val="24"/>
          <w:lang w:val="hr-HR"/>
        </w:rPr>
        <w:t>prave je poveća</w:t>
      </w:r>
      <w:r>
        <w:rPr>
          <w:rFonts w:eastAsia="Constantia" w:cs="Times New Roman"/>
          <w:szCs w:val="24"/>
          <w:lang w:val="hr-HR"/>
        </w:rPr>
        <w:t>nje poštovanja poreskih obaveza</w:t>
      </w:r>
      <w:r>
        <w:rPr>
          <w:rFonts w:eastAsia="Calibri" w:cs="Times New Roman"/>
          <w:szCs w:val="24"/>
          <w:lang w:val="hr-HR"/>
        </w:rPr>
        <w:t>. Plan</w:t>
      </w:r>
      <w:r w:rsidRPr="007774B9">
        <w:rPr>
          <w:rFonts w:eastAsia="Calibri" w:cs="Times New Roman"/>
          <w:szCs w:val="24"/>
          <w:lang w:val="hr-HR"/>
        </w:rPr>
        <w:t xml:space="preserve"> obuhvata set aktivnosti za koje će biti zadužene pojedinačne organizacione cjeline koje sprovode ključne poslovne procese, u cilju što kvalitetnijeg pristupa poreskim obveznicima u tretmanu zasnovanom na utvrđenim rizicima.</w:t>
      </w:r>
    </w:p>
    <w:p w:rsidR="008823F9" w:rsidRDefault="007774B9" w:rsidP="008823F9">
      <w:pPr>
        <w:spacing w:before="0" w:after="0" w:line="240" w:lineRule="auto"/>
        <w:ind w:firstLine="709"/>
        <w:rPr>
          <w:rFonts w:eastAsia="Calibri" w:cs="Times New Roman"/>
          <w:szCs w:val="24"/>
          <w:lang w:val="hr-HR"/>
        </w:rPr>
      </w:pPr>
      <w:r w:rsidRPr="007774B9">
        <w:rPr>
          <w:rFonts w:eastAsia="Calibri" w:cs="Times New Roman"/>
          <w:szCs w:val="24"/>
          <w:lang w:val="hr-HR"/>
        </w:rPr>
        <w:t>Očekujem</w:t>
      </w:r>
      <w:r>
        <w:rPr>
          <w:rFonts w:eastAsia="Calibri" w:cs="Times New Roman"/>
          <w:szCs w:val="24"/>
          <w:lang w:val="hr-HR"/>
        </w:rPr>
        <w:t>o</w:t>
      </w:r>
      <w:r w:rsidRPr="007774B9">
        <w:rPr>
          <w:rFonts w:eastAsia="Calibri" w:cs="Times New Roman"/>
          <w:szCs w:val="24"/>
          <w:lang w:val="hr-HR"/>
        </w:rPr>
        <w:t xml:space="preserve"> da će se sprovođenjem Plana za poštovanje poreskih propisa, uz sve ostale napore koje </w:t>
      </w:r>
      <w:r w:rsidR="007A417E">
        <w:rPr>
          <w:rFonts w:eastAsia="Calibri" w:cs="Times New Roman"/>
          <w:szCs w:val="24"/>
          <w:lang w:val="hr-HR"/>
        </w:rPr>
        <w:t>ova U</w:t>
      </w:r>
      <w:r w:rsidRPr="007774B9">
        <w:rPr>
          <w:rFonts w:eastAsia="Calibri" w:cs="Times New Roman"/>
          <w:szCs w:val="24"/>
          <w:lang w:val="hr-HR"/>
        </w:rPr>
        <w:t>prava ulaže,</w:t>
      </w:r>
      <w:r w:rsidRPr="007774B9">
        <w:rPr>
          <w:rFonts w:eastAsia="Constantia" w:cs="Times New Roman"/>
          <w:szCs w:val="24"/>
          <w:lang w:val="hr-HR"/>
        </w:rPr>
        <w:t xml:space="preserve"> </w:t>
      </w:r>
      <w:r w:rsidRPr="007774B9">
        <w:rPr>
          <w:rFonts w:eastAsia="Calibri" w:cs="Times New Roman"/>
          <w:szCs w:val="24"/>
          <w:lang w:val="hr-HR"/>
        </w:rPr>
        <w:t>obezbijediti neophopdna podrška poreskim obveznicima, te doprinijeti nastavku rasta dobrovoljne poreske disipline i, posljedično, stabilizaciji javnih finansija u Crnoj Gori, uprkos izazovima vremena koj</w:t>
      </w:r>
      <w:r w:rsidR="008823F9">
        <w:rPr>
          <w:rFonts w:eastAsia="Calibri" w:cs="Times New Roman"/>
          <w:szCs w:val="24"/>
          <w:lang w:val="hr-HR"/>
        </w:rPr>
        <w:t>i obilježava pandemija Covid19.</w:t>
      </w:r>
    </w:p>
    <w:p w:rsidR="008823F9" w:rsidRPr="008823F9" w:rsidRDefault="008823F9" w:rsidP="008823F9">
      <w:pPr>
        <w:spacing w:before="0" w:after="0" w:line="240" w:lineRule="auto"/>
        <w:ind w:firstLine="709"/>
        <w:rPr>
          <w:rFonts w:eastAsia="Calibri" w:cs="Times New Roman"/>
          <w:szCs w:val="24"/>
          <w:lang w:val="hr-HR"/>
        </w:rPr>
      </w:pPr>
    </w:p>
    <w:p w:rsidR="0039737E" w:rsidRDefault="0039737E" w:rsidP="002E4F7C">
      <w:pPr>
        <w:tabs>
          <w:tab w:val="left" w:pos="1050"/>
        </w:tabs>
        <w:rPr>
          <w:rFonts w:ascii="Calibri" w:hAnsi="Calibri"/>
          <w:b/>
          <w:color w:val="212121"/>
          <w:szCs w:val="24"/>
          <w:shd w:val="clear" w:color="auto" w:fill="FFFFFF"/>
        </w:rPr>
      </w:pPr>
    </w:p>
    <w:p w:rsidR="006208E6" w:rsidRPr="00BA7C7C" w:rsidRDefault="00BA7C7C" w:rsidP="006208E6">
      <w:pPr>
        <w:shd w:val="clear" w:color="auto" w:fill="EE8C69" w:themeFill="accent1" w:themeFillTint="99"/>
        <w:tabs>
          <w:tab w:val="left" w:pos="1050"/>
        </w:tabs>
        <w:jc w:val="center"/>
        <w:rPr>
          <w:b/>
          <w:sz w:val="26"/>
          <w:szCs w:val="26"/>
          <w:shd w:val="clear" w:color="auto" w:fill="FFFFFF"/>
        </w:rPr>
      </w:pPr>
      <w:r w:rsidRPr="00BA7C7C">
        <w:rPr>
          <w:b/>
          <w:sz w:val="26"/>
          <w:szCs w:val="26"/>
          <w:shd w:val="clear" w:color="auto" w:fill="EE8C69" w:themeFill="accent1" w:themeFillTint="99"/>
        </w:rPr>
        <w:lastRenderedPageBreak/>
        <w:t>IX</w:t>
      </w:r>
      <w:r w:rsidR="006208E6" w:rsidRPr="00BA7C7C">
        <w:rPr>
          <w:b/>
          <w:sz w:val="26"/>
          <w:szCs w:val="26"/>
          <w:shd w:val="clear" w:color="auto" w:fill="EE8C69" w:themeFill="accent1" w:themeFillTint="99"/>
        </w:rPr>
        <w:t xml:space="preserve"> IZVJEŠTAJ </w:t>
      </w:r>
      <w:r w:rsidRPr="00BA7C7C">
        <w:rPr>
          <w:b/>
          <w:sz w:val="26"/>
          <w:szCs w:val="26"/>
          <w:shd w:val="clear" w:color="auto" w:fill="EE8C69" w:themeFill="accent1" w:themeFillTint="99"/>
        </w:rPr>
        <w:t xml:space="preserve">O RADU </w:t>
      </w:r>
      <w:r w:rsidR="006208E6" w:rsidRPr="00BA7C7C">
        <w:rPr>
          <w:b/>
          <w:sz w:val="26"/>
          <w:szCs w:val="26"/>
          <w:shd w:val="clear" w:color="auto" w:fill="EE8C69" w:themeFill="accent1" w:themeFillTint="99"/>
        </w:rPr>
        <w:t>UPRAVE ZA IGRE NA SREĆU</w:t>
      </w:r>
    </w:p>
    <w:p w:rsidR="006208E6" w:rsidRDefault="006208E6" w:rsidP="006208E6">
      <w:pPr>
        <w:tabs>
          <w:tab w:val="left" w:pos="1050"/>
        </w:tabs>
        <w:jc w:val="center"/>
        <w:rPr>
          <w:rFonts w:ascii="Calibri" w:hAnsi="Calibri"/>
          <w:b/>
          <w:color w:val="212121"/>
          <w:szCs w:val="24"/>
          <w:shd w:val="clear" w:color="auto" w:fill="FFFFFF"/>
        </w:rPr>
      </w:pPr>
    </w:p>
    <w:p w:rsidR="00494617" w:rsidRPr="00494617" w:rsidRDefault="00494617" w:rsidP="00494617">
      <w:pPr>
        <w:keepNext/>
        <w:keepLines/>
        <w:spacing w:before="0" w:after="0" w:line="240" w:lineRule="auto"/>
        <w:ind w:firstLine="709"/>
        <w:outlineLvl w:val="0"/>
        <w:rPr>
          <w:rFonts w:ascii="Calibri" w:eastAsia="Times New Roman" w:hAnsi="Calibri" w:cs="Times New Roman"/>
          <w:b/>
          <w:bCs/>
          <w:color w:val="365F91"/>
          <w:szCs w:val="24"/>
          <w:lang w:val="en-US" w:eastAsia="x-none"/>
        </w:rPr>
      </w:pPr>
      <w:r>
        <w:rPr>
          <w:rFonts w:ascii="Calibri" w:eastAsia="Times New Roman" w:hAnsi="Calibri" w:cs="Times New Roman"/>
          <w:b/>
          <w:bCs/>
          <w:color w:val="365F91"/>
          <w:szCs w:val="24"/>
          <w:lang w:val="en-US" w:eastAsia="x-none"/>
        </w:rPr>
        <w:t xml:space="preserve">1. </w:t>
      </w:r>
      <w:r w:rsidRPr="00494617">
        <w:rPr>
          <w:rFonts w:ascii="Calibri" w:eastAsia="Times New Roman" w:hAnsi="Calibri" w:cs="Times New Roman"/>
          <w:b/>
          <w:bCs/>
          <w:color w:val="365F91"/>
          <w:szCs w:val="24"/>
          <w:lang w:val="en-US" w:eastAsia="x-none"/>
        </w:rPr>
        <w:t>UVODNE NAPOMENE</w:t>
      </w:r>
    </w:p>
    <w:p w:rsidR="00494617" w:rsidRPr="00494617" w:rsidRDefault="00494617" w:rsidP="00D4124F">
      <w:pPr>
        <w:spacing w:after="0" w:line="240" w:lineRule="auto"/>
        <w:ind w:firstLine="709"/>
        <w:rPr>
          <w:rFonts w:ascii="Calibri" w:eastAsia="Times New Roman" w:hAnsi="Calibri" w:cs="Times New Roman"/>
          <w:szCs w:val="24"/>
          <w:lang w:val="sr-Latn-ME"/>
        </w:rPr>
      </w:pPr>
      <w:r w:rsidRPr="00494617">
        <w:rPr>
          <w:rFonts w:ascii="Calibri" w:eastAsia="Times New Roman" w:hAnsi="Calibri" w:cs="Times New Roman"/>
          <w:szCs w:val="24"/>
          <w:lang w:val="sr-Latn-ME"/>
        </w:rPr>
        <w:t>Stupanjem na snagu Uredbe o načinu i organizaciji rada državne uprave („Službeni list CG“, br. 87/18), Uprava za igre na sreću je ponovo stekla status samostalnog organa državne uprave.</w:t>
      </w:r>
    </w:p>
    <w:p w:rsidR="00494617" w:rsidRPr="00494617" w:rsidRDefault="00494617" w:rsidP="00494617">
      <w:pPr>
        <w:spacing w:before="0" w:after="0" w:line="240" w:lineRule="auto"/>
        <w:ind w:firstLine="709"/>
        <w:rPr>
          <w:rFonts w:ascii="Calibri" w:eastAsia="Times New Roman" w:hAnsi="Calibri" w:cs="Times New Roman"/>
          <w:szCs w:val="24"/>
          <w:lang w:val="sr-Latn-ME"/>
        </w:rPr>
      </w:pPr>
      <w:r w:rsidRPr="00494617">
        <w:rPr>
          <w:rFonts w:ascii="Calibri" w:eastAsia="Times New Roman" w:hAnsi="Calibri" w:cs="Times New Roman"/>
          <w:szCs w:val="24"/>
          <w:lang w:val="sr-Latn-ME"/>
        </w:rPr>
        <w:t xml:space="preserve">Nadzor nad radom priređivača igara na sreću, nakon dodjele koncesije, i dalje je u nadležnosti Uprave za inspekcijske poslove, koja je na osnovu Uredbe o načinu i organizaciji rada državne uprave („Službeni list CG“ 05/12), preuzela od Uprave za igre na sreću državne službenike i namještenike koji su vršili inspekcijske poslove, opremu i službenu dokumentaciju. Odredbom člana 26 Uredbe o organizaciji i načinu rada državne uprave („Sl. list CG", br. br. 87/18, 2/19 i 38/19), određeno je da Uprave za igre na sreću vrši poslove koji se odnose na: „odlučivanje o svojstvu neke igre, kao igre na sreću; pripremanje stručne osnove za izradu propisa u oblasti igara na sreću; davanje saglasnosti na pravila igara na sreću; vođenje registra </w:t>
      </w:r>
      <w:bookmarkStart w:id="95" w:name="_GoBack"/>
      <w:bookmarkEnd w:id="95"/>
      <w:r w:rsidRPr="00494617">
        <w:rPr>
          <w:rFonts w:ascii="Calibri" w:eastAsia="Times New Roman" w:hAnsi="Calibri" w:cs="Times New Roman"/>
          <w:szCs w:val="24"/>
          <w:lang w:val="sr-Latn-ME"/>
        </w:rPr>
        <w:t>priređivača igara na sreću; učestvovanje u komisijama za izvlačenje i pronalaženje dobitaka u lutrijskim igrama na sreću; vršenje kontrole osnovnog kapitala i depozita kod priređivača igara na sreću po potrebi, a najmanje jednom u tri mjeseca; izdavanje odobrenja za držanje riziko-depozita za osiguranje isplata dobitaka kod posebnih igara na sreću; razmatranje ponuda dospjelih na konkurs za dodjelu koncesije za priređivanje igara na sreću, u skladu sa postupkom davanja koncesije i obavljanje ostalih stručnih poslova u vezi sa davanjem koncesije; pripremanje predloga za oduzimanje koncesije; vršenje procjene vrijednosti nagradnog fonda za priređivanje nagradnih igara u robi i uslugama; predlaganje akata o ostalim uslovima koje igračnica mora da ispuni; određivanje jedinstvenog finansijskog softvera za klađenje; izdavanje odobrenja za promjenu lokacije automat-kluba, odnosno kladionice ili uplatnog mjesta; izdavanje naljepnica za automate i stolove; izdavanje saglasnosti i vršenje kontrole priređivanja nagradnih igara u robi i uslugama; kao i druge poslove koji su joj određeni u nadležnost.”</w:t>
      </w:r>
    </w:p>
    <w:p w:rsidR="00494617" w:rsidRPr="00494617" w:rsidRDefault="00494617" w:rsidP="00494617">
      <w:pPr>
        <w:spacing w:before="0" w:after="0" w:line="240" w:lineRule="auto"/>
        <w:ind w:firstLine="709"/>
        <w:rPr>
          <w:rFonts w:ascii="Calibri" w:eastAsia="Times New Roman" w:hAnsi="Calibri" w:cs="Times New Roman"/>
          <w:szCs w:val="24"/>
          <w:lang w:val="sr-Latn-ME"/>
        </w:rPr>
      </w:pPr>
      <w:r w:rsidRPr="00494617">
        <w:rPr>
          <w:rFonts w:ascii="Calibri" w:eastAsia="Times New Roman" w:hAnsi="Calibri" w:cs="Times New Roman"/>
          <w:szCs w:val="24"/>
          <w:lang w:val="sr-Latn-ME"/>
        </w:rPr>
        <w:t>U cilju izvršavanja propisanih poslova, Pravilnikom o unutrašnjoj organizaciji i sistematizaciji, broj: 03/04-151/1 od 19.06.2019. godine, utvrđeno je da Uprava za igre na sreću ima tri organizacione jedinice: Sektor za poslove igara na sreću, Sektor za informacioni sistem za on-line nadzor priređivača i Služba za opšte poslove i finansije. Ukupan sistematizovani broj radnih mjesta u Upravi za igre na sreću je 21, od čega je na dan 31.12.2019. godine, popunjeno 17 radnih mjesta.</w:t>
      </w:r>
    </w:p>
    <w:p w:rsidR="00494617" w:rsidRPr="00494617" w:rsidRDefault="00494617" w:rsidP="00494617">
      <w:pPr>
        <w:spacing w:before="0" w:after="200" w:line="240" w:lineRule="auto"/>
        <w:rPr>
          <w:rFonts w:ascii="Calibri" w:eastAsia="Times New Roman" w:hAnsi="Calibri" w:cs="Times New Roman"/>
          <w:b/>
          <w:szCs w:val="24"/>
          <w:lang w:val="hr-HR"/>
        </w:rPr>
      </w:pPr>
      <w:bookmarkStart w:id="96" w:name="_Toc32920664"/>
    </w:p>
    <w:p w:rsidR="00494617" w:rsidRDefault="00494617" w:rsidP="00494617">
      <w:pPr>
        <w:keepNext/>
        <w:keepLines/>
        <w:spacing w:before="0" w:after="0" w:line="240" w:lineRule="auto"/>
        <w:ind w:firstLine="709"/>
        <w:outlineLvl w:val="0"/>
        <w:rPr>
          <w:rFonts w:ascii="Calibri" w:eastAsia="Times New Roman" w:hAnsi="Calibri" w:cs="Times New Roman"/>
          <w:b/>
          <w:bCs/>
          <w:color w:val="365F91"/>
          <w:szCs w:val="24"/>
          <w:lang w:val="x-none" w:eastAsia="x-none"/>
        </w:rPr>
      </w:pPr>
      <w:bookmarkStart w:id="97" w:name="_Toc67655054"/>
      <w:r w:rsidRPr="00494617">
        <w:rPr>
          <w:rFonts w:ascii="Calibri" w:eastAsia="Times New Roman" w:hAnsi="Calibri" w:cs="Times New Roman"/>
          <w:b/>
          <w:bCs/>
          <w:color w:val="365F91"/>
          <w:szCs w:val="24"/>
          <w:lang w:val="x-none" w:eastAsia="x-none"/>
        </w:rPr>
        <w:t>2. PRIHODI OD IGARA NA SREĆU I NAGRADNIH IGARA</w:t>
      </w:r>
      <w:bookmarkEnd w:id="97"/>
    </w:p>
    <w:p w:rsidR="00494617" w:rsidRPr="00494617" w:rsidRDefault="00494617" w:rsidP="00494617">
      <w:pPr>
        <w:keepNext/>
        <w:keepLines/>
        <w:spacing w:before="0" w:after="0" w:line="240" w:lineRule="auto"/>
        <w:outlineLvl w:val="0"/>
        <w:rPr>
          <w:rFonts w:ascii="Calibri" w:eastAsia="Times New Roman" w:hAnsi="Calibri" w:cs="Times New Roman"/>
          <w:b/>
          <w:bCs/>
          <w:color w:val="365F91"/>
          <w:szCs w:val="24"/>
          <w:lang w:val="x-none" w:eastAsia="x-none"/>
        </w:rPr>
      </w:pPr>
    </w:p>
    <w:p w:rsidR="00494617" w:rsidRDefault="00494617" w:rsidP="00494617">
      <w:pPr>
        <w:keepNext/>
        <w:keepLines/>
        <w:spacing w:before="0" w:after="0" w:line="240" w:lineRule="auto"/>
        <w:ind w:firstLine="709"/>
        <w:outlineLvl w:val="1"/>
        <w:rPr>
          <w:rFonts w:ascii="Calibri" w:eastAsia="Times New Roman" w:hAnsi="Calibri" w:cs="Times New Roman"/>
          <w:b/>
          <w:bCs/>
          <w:color w:val="4F81BD"/>
          <w:szCs w:val="24"/>
          <w:lang w:val="x-none" w:eastAsia="x-none"/>
        </w:rPr>
      </w:pPr>
      <w:bookmarkStart w:id="98" w:name="_Toc67655055"/>
      <w:r w:rsidRPr="00494617">
        <w:rPr>
          <w:rFonts w:ascii="Calibri" w:eastAsia="Times New Roman" w:hAnsi="Calibri" w:cs="Times New Roman"/>
          <w:b/>
          <w:bCs/>
          <w:color w:val="4F81BD"/>
          <w:szCs w:val="24"/>
          <w:lang w:val="x-none" w:eastAsia="x-none"/>
        </w:rPr>
        <w:t>2.1 PRIHODI OD IGARA NA SREĆU I NAGRADNIH IGARA ZA 2020. GODINU PO MJESECIMA</w:t>
      </w:r>
      <w:bookmarkEnd w:id="98"/>
    </w:p>
    <w:p w:rsidR="00494617" w:rsidRPr="00494617" w:rsidRDefault="00494617" w:rsidP="00494617">
      <w:pPr>
        <w:keepNext/>
        <w:keepLines/>
        <w:spacing w:before="0" w:after="0" w:line="240" w:lineRule="auto"/>
        <w:ind w:firstLine="709"/>
        <w:outlineLvl w:val="1"/>
        <w:rPr>
          <w:rFonts w:ascii="Calibri" w:eastAsia="Times New Roman" w:hAnsi="Calibri" w:cs="Times New Roman"/>
          <w:b/>
          <w:bCs/>
          <w:color w:val="4F81BD"/>
          <w:szCs w:val="24"/>
          <w:lang w:val="x-none" w:eastAsia="x-none"/>
        </w:rPr>
      </w:pPr>
    </w:p>
    <w:p w:rsidR="00494617" w:rsidRPr="00494617" w:rsidRDefault="00494617" w:rsidP="00494617">
      <w:pPr>
        <w:spacing w:before="0" w:after="200" w:line="240" w:lineRule="auto"/>
        <w:ind w:firstLine="709"/>
        <w:rPr>
          <w:rFonts w:ascii="Calibri" w:eastAsia="Times New Roman" w:hAnsi="Calibri" w:cs="Times New Roman"/>
          <w:szCs w:val="24"/>
          <w:lang w:val="hr-HR"/>
        </w:rPr>
      </w:pPr>
      <w:r w:rsidRPr="00494617">
        <w:rPr>
          <w:rFonts w:ascii="Calibri" w:eastAsia="Times New Roman" w:hAnsi="Calibri" w:cs="Times New Roman"/>
          <w:szCs w:val="24"/>
          <w:lang w:val="hr-HR"/>
        </w:rPr>
        <w:t>Ukupan prihod</w:t>
      </w:r>
      <w:r w:rsidRPr="00494617">
        <w:rPr>
          <w:rFonts w:ascii="Calibri" w:eastAsia="Times New Roman" w:hAnsi="Calibri" w:cs="Times New Roman"/>
          <w:szCs w:val="24"/>
          <w:vertAlign w:val="superscript"/>
          <w:lang w:val="hr-HR"/>
        </w:rPr>
        <w:footnoteReference w:id="18"/>
      </w:r>
      <w:r w:rsidRPr="00494617">
        <w:rPr>
          <w:rFonts w:ascii="Calibri" w:eastAsia="Times New Roman" w:hAnsi="Calibri" w:cs="Times New Roman"/>
          <w:szCs w:val="24"/>
          <w:lang w:val="hr-HR"/>
        </w:rPr>
        <w:t xml:space="preserve"> od igara na sreću i nagradnih igara u 2020. godini, po osnovu koncesionih naknada je iznosio </w:t>
      </w:r>
      <w:r w:rsidRPr="00494617">
        <w:rPr>
          <w:rFonts w:ascii="Calibri" w:eastAsia="Times New Roman" w:hAnsi="Calibri" w:cs="Times New Roman"/>
          <w:b/>
          <w:szCs w:val="24"/>
          <w:lang w:val="hr-HR"/>
        </w:rPr>
        <w:t>11,908,959.99 €.</w:t>
      </w:r>
      <w:r w:rsidRPr="00494617">
        <w:rPr>
          <w:rFonts w:ascii="Calibri" w:eastAsia="Times New Roman" w:hAnsi="Calibri" w:cs="Times New Roman"/>
          <w:szCs w:val="24"/>
          <w:lang w:val="hr-HR"/>
        </w:rPr>
        <w:t xml:space="preserve"> U tabeli br. 1 je prikaz prihoda po mjesecima.</w:t>
      </w:r>
    </w:p>
    <w:p w:rsidR="00494617" w:rsidRPr="00494617" w:rsidRDefault="00494617" w:rsidP="00494617">
      <w:pPr>
        <w:spacing w:before="0" w:after="200" w:line="276" w:lineRule="auto"/>
        <w:rPr>
          <w:rFonts w:ascii="Times New Roman" w:eastAsia="Times New Roman" w:hAnsi="Times New Roman" w:cs="Times New Roman"/>
          <w:szCs w:val="24"/>
          <w:lang w:val="hr-HR"/>
        </w:rPr>
      </w:pPr>
    </w:p>
    <w:p w:rsidR="00494617" w:rsidRPr="00494617" w:rsidRDefault="00494617" w:rsidP="00494617">
      <w:pPr>
        <w:spacing w:before="0" w:after="200" w:line="276" w:lineRule="auto"/>
        <w:rPr>
          <w:rFonts w:ascii="Times New Roman" w:eastAsia="Times New Roman" w:hAnsi="Times New Roman" w:cs="Times New Roman"/>
          <w:szCs w:val="24"/>
          <w:lang w:val="hr-HR"/>
        </w:rPr>
      </w:pPr>
    </w:p>
    <w:p w:rsidR="00494617" w:rsidRPr="00494617" w:rsidRDefault="00494617" w:rsidP="00494617">
      <w:pPr>
        <w:spacing w:before="0" w:after="200" w:line="276" w:lineRule="auto"/>
        <w:rPr>
          <w:rFonts w:ascii="Times New Roman" w:eastAsia="Times New Roman" w:hAnsi="Times New Roman" w:cs="Times New Roman"/>
          <w:szCs w:val="24"/>
          <w:lang w:val="hr-HR"/>
        </w:rPr>
      </w:pPr>
    </w:p>
    <w:p w:rsidR="00494617" w:rsidRPr="00494617" w:rsidRDefault="00494617" w:rsidP="00494617">
      <w:pPr>
        <w:spacing w:before="0" w:after="200" w:line="276" w:lineRule="auto"/>
        <w:rPr>
          <w:rFonts w:ascii="Times New Roman" w:eastAsia="Times New Roman" w:hAnsi="Times New Roman" w:cs="Times New Roman"/>
          <w:szCs w:val="24"/>
          <w:lang w:val="hr-HR"/>
        </w:rPr>
      </w:pPr>
    </w:p>
    <w:p w:rsidR="00494617" w:rsidRPr="00494617" w:rsidRDefault="00494617" w:rsidP="00494617">
      <w:pPr>
        <w:spacing w:before="0" w:after="200" w:line="276" w:lineRule="auto"/>
        <w:rPr>
          <w:rFonts w:ascii="Times New Roman" w:eastAsia="Times New Roman" w:hAnsi="Times New Roman" w:cs="Times New Roman"/>
          <w:szCs w:val="24"/>
          <w:lang w:val="hr-HR"/>
        </w:rPr>
      </w:pPr>
    </w:p>
    <w:tbl>
      <w:tblPr>
        <w:tblW w:w="11122" w:type="dxa"/>
        <w:tblInd w:w="-856" w:type="dxa"/>
        <w:tblLook w:val="04A0" w:firstRow="1" w:lastRow="0" w:firstColumn="1" w:lastColumn="0" w:noHBand="0" w:noVBand="1"/>
      </w:tblPr>
      <w:tblGrid>
        <w:gridCol w:w="1136"/>
        <w:gridCol w:w="1326"/>
        <w:gridCol w:w="1159"/>
        <w:gridCol w:w="1340"/>
        <w:gridCol w:w="1178"/>
        <w:gridCol w:w="1200"/>
        <w:gridCol w:w="1141"/>
        <w:gridCol w:w="1372"/>
        <w:gridCol w:w="1270"/>
      </w:tblGrid>
      <w:tr w:rsidR="00494617" w:rsidRPr="00494617" w:rsidTr="00494617">
        <w:trPr>
          <w:trHeight w:val="300"/>
        </w:trPr>
        <w:tc>
          <w:tcPr>
            <w:tcW w:w="1136"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2020. GODINA</w:t>
            </w:r>
          </w:p>
        </w:tc>
        <w:tc>
          <w:tcPr>
            <w:tcW w:w="2485" w:type="dxa"/>
            <w:gridSpan w:val="2"/>
            <w:tcBorders>
              <w:top w:val="single" w:sz="4" w:space="0" w:color="auto"/>
              <w:left w:val="nil"/>
              <w:bottom w:val="single" w:sz="4" w:space="0" w:color="auto"/>
              <w:right w:val="single" w:sz="4" w:space="0" w:color="auto"/>
            </w:tcBorders>
            <w:shd w:val="clear" w:color="000000" w:fill="E2EFDA"/>
            <w:noWrap/>
            <w:vAlign w:val="bottom"/>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KLADIONIČKE IGRE</w:t>
            </w:r>
          </w:p>
        </w:tc>
        <w:tc>
          <w:tcPr>
            <w:tcW w:w="1340"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AUTOMAT KLUBOVI</w:t>
            </w:r>
          </w:p>
        </w:tc>
        <w:tc>
          <w:tcPr>
            <w:tcW w:w="1178"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KAZINA</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INTERNET KLAĐENJE</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NAGRADNE IGRE</w:t>
            </w:r>
          </w:p>
        </w:tc>
        <w:tc>
          <w:tcPr>
            <w:tcW w:w="1372"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TOMBOLA ZATVORENOG TIPA</w:t>
            </w:r>
          </w:p>
        </w:tc>
        <w:tc>
          <w:tcPr>
            <w:tcW w:w="127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UKUPNO</w:t>
            </w:r>
          </w:p>
        </w:tc>
      </w:tr>
      <w:tr w:rsidR="00494617" w:rsidRPr="00494617" w:rsidTr="00494617">
        <w:trPr>
          <w:trHeight w:val="585"/>
        </w:trPr>
        <w:tc>
          <w:tcPr>
            <w:tcW w:w="1136" w:type="dxa"/>
            <w:vMerge/>
            <w:tcBorders>
              <w:top w:val="single" w:sz="4" w:space="0" w:color="auto"/>
              <w:left w:val="single" w:sz="4" w:space="0" w:color="auto"/>
              <w:bottom w:val="single" w:sz="4" w:space="0" w:color="auto"/>
              <w:right w:val="single" w:sz="4" w:space="0" w:color="auto"/>
            </w:tcBorders>
            <w:vAlign w:val="center"/>
            <w:hideMark/>
          </w:tcPr>
          <w:p w:rsidR="00494617" w:rsidRPr="00494617" w:rsidRDefault="00494617" w:rsidP="00494617">
            <w:pPr>
              <w:spacing w:before="0" w:after="0" w:line="240" w:lineRule="auto"/>
              <w:jc w:val="left"/>
              <w:rPr>
                <w:rFonts w:eastAsia="Times New Roman" w:cs="Times New Roman"/>
                <w:b/>
                <w:bCs/>
                <w:color w:val="000000"/>
                <w:sz w:val="18"/>
                <w:szCs w:val="18"/>
                <w:lang w:val="hr-HR" w:eastAsia="en-GB"/>
              </w:rPr>
            </w:pPr>
          </w:p>
        </w:tc>
        <w:tc>
          <w:tcPr>
            <w:tcW w:w="1326" w:type="dxa"/>
            <w:tcBorders>
              <w:top w:val="nil"/>
              <w:left w:val="nil"/>
              <w:bottom w:val="single" w:sz="4" w:space="0" w:color="auto"/>
              <w:right w:val="single" w:sz="4" w:space="0" w:color="auto"/>
            </w:tcBorders>
            <w:shd w:val="clear" w:color="000000" w:fill="E2EFDA"/>
            <w:noWrap/>
            <w:vAlign w:val="bottom"/>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KLADIONICE</w:t>
            </w:r>
          </w:p>
        </w:tc>
        <w:tc>
          <w:tcPr>
            <w:tcW w:w="1159" w:type="dxa"/>
            <w:tcBorders>
              <w:top w:val="nil"/>
              <w:left w:val="nil"/>
              <w:bottom w:val="single" w:sz="4" w:space="0" w:color="auto"/>
              <w:right w:val="single" w:sz="4" w:space="0" w:color="auto"/>
            </w:tcBorders>
            <w:shd w:val="clear" w:color="000000" w:fill="E2EFDA"/>
            <w:noWrap/>
            <w:vAlign w:val="bottom"/>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TERMINALI</w:t>
            </w:r>
          </w:p>
        </w:tc>
        <w:tc>
          <w:tcPr>
            <w:tcW w:w="1340" w:type="dxa"/>
            <w:vMerge/>
            <w:tcBorders>
              <w:top w:val="single" w:sz="4" w:space="0" w:color="auto"/>
              <w:left w:val="single" w:sz="4" w:space="0" w:color="auto"/>
              <w:bottom w:val="single" w:sz="4" w:space="0" w:color="auto"/>
              <w:right w:val="single" w:sz="4" w:space="0" w:color="auto"/>
            </w:tcBorders>
            <w:vAlign w:val="center"/>
            <w:hideMark/>
          </w:tcPr>
          <w:p w:rsidR="00494617" w:rsidRPr="00494617" w:rsidRDefault="00494617" w:rsidP="00494617">
            <w:pPr>
              <w:spacing w:before="0" w:after="0" w:line="240" w:lineRule="auto"/>
              <w:jc w:val="left"/>
              <w:rPr>
                <w:rFonts w:eastAsia="Times New Roman" w:cs="Times New Roman"/>
                <w:b/>
                <w:bCs/>
                <w:color w:val="000000"/>
                <w:sz w:val="18"/>
                <w:szCs w:val="18"/>
                <w:lang w:val="hr-HR" w:eastAsia="en-GB"/>
              </w:rPr>
            </w:pPr>
          </w:p>
        </w:tc>
        <w:tc>
          <w:tcPr>
            <w:tcW w:w="1178" w:type="dxa"/>
            <w:vMerge/>
            <w:tcBorders>
              <w:top w:val="single" w:sz="4" w:space="0" w:color="auto"/>
              <w:left w:val="single" w:sz="4" w:space="0" w:color="auto"/>
              <w:bottom w:val="single" w:sz="4" w:space="0" w:color="auto"/>
              <w:right w:val="single" w:sz="4" w:space="0" w:color="auto"/>
            </w:tcBorders>
            <w:vAlign w:val="center"/>
            <w:hideMark/>
          </w:tcPr>
          <w:p w:rsidR="00494617" w:rsidRPr="00494617" w:rsidRDefault="00494617" w:rsidP="00494617">
            <w:pPr>
              <w:spacing w:before="0" w:after="0" w:line="240" w:lineRule="auto"/>
              <w:jc w:val="left"/>
              <w:rPr>
                <w:rFonts w:eastAsia="Times New Roman" w:cs="Times New Roman"/>
                <w:b/>
                <w:bCs/>
                <w:color w:val="000000"/>
                <w:sz w:val="18"/>
                <w:szCs w:val="18"/>
                <w:lang w:val="hr-HR" w:eastAsia="en-GB"/>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494617" w:rsidRPr="00494617" w:rsidRDefault="00494617" w:rsidP="00494617">
            <w:pPr>
              <w:spacing w:before="0" w:after="0" w:line="240" w:lineRule="auto"/>
              <w:jc w:val="left"/>
              <w:rPr>
                <w:rFonts w:eastAsia="Times New Roman" w:cs="Times New Roman"/>
                <w:b/>
                <w:bCs/>
                <w:color w:val="000000"/>
                <w:sz w:val="18"/>
                <w:szCs w:val="18"/>
                <w:lang w:val="hr-HR" w:eastAsia="en-GB"/>
              </w:rPr>
            </w:pPr>
          </w:p>
        </w:tc>
        <w:tc>
          <w:tcPr>
            <w:tcW w:w="1141" w:type="dxa"/>
            <w:vMerge/>
            <w:tcBorders>
              <w:top w:val="single" w:sz="4" w:space="0" w:color="auto"/>
              <w:left w:val="single" w:sz="4" w:space="0" w:color="auto"/>
              <w:bottom w:val="single" w:sz="4" w:space="0" w:color="auto"/>
              <w:right w:val="single" w:sz="4" w:space="0" w:color="auto"/>
            </w:tcBorders>
            <w:vAlign w:val="center"/>
            <w:hideMark/>
          </w:tcPr>
          <w:p w:rsidR="00494617" w:rsidRPr="00494617" w:rsidRDefault="00494617" w:rsidP="00494617">
            <w:pPr>
              <w:spacing w:before="0" w:after="0" w:line="240" w:lineRule="auto"/>
              <w:jc w:val="left"/>
              <w:rPr>
                <w:rFonts w:eastAsia="Times New Roman" w:cs="Times New Roman"/>
                <w:b/>
                <w:bCs/>
                <w:color w:val="000000"/>
                <w:sz w:val="18"/>
                <w:szCs w:val="18"/>
                <w:lang w:val="hr-HR" w:eastAsia="en-GB"/>
              </w:rPr>
            </w:pPr>
          </w:p>
        </w:tc>
        <w:tc>
          <w:tcPr>
            <w:tcW w:w="1372" w:type="dxa"/>
            <w:vMerge/>
            <w:tcBorders>
              <w:top w:val="single" w:sz="4" w:space="0" w:color="auto"/>
              <w:left w:val="single" w:sz="4" w:space="0" w:color="auto"/>
              <w:bottom w:val="single" w:sz="4" w:space="0" w:color="auto"/>
              <w:right w:val="single" w:sz="4" w:space="0" w:color="auto"/>
            </w:tcBorders>
            <w:vAlign w:val="center"/>
            <w:hideMark/>
          </w:tcPr>
          <w:p w:rsidR="00494617" w:rsidRPr="00494617" w:rsidRDefault="00494617" w:rsidP="00494617">
            <w:pPr>
              <w:spacing w:before="0" w:after="0" w:line="240" w:lineRule="auto"/>
              <w:jc w:val="left"/>
              <w:rPr>
                <w:rFonts w:eastAsia="Times New Roman" w:cs="Times New Roman"/>
                <w:b/>
                <w:bCs/>
                <w:color w:val="000000"/>
                <w:sz w:val="18"/>
                <w:szCs w:val="18"/>
                <w:lang w:val="hr-HR" w:eastAsia="en-GB"/>
              </w:rPr>
            </w:pPr>
          </w:p>
        </w:tc>
        <w:tc>
          <w:tcPr>
            <w:tcW w:w="1270" w:type="dxa"/>
            <w:vMerge/>
            <w:tcBorders>
              <w:top w:val="single" w:sz="4" w:space="0" w:color="auto"/>
              <w:left w:val="single" w:sz="4" w:space="0" w:color="auto"/>
              <w:bottom w:val="single" w:sz="4" w:space="0" w:color="auto"/>
              <w:right w:val="single" w:sz="4" w:space="0" w:color="auto"/>
            </w:tcBorders>
            <w:vAlign w:val="center"/>
            <w:hideMark/>
          </w:tcPr>
          <w:p w:rsidR="00494617" w:rsidRPr="00494617" w:rsidRDefault="00494617" w:rsidP="00494617">
            <w:pPr>
              <w:spacing w:before="0" w:after="0" w:line="240" w:lineRule="auto"/>
              <w:jc w:val="left"/>
              <w:rPr>
                <w:rFonts w:eastAsia="Times New Roman" w:cs="Times New Roman"/>
                <w:b/>
                <w:bCs/>
                <w:color w:val="000000"/>
                <w:sz w:val="18"/>
                <w:szCs w:val="18"/>
                <w:lang w:val="hr-HR" w:eastAsia="en-GB"/>
              </w:rPr>
            </w:pPr>
          </w:p>
        </w:tc>
      </w:tr>
      <w:tr w:rsidR="00494617" w:rsidRPr="00494617" w:rsidTr="00494617">
        <w:trPr>
          <w:trHeight w:val="300"/>
        </w:trPr>
        <w:tc>
          <w:tcPr>
            <w:tcW w:w="1136"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 xml:space="preserve">JANUAR </w:t>
            </w:r>
          </w:p>
        </w:tc>
        <w:tc>
          <w:tcPr>
            <w:tcW w:w="1326"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693,694.44</w:t>
            </w:r>
          </w:p>
        </w:tc>
        <w:tc>
          <w:tcPr>
            <w:tcW w:w="1159"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28,980.11</w:t>
            </w:r>
          </w:p>
        </w:tc>
        <w:tc>
          <w:tcPr>
            <w:tcW w:w="134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192,883.33</w:t>
            </w:r>
          </w:p>
        </w:tc>
        <w:tc>
          <w:tcPr>
            <w:tcW w:w="1178"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236,407.86</w:t>
            </w:r>
          </w:p>
        </w:tc>
        <w:tc>
          <w:tcPr>
            <w:tcW w:w="120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75,000.00</w:t>
            </w:r>
          </w:p>
        </w:tc>
        <w:tc>
          <w:tcPr>
            <w:tcW w:w="1141"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145.08</w:t>
            </w:r>
          </w:p>
        </w:tc>
        <w:tc>
          <w:tcPr>
            <w:tcW w:w="1372"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682.99</w:t>
            </w:r>
          </w:p>
        </w:tc>
        <w:tc>
          <w:tcPr>
            <w:tcW w:w="127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1,227,793.81</w:t>
            </w:r>
          </w:p>
        </w:tc>
      </w:tr>
      <w:tr w:rsidR="00494617" w:rsidRPr="00494617" w:rsidTr="00494617">
        <w:trPr>
          <w:trHeight w:val="300"/>
        </w:trPr>
        <w:tc>
          <w:tcPr>
            <w:tcW w:w="1136"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 xml:space="preserve">FEBRUAR </w:t>
            </w:r>
          </w:p>
        </w:tc>
        <w:tc>
          <w:tcPr>
            <w:tcW w:w="1326"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802,777.39</w:t>
            </w:r>
          </w:p>
        </w:tc>
        <w:tc>
          <w:tcPr>
            <w:tcW w:w="1159"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20,971.66</w:t>
            </w:r>
          </w:p>
        </w:tc>
        <w:tc>
          <w:tcPr>
            <w:tcW w:w="134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212,631.89</w:t>
            </w:r>
          </w:p>
        </w:tc>
        <w:tc>
          <w:tcPr>
            <w:tcW w:w="1178"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167,952.61</w:t>
            </w:r>
          </w:p>
        </w:tc>
        <w:tc>
          <w:tcPr>
            <w:tcW w:w="120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75,000.00</w:t>
            </w:r>
          </w:p>
        </w:tc>
        <w:tc>
          <w:tcPr>
            <w:tcW w:w="1141"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4,594.02</w:t>
            </w:r>
          </w:p>
        </w:tc>
        <w:tc>
          <w:tcPr>
            <w:tcW w:w="1372"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698.74</w:t>
            </w:r>
          </w:p>
        </w:tc>
        <w:tc>
          <w:tcPr>
            <w:tcW w:w="127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1,284,626.31</w:t>
            </w:r>
          </w:p>
        </w:tc>
      </w:tr>
      <w:tr w:rsidR="00494617" w:rsidRPr="00494617" w:rsidTr="00494617">
        <w:trPr>
          <w:trHeight w:val="300"/>
        </w:trPr>
        <w:tc>
          <w:tcPr>
            <w:tcW w:w="1136"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MART</w:t>
            </w:r>
          </w:p>
        </w:tc>
        <w:tc>
          <w:tcPr>
            <w:tcW w:w="1326"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591,551.79</w:t>
            </w:r>
          </w:p>
        </w:tc>
        <w:tc>
          <w:tcPr>
            <w:tcW w:w="1159"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10,662.75</w:t>
            </w:r>
          </w:p>
        </w:tc>
        <w:tc>
          <w:tcPr>
            <w:tcW w:w="134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187,756.66</w:t>
            </w:r>
          </w:p>
        </w:tc>
        <w:tc>
          <w:tcPr>
            <w:tcW w:w="1178"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142,601.04</w:t>
            </w:r>
          </w:p>
        </w:tc>
        <w:tc>
          <w:tcPr>
            <w:tcW w:w="120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61,724.13</w:t>
            </w:r>
          </w:p>
        </w:tc>
        <w:tc>
          <w:tcPr>
            <w:tcW w:w="1141"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0.00</w:t>
            </w:r>
          </w:p>
        </w:tc>
        <w:tc>
          <w:tcPr>
            <w:tcW w:w="1372"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483.34</w:t>
            </w:r>
          </w:p>
        </w:tc>
        <w:tc>
          <w:tcPr>
            <w:tcW w:w="127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994,779.71</w:t>
            </w:r>
          </w:p>
        </w:tc>
      </w:tr>
      <w:tr w:rsidR="00494617" w:rsidRPr="00494617" w:rsidTr="00494617">
        <w:trPr>
          <w:trHeight w:val="300"/>
        </w:trPr>
        <w:tc>
          <w:tcPr>
            <w:tcW w:w="1136"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APRIL</w:t>
            </w:r>
          </w:p>
        </w:tc>
        <w:tc>
          <w:tcPr>
            <w:tcW w:w="1326"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23,942.37</w:t>
            </w:r>
          </w:p>
        </w:tc>
        <w:tc>
          <w:tcPr>
            <w:tcW w:w="1159"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10,333.18</w:t>
            </w:r>
          </w:p>
        </w:tc>
        <w:tc>
          <w:tcPr>
            <w:tcW w:w="134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52,399.75</w:t>
            </w:r>
          </w:p>
        </w:tc>
        <w:tc>
          <w:tcPr>
            <w:tcW w:w="1178"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19,805.39</w:t>
            </w:r>
          </w:p>
        </w:tc>
        <w:tc>
          <w:tcPr>
            <w:tcW w:w="120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0.00</w:t>
            </w:r>
          </w:p>
        </w:tc>
        <w:tc>
          <w:tcPr>
            <w:tcW w:w="1141"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0.00</w:t>
            </w:r>
          </w:p>
        </w:tc>
        <w:tc>
          <w:tcPr>
            <w:tcW w:w="1372"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29.30</w:t>
            </w:r>
          </w:p>
        </w:tc>
        <w:tc>
          <w:tcPr>
            <w:tcW w:w="127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106,509.99</w:t>
            </w:r>
          </w:p>
        </w:tc>
      </w:tr>
      <w:tr w:rsidR="00494617" w:rsidRPr="00494617" w:rsidTr="00494617">
        <w:trPr>
          <w:trHeight w:val="300"/>
        </w:trPr>
        <w:tc>
          <w:tcPr>
            <w:tcW w:w="1136"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MAJ</w:t>
            </w:r>
          </w:p>
        </w:tc>
        <w:tc>
          <w:tcPr>
            <w:tcW w:w="1326"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149,528.86</w:t>
            </w:r>
          </w:p>
        </w:tc>
        <w:tc>
          <w:tcPr>
            <w:tcW w:w="1159"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5,014.59</w:t>
            </w:r>
          </w:p>
        </w:tc>
        <w:tc>
          <w:tcPr>
            <w:tcW w:w="134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36,448.97</w:t>
            </w:r>
          </w:p>
        </w:tc>
        <w:tc>
          <w:tcPr>
            <w:tcW w:w="1178"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44,025.86</w:t>
            </w:r>
          </w:p>
        </w:tc>
        <w:tc>
          <w:tcPr>
            <w:tcW w:w="120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61,312.18</w:t>
            </w:r>
          </w:p>
        </w:tc>
        <w:tc>
          <w:tcPr>
            <w:tcW w:w="1141"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65.00</w:t>
            </w:r>
          </w:p>
        </w:tc>
        <w:tc>
          <w:tcPr>
            <w:tcW w:w="1372"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0.00</w:t>
            </w:r>
          </w:p>
        </w:tc>
        <w:tc>
          <w:tcPr>
            <w:tcW w:w="127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296,395.46</w:t>
            </w:r>
          </w:p>
        </w:tc>
      </w:tr>
      <w:tr w:rsidR="00494617" w:rsidRPr="00494617" w:rsidTr="00494617">
        <w:trPr>
          <w:trHeight w:val="300"/>
        </w:trPr>
        <w:tc>
          <w:tcPr>
            <w:tcW w:w="1136"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JUN</w:t>
            </w:r>
          </w:p>
        </w:tc>
        <w:tc>
          <w:tcPr>
            <w:tcW w:w="1326"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370,440.98</w:t>
            </w:r>
          </w:p>
        </w:tc>
        <w:tc>
          <w:tcPr>
            <w:tcW w:w="1159"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87.00</w:t>
            </w:r>
          </w:p>
        </w:tc>
        <w:tc>
          <w:tcPr>
            <w:tcW w:w="134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131,531.79</w:t>
            </w:r>
          </w:p>
        </w:tc>
        <w:tc>
          <w:tcPr>
            <w:tcW w:w="1178"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3,790.96</w:t>
            </w:r>
          </w:p>
        </w:tc>
        <w:tc>
          <w:tcPr>
            <w:tcW w:w="120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119,016.13</w:t>
            </w:r>
          </w:p>
        </w:tc>
        <w:tc>
          <w:tcPr>
            <w:tcW w:w="1141"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2,587.80</w:t>
            </w:r>
          </w:p>
        </w:tc>
        <w:tc>
          <w:tcPr>
            <w:tcW w:w="1372"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384.52</w:t>
            </w:r>
          </w:p>
        </w:tc>
        <w:tc>
          <w:tcPr>
            <w:tcW w:w="127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627,839.18</w:t>
            </w:r>
          </w:p>
        </w:tc>
      </w:tr>
      <w:tr w:rsidR="00494617" w:rsidRPr="00494617" w:rsidTr="00494617">
        <w:trPr>
          <w:trHeight w:val="300"/>
        </w:trPr>
        <w:tc>
          <w:tcPr>
            <w:tcW w:w="1136"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JUL</w:t>
            </w:r>
          </w:p>
        </w:tc>
        <w:tc>
          <w:tcPr>
            <w:tcW w:w="1326"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924,775.63</w:t>
            </w:r>
          </w:p>
        </w:tc>
        <w:tc>
          <w:tcPr>
            <w:tcW w:w="1159"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14,338.01</w:t>
            </w:r>
          </w:p>
        </w:tc>
        <w:tc>
          <w:tcPr>
            <w:tcW w:w="134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215,413.87</w:t>
            </w:r>
          </w:p>
        </w:tc>
        <w:tc>
          <w:tcPr>
            <w:tcW w:w="1178"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65,354.96</w:t>
            </w:r>
          </w:p>
        </w:tc>
        <w:tc>
          <w:tcPr>
            <w:tcW w:w="120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153,994.27</w:t>
            </w:r>
          </w:p>
        </w:tc>
        <w:tc>
          <w:tcPr>
            <w:tcW w:w="1141"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1,491.23</w:t>
            </w:r>
          </w:p>
        </w:tc>
        <w:tc>
          <w:tcPr>
            <w:tcW w:w="1372"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390.85</w:t>
            </w:r>
          </w:p>
        </w:tc>
        <w:tc>
          <w:tcPr>
            <w:tcW w:w="127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1,375,758.82</w:t>
            </w:r>
          </w:p>
        </w:tc>
      </w:tr>
      <w:tr w:rsidR="00494617" w:rsidRPr="00494617" w:rsidTr="00494617">
        <w:trPr>
          <w:trHeight w:val="300"/>
        </w:trPr>
        <w:tc>
          <w:tcPr>
            <w:tcW w:w="1136"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AVGUST</w:t>
            </w:r>
          </w:p>
        </w:tc>
        <w:tc>
          <w:tcPr>
            <w:tcW w:w="1326"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581,032.72</w:t>
            </w:r>
          </w:p>
        </w:tc>
        <w:tc>
          <w:tcPr>
            <w:tcW w:w="1159"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2,212.92</w:t>
            </w:r>
          </w:p>
        </w:tc>
        <w:tc>
          <w:tcPr>
            <w:tcW w:w="134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269,786.69</w:t>
            </w:r>
          </w:p>
        </w:tc>
        <w:tc>
          <w:tcPr>
            <w:tcW w:w="1178"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105,004.11</w:t>
            </w:r>
          </w:p>
        </w:tc>
        <w:tc>
          <w:tcPr>
            <w:tcW w:w="120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90,000.00</w:t>
            </w:r>
          </w:p>
        </w:tc>
        <w:tc>
          <w:tcPr>
            <w:tcW w:w="1141"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97.00</w:t>
            </w:r>
          </w:p>
        </w:tc>
        <w:tc>
          <w:tcPr>
            <w:tcW w:w="1372"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310.20</w:t>
            </w:r>
          </w:p>
        </w:tc>
        <w:tc>
          <w:tcPr>
            <w:tcW w:w="127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1,048,443.64</w:t>
            </w:r>
          </w:p>
        </w:tc>
      </w:tr>
      <w:tr w:rsidR="00494617" w:rsidRPr="00494617" w:rsidTr="00494617">
        <w:trPr>
          <w:trHeight w:val="300"/>
        </w:trPr>
        <w:tc>
          <w:tcPr>
            <w:tcW w:w="1136"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SEPTEMBAR</w:t>
            </w:r>
          </w:p>
        </w:tc>
        <w:tc>
          <w:tcPr>
            <w:tcW w:w="1326"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703,591.69</w:t>
            </w:r>
          </w:p>
        </w:tc>
        <w:tc>
          <w:tcPr>
            <w:tcW w:w="1159"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10,850.94</w:t>
            </w:r>
          </w:p>
        </w:tc>
        <w:tc>
          <w:tcPr>
            <w:tcW w:w="134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240,604.63</w:t>
            </w:r>
          </w:p>
        </w:tc>
        <w:tc>
          <w:tcPr>
            <w:tcW w:w="1178"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198,257.91</w:t>
            </w:r>
          </w:p>
        </w:tc>
        <w:tc>
          <w:tcPr>
            <w:tcW w:w="120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140,000.00</w:t>
            </w:r>
          </w:p>
        </w:tc>
        <w:tc>
          <w:tcPr>
            <w:tcW w:w="1141"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3,591.50</w:t>
            </w:r>
          </w:p>
        </w:tc>
        <w:tc>
          <w:tcPr>
            <w:tcW w:w="1372"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853.53</w:t>
            </w:r>
          </w:p>
        </w:tc>
        <w:tc>
          <w:tcPr>
            <w:tcW w:w="127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1,297,750.20</w:t>
            </w:r>
          </w:p>
        </w:tc>
      </w:tr>
      <w:tr w:rsidR="00494617" w:rsidRPr="00494617" w:rsidTr="00494617">
        <w:trPr>
          <w:trHeight w:val="300"/>
        </w:trPr>
        <w:tc>
          <w:tcPr>
            <w:tcW w:w="1136"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OKTOBAR</w:t>
            </w:r>
          </w:p>
        </w:tc>
        <w:tc>
          <w:tcPr>
            <w:tcW w:w="1326"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824,264.20</w:t>
            </w:r>
          </w:p>
        </w:tc>
        <w:tc>
          <w:tcPr>
            <w:tcW w:w="1159"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7,000.00</w:t>
            </w:r>
          </w:p>
        </w:tc>
        <w:tc>
          <w:tcPr>
            <w:tcW w:w="134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214,381.37</w:t>
            </w:r>
          </w:p>
        </w:tc>
        <w:tc>
          <w:tcPr>
            <w:tcW w:w="1178"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119,044.12</w:t>
            </w:r>
          </w:p>
        </w:tc>
        <w:tc>
          <w:tcPr>
            <w:tcW w:w="120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140,000.00</w:t>
            </w:r>
          </w:p>
        </w:tc>
        <w:tc>
          <w:tcPr>
            <w:tcW w:w="1141"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138.58</w:t>
            </w:r>
          </w:p>
        </w:tc>
        <w:tc>
          <w:tcPr>
            <w:tcW w:w="1372"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260.62</w:t>
            </w:r>
          </w:p>
        </w:tc>
        <w:tc>
          <w:tcPr>
            <w:tcW w:w="127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1,305,088.89</w:t>
            </w:r>
          </w:p>
        </w:tc>
      </w:tr>
      <w:tr w:rsidR="00494617" w:rsidRPr="00494617" w:rsidTr="00494617">
        <w:trPr>
          <w:trHeight w:val="300"/>
        </w:trPr>
        <w:tc>
          <w:tcPr>
            <w:tcW w:w="1136"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NOVEMBAR</w:t>
            </w:r>
          </w:p>
        </w:tc>
        <w:tc>
          <w:tcPr>
            <w:tcW w:w="1326"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793,801.07</w:t>
            </w:r>
          </w:p>
        </w:tc>
        <w:tc>
          <w:tcPr>
            <w:tcW w:w="1159"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7,449.39</w:t>
            </w:r>
          </w:p>
        </w:tc>
        <w:tc>
          <w:tcPr>
            <w:tcW w:w="134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220,817.08</w:t>
            </w:r>
          </w:p>
        </w:tc>
        <w:tc>
          <w:tcPr>
            <w:tcW w:w="1178"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73,660.66</w:t>
            </w:r>
          </w:p>
        </w:tc>
        <w:tc>
          <w:tcPr>
            <w:tcW w:w="120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90,000.00</w:t>
            </w:r>
          </w:p>
        </w:tc>
        <w:tc>
          <w:tcPr>
            <w:tcW w:w="1141"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179.77</w:t>
            </w:r>
          </w:p>
        </w:tc>
        <w:tc>
          <w:tcPr>
            <w:tcW w:w="1372"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254.12</w:t>
            </w:r>
          </w:p>
        </w:tc>
        <w:tc>
          <w:tcPr>
            <w:tcW w:w="127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1,186,162.09</w:t>
            </w:r>
          </w:p>
        </w:tc>
      </w:tr>
      <w:tr w:rsidR="00494617" w:rsidRPr="00494617" w:rsidTr="00494617">
        <w:trPr>
          <w:trHeight w:val="300"/>
        </w:trPr>
        <w:tc>
          <w:tcPr>
            <w:tcW w:w="1136"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DECEMBAR</w:t>
            </w:r>
          </w:p>
        </w:tc>
        <w:tc>
          <w:tcPr>
            <w:tcW w:w="1326"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601,060.24</w:t>
            </w:r>
          </w:p>
        </w:tc>
        <w:tc>
          <w:tcPr>
            <w:tcW w:w="1159"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1,046.76</w:t>
            </w:r>
          </w:p>
        </w:tc>
        <w:tc>
          <w:tcPr>
            <w:tcW w:w="134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194,895.81</w:t>
            </w:r>
          </w:p>
        </w:tc>
        <w:tc>
          <w:tcPr>
            <w:tcW w:w="1178"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224,099.61</w:t>
            </w:r>
          </w:p>
        </w:tc>
        <w:tc>
          <w:tcPr>
            <w:tcW w:w="120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116,250.00</w:t>
            </w:r>
          </w:p>
        </w:tc>
        <w:tc>
          <w:tcPr>
            <w:tcW w:w="1141"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3,143.34</w:t>
            </w:r>
          </w:p>
        </w:tc>
        <w:tc>
          <w:tcPr>
            <w:tcW w:w="1372"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color w:val="000000"/>
                <w:sz w:val="18"/>
                <w:szCs w:val="18"/>
                <w:lang w:val="hr-HR" w:eastAsia="en-GB"/>
              </w:rPr>
            </w:pPr>
            <w:r w:rsidRPr="00494617">
              <w:rPr>
                <w:rFonts w:eastAsia="Times New Roman" w:cs="Times New Roman"/>
                <w:color w:val="000000"/>
                <w:sz w:val="18"/>
                <w:szCs w:val="18"/>
                <w:lang w:val="hr-HR" w:eastAsia="en-GB"/>
              </w:rPr>
              <w:t>17,316.13</w:t>
            </w:r>
          </w:p>
        </w:tc>
        <w:tc>
          <w:tcPr>
            <w:tcW w:w="127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1,157,811.89</w:t>
            </w:r>
          </w:p>
        </w:tc>
      </w:tr>
      <w:tr w:rsidR="00494617" w:rsidRPr="00494617" w:rsidTr="00494617">
        <w:trPr>
          <w:trHeight w:val="414"/>
        </w:trPr>
        <w:tc>
          <w:tcPr>
            <w:tcW w:w="1136" w:type="dxa"/>
            <w:tcBorders>
              <w:top w:val="nil"/>
              <w:left w:val="single" w:sz="4" w:space="0" w:color="auto"/>
              <w:bottom w:val="single" w:sz="4" w:space="0" w:color="auto"/>
              <w:right w:val="single" w:sz="4" w:space="0" w:color="auto"/>
            </w:tcBorders>
            <w:shd w:val="clear" w:color="000000" w:fill="E2EFDA"/>
            <w:noWrap/>
            <w:vAlign w:val="bottom"/>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w:t>
            </w:r>
          </w:p>
        </w:tc>
        <w:tc>
          <w:tcPr>
            <w:tcW w:w="1326" w:type="dxa"/>
            <w:tcBorders>
              <w:top w:val="nil"/>
              <w:left w:val="nil"/>
              <w:bottom w:val="single" w:sz="4" w:space="0" w:color="auto"/>
              <w:right w:val="single" w:sz="4" w:space="0" w:color="auto"/>
            </w:tcBorders>
            <w:shd w:val="clear" w:color="000000" w:fill="E2EFDA"/>
            <w:noWrap/>
            <w:vAlign w:val="bottom"/>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7,060,461.38</w:t>
            </w:r>
          </w:p>
        </w:tc>
        <w:tc>
          <w:tcPr>
            <w:tcW w:w="1159" w:type="dxa"/>
            <w:tcBorders>
              <w:top w:val="nil"/>
              <w:left w:val="nil"/>
              <w:bottom w:val="single" w:sz="4" w:space="0" w:color="auto"/>
              <w:right w:val="single" w:sz="4" w:space="0" w:color="auto"/>
            </w:tcBorders>
            <w:shd w:val="clear" w:color="000000" w:fill="E2EFDA"/>
            <w:noWrap/>
            <w:vAlign w:val="bottom"/>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118,947.31</w:t>
            </w:r>
          </w:p>
        </w:tc>
        <w:tc>
          <w:tcPr>
            <w:tcW w:w="1340" w:type="dxa"/>
            <w:tcBorders>
              <w:top w:val="nil"/>
              <w:left w:val="nil"/>
              <w:bottom w:val="single" w:sz="4" w:space="0" w:color="auto"/>
              <w:right w:val="single" w:sz="4" w:space="0" w:color="auto"/>
            </w:tcBorders>
            <w:shd w:val="clear" w:color="000000" w:fill="E2EFDA"/>
            <w:noWrap/>
            <w:vAlign w:val="bottom"/>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2,169,551.84</w:t>
            </w:r>
          </w:p>
        </w:tc>
        <w:tc>
          <w:tcPr>
            <w:tcW w:w="1178" w:type="dxa"/>
            <w:tcBorders>
              <w:top w:val="nil"/>
              <w:left w:val="nil"/>
              <w:bottom w:val="single" w:sz="4" w:space="0" w:color="auto"/>
              <w:right w:val="single" w:sz="4" w:space="0" w:color="auto"/>
            </w:tcBorders>
            <w:shd w:val="clear" w:color="000000" w:fill="E2EFDA"/>
            <w:noWrap/>
            <w:vAlign w:val="bottom"/>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1,400,005.09</w:t>
            </w:r>
          </w:p>
        </w:tc>
        <w:tc>
          <w:tcPr>
            <w:tcW w:w="1200" w:type="dxa"/>
            <w:tcBorders>
              <w:top w:val="nil"/>
              <w:left w:val="nil"/>
              <w:bottom w:val="single" w:sz="4" w:space="0" w:color="auto"/>
              <w:right w:val="single" w:sz="4" w:space="0" w:color="auto"/>
            </w:tcBorders>
            <w:shd w:val="clear" w:color="000000" w:fill="E2EFDA"/>
            <w:noWrap/>
            <w:vAlign w:val="bottom"/>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1,122,296.71</w:t>
            </w:r>
          </w:p>
        </w:tc>
        <w:tc>
          <w:tcPr>
            <w:tcW w:w="1141" w:type="dxa"/>
            <w:tcBorders>
              <w:top w:val="nil"/>
              <w:left w:val="nil"/>
              <w:bottom w:val="single" w:sz="4" w:space="0" w:color="auto"/>
              <w:right w:val="single" w:sz="4" w:space="0" w:color="auto"/>
            </w:tcBorders>
            <w:shd w:val="clear" w:color="000000" w:fill="E2EFDA"/>
            <w:noWrap/>
            <w:vAlign w:val="bottom"/>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16,033.32</w:t>
            </w:r>
          </w:p>
        </w:tc>
        <w:tc>
          <w:tcPr>
            <w:tcW w:w="1372" w:type="dxa"/>
            <w:tcBorders>
              <w:top w:val="nil"/>
              <w:left w:val="nil"/>
              <w:bottom w:val="single" w:sz="4" w:space="0" w:color="auto"/>
              <w:right w:val="single" w:sz="4" w:space="0" w:color="auto"/>
            </w:tcBorders>
            <w:shd w:val="clear" w:color="000000" w:fill="E2EFDA"/>
            <w:noWrap/>
            <w:vAlign w:val="bottom"/>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21,664.34</w:t>
            </w:r>
          </w:p>
        </w:tc>
        <w:tc>
          <w:tcPr>
            <w:tcW w:w="1270" w:type="dxa"/>
            <w:tcBorders>
              <w:top w:val="nil"/>
              <w:left w:val="nil"/>
              <w:bottom w:val="single" w:sz="4" w:space="0" w:color="auto"/>
              <w:right w:val="single" w:sz="4" w:space="0" w:color="auto"/>
            </w:tcBorders>
            <w:shd w:val="clear" w:color="000000" w:fill="E2EFDA"/>
            <w:noWrap/>
            <w:vAlign w:val="bottom"/>
            <w:hideMark/>
          </w:tcPr>
          <w:p w:rsidR="00494617" w:rsidRPr="00494617" w:rsidRDefault="00494617" w:rsidP="00494617">
            <w:pPr>
              <w:spacing w:before="0" w:after="0" w:line="240" w:lineRule="auto"/>
              <w:jc w:val="center"/>
              <w:rPr>
                <w:rFonts w:eastAsia="Times New Roman" w:cs="Times New Roman"/>
                <w:b/>
                <w:bCs/>
                <w:color w:val="000000"/>
                <w:sz w:val="18"/>
                <w:szCs w:val="18"/>
                <w:lang w:val="hr-HR" w:eastAsia="en-GB"/>
              </w:rPr>
            </w:pPr>
            <w:r w:rsidRPr="00494617">
              <w:rPr>
                <w:rFonts w:eastAsia="Times New Roman" w:cs="Times New Roman"/>
                <w:b/>
                <w:bCs/>
                <w:color w:val="000000"/>
                <w:sz w:val="18"/>
                <w:szCs w:val="18"/>
                <w:lang w:val="hr-HR" w:eastAsia="en-GB"/>
              </w:rPr>
              <w:t>11,908,959.99</w:t>
            </w:r>
          </w:p>
        </w:tc>
      </w:tr>
    </w:tbl>
    <w:p w:rsidR="00494617" w:rsidRDefault="00494617" w:rsidP="00494617">
      <w:pPr>
        <w:spacing w:before="0" w:after="200" w:line="276" w:lineRule="auto"/>
        <w:jc w:val="center"/>
        <w:rPr>
          <w:rFonts w:ascii="Calibri" w:eastAsia="Times New Roman" w:hAnsi="Calibri" w:cs="Times New Roman"/>
          <w:b/>
          <w:szCs w:val="24"/>
          <w:u w:val="single"/>
          <w:lang w:val="hr-HR"/>
        </w:rPr>
      </w:pPr>
    </w:p>
    <w:p w:rsidR="00494617" w:rsidRPr="00494617" w:rsidRDefault="00494617" w:rsidP="00494617">
      <w:pPr>
        <w:spacing w:before="0" w:after="200" w:line="276" w:lineRule="auto"/>
        <w:jc w:val="center"/>
        <w:rPr>
          <w:rFonts w:ascii="Calibri" w:eastAsia="Times New Roman" w:hAnsi="Calibri" w:cs="Times New Roman"/>
          <w:b/>
          <w:szCs w:val="24"/>
          <w:u w:val="single"/>
          <w:lang w:val="hr-HR"/>
        </w:rPr>
      </w:pPr>
      <w:r w:rsidRPr="00494617">
        <w:rPr>
          <w:rFonts w:ascii="Calibri" w:eastAsia="Times New Roman" w:hAnsi="Calibri" w:cs="Times New Roman"/>
          <w:b/>
          <w:szCs w:val="24"/>
          <w:u w:val="single"/>
          <w:lang w:val="hr-HR"/>
        </w:rPr>
        <w:t>Tabela br. 1</w:t>
      </w:r>
    </w:p>
    <w:p w:rsidR="00494617" w:rsidRPr="00494617" w:rsidRDefault="00494617" w:rsidP="00494617">
      <w:pPr>
        <w:spacing w:before="0" w:after="200" w:line="276" w:lineRule="auto"/>
        <w:rPr>
          <w:rFonts w:ascii="Calibri" w:eastAsia="Times New Roman" w:hAnsi="Calibri" w:cs="Times New Roman"/>
          <w:szCs w:val="24"/>
          <w:lang w:val="hr-HR"/>
        </w:rPr>
      </w:pPr>
      <w:r w:rsidRPr="00494617">
        <w:rPr>
          <w:rFonts w:ascii="Calibri" w:eastAsia="Times New Roman" w:hAnsi="Calibri" w:cs="Times New Roman"/>
          <w:szCs w:val="24"/>
          <w:lang w:val="hr-HR"/>
        </w:rPr>
        <w:t>Kvartalni prihod od igara na sreću i nagradnih igara po osnovu koncesionih naknada je prikazan u tabeli br. 2</w:t>
      </w:r>
    </w:p>
    <w:tbl>
      <w:tblPr>
        <w:tblpPr w:leftFromText="180" w:rightFromText="180" w:vertAnchor="text" w:horzAnchor="margin" w:tblpXSpec="center" w:tblpY="652"/>
        <w:tblW w:w="11052" w:type="dxa"/>
        <w:tblLook w:val="04A0" w:firstRow="1" w:lastRow="0" w:firstColumn="1" w:lastColumn="0" w:noHBand="0" w:noVBand="1"/>
      </w:tblPr>
      <w:tblGrid>
        <w:gridCol w:w="1117"/>
        <w:gridCol w:w="1326"/>
        <w:gridCol w:w="1159"/>
        <w:gridCol w:w="1213"/>
        <w:gridCol w:w="1276"/>
        <w:gridCol w:w="1088"/>
        <w:gridCol w:w="1180"/>
        <w:gridCol w:w="1372"/>
        <w:gridCol w:w="1321"/>
      </w:tblGrid>
      <w:tr w:rsidR="00494617" w:rsidRPr="00494617" w:rsidTr="00494617">
        <w:trPr>
          <w:trHeight w:val="300"/>
        </w:trPr>
        <w:tc>
          <w:tcPr>
            <w:tcW w:w="1117"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494617" w:rsidRPr="00494617" w:rsidRDefault="00494617" w:rsidP="00494617">
            <w:pPr>
              <w:spacing w:before="0" w:after="0" w:line="240" w:lineRule="auto"/>
              <w:jc w:val="center"/>
              <w:rPr>
                <w:rFonts w:ascii="Times New Roman" w:eastAsia="Times New Roman" w:hAnsi="Times New Roman" w:cs="Times New Roman"/>
                <w:b/>
                <w:bCs/>
                <w:color w:val="000000"/>
                <w:sz w:val="16"/>
                <w:szCs w:val="16"/>
                <w:lang w:val="hr-HR" w:eastAsia="en-GB"/>
              </w:rPr>
            </w:pPr>
            <w:r w:rsidRPr="00494617">
              <w:rPr>
                <w:rFonts w:ascii="Times New Roman" w:eastAsia="Times New Roman" w:hAnsi="Times New Roman" w:cs="Times New Roman"/>
                <w:b/>
                <w:bCs/>
                <w:color w:val="000000"/>
                <w:sz w:val="16"/>
                <w:szCs w:val="16"/>
                <w:lang w:val="hr-HR" w:eastAsia="en-GB"/>
              </w:rPr>
              <w:t>2020. GODINA</w:t>
            </w:r>
          </w:p>
        </w:tc>
        <w:tc>
          <w:tcPr>
            <w:tcW w:w="2485" w:type="dxa"/>
            <w:gridSpan w:val="2"/>
            <w:tcBorders>
              <w:top w:val="single" w:sz="4" w:space="0" w:color="auto"/>
              <w:left w:val="nil"/>
              <w:bottom w:val="single" w:sz="4" w:space="0" w:color="auto"/>
              <w:right w:val="single" w:sz="4" w:space="0" w:color="auto"/>
            </w:tcBorders>
            <w:shd w:val="clear" w:color="000000" w:fill="E2EFDA"/>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b/>
                <w:bCs/>
                <w:color w:val="000000"/>
                <w:sz w:val="16"/>
                <w:szCs w:val="16"/>
                <w:lang w:val="hr-HR" w:eastAsia="en-GB"/>
              </w:rPr>
            </w:pPr>
            <w:r w:rsidRPr="00494617">
              <w:rPr>
                <w:rFonts w:ascii="Times New Roman" w:eastAsia="Times New Roman" w:hAnsi="Times New Roman" w:cs="Times New Roman"/>
                <w:b/>
                <w:bCs/>
                <w:color w:val="000000"/>
                <w:sz w:val="16"/>
                <w:szCs w:val="16"/>
                <w:lang w:val="hr-HR" w:eastAsia="en-GB"/>
              </w:rPr>
              <w:t>KLADIONIČKE IGRE</w:t>
            </w:r>
          </w:p>
        </w:tc>
        <w:tc>
          <w:tcPr>
            <w:tcW w:w="1213"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494617" w:rsidRPr="00494617" w:rsidRDefault="00494617" w:rsidP="00494617">
            <w:pPr>
              <w:spacing w:before="0" w:after="0" w:line="240" w:lineRule="auto"/>
              <w:jc w:val="center"/>
              <w:rPr>
                <w:rFonts w:ascii="Times New Roman" w:eastAsia="Times New Roman" w:hAnsi="Times New Roman" w:cs="Times New Roman"/>
                <w:b/>
                <w:bCs/>
                <w:color w:val="000000"/>
                <w:sz w:val="16"/>
                <w:szCs w:val="16"/>
                <w:lang w:val="hr-HR" w:eastAsia="en-GB"/>
              </w:rPr>
            </w:pPr>
            <w:r w:rsidRPr="00494617">
              <w:rPr>
                <w:rFonts w:ascii="Times New Roman" w:eastAsia="Times New Roman" w:hAnsi="Times New Roman" w:cs="Times New Roman"/>
                <w:b/>
                <w:bCs/>
                <w:color w:val="000000"/>
                <w:sz w:val="16"/>
                <w:szCs w:val="16"/>
                <w:lang w:val="hr-HR" w:eastAsia="en-GB"/>
              </w:rPr>
              <w:t>AUTOMAT KLUBOVI</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494617" w:rsidRPr="00494617" w:rsidRDefault="00494617" w:rsidP="00494617">
            <w:pPr>
              <w:spacing w:before="0" w:after="0" w:line="240" w:lineRule="auto"/>
              <w:jc w:val="center"/>
              <w:rPr>
                <w:rFonts w:ascii="Times New Roman" w:eastAsia="Times New Roman" w:hAnsi="Times New Roman" w:cs="Times New Roman"/>
                <w:b/>
                <w:bCs/>
                <w:color w:val="000000"/>
                <w:sz w:val="16"/>
                <w:szCs w:val="16"/>
                <w:lang w:val="hr-HR" w:eastAsia="en-GB"/>
              </w:rPr>
            </w:pPr>
            <w:r w:rsidRPr="00494617">
              <w:rPr>
                <w:rFonts w:ascii="Times New Roman" w:eastAsia="Times New Roman" w:hAnsi="Times New Roman" w:cs="Times New Roman"/>
                <w:b/>
                <w:bCs/>
                <w:color w:val="000000"/>
                <w:sz w:val="16"/>
                <w:szCs w:val="16"/>
                <w:lang w:val="hr-HR" w:eastAsia="en-GB"/>
              </w:rPr>
              <w:t>KAZINA</w:t>
            </w:r>
          </w:p>
        </w:tc>
        <w:tc>
          <w:tcPr>
            <w:tcW w:w="1088"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494617" w:rsidRPr="00494617" w:rsidRDefault="00494617" w:rsidP="00494617">
            <w:pPr>
              <w:spacing w:before="0" w:after="0" w:line="240" w:lineRule="auto"/>
              <w:jc w:val="center"/>
              <w:rPr>
                <w:rFonts w:ascii="Times New Roman" w:eastAsia="Times New Roman" w:hAnsi="Times New Roman" w:cs="Times New Roman"/>
                <w:b/>
                <w:bCs/>
                <w:color w:val="000000"/>
                <w:sz w:val="16"/>
                <w:szCs w:val="16"/>
                <w:lang w:val="hr-HR" w:eastAsia="en-GB"/>
              </w:rPr>
            </w:pPr>
            <w:r w:rsidRPr="00494617">
              <w:rPr>
                <w:rFonts w:ascii="Times New Roman" w:eastAsia="Times New Roman" w:hAnsi="Times New Roman" w:cs="Times New Roman"/>
                <w:b/>
                <w:bCs/>
                <w:color w:val="000000"/>
                <w:sz w:val="16"/>
                <w:szCs w:val="16"/>
                <w:lang w:val="hr-HR" w:eastAsia="en-GB"/>
              </w:rPr>
              <w:t>INTERNET KLAĐENJE</w:t>
            </w:r>
          </w:p>
        </w:tc>
        <w:tc>
          <w:tcPr>
            <w:tcW w:w="1180"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494617" w:rsidRPr="00494617" w:rsidRDefault="00494617" w:rsidP="00494617">
            <w:pPr>
              <w:spacing w:before="0" w:after="0" w:line="240" w:lineRule="auto"/>
              <w:jc w:val="center"/>
              <w:rPr>
                <w:rFonts w:ascii="Times New Roman" w:eastAsia="Times New Roman" w:hAnsi="Times New Roman" w:cs="Times New Roman"/>
                <w:b/>
                <w:bCs/>
                <w:color w:val="000000"/>
                <w:sz w:val="16"/>
                <w:szCs w:val="16"/>
                <w:lang w:val="hr-HR" w:eastAsia="en-GB"/>
              </w:rPr>
            </w:pPr>
            <w:r w:rsidRPr="00494617">
              <w:rPr>
                <w:rFonts w:ascii="Times New Roman" w:eastAsia="Times New Roman" w:hAnsi="Times New Roman" w:cs="Times New Roman"/>
                <w:b/>
                <w:bCs/>
                <w:color w:val="000000"/>
                <w:sz w:val="16"/>
                <w:szCs w:val="16"/>
                <w:lang w:val="hr-HR" w:eastAsia="en-GB"/>
              </w:rPr>
              <w:t>NAGRADNE IGRE</w:t>
            </w:r>
          </w:p>
        </w:tc>
        <w:tc>
          <w:tcPr>
            <w:tcW w:w="1372"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494617" w:rsidRPr="00494617" w:rsidRDefault="00494617" w:rsidP="00494617">
            <w:pPr>
              <w:spacing w:before="0" w:after="0" w:line="240" w:lineRule="auto"/>
              <w:jc w:val="center"/>
              <w:rPr>
                <w:rFonts w:ascii="Times New Roman" w:eastAsia="Times New Roman" w:hAnsi="Times New Roman" w:cs="Times New Roman"/>
                <w:b/>
                <w:bCs/>
                <w:color w:val="000000"/>
                <w:sz w:val="16"/>
                <w:szCs w:val="16"/>
                <w:lang w:val="hr-HR" w:eastAsia="en-GB"/>
              </w:rPr>
            </w:pPr>
            <w:r w:rsidRPr="00494617">
              <w:rPr>
                <w:rFonts w:ascii="Times New Roman" w:eastAsia="Times New Roman" w:hAnsi="Times New Roman" w:cs="Times New Roman"/>
                <w:b/>
                <w:bCs/>
                <w:color w:val="000000"/>
                <w:sz w:val="16"/>
                <w:szCs w:val="16"/>
                <w:lang w:val="hr-HR" w:eastAsia="en-GB"/>
              </w:rPr>
              <w:t>TOMBOLA ZATVORENOG TIPA</w:t>
            </w:r>
          </w:p>
        </w:tc>
        <w:tc>
          <w:tcPr>
            <w:tcW w:w="1321"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494617" w:rsidRPr="00494617" w:rsidRDefault="00494617" w:rsidP="00494617">
            <w:pPr>
              <w:spacing w:before="0" w:after="0" w:line="240" w:lineRule="auto"/>
              <w:jc w:val="center"/>
              <w:rPr>
                <w:rFonts w:ascii="Times New Roman" w:eastAsia="Times New Roman" w:hAnsi="Times New Roman" w:cs="Times New Roman"/>
                <w:b/>
                <w:bCs/>
                <w:color w:val="000000"/>
                <w:sz w:val="16"/>
                <w:szCs w:val="16"/>
                <w:lang w:val="hr-HR" w:eastAsia="en-GB"/>
              </w:rPr>
            </w:pPr>
            <w:r w:rsidRPr="00494617">
              <w:rPr>
                <w:rFonts w:ascii="Times New Roman" w:eastAsia="Times New Roman" w:hAnsi="Times New Roman" w:cs="Times New Roman"/>
                <w:b/>
                <w:bCs/>
                <w:color w:val="000000"/>
                <w:sz w:val="16"/>
                <w:szCs w:val="16"/>
                <w:lang w:val="hr-HR" w:eastAsia="en-GB"/>
              </w:rPr>
              <w:t>UKUPNO</w:t>
            </w:r>
          </w:p>
        </w:tc>
      </w:tr>
      <w:tr w:rsidR="00494617" w:rsidRPr="00494617" w:rsidTr="00494617">
        <w:trPr>
          <w:trHeight w:val="540"/>
        </w:trPr>
        <w:tc>
          <w:tcPr>
            <w:tcW w:w="1117" w:type="dxa"/>
            <w:vMerge/>
            <w:tcBorders>
              <w:top w:val="single" w:sz="4" w:space="0" w:color="auto"/>
              <w:left w:val="single" w:sz="4" w:space="0" w:color="auto"/>
              <w:bottom w:val="single" w:sz="4" w:space="0" w:color="auto"/>
              <w:right w:val="single" w:sz="4" w:space="0" w:color="auto"/>
            </w:tcBorders>
            <w:vAlign w:val="center"/>
            <w:hideMark/>
          </w:tcPr>
          <w:p w:rsidR="00494617" w:rsidRPr="00494617" w:rsidRDefault="00494617" w:rsidP="00494617">
            <w:pPr>
              <w:spacing w:before="0" w:after="0" w:line="240" w:lineRule="auto"/>
              <w:jc w:val="left"/>
              <w:rPr>
                <w:rFonts w:ascii="Times New Roman" w:eastAsia="Times New Roman" w:hAnsi="Times New Roman" w:cs="Times New Roman"/>
                <w:b/>
                <w:bCs/>
                <w:color w:val="000000"/>
                <w:sz w:val="16"/>
                <w:szCs w:val="16"/>
                <w:lang w:val="hr-HR" w:eastAsia="en-GB"/>
              </w:rPr>
            </w:pPr>
          </w:p>
        </w:tc>
        <w:tc>
          <w:tcPr>
            <w:tcW w:w="1326" w:type="dxa"/>
            <w:tcBorders>
              <w:top w:val="nil"/>
              <w:left w:val="nil"/>
              <w:bottom w:val="single" w:sz="4" w:space="0" w:color="auto"/>
              <w:right w:val="single" w:sz="4" w:space="0" w:color="auto"/>
            </w:tcBorders>
            <w:shd w:val="clear" w:color="000000" w:fill="E2EFDA"/>
            <w:noWrap/>
            <w:vAlign w:val="center"/>
            <w:hideMark/>
          </w:tcPr>
          <w:p w:rsidR="00494617" w:rsidRPr="00494617" w:rsidRDefault="00494617" w:rsidP="00494617">
            <w:pPr>
              <w:spacing w:before="0" w:after="0" w:line="240" w:lineRule="auto"/>
              <w:jc w:val="center"/>
              <w:rPr>
                <w:rFonts w:ascii="Times New Roman" w:eastAsia="Times New Roman" w:hAnsi="Times New Roman" w:cs="Times New Roman"/>
                <w:b/>
                <w:bCs/>
                <w:color w:val="000000"/>
                <w:sz w:val="16"/>
                <w:szCs w:val="16"/>
                <w:lang w:val="hr-HR" w:eastAsia="en-GB"/>
              </w:rPr>
            </w:pPr>
            <w:r w:rsidRPr="00494617">
              <w:rPr>
                <w:rFonts w:ascii="Times New Roman" w:eastAsia="Times New Roman" w:hAnsi="Times New Roman" w:cs="Times New Roman"/>
                <w:b/>
                <w:bCs/>
                <w:color w:val="000000"/>
                <w:sz w:val="16"/>
                <w:szCs w:val="16"/>
                <w:lang w:val="hr-HR" w:eastAsia="en-GB"/>
              </w:rPr>
              <w:t>KLADIONICE</w:t>
            </w:r>
          </w:p>
        </w:tc>
        <w:tc>
          <w:tcPr>
            <w:tcW w:w="1159" w:type="dxa"/>
            <w:tcBorders>
              <w:top w:val="nil"/>
              <w:left w:val="nil"/>
              <w:bottom w:val="single" w:sz="4" w:space="0" w:color="auto"/>
              <w:right w:val="single" w:sz="4" w:space="0" w:color="auto"/>
            </w:tcBorders>
            <w:shd w:val="clear" w:color="000000" w:fill="E2EFDA"/>
            <w:noWrap/>
            <w:vAlign w:val="center"/>
            <w:hideMark/>
          </w:tcPr>
          <w:p w:rsidR="00494617" w:rsidRPr="00494617" w:rsidRDefault="00494617" w:rsidP="00494617">
            <w:pPr>
              <w:spacing w:before="0" w:after="0" w:line="240" w:lineRule="auto"/>
              <w:jc w:val="center"/>
              <w:rPr>
                <w:rFonts w:ascii="Times New Roman" w:eastAsia="Times New Roman" w:hAnsi="Times New Roman" w:cs="Times New Roman"/>
                <w:b/>
                <w:bCs/>
                <w:color w:val="000000"/>
                <w:sz w:val="16"/>
                <w:szCs w:val="16"/>
                <w:lang w:val="hr-HR" w:eastAsia="en-GB"/>
              </w:rPr>
            </w:pPr>
            <w:r w:rsidRPr="00494617">
              <w:rPr>
                <w:rFonts w:ascii="Times New Roman" w:eastAsia="Times New Roman" w:hAnsi="Times New Roman" w:cs="Times New Roman"/>
                <w:b/>
                <w:bCs/>
                <w:color w:val="000000"/>
                <w:sz w:val="16"/>
                <w:szCs w:val="16"/>
                <w:lang w:val="hr-HR" w:eastAsia="en-GB"/>
              </w:rPr>
              <w:t>TERMINALI</w:t>
            </w: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494617" w:rsidRPr="00494617" w:rsidRDefault="00494617" w:rsidP="00494617">
            <w:pPr>
              <w:spacing w:before="0" w:after="0" w:line="240" w:lineRule="auto"/>
              <w:jc w:val="left"/>
              <w:rPr>
                <w:rFonts w:ascii="Times New Roman" w:eastAsia="Times New Roman" w:hAnsi="Times New Roman" w:cs="Times New Roman"/>
                <w:b/>
                <w:bCs/>
                <w:color w:val="000000"/>
                <w:sz w:val="16"/>
                <w:szCs w:val="16"/>
                <w:lang w:val="hr-HR" w:eastAsia="en-GB"/>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94617" w:rsidRPr="00494617" w:rsidRDefault="00494617" w:rsidP="00494617">
            <w:pPr>
              <w:spacing w:before="0" w:after="0" w:line="240" w:lineRule="auto"/>
              <w:jc w:val="left"/>
              <w:rPr>
                <w:rFonts w:ascii="Times New Roman" w:eastAsia="Times New Roman" w:hAnsi="Times New Roman" w:cs="Times New Roman"/>
                <w:b/>
                <w:bCs/>
                <w:color w:val="000000"/>
                <w:sz w:val="16"/>
                <w:szCs w:val="16"/>
                <w:lang w:val="hr-HR" w:eastAsia="en-GB"/>
              </w:rPr>
            </w:pPr>
          </w:p>
        </w:tc>
        <w:tc>
          <w:tcPr>
            <w:tcW w:w="1088" w:type="dxa"/>
            <w:vMerge/>
            <w:tcBorders>
              <w:top w:val="single" w:sz="4" w:space="0" w:color="auto"/>
              <w:left w:val="single" w:sz="4" w:space="0" w:color="auto"/>
              <w:bottom w:val="single" w:sz="4" w:space="0" w:color="auto"/>
              <w:right w:val="single" w:sz="4" w:space="0" w:color="auto"/>
            </w:tcBorders>
            <w:vAlign w:val="center"/>
            <w:hideMark/>
          </w:tcPr>
          <w:p w:rsidR="00494617" w:rsidRPr="00494617" w:rsidRDefault="00494617" w:rsidP="00494617">
            <w:pPr>
              <w:spacing w:before="0" w:after="0" w:line="240" w:lineRule="auto"/>
              <w:jc w:val="left"/>
              <w:rPr>
                <w:rFonts w:ascii="Times New Roman" w:eastAsia="Times New Roman" w:hAnsi="Times New Roman" w:cs="Times New Roman"/>
                <w:b/>
                <w:bCs/>
                <w:color w:val="000000"/>
                <w:sz w:val="16"/>
                <w:szCs w:val="16"/>
                <w:lang w:val="hr-HR" w:eastAsia="en-GB"/>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rsidR="00494617" w:rsidRPr="00494617" w:rsidRDefault="00494617" w:rsidP="00494617">
            <w:pPr>
              <w:spacing w:before="0" w:after="0" w:line="240" w:lineRule="auto"/>
              <w:jc w:val="left"/>
              <w:rPr>
                <w:rFonts w:ascii="Times New Roman" w:eastAsia="Times New Roman" w:hAnsi="Times New Roman" w:cs="Times New Roman"/>
                <w:b/>
                <w:bCs/>
                <w:color w:val="000000"/>
                <w:sz w:val="16"/>
                <w:szCs w:val="16"/>
                <w:lang w:val="hr-HR" w:eastAsia="en-GB"/>
              </w:rPr>
            </w:pPr>
          </w:p>
        </w:tc>
        <w:tc>
          <w:tcPr>
            <w:tcW w:w="1372" w:type="dxa"/>
            <w:vMerge/>
            <w:tcBorders>
              <w:top w:val="single" w:sz="4" w:space="0" w:color="auto"/>
              <w:left w:val="single" w:sz="4" w:space="0" w:color="auto"/>
              <w:bottom w:val="single" w:sz="4" w:space="0" w:color="auto"/>
              <w:right w:val="single" w:sz="4" w:space="0" w:color="auto"/>
            </w:tcBorders>
            <w:vAlign w:val="center"/>
            <w:hideMark/>
          </w:tcPr>
          <w:p w:rsidR="00494617" w:rsidRPr="00494617" w:rsidRDefault="00494617" w:rsidP="00494617">
            <w:pPr>
              <w:spacing w:before="0" w:after="0" w:line="240" w:lineRule="auto"/>
              <w:jc w:val="left"/>
              <w:rPr>
                <w:rFonts w:ascii="Times New Roman" w:eastAsia="Times New Roman" w:hAnsi="Times New Roman" w:cs="Times New Roman"/>
                <w:b/>
                <w:bCs/>
                <w:color w:val="000000"/>
                <w:sz w:val="16"/>
                <w:szCs w:val="16"/>
                <w:lang w:val="hr-HR" w:eastAsia="en-GB"/>
              </w:rPr>
            </w:pPr>
          </w:p>
        </w:tc>
        <w:tc>
          <w:tcPr>
            <w:tcW w:w="1321" w:type="dxa"/>
            <w:vMerge/>
            <w:tcBorders>
              <w:top w:val="single" w:sz="4" w:space="0" w:color="auto"/>
              <w:left w:val="single" w:sz="4" w:space="0" w:color="auto"/>
              <w:bottom w:val="single" w:sz="4" w:space="0" w:color="auto"/>
              <w:right w:val="single" w:sz="4" w:space="0" w:color="auto"/>
            </w:tcBorders>
            <w:vAlign w:val="center"/>
            <w:hideMark/>
          </w:tcPr>
          <w:p w:rsidR="00494617" w:rsidRPr="00494617" w:rsidRDefault="00494617" w:rsidP="00494617">
            <w:pPr>
              <w:spacing w:before="0" w:after="0" w:line="240" w:lineRule="auto"/>
              <w:jc w:val="left"/>
              <w:rPr>
                <w:rFonts w:ascii="Times New Roman" w:eastAsia="Times New Roman" w:hAnsi="Times New Roman" w:cs="Times New Roman"/>
                <w:b/>
                <w:bCs/>
                <w:color w:val="000000"/>
                <w:sz w:val="16"/>
                <w:szCs w:val="16"/>
                <w:lang w:val="hr-HR" w:eastAsia="en-GB"/>
              </w:rPr>
            </w:pPr>
          </w:p>
        </w:tc>
      </w:tr>
      <w:tr w:rsidR="00494617" w:rsidRPr="00494617" w:rsidTr="00494617">
        <w:trPr>
          <w:trHeight w:val="300"/>
        </w:trPr>
        <w:tc>
          <w:tcPr>
            <w:tcW w:w="1117"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left"/>
              <w:rPr>
                <w:rFonts w:ascii="Times New Roman" w:eastAsia="Times New Roman" w:hAnsi="Times New Roman" w:cs="Times New Roman"/>
                <w:b/>
                <w:bCs/>
                <w:color w:val="000000"/>
                <w:sz w:val="18"/>
                <w:szCs w:val="16"/>
                <w:lang w:val="hr-HR" w:eastAsia="en-GB"/>
              </w:rPr>
            </w:pPr>
            <w:r w:rsidRPr="00494617">
              <w:rPr>
                <w:rFonts w:ascii="Times New Roman" w:eastAsia="Times New Roman" w:hAnsi="Times New Roman" w:cs="Times New Roman"/>
                <w:b/>
                <w:bCs/>
                <w:color w:val="000000"/>
                <w:sz w:val="18"/>
                <w:szCs w:val="16"/>
                <w:lang w:val="hr-HR" w:eastAsia="en-GB"/>
              </w:rPr>
              <w:t>I KVARTAL</w:t>
            </w:r>
          </w:p>
        </w:tc>
        <w:tc>
          <w:tcPr>
            <w:tcW w:w="1326"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color w:val="000000"/>
                <w:sz w:val="18"/>
                <w:szCs w:val="16"/>
                <w:lang w:val="hr-HR" w:eastAsia="en-GB"/>
              </w:rPr>
            </w:pPr>
            <w:r w:rsidRPr="00494617">
              <w:rPr>
                <w:rFonts w:ascii="Times New Roman" w:eastAsia="Times New Roman" w:hAnsi="Times New Roman" w:cs="Times New Roman"/>
                <w:color w:val="000000"/>
                <w:sz w:val="18"/>
                <w:szCs w:val="16"/>
                <w:lang w:val="hr-HR" w:eastAsia="en-GB"/>
              </w:rPr>
              <w:t>2,088,023.62</w:t>
            </w:r>
          </w:p>
        </w:tc>
        <w:tc>
          <w:tcPr>
            <w:tcW w:w="1159"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color w:val="000000"/>
                <w:sz w:val="18"/>
                <w:szCs w:val="16"/>
                <w:lang w:val="hr-HR" w:eastAsia="en-GB"/>
              </w:rPr>
            </w:pPr>
            <w:r w:rsidRPr="00494617">
              <w:rPr>
                <w:rFonts w:ascii="Times New Roman" w:eastAsia="Times New Roman" w:hAnsi="Times New Roman" w:cs="Times New Roman"/>
                <w:color w:val="000000"/>
                <w:sz w:val="18"/>
                <w:szCs w:val="16"/>
                <w:lang w:val="hr-HR" w:eastAsia="en-GB"/>
              </w:rPr>
              <w:t>60,614.52</w:t>
            </w:r>
          </w:p>
        </w:tc>
        <w:tc>
          <w:tcPr>
            <w:tcW w:w="1213"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color w:val="000000"/>
                <w:sz w:val="18"/>
                <w:szCs w:val="16"/>
                <w:lang w:val="hr-HR" w:eastAsia="en-GB"/>
              </w:rPr>
            </w:pPr>
            <w:r w:rsidRPr="00494617">
              <w:rPr>
                <w:rFonts w:ascii="Times New Roman" w:eastAsia="Times New Roman" w:hAnsi="Times New Roman" w:cs="Times New Roman"/>
                <w:color w:val="000000"/>
                <w:sz w:val="18"/>
                <w:szCs w:val="16"/>
                <w:lang w:val="hr-HR" w:eastAsia="en-GB"/>
              </w:rPr>
              <w:t>593,271.88</w:t>
            </w:r>
          </w:p>
        </w:tc>
        <w:tc>
          <w:tcPr>
            <w:tcW w:w="1276"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color w:val="000000"/>
                <w:sz w:val="18"/>
                <w:szCs w:val="16"/>
                <w:lang w:val="hr-HR" w:eastAsia="en-GB"/>
              </w:rPr>
            </w:pPr>
            <w:r w:rsidRPr="00494617">
              <w:rPr>
                <w:rFonts w:ascii="Times New Roman" w:eastAsia="Times New Roman" w:hAnsi="Times New Roman" w:cs="Times New Roman"/>
                <w:color w:val="000000"/>
                <w:sz w:val="18"/>
                <w:szCs w:val="16"/>
                <w:lang w:val="hr-HR" w:eastAsia="en-GB"/>
              </w:rPr>
              <w:t>546,961.51</w:t>
            </w:r>
          </w:p>
        </w:tc>
        <w:tc>
          <w:tcPr>
            <w:tcW w:w="1088"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color w:val="000000"/>
                <w:sz w:val="18"/>
                <w:szCs w:val="16"/>
                <w:lang w:val="hr-HR" w:eastAsia="en-GB"/>
              </w:rPr>
            </w:pPr>
            <w:r w:rsidRPr="00494617">
              <w:rPr>
                <w:rFonts w:ascii="Times New Roman" w:eastAsia="Times New Roman" w:hAnsi="Times New Roman" w:cs="Times New Roman"/>
                <w:color w:val="000000"/>
                <w:sz w:val="18"/>
                <w:szCs w:val="16"/>
                <w:lang w:val="hr-HR" w:eastAsia="en-GB"/>
              </w:rPr>
              <w:t>211,724.13</w:t>
            </w:r>
          </w:p>
        </w:tc>
        <w:tc>
          <w:tcPr>
            <w:tcW w:w="118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color w:val="000000"/>
                <w:sz w:val="18"/>
                <w:szCs w:val="16"/>
                <w:lang w:val="hr-HR" w:eastAsia="en-GB"/>
              </w:rPr>
            </w:pPr>
            <w:r w:rsidRPr="00494617">
              <w:rPr>
                <w:rFonts w:ascii="Times New Roman" w:eastAsia="Times New Roman" w:hAnsi="Times New Roman" w:cs="Times New Roman"/>
                <w:color w:val="000000"/>
                <w:sz w:val="18"/>
                <w:szCs w:val="16"/>
                <w:lang w:val="hr-HR" w:eastAsia="en-GB"/>
              </w:rPr>
              <w:t>4,739.10</w:t>
            </w:r>
          </w:p>
        </w:tc>
        <w:tc>
          <w:tcPr>
            <w:tcW w:w="1372"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color w:val="000000"/>
                <w:sz w:val="18"/>
                <w:szCs w:val="16"/>
                <w:lang w:val="hr-HR" w:eastAsia="en-GB"/>
              </w:rPr>
            </w:pPr>
            <w:r w:rsidRPr="00494617">
              <w:rPr>
                <w:rFonts w:ascii="Times New Roman" w:eastAsia="Times New Roman" w:hAnsi="Times New Roman" w:cs="Times New Roman"/>
                <w:color w:val="000000"/>
                <w:sz w:val="18"/>
                <w:szCs w:val="16"/>
                <w:lang w:val="hr-HR" w:eastAsia="en-GB"/>
              </w:rPr>
              <w:t>1,865.07</w:t>
            </w:r>
          </w:p>
        </w:tc>
        <w:tc>
          <w:tcPr>
            <w:tcW w:w="1321"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b/>
                <w:bCs/>
                <w:color w:val="000000"/>
                <w:sz w:val="18"/>
                <w:szCs w:val="16"/>
                <w:lang w:val="hr-HR" w:eastAsia="en-GB"/>
              </w:rPr>
            </w:pPr>
            <w:r w:rsidRPr="00494617">
              <w:rPr>
                <w:rFonts w:ascii="Times New Roman" w:eastAsia="Times New Roman" w:hAnsi="Times New Roman" w:cs="Times New Roman"/>
                <w:b/>
                <w:bCs/>
                <w:color w:val="000000"/>
                <w:sz w:val="18"/>
                <w:szCs w:val="16"/>
                <w:lang w:val="hr-HR" w:eastAsia="en-GB"/>
              </w:rPr>
              <w:t>3,507,199.83</w:t>
            </w:r>
          </w:p>
        </w:tc>
      </w:tr>
      <w:tr w:rsidR="00494617" w:rsidRPr="00494617" w:rsidTr="00494617">
        <w:trPr>
          <w:trHeight w:val="300"/>
        </w:trPr>
        <w:tc>
          <w:tcPr>
            <w:tcW w:w="1117"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left"/>
              <w:rPr>
                <w:rFonts w:ascii="Times New Roman" w:eastAsia="Times New Roman" w:hAnsi="Times New Roman" w:cs="Times New Roman"/>
                <w:b/>
                <w:bCs/>
                <w:color w:val="000000"/>
                <w:sz w:val="18"/>
                <w:szCs w:val="16"/>
                <w:lang w:val="hr-HR" w:eastAsia="en-GB"/>
              </w:rPr>
            </w:pPr>
            <w:r w:rsidRPr="00494617">
              <w:rPr>
                <w:rFonts w:ascii="Times New Roman" w:eastAsia="Times New Roman" w:hAnsi="Times New Roman" w:cs="Times New Roman"/>
                <w:b/>
                <w:bCs/>
                <w:color w:val="000000"/>
                <w:sz w:val="18"/>
                <w:szCs w:val="16"/>
                <w:lang w:val="hr-HR" w:eastAsia="en-GB"/>
              </w:rPr>
              <w:t>II KVARTAL</w:t>
            </w:r>
          </w:p>
        </w:tc>
        <w:tc>
          <w:tcPr>
            <w:tcW w:w="1326"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color w:val="000000"/>
                <w:sz w:val="18"/>
                <w:szCs w:val="16"/>
                <w:lang w:val="hr-HR" w:eastAsia="en-GB"/>
              </w:rPr>
            </w:pPr>
            <w:r w:rsidRPr="00494617">
              <w:rPr>
                <w:rFonts w:ascii="Times New Roman" w:eastAsia="Times New Roman" w:hAnsi="Times New Roman" w:cs="Times New Roman"/>
                <w:color w:val="000000"/>
                <w:sz w:val="18"/>
                <w:szCs w:val="16"/>
                <w:lang w:val="hr-HR" w:eastAsia="en-GB"/>
              </w:rPr>
              <w:t>543,912.21</w:t>
            </w:r>
          </w:p>
        </w:tc>
        <w:tc>
          <w:tcPr>
            <w:tcW w:w="1159"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color w:val="000000"/>
                <w:sz w:val="18"/>
                <w:szCs w:val="16"/>
                <w:lang w:val="hr-HR" w:eastAsia="en-GB"/>
              </w:rPr>
            </w:pPr>
            <w:r w:rsidRPr="00494617">
              <w:rPr>
                <w:rFonts w:ascii="Times New Roman" w:eastAsia="Times New Roman" w:hAnsi="Times New Roman" w:cs="Times New Roman"/>
                <w:color w:val="000000"/>
                <w:sz w:val="18"/>
                <w:szCs w:val="16"/>
                <w:lang w:val="hr-HR" w:eastAsia="en-GB"/>
              </w:rPr>
              <w:t>15,434.77</w:t>
            </w:r>
          </w:p>
        </w:tc>
        <w:tc>
          <w:tcPr>
            <w:tcW w:w="1213"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color w:val="000000"/>
                <w:sz w:val="18"/>
                <w:szCs w:val="16"/>
                <w:lang w:val="hr-HR" w:eastAsia="en-GB"/>
              </w:rPr>
            </w:pPr>
            <w:r w:rsidRPr="00494617">
              <w:rPr>
                <w:rFonts w:ascii="Times New Roman" w:eastAsia="Times New Roman" w:hAnsi="Times New Roman" w:cs="Times New Roman"/>
                <w:color w:val="000000"/>
                <w:sz w:val="18"/>
                <w:szCs w:val="16"/>
                <w:lang w:val="hr-HR" w:eastAsia="en-GB"/>
              </w:rPr>
              <w:t>220,380.51</w:t>
            </w:r>
          </w:p>
        </w:tc>
        <w:tc>
          <w:tcPr>
            <w:tcW w:w="1276"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color w:val="000000"/>
                <w:sz w:val="18"/>
                <w:szCs w:val="16"/>
                <w:lang w:val="hr-HR" w:eastAsia="en-GB"/>
              </w:rPr>
            </w:pPr>
            <w:r w:rsidRPr="00494617">
              <w:rPr>
                <w:rFonts w:ascii="Times New Roman" w:eastAsia="Times New Roman" w:hAnsi="Times New Roman" w:cs="Times New Roman"/>
                <w:color w:val="000000"/>
                <w:sz w:val="18"/>
                <w:szCs w:val="16"/>
                <w:lang w:val="hr-HR" w:eastAsia="en-GB"/>
              </w:rPr>
              <w:t>67,622.21</w:t>
            </w:r>
          </w:p>
        </w:tc>
        <w:tc>
          <w:tcPr>
            <w:tcW w:w="1088"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color w:val="000000"/>
                <w:sz w:val="18"/>
                <w:szCs w:val="16"/>
                <w:lang w:val="hr-HR" w:eastAsia="en-GB"/>
              </w:rPr>
            </w:pPr>
            <w:r w:rsidRPr="00494617">
              <w:rPr>
                <w:rFonts w:ascii="Times New Roman" w:eastAsia="Times New Roman" w:hAnsi="Times New Roman" w:cs="Times New Roman"/>
                <w:color w:val="000000"/>
                <w:sz w:val="18"/>
                <w:szCs w:val="16"/>
                <w:lang w:val="hr-HR" w:eastAsia="en-GB"/>
              </w:rPr>
              <w:t>180,328.31</w:t>
            </w:r>
          </w:p>
        </w:tc>
        <w:tc>
          <w:tcPr>
            <w:tcW w:w="118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color w:val="000000"/>
                <w:sz w:val="18"/>
                <w:szCs w:val="16"/>
                <w:lang w:val="hr-HR" w:eastAsia="en-GB"/>
              </w:rPr>
            </w:pPr>
            <w:r w:rsidRPr="00494617">
              <w:rPr>
                <w:rFonts w:ascii="Times New Roman" w:eastAsia="Times New Roman" w:hAnsi="Times New Roman" w:cs="Times New Roman"/>
                <w:color w:val="000000"/>
                <w:sz w:val="18"/>
                <w:szCs w:val="16"/>
                <w:lang w:val="hr-HR" w:eastAsia="en-GB"/>
              </w:rPr>
              <w:t>2,652.80</w:t>
            </w:r>
          </w:p>
        </w:tc>
        <w:tc>
          <w:tcPr>
            <w:tcW w:w="1372"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color w:val="000000"/>
                <w:sz w:val="18"/>
                <w:szCs w:val="16"/>
                <w:lang w:val="hr-HR" w:eastAsia="en-GB"/>
              </w:rPr>
            </w:pPr>
            <w:r w:rsidRPr="00494617">
              <w:rPr>
                <w:rFonts w:ascii="Times New Roman" w:eastAsia="Times New Roman" w:hAnsi="Times New Roman" w:cs="Times New Roman"/>
                <w:color w:val="000000"/>
                <w:sz w:val="18"/>
                <w:szCs w:val="16"/>
                <w:lang w:val="hr-HR" w:eastAsia="en-GB"/>
              </w:rPr>
              <w:t>413.82</w:t>
            </w:r>
          </w:p>
        </w:tc>
        <w:tc>
          <w:tcPr>
            <w:tcW w:w="1321"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b/>
                <w:bCs/>
                <w:color w:val="000000"/>
                <w:sz w:val="18"/>
                <w:szCs w:val="16"/>
                <w:lang w:val="hr-HR" w:eastAsia="en-GB"/>
              </w:rPr>
            </w:pPr>
            <w:r w:rsidRPr="00494617">
              <w:rPr>
                <w:rFonts w:ascii="Times New Roman" w:eastAsia="Times New Roman" w:hAnsi="Times New Roman" w:cs="Times New Roman"/>
                <w:b/>
                <w:bCs/>
                <w:color w:val="000000"/>
                <w:sz w:val="18"/>
                <w:szCs w:val="16"/>
                <w:lang w:val="hr-HR" w:eastAsia="en-GB"/>
              </w:rPr>
              <w:t>1,030,744.63</w:t>
            </w:r>
          </w:p>
        </w:tc>
      </w:tr>
      <w:tr w:rsidR="00494617" w:rsidRPr="00494617" w:rsidTr="00494617">
        <w:trPr>
          <w:trHeight w:val="300"/>
        </w:trPr>
        <w:tc>
          <w:tcPr>
            <w:tcW w:w="1117"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left"/>
              <w:rPr>
                <w:rFonts w:ascii="Times New Roman" w:eastAsia="Times New Roman" w:hAnsi="Times New Roman" w:cs="Times New Roman"/>
                <w:b/>
                <w:bCs/>
                <w:color w:val="000000"/>
                <w:sz w:val="18"/>
                <w:szCs w:val="16"/>
                <w:lang w:val="hr-HR" w:eastAsia="en-GB"/>
              </w:rPr>
            </w:pPr>
            <w:r w:rsidRPr="00494617">
              <w:rPr>
                <w:rFonts w:ascii="Times New Roman" w:eastAsia="Times New Roman" w:hAnsi="Times New Roman" w:cs="Times New Roman"/>
                <w:b/>
                <w:bCs/>
                <w:color w:val="000000"/>
                <w:sz w:val="18"/>
                <w:szCs w:val="16"/>
                <w:lang w:val="hr-HR" w:eastAsia="en-GB"/>
              </w:rPr>
              <w:t xml:space="preserve">III KVARTAL </w:t>
            </w:r>
          </w:p>
        </w:tc>
        <w:tc>
          <w:tcPr>
            <w:tcW w:w="1326"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color w:val="000000"/>
                <w:sz w:val="18"/>
                <w:szCs w:val="16"/>
                <w:lang w:val="hr-HR" w:eastAsia="en-GB"/>
              </w:rPr>
            </w:pPr>
            <w:r w:rsidRPr="00494617">
              <w:rPr>
                <w:rFonts w:ascii="Times New Roman" w:eastAsia="Times New Roman" w:hAnsi="Times New Roman" w:cs="Times New Roman"/>
                <w:color w:val="000000"/>
                <w:sz w:val="18"/>
                <w:szCs w:val="16"/>
                <w:lang w:val="hr-HR" w:eastAsia="en-GB"/>
              </w:rPr>
              <w:t>2,209,400.04</w:t>
            </w:r>
          </w:p>
        </w:tc>
        <w:tc>
          <w:tcPr>
            <w:tcW w:w="1159"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color w:val="000000"/>
                <w:sz w:val="18"/>
                <w:szCs w:val="16"/>
                <w:lang w:val="hr-HR" w:eastAsia="en-GB"/>
              </w:rPr>
            </w:pPr>
            <w:r w:rsidRPr="00494617">
              <w:rPr>
                <w:rFonts w:ascii="Times New Roman" w:eastAsia="Times New Roman" w:hAnsi="Times New Roman" w:cs="Times New Roman"/>
                <w:color w:val="000000"/>
                <w:sz w:val="18"/>
                <w:szCs w:val="16"/>
                <w:lang w:val="hr-HR" w:eastAsia="en-GB"/>
              </w:rPr>
              <w:t>27,401.87</w:t>
            </w:r>
          </w:p>
        </w:tc>
        <w:tc>
          <w:tcPr>
            <w:tcW w:w="1213"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color w:val="000000"/>
                <w:sz w:val="18"/>
                <w:szCs w:val="16"/>
                <w:lang w:val="hr-HR" w:eastAsia="en-GB"/>
              </w:rPr>
            </w:pPr>
            <w:r w:rsidRPr="00494617">
              <w:rPr>
                <w:rFonts w:ascii="Times New Roman" w:eastAsia="Times New Roman" w:hAnsi="Times New Roman" w:cs="Times New Roman"/>
                <w:color w:val="000000"/>
                <w:sz w:val="18"/>
                <w:szCs w:val="16"/>
                <w:lang w:val="hr-HR" w:eastAsia="en-GB"/>
              </w:rPr>
              <w:t>725,805.19</w:t>
            </w:r>
          </w:p>
        </w:tc>
        <w:tc>
          <w:tcPr>
            <w:tcW w:w="1276"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color w:val="000000"/>
                <w:sz w:val="18"/>
                <w:szCs w:val="16"/>
                <w:lang w:val="hr-HR" w:eastAsia="en-GB"/>
              </w:rPr>
            </w:pPr>
            <w:r w:rsidRPr="00494617">
              <w:rPr>
                <w:rFonts w:ascii="Times New Roman" w:eastAsia="Times New Roman" w:hAnsi="Times New Roman" w:cs="Times New Roman"/>
                <w:color w:val="000000"/>
                <w:sz w:val="18"/>
                <w:szCs w:val="16"/>
                <w:lang w:val="hr-HR" w:eastAsia="en-GB"/>
              </w:rPr>
              <w:t>368,616.98</w:t>
            </w:r>
          </w:p>
        </w:tc>
        <w:tc>
          <w:tcPr>
            <w:tcW w:w="1088"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color w:val="000000"/>
                <w:sz w:val="18"/>
                <w:szCs w:val="16"/>
                <w:lang w:val="hr-HR" w:eastAsia="en-GB"/>
              </w:rPr>
            </w:pPr>
            <w:r w:rsidRPr="00494617">
              <w:rPr>
                <w:rFonts w:ascii="Times New Roman" w:eastAsia="Times New Roman" w:hAnsi="Times New Roman" w:cs="Times New Roman"/>
                <w:color w:val="000000"/>
                <w:sz w:val="18"/>
                <w:szCs w:val="16"/>
                <w:lang w:val="hr-HR" w:eastAsia="en-GB"/>
              </w:rPr>
              <w:t>383,994.27</w:t>
            </w:r>
          </w:p>
        </w:tc>
        <w:tc>
          <w:tcPr>
            <w:tcW w:w="118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color w:val="000000"/>
                <w:sz w:val="18"/>
                <w:szCs w:val="16"/>
                <w:lang w:val="hr-HR" w:eastAsia="en-GB"/>
              </w:rPr>
            </w:pPr>
            <w:r w:rsidRPr="00494617">
              <w:rPr>
                <w:rFonts w:ascii="Times New Roman" w:eastAsia="Times New Roman" w:hAnsi="Times New Roman" w:cs="Times New Roman"/>
                <w:color w:val="000000"/>
                <w:sz w:val="18"/>
                <w:szCs w:val="16"/>
                <w:lang w:val="hr-HR" w:eastAsia="en-GB"/>
              </w:rPr>
              <w:t>5,179.73</w:t>
            </w:r>
          </w:p>
        </w:tc>
        <w:tc>
          <w:tcPr>
            <w:tcW w:w="1372"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color w:val="000000"/>
                <w:sz w:val="18"/>
                <w:szCs w:val="16"/>
                <w:lang w:val="hr-HR" w:eastAsia="en-GB"/>
              </w:rPr>
            </w:pPr>
            <w:r w:rsidRPr="00494617">
              <w:rPr>
                <w:rFonts w:ascii="Times New Roman" w:eastAsia="Times New Roman" w:hAnsi="Times New Roman" w:cs="Times New Roman"/>
                <w:color w:val="000000"/>
                <w:sz w:val="18"/>
                <w:szCs w:val="16"/>
                <w:lang w:val="hr-HR" w:eastAsia="en-GB"/>
              </w:rPr>
              <w:t>1,554.58</w:t>
            </w:r>
          </w:p>
        </w:tc>
        <w:tc>
          <w:tcPr>
            <w:tcW w:w="1321"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b/>
                <w:bCs/>
                <w:color w:val="000000"/>
                <w:sz w:val="18"/>
                <w:szCs w:val="16"/>
                <w:lang w:val="hr-HR" w:eastAsia="en-GB"/>
              </w:rPr>
            </w:pPr>
            <w:r w:rsidRPr="00494617">
              <w:rPr>
                <w:rFonts w:ascii="Times New Roman" w:eastAsia="Times New Roman" w:hAnsi="Times New Roman" w:cs="Times New Roman"/>
                <w:b/>
                <w:bCs/>
                <w:color w:val="000000"/>
                <w:sz w:val="18"/>
                <w:szCs w:val="16"/>
                <w:lang w:val="hr-HR" w:eastAsia="en-GB"/>
              </w:rPr>
              <w:t>3,721,952.66</w:t>
            </w:r>
          </w:p>
        </w:tc>
      </w:tr>
      <w:tr w:rsidR="00494617" w:rsidRPr="00494617" w:rsidTr="00494617">
        <w:trPr>
          <w:trHeight w:val="300"/>
        </w:trPr>
        <w:tc>
          <w:tcPr>
            <w:tcW w:w="1117"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left"/>
              <w:rPr>
                <w:rFonts w:ascii="Times New Roman" w:eastAsia="Times New Roman" w:hAnsi="Times New Roman" w:cs="Times New Roman"/>
                <w:b/>
                <w:bCs/>
                <w:color w:val="000000"/>
                <w:sz w:val="18"/>
                <w:szCs w:val="16"/>
                <w:lang w:val="hr-HR" w:eastAsia="en-GB"/>
              </w:rPr>
            </w:pPr>
            <w:r w:rsidRPr="00494617">
              <w:rPr>
                <w:rFonts w:ascii="Times New Roman" w:eastAsia="Times New Roman" w:hAnsi="Times New Roman" w:cs="Times New Roman"/>
                <w:b/>
                <w:bCs/>
                <w:color w:val="000000"/>
                <w:sz w:val="18"/>
                <w:szCs w:val="16"/>
                <w:lang w:val="hr-HR" w:eastAsia="en-GB"/>
              </w:rPr>
              <w:t>IV KVARTAL</w:t>
            </w:r>
          </w:p>
        </w:tc>
        <w:tc>
          <w:tcPr>
            <w:tcW w:w="1326"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color w:val="000000"/>
                <w:sz w:val="18"/>
                <w:szCs w:val="16"/>
                <w:lang w:val="hr-HR" w:eastAsia="en-GB"/>
              </w:rPr>
            </w:pPr>
            <w:r w:rsidRPr="00494617">
              <w:rPr>
                <w:rFonts w:ascii="Times New Roman" w:eastAsia="Times New Roman" w:hAnsi="Times New Roman" w:cs="Times New Roman"/>
                <w:color w:val="000000"/>
                <w:sz w:val="18"/>
                <w:szCs w:val="16"/>
                <w:lang w:val="hr-HR" w:eastAsia="en-GB"/>
              </w:rPr>
              <w:t>2,219,125.51</w:t>
            </w:r>
          </w:p>
        </w:tc>
        <w:tc>
          <w:tcPr>
            <w:tcW w:w="1159"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color w:val="000000"/>
                <w:sz w:val="18"/>
                <w:szCs w:val="16"/>
                <w:lang w:val="hr-HR" w:eastAsia="en-GB"/>
              </w:rPr>
            </w:pPr>
            <w:r w:rsidRPr="00494617">
              <w:rPr>
                <w:rFonts w:ascii="Times New Roman" w:eastAsia="Times New Roman" w:hAnsi="Times New Roman" w:cs="Times New Roman"/>
                <w:color w:val="000000"/>
                <w:sz w:val="18"/>
                <w:szCs w:val="16"/>
                <w:lang w:val="hr-HR" w:eastAsia="en-GB"/>
              </w:rPr>
              <w:t>15,496.15</w:t>
            </w:r>
          </w:p>
        </w:tc>
        <w:tc>
          <w:tcPr>
            <w:tcW w:w="1213"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color w:val="000000"/>
                <w:sz w:val="18"/>
                <w:szCs w:val="16"/>
                <w:lang w:val="hr-HR" w:eastAsia="en-GB"/>
              </w:rPr>
            </w:pPr>
            <w:r w:rsidRPr="00494617">
              <w:rPr>
                <w:rFonts w:ascii="Times New Roman" w:eastAsia="Times New Roman" w:hAnsi="Times New Roman" w:cs="Times New Roman"/>
                <w:color w:val="000000"/>
                <w:sz w:val="18"/>
                <w:szCs w:val="16"/>
                <w:lang w:val="hr-HR" w:eastAsia="en-GB"/>
              </w:rPr>
              <w:t>630,094.26</w:t>
            </w:r>
          </w:p>
        </w:tc>
        <w:tc>
          <w:tcPr>
            <w:tcW w:w="1276"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color w:val="000000"/>
                <w:sz w:val="18"/>
                <w:szCs w:val="16"/>
                <w:lang w:val="hr-HR" w:eastAsia="en-GB"/>
              </w:rPr>
            </w:pPr>
            <w:r w:rsidRPr="00494617">
              <w:rPr>
                <w:rFonts w:ascii="Times New Roman" w:eastAsia="Times New Roman" w:hAnsi="Times New Roman" w:cs="Times New Roman"/>
                <w:color w:val="000000"/>
                <w:sz w:val="18"/>
                <w:szCs w:val="16"/>
                <w:lang w:val="hr-HR" w:eastAsia="en-GB"/>
              </w:rPr>
              <w:t>416,804.39</w:t>
            </w:r>
          </w:p>
        </w:tc>
        <w:tc>
          <w:tcPr>
            <w:tcW w:w="1088"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color w:val="000000"/>
                <w:sz w:val="18"/>
                <w:szCs w:val="16"/>
                <w:lang w:val="hr-HR" w:eastAsia="en-GB"/>
              </w:rPr>
            </w:pPr>
            <w:r w:rsidRPr="00494617">
              <w:rPr>
                <w:rFonts w:ascii="Times New Roman" w:eastAsia="Times New Roman" w:hAnsi="Times New Roman" w:cs="Times New Roman"/>
                <w:color w:val="000000"/>
                <w:sz w:val="18"/>
                <w:szCs w:val="16"/>
                <w:lang w:val="hr-HR" w:eastAsia="en-GB"/>
              </w:rPr>
              <w:t>346,250.00</w:t>
            </w:r>
          </w:p>
        </w:tc>
        <w:tc>
          <w:tcPr>
            <w:tcW w:w="118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color w:val="000000"/>
                <w:sz w:val="18"/>
                <w:szCs w:val="16"/>
                <w:lang w:val="hr-HR" w:eastAsia="en-GB"/>
              </w:rPr>
            </w:pPr>
            <w:r w:rsidRPr="00494617">
              <w:rPr>
                <w:rFonts w:ascii="Times New Roman" w:eastAsia="Times New Roman" w:hAnsi="Times New Roman" w:cs="Times New Roman"/>
                <w:color w:val="000000"/>
                <w:sz w:val="18"/>
                <w:szCs w:val="16"/>
                <w:lang w:val="hr-HR" w:eastAsia="en-GB"/>
              </w:rPr>
              <w:t>3,461.69</w:t>
            </w:r>
          </w:p>
        </w:tc>
        <w:tc>
          <w:tcPr>
            <w:tcW w:w="1372"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color w:val="000000"/>
                <w:sz w:val="18"/>
                <w:szCs w:val="16"/>
                <w:lang w:val="hr-HR" w:eastAsia="en-GB"/>
              </w:rPr>
            </w:pPr>
            <w:r w:rsidRPr="00494617">
              <w:rPr>
                <w:rFonts w:ascii="Times New Roman" w:eastAsia="Times New Roman" w:hAnsi="Times New Roman" w:cs="Times New Roman"/>
                <w:color w:val="000000"/>
                <w:sz w:val="18"/>
                <w:szCs w:val="16"/>
                <w:lang w:val="hr-HR" w:eastAsia="en-GB"/>
              </w:rPr>
              <w:t>17,830.87</w:t>
            </w:r>
          </w:p>
        </w:tc>
        <w:tc>
          <w:tcPr>
            <w:tcW w:w="1321"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b/>
                <w:bCs/>
                <w:color w:val="000000"/>
                <w:sz w:val="18"/>
                <w:szCs w:val="16"/>
                <w:lang w:val="hr-HR" w:eastAsia="en-GB"/>
              </w:rPr>
            </w:pPr>
            <w:r w:rsidRPr="00494617">
              <w:rPr>
                <w:rFonts w:ascii="Times New Roman" w:eastAsia="Times New Roman" w:hAnsi="Times New Roman" w:cs="Times New Roman"/>
                <w:b/>
                <w:bCs/>
                <w:color w:val="000000"/>
                <w:sz w:val="18"/>
                <w:szCs w:val="16"/>
                <w:lang w:val="hr-HR" w:eastAsia="en-GB"/>
              </w:rPr>
              <w:t>3,649,062.87</w:t>
            </w:r>
          </w:p>
        </w:tc>
      </w:tr>
      <w:tr w:rsidR="00494617" w:rsidRPr="00494617" w:rsidTr="00494617">
        <w:trPr>
          <w:trHeight w:val="300"/>
        </w:trPr>
        <w:tc>
          <w:tcPr>
            <w:tcW w:w="1117" w:type="dxa"/>
            <w:tcBorders>
              <w:top w:val="nil"/>
              <w:left w:val="single" w:sz="4" w:space="0" w:color="auto"/>
              <w:bottom w:val="single" w:sz="4" w:space="0" w:color="auto"/>
              <w:right w:val="single" w:sz="4" w:space="0" w:color="auto"/>
            </w:tcBorders>
            <w:shd w:val="clear" w:color="000000" w:fill="E2EFDA"/>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b/>
                <w:bCs/>
                <w:color w:val="000000"/>
                <w:sz w:val="16"/>
                <w:szCs w:val="16"/>
                <w:lang w:val="hr-HR" w:eastAsia="en-GB"/>
              </w:rPr>
            </w:pPr>
            <w:r w:rsidRPr="00494617">
              <w:rPr>
                <w:rFonts w:ascii="Times New Roman" w:eastAsia="Times New Roman" w:hAnsi="Times New Roman" w:cs="Times New Roman"/>
                <w:b/>
                <w:bCs/>
                <w:color w:val="000000"/>
                <w:sz w:val="16"/>
                <w:szCs w:val="16"/>
                <w:lang w:val="hr-HR" w:eastAsia="en-GB"/>
              </w:rPr>
              <w:t>∑</w:t>
            </w:r>
          </w:p>
        </w:tc>
        <w:tc>
          <w:tcPr>
            <w:tcW w:w="1326" w:type="dxa"/>
            <w:tcBorders>
              <w:top w:val="nil"/>
              <w:left w:val="nil"/>
              <w:bottom w:val="single" w:sz="4" w:space="0" w:color="auto"/>
              <w:right w:val="single" w:sz="4" w:space="0" w:color="auto"/>
            </w:tcBorders>
            <w:shd w:val="clear" w:color="000000" w:fill="E2EFDA"/>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b/>
                <w:bCs/>
                <w:color w:val="000000"/>
                <w:sz w:val="16"/>
                <w:szCs w:val="16"/>
                <w:lang w:val="hr-HR" w:eastAsia="en-GB"/>
              </w:rPr>
            </w:pPr>
            <w:r w:rsidRPr="00494617">
              <w:rPr>
                <w:rFonts w:ascii="Times New Roman" w:eastAsia="Times New Roman" w:hAnsi="Times New Roman" w:cs="Times New Roman"/>
                <w:b/>
                <w:bCs/>
                <w:color w:val="000000"/>
                <w:sz w:val="16"/>
                <w:szCs w:val="16"/>
                <w:lang w:val="hr-HR" w:eastAsia="en-GB"/>
              </w:rPr>
              <w:t>7,060,461.38</w:t>
            </w:r>
          </w:p>
        </w:tc>
        <w:tc>
          <w:tcPr>
            <w:tcW w:w="1159" w:type="dxa"/>
            <w:tcBorders>
              <w:top w:val="nil"/>
              <w:left w:val="nil"/>
              <w:bottom w:val="single" w:sz="4" w:space="0" w:color="auto"/>
              <w:right w:val="single" w:sz="4" w:space="0" w:color="auto"/>
            </w:tcBorders>
            <w:shd w:val="clear" w:color="000000" w:fill="E2EFDA"/>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b/>
                <w:bCs/>
                <w:color w:val="000000"/>
                <w:sz w:val="16"/>
                <w:szCs w:val="16"/>
                <w:lang w:val="hr-HR" w:eastAsia="en-GB"/>
              </w:rPr>
            </w:pPr>
            <w:r w:rsidRPr="00494617">
              <w:rPr>
                <w:rFonts w:ascii="Times New Roman" w:eastAsia="Times New Roman" w:hAnsi="Times New Roman" w:cs="Times New Roman"/>
                <w:b/>
                <w:bCs/>
                <w:color w:val="000000"/>
                <w:sz w:val="16"/>
                <w:szCs w:val="16"/>
                <w:lang w:val="hr-HR" w:eastAsia="en-GB"/>
              </w:rPr>
              <w:t>118,947.31</w:t>
            </w:r>
          </w:p>
        </w:tc>
        <w:tc>
          <w:tcPr>
            <w:tcW w:w="1213" w:type="dxa"/>
            <w:tcBorders>
              <w:top w:val="nil"/>
              <w:left w:val="nil"/>
              <w:bottom w:val="single" w:sz="4" w:space="0" w:color="auto"/>
              <w:right w:val="single" w:sz="4" w:space="0" w:color="auto"/>
            </w:tcBorders>
            <w:shd w:val="clear" w:color="000000" w:fill="E2EFDA"/>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b/>
                <w:bCs/>
                <w:color w:val="000000"/>
                <w:sz w:val="16"/>
                <w:szCs w:val="16"/>
                <w:lang w:val="hr-HR" w:eastAsia="en-GB"/>
              </w:rPr>
            </w:pPr>
            <w:r w:rsidRPr="00494617">
              <w:rPr>
                <w:rFonts w:ascii="Times New Roman" w:eastAsia="Times New Roman" w:hAnsi="Times New Roman" w:cs="Times New Roman"/>
                <w:b/>
                <w:bCs/>
                <w:color w:val="000000"/>
                <w:sz w:val="16"/>
                <w:szCs w:val="16"/>
                <w:lang w:val="hr-HR" w:eastAsia="en-GB"/>
              </w:rPr>
              <w:t>2,169,551.84</w:t>
            </w:r>
          </w:p>
        </w:tc>
        <w:tc>
          <w:tcPr>
            <w:tcW w:w="1276" w:type="dxa"/>
            <w:tcBorders>
              <w:top w:val="nil"/>
              <w:left w:val="nil"/>
              <w:bottom w:val="single" w:sz="4" w:space="0" w:color="auto"/>
              <w:right w:val="single" w:sz="4" w:space="0" w:color="auto"/>
            </w:tcBorders>
            <w:shd w:val="clear" w:color="000000" w:fill="E2EFDA"/>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b/>
                <w:bCs/>
                <w:color w:val="000000"/>
                <w:sz w:val="16"/>
                <w:szCs w:val="16"/>
                <w:lang w:val="hr-HR" w:eastAsia="en-GB"/>
              </w:rPr>
            </w:pPr>
            <w:r w:rsidRPr="00494617">
              <w:rPr>
                <w:rFonts w:ascii="Times New Roman" w:eastAsia="Times New Roman" w:hAnsi="Times New Roman" w:cs="Times New Roman"/>
                <w:b/>
                <w:bCs/>
                <w:color w:val="000000"/>
                <w:sz w:val="16"/>
                <w:szCs w:val="16"/>
                <w:lang w:val="hr-HR" w:eastAsia="en-GB"/>
              </w:rPr>
              <w:t>1,400,005.09</w:t>
            </w:r>
          </w:p>
        </w:tc>
        <w:tc>
          <w:tcPr>
            <w:tcW w:w="1088" w:type="dxa"/>
            <w:tcBorders>
              <w:top w:val="nil"/>
              <w:left w:val="nil"/>
              <w:bottom w:val="single" w:sz="4" w:space="0" w:color="auto"/>
              <w:right w:val="single" w:sz="4" w:space="0" w:color="auto"/>
            </w:tcBorders>
            <w:shd w:val="clear" w:color="000000" w:fill="E2EFDA"/>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b/>
                <w:bCs/>
                <w:color w:val="000000"/>
                <w:sz w:val="16"/>
                <w:szCs w:val="16"/>
                <w:lang w:val="hr-HR" w:eastAsia="en-GB"/>
              </w:rPr>
            </w:pPr>
            <w:r w:rsidRPr="00494617">
              <w:rPr>
                <w:rFonts w:ascii="Times New Roman" w:eastAsia="Times New Roman" w:hAnsi="Times New Roman" w:cs="Times New Roman"/>
                <w:b/>
                <w:bCs/>
                <w:color w:val="000000"/>
                <w:sz w:val="16"/>
                <w:szCs w:val="16"/>
                <w:lang w:val="hr-HR" w:eastAsia="en-GB"/>
              </w:rPr>
              <w:t>1,122,296.71</w:t>
            </w:r>
          </w:p>
        </w:tc>
        <w:tc>
          <w:tcPr>
            <w:tcW w:w="1180" w:type="dxa"/>
            <w:tcBorders>
              <w:top w:val="nil"/>
              <w:left w:val="nil"/>
              <w:bottom w:val="single" w:sz="4" w:space="0" w:color="auto"/>
              <w:right w:val="single" w:sz="4" w:space="0" w:color="auto"/>
            </w:tcBorders>
            <w:shd w:val="clear" w:color="000000" w:fill="E2EFDA"/>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b/>
                <w:bCs/>
                <w:color w:val="000000"/>
                <w:sz w:val="16"/>
                <w:szCs w:val="16"/>
                <w:lang w:val="hr-HR" w:eastAsia="en-GB"/>
              </w:rPr>
            </w:pPr>
            <w:r w:rsidRPr="00494617">
              <w:rPr>
                <w:rFonts w:ascii="Times New Roman" w:eastAsia="Times New Roman" w:hAnsi="Times New Roman" w:cs="Times New Roman"/>
                <w:b/>
                <w:bCs/>
                <w:color w:val="000000"/>
                <w:sz w:val="16"/>
                <w:szCs w:val="16"/>
                <w:lang w:val="hr-HR" w:eastAsia="en-GB"/>
              </w:rPr>
              <w:t>16,033.32</w:t>
            </w:r>
          </w:p>
        </w:tc>
        <w:tc>
          <w:tcPr>
            <w:tcW w:w="1372" w:type="dxa"/>
            <w:tcBorders>
              <w:top w:val="nil"/>
              <w:left w:val="nil"/>
              <w:bottom w:val="single" w:sz="4" w:space="0" w:color="auto"/>
              <w:right w:val="single" w:sz="4" w:space="0" w:color="auto"/>
            </w:tcBorders>
            <w:shd w:val="clear" w:color="000000" w:fill="E2EFDA"/>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b/>
                <w:bCs/>
                <w:color w:val="000000"/>
                <w:sz w:val="16"/>
                <w:szCs w:val="16"/>
                <w:lang w:val="hr-HR" w:eastAsia="en-GB"/>
              </w:rPr>
            </w:pPr>
            <w:r w:rsidRPr="00494617">
              <w:rPr>
                <w:rFonts w:ascii="Times New Roman" w:eastAsia="Times New Roman" w:hAnsi="Times New Roman" w:cs="Times New Roman"/>
                <w:b/>
                <w:bCs/>
                <w:color w:val="000000"/>
                <w:sz w:val="16"/>
                <w:szCs w:val="16"/>
                <w:lang w:val="hr-HR" w:eastAsia="en-GB"/>
              </w:rPr>
              <w:t>21,664.34</w:t>
            </w:r>
          </w:p>
        </w:tc>
        <w:tc>
          <w:tcPr>
            <w:tcW w:w="1321" w:type="dxa"/>
            <w:tcBorders>
              <w:top w:val="nil"/>
              <w:left w:val="nil"/>
              <w:bottom w:val="single" w:sz="4" w:space="0" w:color="auto"/>
              <w:right w:val="single" w:sz="4" w:space="0" w:color="auto"/>
            </w:tcBorders>
            <w:shd w:val="clear" w:color="000000" w:fill="E2EFDA"/>
            <w:noWrap/>
            <w:vAlign w:val="bottom"/>
            <w:hideMark/>
          </w:tcPr>
          <w:p w:rsidR="00494617" w:rsidRPr="00494617" w:rsidRDefault="00494617" w:rsidP="00494617">
            <w:pPr>
              <w:spacing w:before="0" w:after="0" w:line="240" w:lineRule="auto"/>
              <w:jc w:val="center"/>
              <w:rPr>
                <w:rFonts w:ascii="Times New Roman" w:eastAsia="Times New Roman" w:hAnsi="Times New Roman" w:cs="Times New Roman"/>
                <w:b/>
                <w:bCs/>
                <w:color w:val="000000"/>
                <w:sz w:val="16"/>
                <w:szCs w:val="16"/>
                <w:lang w:val="hr-HR" w:eastAsia="en-GB"/>
              </w:rPr>
            </w:pPr>
            <w:r w:rsidRPr="00494617">
              <w:rPr>
                <w:rFonts w:ascii="Times New Roman" w:eastAsia="Times New Roman" w:hAnsi="Times New Roman" w:cs="Times New Roman"/>
                <w:b/>
                <w:bCs/>
                <w:color w:val="000000"/>
                <w:sz w:val="16"/>
                <w:szCs w:val="16"/>
                <w:lang w:val="hr-HR" w:eastAsia="en-GB"/>
              </w:rPr>
              <w:t>11,908,959.99</w:t>
            </w:r>
          </w:p>
        </w:tc>
      </w:tr>
    </w:tbl>
    <w:p w:rsidR="00494617" w:rsidRPr="00494617" w:rsidRDefault="00494617" w:rsidP="00494617">
      <w:pPr>
        <w:spacing w:before="0" w:after="200" w:line="276" w:lineRule="auto"/>
        <w:rPr>
          <w:rFonts w:ascii="Times New Roman" w:eastAsia="Times New Roman" w:hAnsi="Times New Roman" w:cs="Times New Roman"/>
          <w:szCs w:val="24"/>
          <w:lang w:val="hr-HR"/>
        </w:rPr>
      </w:pPr>
    </w:p>
    <w:p w:rsidR="00494617" w:rsidRDefault="00494617" w:rsidP="00494617">
      <w:pPr>
        <w:spacing w:before="0" w:after="200" w:line="276" w:lineRule="auto"/>
        <w:jc w:val="center"/>
        <w:rPr>
          <w:rFonts w:ascii="Times New Roman" w:eastAsia="Times New Roman" w:hAnsi="Times New Roman" w:cs="Times New Roman"/>
          <w:szCs w:val="24"/>
          <w:lang w:val="hr-HR"/>
        </w:rPr>
      </w:pPr>
      <w:r w:rsidRPr="00494617">
        <w:rPr>
          <w:rFonts w:ascii="Times New Roman" w:eastAsia="Times New Roman" w:hAnsi="Times New Roman" w:cs="Times New Roman"/>
          <w:szCs w:val="24"/>
          <w:lang w:val="hr-HR"/>
        </w:rPr>
        <w:t xml:space="preserve"> </w:t>
      </w:r>
    </w:p>
    <w:p w:rsidR="00494617" w:rsidRPr="00494617" w:rsidRDefault="00494617" w:rsidP="00494617">
      <w:pPr>
        <w:spacing w:before="0" w:after="200" w:line="276" w:lineRule="auto"/>
        <w:jc w:val="center"/>
        <w:rPr>
          <w:rFonts w:ascii="Times New Roman" w:eastAsia="Times New Roman" w:hAnsi="Times New Roman" w:cs="Times New Roman"/>
          <w:b/>
          <w:sz w:val="22"/>
          <w:szCs w:val="24"/>
          <w:u w:val="single"/>
          <w:lang w:val="hr-HR"/>
        </w:rPr>
      </w:pPr>
      <w:r w:rsidRPr="00494617">
        <w:rPr>
          <w:rFonts w:ascii="Times New Roman" w:eastAsia="Times New Roman" w:hAnsi="Times New Roman" w:cs="Times New Roman"/>
          <w:b/>
          <w:sz w:val="22"/>
          <w:szCs w:val="24"/>
          <w:u w:val="single"/>
          <w:lang w:val="hr-HR"/>
        </w:rPr>
        <w:t>Tabela br. 2</w:t>
      </w:r>
    </w:p>
    <w:p w:rsidR="00494617" w:rsidRPr="00494617" w:rsidRDefault="00494617" w:rsidP="00494617">
      <w:pPr>
        <w:spacing w:before="0" w:after="200" w:line="276" w:lineRule="auto"/>
        <w:jc w:val="left"/>
        <w:rPr>
          <w:rFonts w:ascii="Times New Roman" w:eastAsia="Times New Roman" w:hAnsi="Times New Roman" w:cs="Times New Roman"/>
          <w:szCs w:val="24"/>
          <w:lang w:val="hr-HR"/>
        </w:rPr>
      </w:pPr>
    </w:p>
    <w:p w:rsidR="00494617" w:rsidRPr="00494617" w:rsidRDefault="00494617" w:rsidP="00494617">
      <w:pPr>
        <w:spacing w:before="0" w:after="0" w:line="240" w:lineRule="auto"/>
        <w:rPr>
          <w:rFonts w:ascii="Times New Roman" w:eastAsia="Times New Roman" w:hAnsi="Times New Roman" w:cs="Times New Roman"/>
          <w:szCs w:val="24"/>
          <w:lang w:val="hr-HR"/>
        </w:rPr>
      </w:pPr>
      <w:r w:rsidRPr="00494617">
        <w:rPr>
          <w:rFonts w:ascii="Calibri" w:eastAsia="Times New Roman" w:hAnsi="Calibri" w:cs="Times New Roman"/>
          <w:szCs w:val="24"/>
          <w:lang w:val="hr-HR"/>
        </w:rPr>
        <w:t>Na grafikonu br. 1 je prikazano kretanje mjesečnih budžetskih prihoda po osnovu koncesionih naknada u 2020. godini</w:t>
      </w:r>
      <w:r w:rsidRPr="00494617">
        <w:rPr>
          <w:rFonts w:ascii="Times New Roman" w:eastAsia="Times New Roman" w:hAnsi="Times New Roman" w:cs="Times New Roman"/>
          <w:szCs w:val="24"/>
          <w:lang w:val="hr-HR"/>
        </w:rPr>
        <w:t>.</w:t>
      </w:r>
    </w:p>
    <w:p w:rsidR="00494617" w:rsidRPr="00494617" w:rsidRDefault="00494617" w:rsidP="00494617">
      <w:pPr>
        <w:spacing w:before="0" w:after="200" w:line="276" w:lineRule="auto"/>
        <w:rPr>
          <w:rFonts w:ascii="Times New Roman" w:eastAsia="Times New Roman" w:hAnsi="Times New Roman" w:cs="Times New Roman"/>
          <w:szCs w:val="24"/>
          <w:lang w:val="hr-HR"/>
        </w:rPr>
      </w:pPr>
      <w:r w:rsidRPr="00494617">
        <w:rPr>
          <w:rFonts w:ascii="Calibri" w:eastAsia="Times New Roman" w:hAnsi="Calibri" w:cs="Times New Roman"/>
          <w:noProof/>
          <w:sz w:val="22"/>
          <w:lang w:val="sr-Latn-RS" w:eastAsia="sr-Latn-RS"/>
        </w:rPr>
        <w:lastRenderedPageBreak/>
        <w:drawing>
          <wp:inline distT="0" distB="0" distL="0" distR="0" wp14:anchorId="67C55D61" wp14:editId="199C41BC">
            <wp:extent cx="5748655" cy="2952115"/>
            <wp:effectExtent l="0" t="0" r="4445" b="635"/>
            <wp:docPr id="37" name="Chart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94617" w:rsidRPr="00494617" w:rsidRDefault="00494617" w:rsidP="00494617">
      <w:pPr>
        <w:spacing w:before="0" w:after="0" w:line="240" w:lineRule="auto"/>
        <w:jc w:val="center"/>
        <w:rPr>
          <w:rFonts w:ascii="Calibri" w:eastAsia="Times New Roman" w:hAnsi="Calibri" w:cs="Times New Roman"/>
          <w:b/>
          <w:szCs w:val="24"/>
          <w:u w:val="single"/>
          <w:lang w:val="hr-HR"/>
        </w:rPr>
      </w:pPr>
      <w:r w:rsidRPr="00494617">
        <w:rPr>
          <w:rFonts w:ascii="Calibri" w:eastAsia="Times New Roman" w:hAnsi="Calibri" w:cs="Times New Roman"/>
          <w:b/>
          <w:szCs w:val="24"/>
          <w:u w:val="single"/>
          <w:lang w:val="hr-HR"/>
        </w:rPr>
        <w:t>Grafikon br. 1</w:t>
      </w:r>
    </w:p>
    <w:p w:rsidR="00494617" w:rsidRPr="00494617" w:rsidRDefault="00494617" w:rsidP="00494617">
      <w:pPr>
        <w:spacing w:before="0" w:after="0" w:line="240" w:lineRule="auto"/>
        <w:jc w:val="center"/>
        <w:rPr>
          <w:rFonts w:ascii="Calibri" w:eastAsia="Times New Roman" w:hAnsi="Calibri" w:cs="Times New Roman"/>
          <w:b/>
          <w:szCs w:val="24"/>
          <w:u w:val="single"/>
          <w:lang w:val="hr-HR"/>
        </w:rPr>
      </w:pPr>
    </w:p>
    <w:p w:rsidR="00494617" w:rsidRPr="00494617" w:rsidRDefault="00494617" w:rsidP="00494617">
      <w:pPr>
        <w:spacing w:before="0" w:after="0" w:line="240" w:lineRule="auto"/>
        <w:rPr>
          <w:rFonts w:ascii="Calibri" w:eastAsia="Times New Roman" w:hAnsi="Calibri" w:cs="Times New Roman"/>
          <w:szCs w:val="24"/>
          <w:lang w:val="hr-HR"/>
        </w:rPr>
      </w:pPr>
      <w:r w:rsidRPr="00494617">
        <w:rPr>
          <w:rFonts w:ascii="Calibri" w:eastAsia="Times New Roman" w:hAnsi="Calibri" w:cs="Times New Roman"/>
          <w:szCs w:val="24"/>
          <w:lang w:val="hr-HR"/>
        </w:rPr>
        <w:t>Smanjenje budžetskih prihoda u 2020. godini u odnosu na isti period prethodne godine, po osnovu koncesionih naknada, iznosio je -</w:t>
      </w:r>
      <w:r w:rsidRPr="00494617">
        <w:rPr>
          <w:rFonts w:ascii="Calibri" w:eastAsia="Times New Roman" w:hAnsi="Calibri" w:cs="Times New Roman"/>
          <w:b/>
          <w:szCs w:val="24"/>
          <w:lang w:val="hr-HR"/>
        </w:rPr>
        <w:t xml:space="preserve">25.00%, </w:t>
      </w:r>
      <w:r w:rsidRPr="00494617">
        <w:rPr>
          <w:rFonts w:ascii="Calibri" w:eastAsia="Times New Roman" w:hAnsi="Calibri" w:cs="Times New Roman"/>
          <w:szCs w:val="24"/>
          <w:lang w:val="hr-HR"/>
        </w:rPr>
        <w:t>što je predstavljeno u tabeli br. 3:</w:t>
      </w:r>
    </w:p>
    <w:tbl>
      <w:tblPr>
        <w:tblW w:w="9045" w:type="dxa"/>
        <w:tblLook w:val="04A0" w:firstRow="1" w:lastRow="0" w:firstColumn="1" w:lastColumn="0" w:noHBand="0" w:noVBand="1"/>
      </w:tblPr>
      <w:tblGrid>
        <w:gridCol w:w="2499"/>
        <w:gridCol w:w="2324"/>
        <w:gridCol w:w="2373"/>
        <w:gridCol w:w="1849"/>
      </w:tblGrid>
      <w:tr w:rsidR="00494617" w:rsidRPr="00494617" w:rsidTr="00494617">
        <w:trPr>
          <w:trHeight w:val="747"/>
        </w:trPr>
        <w:tc>
          <w:tcPr>
            <w:tcW w:w="2499"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VRSTE IGRE</w:t>
            </w:r>
          </w:p>
        </w:tc>
        <w:tc>
          <w:tcPr>
            <w:tcW w:w="2324" w:type="dxa"/>
            <w:tcBorders>
              <w:top w:val="single" w:sz="4" w:space="0" w:color="auto"/>
              <w:left w:val="nil"/>
              <w:bottom w:val="single" w:sz="4" w:space="0" w:color="auto"/>
              <w:right w:val="single" w:sz="4" w:space="0" w:color="auto"/>
            </w:tcBorders>
            <w:shd w:val="clear" w:color="000000" w:fill="E2EFDA"/>
            <w:noWrap/>
            <w:vAlign w:val="center"/>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2020. GODINA</w:t>
            </w:r>
          </w:p>
        </w:tc>
        <w:tc>
          <w:tcPr>
            <w:tcW w:w="2373" w:type="dxa"/>
            <w:tcBorders>
              <w:top w:val="single" w:sz="4" w:space="0" w:color="auto"/>
              <w:left w:val="nil"/>
              <w:bottom w:val="single" w:sz="4" w:space="0" w:color="auto"/>
              <w:right w:val="single" w:sz="4" w:space="0" w:color="auto"/>
            </w:tcBorders>
            <w:shd w:val="clear" w:color="000000" w:fill="E2EFDA"/>
            <w:noWrap/>
            <w:vAlign w:val="center"/>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2019. GODINA</w:t>
            </w:r>
          </w:p>
        </w:tc>
        <w:tc>
          <w:tcPr>
            <w:tcW w:w="1849" w:type="dxa"/>
            <w:tcBorders>
              <w:top w:val="single" w:sz="4" w:space="0" w:color="auto"/>
              <w:left w:val="nil"/>
              <w:bottom w:val="single" w:sz="4" w:space="0" w:color="auto"/>
              <w:right w:val="single" w:sz="4" w:space="0" w:color="auto"/>
            </w:tcBorders>
            <w:shd w:val="clear" w:color="000000" w:fill="E2EFDA"/>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 U ODNOSU NA PROŠLU GODINU</w:t>
            </w:r>
          </w:p>
        </w:tc>
      </w:tr>
      <w:tr w:rsidR="00494617" w:rsidRPr="00494617" w:rsidTr="00494617">
        <w:trPr>
          <w:trHeight w:val="390"/>
        </w:trPr>
        <w:tc>
          <w:tcPr>
            <w:tcW w:w="2499"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left"/>
              <w:rPr>
                <w:rFonts w:ascii="Calibri" w:eastAsia="Times New Roman" w:hAnsi="Calibri" w:cs="Times New Roman"/>
                <w:color w:val="000000"/>
                <w:szCs w:val="24"/>
                <w:lang w:val="hr-HR" w:eastAsia="en-GB"/>
              </w:rPr>
            </w:pPr>
            <w:r w:rsidRPr="00494617">
              <w:rPr>
                <w:rFonts w:ascii="Calibri" w:eastAsia="Times New Roman" w:hAnsi="Calibri" w:cs="Times New Roman"/>
                <w:color w:val="000000"/>
                <w:szCs w:val="24"/>
                <w:lang w:val="hr-HR" w:eastAsia="en-GB"/>
              </w:rPr>
              <w:t>KAZINA</w:t>
            </w:r>
          </w:p>
        </w:tc>
        <w:tc>
          <w:tcPr>
            <w:tcW w:w="2324"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color w:val="000000"/>
                <w:szCs w:val="24"/>
                <w:lang w:val="hr-HR" w:eastAsia="en-GB"/>
              </w:rPr>
            </w:pPr>
            <w:r w:rsidRPr="00494617">
              <w:rPr>
                <w:rFonts w:ascii="Calibri" w:eastAsia="Times New Roman" w:hAnsi="Calibri" w:cs="Times New Roman"/>
                <w:color w:val="000000"/>
                <w:szCs w:val="24"/>
                <w:lang w:val="hr-HR" w:eastAsia="en-GB"/>
              </w:rPr>
              <w:t>1,400,005.09</w:t>
            </w:r>
          </w:p>
        </w:tc>
        <w:tc>
          <w:tcPr>
            <w:tcW w:w="2373"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color w:val="000000"/>
                <w:szCs w:val="24"/>
                <w:lang w:val="hr-HR" w:eastAsia="en-GB"/>
              </w:rPr>
            </w:pPr>
            <w:r w:rsidRPr="00494617">
              <w:rPr>
                <w:rFonts w:ascii="Calibri" w:eastAsia="Times New Roman" w:hAnsi="Calibri" w:cs="Times New Roman"/>
                <w:color w:val="000000"/>
                <w:szCs w:val="24"/>
                <w:lang w:val="hr-HR" w:eastAsia="en-GB"/>
              </w:rPr>
              <w:t>4,565,136.63</w:t>
            </w:r>
          </w:p>
        </w:tc>
        <w:tc>
          <w:tcPr>
            <w:tcW w:w="1849" w:type="dxa"/>
            <w:tcBorders>
              <w:top w:val="nil"/>
              <w:left w:val="nil"/>
              <w:bottom w:val="single" w:sz="4" w:space="0" w:color="auto"/>
              <w:right w:val="single" w:sz="4" w:space="0" w:color="auto"/>
            </w:tcBorders>
            <w:shd w:val="clear" w:color="000000" w:fill="E2EFDA"/>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-69.33%</w:t>
            </w:r>
          </w:p>
        </w:tc>
      </w:tr>
      <w:tr w:rsidR="00494617" w:rsidRPr="00494617" w:rsidTr="00494617">
        <w:trPr>
          <w:trHeight w:val="390"/>
        </w:trPr>
        <w:tc>
          <w:tcPr>
            <w:tcW w:w="2499"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left"/>
              <w:rPr>
                <w:rFonts w:ascii="Calibri" w:eastAsia="Times New Roman" w:hAnsi="Calibri" w:cs="Times New Roman"/>
                <w:color w:val="000000"/>
                <w:szCs w:val="24"/>
                <w:lang w:val="hr-HR" w:eastAsia="en-GB"/>
              </w:rPr>
            </w:pPr>
            <w:r w:rsidRPr="00494617">
              <w:rPr>
                <w:rFonts w:ascii="Calibri" w:eastAsia="Times New Roman" w:hAnsi="Calibri" w:cs="Times New Roman"/>
                <w:color w:val="000000"/>
                <w:szCs w:val="24"/>
                <w:lang w:val="hr-HR" w:eastAsia="en-GB"/>
              </w:rPr>
              <w:t>NAGRADNE IGRE</w:t>
            </w:r>
          </w:p>
        </w:tc>
        <w:tc>
          <w:tcPr>
            <w:tcW w:w="2324"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color w:val="000000"/>
                <w:szCs w:val="24"/>
                <w:lang w:val="hr-HR" w:eastAsia="en-GB"/>
              </w:rPr>
            </w:pPr>
            <w:r w:rsidRPr="00494617">
              <w:rPr>
                <w:rFonts w:ascii="Calibri" w:eastAsia="Times New Roman" w:hAnsi="Calibri" w:cs="Times New Roman"/>
                <w:color w:val="000000"/>
                <w:szCs w:val="24"/>
                <w:lang w:val="hr-HR" w:eastAsia="en-GB"/>
              </w:rPr>
              <w:t>16,033.32</w:t>
            </w:r>
          </w:p>
        </w:tc>
        <w:tc>
          <w:tcPr>
            <w:tcW w:w="2373"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color w:val="000000"/>
                <w:szCs w:val="24"/>
                <w:lang w:val="hr-HR" w:eastAsia="en-GB"/>
              </w:rPr>
            </w:pPr>
            <w:r w:rsidRPr="00494617">
              <w:rPr>
                <w:rFonts w:ascii="Calibri" w:eastAsia="Times New Roman" w:hAnsi="Calibri" w:cs="Times New Roman"/>
                <w:color w:val="000000"/>
                <w:szCs w:val="24"/>
                <w:lang w:val="hr-HR" w:eastAsia="en-GB"/>
              </w:rPr>
              <w:t>41,484.94</w:t>
            </w:r>
          </w:p>
        </w:tc>
        <w:tc>
          <w:tcPr>
            <w:tcW w:w="1849" w:type="dxa"/>
            <w:tcBorders>
              <w:top w:val="nil"/>
              <w:left w:val="nil"/>
              <w:bottom w:val="single" w:sz="4" w:space="0" w:color="auto"/>
              <w:right w:val="single" w:sz="4" w:space="0" w:color="auto"/>
            </w:tcBorders>
            <w:shd w:val="clear" w:color="000000" w:fill="E2EFDA"/>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-61.35%</w:t>
            </w:r>
          </w:p>
        </w:tc>
      </w:tr>
      <w:tr w:rsidR="00494617" w:rsidRPr="00494617" w:rsidTr="00494617">
        <w:trPr>
          <w:trHeight w:val="390"/>
        </w:trPr>
        <w:tc>
          <w:tcPr>
            <w:tcW w:w="2499"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left"/>
              <w:rPr>
                <w:rFonts w:ascii="Calibri" w:eastAsia="Times New Roman" w:hAnsi="Calibri" w:cs="Times New Roman"/>
                <w:color w:val="000000"/>
                <w:szCs w:val="24"/>
                <w:lang w:val="hr-HR" w:eastAsia="en-GB"/>
              </w:rPr>
            </w:pPr>
            <w:r w:rsidRPr="00494617">
              <w:rPr>
                <w:rFonts w:ascii="Calibri" w:eastAsia="Times New Roman" w:hAnsi="Calibri" w:cs="Times New Roman"/>
                <w:color w:val="000000"/>
                <w:szCs w:val="24"/>
                <w:lang w:val="hr-HR" w:eastAsia="en-GB"/>
              </w:rPr>
              <w:t>KLADIONIČKE IGRE</w:t>
            </w:r>
          </w:p>
        </w:tc>
        <w:tc>
          <w:tcPr>
            <w:tcW w:w="2324"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color w:val="000000"/>
                <w:szCs w:val="24"/>
                <w:lang w:val="hr-HR" w:eastAsia="en-GB"/>
              </w:rPr>
            </w:pPr>
            <w:r w:rsidRPr="00494617">
              <w:rPr>
                <w:rFonts w:ascii="Calibri" w:eastAsia="Times New Roman" w:hAnsi="Calibri" w:cs="Times New Roman"/>
                <w:color w:val="000000"/>
                <w:szCs w:val="24"/>
                <w:lang w:val="hr-HR" w:eastAsia="en-GB"/>
              </w:rPr>
              <w:t>7,179,408.69</w:t>
            </w:r>
          </w:p>
        </w:tc>
        <w:tc>
          <w:tcPr>
            <w:tcW w:w="2373"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color w:val="000000"/>
                <w:szCs w:val="24"/>
                <w:lang w:val="hr-HR" w:eastAsia="en-GB"/>
              </w:rPr>
            </w:pPr>
            <w:r w:rsidRPr="00494617">
              <w:rPr>
                <w:rFonts w:ascii="Calibri" w:eastAsia="Times New Roman" w:hAnsi="Calibri" w:cs="Times New Roman"/>
                <w:color w:val="000000"/>
                <w:szCs w:val="24"/>
                <w:lang w:val="hr-HR" w:eastAsia="en-GB"/>
              </w:rPr>
              <w:t>7,951,694.04</w:t>
            </w:r>
          </w:p>
        </w:tc>
        <w:tc>
          <w:tcPr>
            <w:tcW w:w="1849" w:type="dxa"/>
            <w:tcBorders>
              <w:top w:val="nil"/>
              <w:left w:val="nil"/>
              <w:bottom w:val="single" w:sz="4" w:space="0" w:color="auto"/>
              <w:right w:val="single" w:sz="4" w:space="0" w:color="auto"/>
            </w:tcBorders>
            <w:shd w:val="clear" w:color="000000" w:fill="E2EFDA"/>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-9.71%</w:t>
            </w:r>
          </w:p>
        </w:tc>
      </w:tr>
      <w:tr w:rsidR="00494617" w:rsidRPr="00494617" w:rsidTr="00494617">
        <w:trPr>
          <w:trHeight w:val="390"/>
        </w:trPr>
        <w:tc>
          <w:tcPr>
            <w:tcW w:w="2499"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left"/>
              <w:rPr>
                <w:rFonts w:ascii="Calibri" w:eastAsia="Times New Roman" w:hAnsi="Calibri" w:cs="Times New Roman"/>
                <w:color w:val="000000"/>
                <w:szCs w:val="24"/>
                <w:lang w:val="hr-HR" w:eastAsia="en-GB"/>
              </w:rPr>
            </w:pPr>
            <w:r w:rsidRPr="00494617">
              <w:rPr>
                <w:rFonts w:ascii="Calibri" w:eastAsia="Times New Roman" w:hAnsi="Calibri" w:cs="Times New Roman"/>
                <w:color w:val="000000"/>
                <w:szCs w:val="24"/>
                <w:lang w:val="hr-HR" w:eastAsia="en-GB"/>
              </w:rPr>
              <w:t xml:space="preserve">AUTOMAT KLUBOVI </w:t>
            </w:r>
          </w:p>
        </w:tc>
        <w:tc>
          <w:tcPr>
            <w:tcW w:w="2324"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color w:val="000000"/>
                <w:szCs w:val="24"/>
                <w:lang w:val="hr-HR" w:eastAsia="en-GB"/>
              </w:rPr>
            </w:pPr>
            <w:r w:rsidRPr="00494617">
              <w:rPr>
                <w:rFonts w:ascii="Calibri" w:eastAsia="Times New Roman" w:hAnsi="Calibri" w:cs="Times New Roman"/>
                <w:color w:val="000000"/>
                <w:szCs w:val="24"/>
                <w:lang w:val="hr-HR" w:eastAsia="en-GB"/>
              </w:rPr>
              <w:t>2,169,551.84</w:t>
            </w:r>
          </w:p>
        </w:tc>
        <w:tc>
          <w:tcPr>
            <w:tcW w:w="2373"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color w:val="000000"/>
                <w:szCs w:val="24"/>
                <w:lang w:val="hr-HR" w:eastAsia="en-GB"/>
              </w:rPr>
            </w:pPr>
            <w:r w:rsidRPr="00494617">
              <w:rPr>
                <w:rFonts w:ascii="Calibri" w:eastAsia="Times New Roman" w:hAnsi="Calibri" w:cs="Times New Roman"/>
                <w:color w:val="000000"/>
                <w:szCs w:val="24"/>
                <w:lang w:val="hr-HR" w:eastAsia="en-GB"/>
              </w:rPr>
              <w:t>2,496,723.62</w:t>
            </w:r>
          </w:p>
        </w:tc>
        <w:tc>
          <w:tcPr>
            <w:tcW w:w="1849" w:type="dxa"/>
            <w:tcBorders>
              <w:top w:val="nil"/>
              <w:left w:val="nil"/>
              <w:bottom w:val="single" w:sz="4" w:space="0" w:color="auto"/>
              <w:right w:val="single" w:sz="4" w:space="0" w:color="auto"/>
            </w:tcBorders>
            <w:shd w:val="clear" w:color="000000" w:fill="E2EFDA"/>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-13.10%</w:t>
            </w:r>
          </w:p>
        </w:tc>
      </w:tr>
      <w:tr w:rsidR="00494617" w:rsidRPr="00494617" w:rsidTr="00494617">
        <w:trPr>
          <w:trHeight w:val="786"/>
        </w:trPr>
        <w:tc>
          <w:tcPr>
            <w:tcW w:w="2499" w:type="dxa"/>
            <w:tcBorders>
              <w:top w:val="nil"/>
              <w:left w:val="single" w:sz="4" w:space="0" w:color="auto"/>
              <w:bottom w:val="single" w:sz="4" w:space="0" w:color="auto"/>
              <w:right w:val="single" w:sz="4" w:space="0" w:color="auto"/>
            </w:tcBorders>
            <w:shd w:val="clear" w:color="auto" w:fill="auto"/>
            <w:vAlign w:val="bottom"/>
            <w:hideMark/>
          </w:tcPr>
          <w:p w:rsidR="00494617" w:rsidRPr="00494617" w:rsidRDefault="00494617" w:rsidP="00494617">
            <w:pPr>
              <w:spacing w:before="0" w:after="0" w:line="240" w:lineRule="auto"/>
              <w:jc w:val="left"/>
              <w:rPr>
                <w:rFonts w:ascii="Calibri" w:eastAsia="Times New Roman" w:hAnsi="Calibri" w:cs="Times New Roman"/>
                <w:color w:val="000000"/>
                <w:szCs w:val="24"/>
                <w:lang w:val="hr-HR" w:eastAsia="en-GB"/>
              </w:rPr>
            </w:pPr>
            <w:r w:rsidRPr="00494617">
              <w:rPr>
                <w:rFonts w:ascii="Calibri" w:eastAsia="Times New Roman" w:hAnsi="Calibri" w:cs="Times New Roman"/>
                <w:color w:val="000000"/>
                <w:szCs w:val="24"/>
                <w:lang w:val="hr-HR" w:eastAsia="en-GB"/>
              </w:rPr>
              <w:t xml:space="preserve">TOMBOLA ZATVORENOG TIPA </w:t>
            </w:r>
          </w:p>
        </w:tc>
        <w:tc>
          <w:tcPr>
            <w:tcW w:w="2324"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color w:val="000000"/>
                <w:szCs w:val="24"/>
                <w:lang w:val="hr-HR" w:eastAsia="en-GB"/>
              </w:rPr>
            </w:pPr>
            <w:r w:rsidRPr="00494617">
              <w:rPr>
                <w:rFonts w:ascii="Calibri" w:eastAsia="Times New Roman" w:hAnsi="Calibri" w:cs="Times New Roman"/>
                <w:color w:val="000000"/>
                <w:szCs w:val="24"/>
                <w:lang w:val="hr-HR" w:eastAsia="en-GB"/>
              </w:rPr>
              <w:t>21,664.34</w:t>
            </w:r>
          </w:p>
        </w:tc>
        <w:tc>
          <w:tcPr>
            <w:tcW w:w="2373"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color w:val="000000"/>
                <w:szCs w:val="24"/>
                <w:lang w:val="hr-HR" w:eastAsia="en-GB"/>
              </w:rPr>
            </w:pPr>
            <w:r w:rsidRPr="00494617">
              <w:rPr>
                <w:rFonts w:ascii="Calibri" w:eastAsia="Times New Roman" w:hAnsi="Calibri" w:cs="Times New Roman"/>
                <w:color w:val="000000"/>
                <w:szCs w:val="24"/>
                <w:lang w:val="hr-HR" w:eastAsia="en-GB"/>
              </w:rPr>
              <w:t>6,606.16</w:t>
            </w:r>
          </w:p>
        </w:tc>
        <w:tc>
          <w:tcPr>
            <w:tcW w:w="1849" w:type="dxa"/>
            <w:tcBorders>
              <w:top w:val="nil"/>
              <w:left w:val="nil"/>
              <w:bottom w:val="single" w:sz="4" w:space="0" w:color="auto"/>
              <w:right w:val="single" w:sz="4" w:space="0" w:color="auto"/>
            </w:tcBorders>
            <w:shd w:val="clear" w:color="000000" w:fill="E2EFDA"/>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227.94%</w:t>
            </w:r>
          </w:p>
        </w:tc>
      </w:tr>
      <w:tr w:rsidR="00494617" w:rsidRPr="00494617" w:rsidTr="00494617">
        <w:trPr>
          <w:trHeight w:val="390"/>
        </w:trPr>
        <w:tc>
          <w:tcPr>
            <w:tcW w:w="2499"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left"/>
              <w:rPr>
                <w:rFonts w:ascii="Calibri" w:eastAsia="Times New Roman" w:hAnsi="Calibri" w:cs="Times New Roman"/>
                <w:color w:val="000000"/>
                <w:szCs w:val="24"/>
                <w:lang w:val="hr-HR" w:eastAsia="en-GB"/>
              </w:rPr>
            </w:pPr>
            <w:r w:rsidRPr="00494617">
              <w:rPr>
                <w:rFonts w:ascii="Calibri" w:eastAsia="Times New Roman" w:hAnsi="Calibri" w:cs="Times New Roman"/>
                <w:color w:val="000000"/>
                <w:szCs w:val="24"/>
                <w:lang w:val="hr-HR" w:eastAsia="en-GB"/>
              </w:rPr>
              <w:t xml:space="preserve">INTERNET KLAĐENJE </w:t>
            </w:r>
          </w:p>
        </w:tc>
        <w:tc>
          <w:tcPr>
            <w:tcW w:w="2324"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color w:val="000000"/>
                <w:szCs w:val="24"/>
                <w:lang w:val="hr-HR" w:eastAsia="en-GB"/>
              </w:rPr>
            </w:pPr>
            <w:r w:rsidRPr="00494617">
              <w:rPr>
                <w:rFonts w:ascii="Calibri" w:eastAsia="Times New Roman" w:hAnsi="Calibri" w:cs="Times New Roman"/>
                <w:color w:val="000000"/>
                <w:szCs w:val="24"/>
                <w:lang w:val="hr-HR" w:eastAsia="en-GB"/>
              </w:rPr>
              <w:t>1,122,296.71</w:t>
            </w:r>
          </w:p>
        </w:tc>
        <w:tc>
          <w:tcPr>
            <w:tcW w:w="2373"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color w:val="000000"/>
                <w:szCs w:val="24"/>
                <w:lang w:val="hr-HR" w:eastAsia="en-GB"/>
              </w:rPr>
            </w:pPr>
            <w:r w:rsidRPr="00494617">
              <w:rPr>
                <w:rFonts w:ascii="Calibri" w:eastAsia="Times New Roman" w:hAnsi="Calibri" w:cs="Times New Roman"/>
                <w:color w:val="000000"/>
                <w:szCs w:val="24"/>
                <w:lang w:val="hr-HR" w:eastAsia="en-GB"/>
              </w:rPr>
              <w:t>817,551.07</w:t>
            </w:r>
          </w:p>
        </w:tc>
        <w:tc>
          <w:tcPr>
            <w:tcW w:w="1849" w:type="dxa"/>
            <w:tcBorders>
              <w:top w:val="nil"/>
              <w:left w:val="nil"/>
              <w:bottom w:val="single" w:sz="4" w:space="0" w:color="auto"/>
              <w:right w:val="single" w:sz="4" w:space="0" w:color="auto"/>
            </w:tcBorders>
            <w:shd w:val="clear" w:color="000000" w:fill="E2EFDA"/>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37.28%</w:t>
            </w:r>
          </w:p>
        </w:tc>
      </w:tr>
      <w:tr w:rsidR="00494617" w:rsidRPr="00494617" w:rsidTr="00494617">
        <w:trPr>
          <w:trHeight w:val="411"/>
        </w:trPr>
        <w:tc>
          <w:tcPr>
            <w:tcW w:w="2499" w:type="dxa"/>
            <w:tcBorders>
              <w:top w:val="nil"/>
              <w:left w:val="single" w:sz="4" w:space="0" w:color="auto"/>
              <w:bottom w:val="single" w:sz="4" w:space="0" w:color="auto"/>
              <w:right w:val="single" w:sz="4" w:space="0" w:color="auto"/>
            </w:tcBorders>
            <w:shd w:val="clear" w:color="000000" w:fill="E2EFDA"/>
            <w:noWrap/>
            <w:vAlign w:val="bottom"/>
            <w:hideMark/>
          </w:tcPr>
          <w:p w:rsidR="00494617" w:rsidRPr="00494617" w:rsidRDefault="00494617" w:rsidP="00494617">
            <w:pPr>
              <w:spacing w:before="0" w:after="0" w:line="240" w:lineRule="auto"/>
              <w:jc w:val="left"/>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UKUPNO</w:t>
            </w:r>
          </w:p>
        </w:tc>
        <w:tc>
          <w:tcPr>
            <w:tcW w:w="2324" w:type="dxa"/>
            <w:tcBorders>
              <w:top w:val="nil"/>
              <w:left w:val="nil"/>
              <w:bottom w:val="single" w:sz="4" w:space="0" w:color="auto"/>
              <w:right w:val="single" w:sz="4" w:space="0" w:color="auto"/>
            </w:tcBorders>
            <w:shd w:val="clear" w:color="000000" w:fill="E2EFDA"/>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11,908,959.99</w:t>
            </w:r>
          </w:p>
        </w:tc>
        <w:tc>
          <w:tcPr>
            <w:tcW w:w="2373" w:type="dxa"/>
            <w:tcBorders>
              <w:top w:val="nil"/>
              <w:left w:val="nil"/>
              <w:bottom w:val="single" w:sz="4" w:space="0" w:color="auto"/>
              <w:right w:val="single" w:sz="4" w:space="0" w:color="auto"/>
            </w:tcBorders>
            <w:shd w:val="clear" w:color="000000" w:fill="E2EFDA"/>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15,879,196.46</w:t>
            </w:r>
          </w:p>
        </w:tc>
        <w:tc>
          <w:tcPr>
            <w:tcW w:w="1849" w:type="dxa"/>
            <w:tcBorders>
              <w:top w:val="nil"/>
              <w:left w:val="nil"/>
              <w:bottom w:val="single" w:sz="4" w:space="0" w:color="auto"/>
              <w:right w:val="single" w:sz="4" w:space="0" w:color="auto"/>
            </w:tcBorders>
            <w:shd w:val="clear" w:color="000000" w:fill="E2EFDA"/>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-25.00%</w:t>
            </w:r>
          </w:p>
        </w:tc>
      </w:tr>
    </w:tbl>
    <w:p w:rsidR="00494617" w:rsidRPr="00494617" w:rsidRDefault="00494617" w:rsidP="00494617">
      <w:pPr>
        <w:spacing w:before="0" w:after="200" w:line="276" w:lineRule="auto"/>
        <w:jc w:val="center"/>
        <w:rPr>
          <w:rFonts w:ascii="Calibri" w:eastAsia="Times New Roman" w:hAnsi="Calibri" w:cs="Times New Roman"/>
          <w:b/>
          <w:szCs w:val="24"/>
          <w:u w:val="single"/>
          <w:lang w:val="hr-HR"/>
        </w:rPr>
      </w:pPr>
      <w:r w:rsidRPr="00494617">
        <w:rPr>
          <w:rFonts w:ascii="Calibri" w:eastAsia="Times New Roman" w:hAnsi="Calibri" w:cs="Times New Roman"/>
          <w:b/>
          <w:szCs w:val="24"/>
          <w:u w:val="single"/>
          <w:lang w:val="hr-HR"/>
        </w:rPr>
        <w:t>Tabela br. 3</w:t>
      </w:r>
    </w:p>
    <w:p w:rsidR="00494617" w:rsidRPr="00494617" w:rsidRDefault="00494617" w:rsidP="00494617">
      <w:pPr>
        <w:spacing w:before="0" w:after="200" w:line="276" w:lineRule="auto"/>
        <w:rPr>
          <w:rFonts w:ascii="Calibri" w:eastAsia="Times New Roman" w:hAnsi="Calibri" w:cs="Times New Roman"/>
          <w:szCs w:val="24"/>
          <w:lang w:val="hr-HR"/>
        </w:rPr>
      </w:pPr>
    </w:p>
    <w:p w:rsidR="00494617" w:rsidRPr="00494617" w:rsidRDefault="00494617" w:rsidP="00494617">
      <w:pPr>
        <w:spacing w:before="0" w:after="200" w:line="276" w:lineRule="auto"/>
        <w:jc w:val="center"/>
        <w:rPr>
          <w:rFonts w:ascii="Calibri" w:eastAsia="Times New Roman" w:hAnsi="Calibri" w:cs="Times New Roman"/>
          <w:b/>
          <w:szCs w:val="24"/>
          <w:u w:val="single"/>
          <w:lang w:val="hr-HR"/>
        </w:rPr>
      </w:pPr>
    </w:p>
    <w:p w:rsidR="00494617" w:rsidRPr="00494617" w:rsidRDefault="00494617" w:rsidP="00494617">
      <w:pPr>
        <w:spacing w:before="0" w:after="200" w:line="276" w:lineRule="auto"/>
        <w:rPr>
          <w:rFonts w:ascii="Calibri" w:eastAsia="Times New Roman" w:hAnsi="Calibri" w:cs="Times New Roman"/>
          <w:szCs w:val="24"/>
          <w:lang w:val="hr-HR"/>
        </w:rPr>
      </w:pPr>
      <w:r w:rsidRPr="00494617">
        <w:rPr>
          <w:rFonts w:ascii="Calibri" w:eastAsia="Times New Roman" w:hAnsi="Calibri" w:cs="Times New Roman"/>
          <w:szCs w:val="24"/>
          <w:lang w:val="hr-HR"/>
        </w:rPr>
        <w:t>Kretanje budžetskih prihoda od igara na sreću tokom perioda od 01.01.2015. do 31.12.2020. godine, prikazano je na grafikonu br. 2.</w:t>
      </w:r>
    </w:p>
    <w:p w:rsidR="00494617" w:rsidRPr="00494617" w:rsidRDefault="00494617" w:rsidP="00494617">
      <w:pPr>
        <w:spacing w:before="0" w:after="200" w:line="276" w:lineRule="auto"/>
        <w:rPr>
          <w:rFonts w:ascii="Times New Roman" w:eastAsia="Times New Roman" w:hAnsi="Times New Roman" w:cs="Times New Roman"/>
          <w:szCs w:val="24"/>
          <w:lang w:val="hr-HR"/>
        </w:rPr>
      </w:pPr>
      <w:r w:rsidRPr="00494617">
        <w:rPr>
          <w:rFonts w:ascii="Calibri" w:eastAsia="Times New Roman" w:hAnsi="Calibri" w:cs="Times New Roman"/>
          <w:noProof/>
          <w:szCs w:val="24"/>
          <w:lang w:val="sr-Latn-RS" w:eastAsia="sr-Latn-RS"/>
        </w:rPr>
        <w:lastRenderedPageBreak/>
        <w:drawing>
          <wp:inline distT="0" distB="0" distL="0" distR="0" wp14:anchorId="1A928791" wp14:editId="026776FC">
            <wp:extent cx="5940425" cy="2932430"/>
            <wp:effectExtent l="0" t="0" r="3175" b="1270"/>
            <wp:docPr id="36" name="Chart 3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94617" w:rsidRPr="00494617" w:rsidRDefault="00494617" w:rsidP="00494617">
      <w:pPr>
        <w:spacing w:before="0" w:after="200" w:line="276" w:lineRule="auto"/>
        <w:jc w:val="center"/>
        <w:rPr>
          <w:rFonts w:ascii="Calibri" w:eastAsia="Times New Roman" w:hAnsi="Calibri" w:cs="Times New Roman"/>
          <w:b/>
          <w:szCs w:val="24"/>
          <w:u w:val="single"/>
          <w:lang w:val="hr-HR"/>
        </w:rPr>
      </w:pPr>
      <w:r w:rsidRPr="00494617">
        <w:rPr>
          <w:rFonts w:ascii="Calibri" w:eastAsia="Times New Roman" w:hAnsi="Calibri" w:cs="Times New Roman"/>
          <w:b/>
          <w:szCs w:val="24"/>
          <w:u w:val="single"/>
          <w:lang w:val="hr-HR"/>
        </w:rPr>
        <w:t>Grafikon br. 2</w:t>
      </w:r>
    </w:p>
    <w:p w:rsidR="00494617" w:rsidRPr="00494617" w:rsidRDefault="00494617" w:rsidP="00494617">
      <w:pPr>
        <w:spacing w:before="0" w:after="200" w:line="276" w:lineRule="auto"/>
        <w:rPr>
          <w:rFonts w:ascii="Calibri" w:eastAsia="Times New Roman" w:hAnsi="Calibri" w:cs="Times New Roman"/>
          <w:b/>
          <w:szCs w:val="24"/>
          <w:u w:val="single"/>
          <w:lang w:val="hr-HR"/>
        </w:rPr>
      </w:pPr>
    </w:p>
    <w:p w:rsidR="00494617" w:rsidRPr="00494617" w:rsidRDefault="00494617" w:rsidP="00494617">
      <w:pPr>
        <w:keepNext/>
        <w:keepLines/>
        <w:spacing w:before="200" w:after="0" w:line="276" w:lineRule="auto"/>
        <w:jc w:val="left"/>
        <w:outlineLvl w:val="1"/>
        <w:rPr>
          <w:rFonts w:ascii="Calibri" w:eastAsia="Times New Roman" w:hAnsi="Calibri" w:cs="Times New Roman"/>
          <w:b/>
          <w:bCs/>
          <w:color w:val="4F81BD"/>
          <w:szCs w:val="24"/>
          <w:lang w:val="x-none" w:eastAsia="x-none"/>
        </w:rPr>
      </w:pPr>
      <w:bookmarkStart w:id="99" w:name="_Toc67655056"/>
      <w:r w:rsidRPr="00494617">
        <w:rPr>
          <w:rFonts w:ascii="Calibri" w:eastAsia="Times New Roman" w:hAnsi="Calibri" w:cs="Times New Roman"/>
          <w:b/>
          <w:bCs/>
          <w:color w:val="4F81BD"/>
          <w:szCs w:val="24"/>
          <w:lang w:val="x-none" w:eastAsia="x-none"/>
        </w:rPr>
        <w:t>2.2. GRAFIČKI PRIKAZ UČEŠĆA PRIHODA OD POJEDINIH VRSTA IGARA U UKUPNOM PRIHODU</w:t>
      </w:r>
      <w:bookmarkEnd w:id="99"/>
    </w:p>
    <w:p w:rsidR="00494617" w:rsidRPr="00494617" w:rsidRDefault="00494617" w:rsidP="00494617">
      <w:pPr>
        <w:spacing w:before="0" w:after="200" w:line="276" w:lineRule="auto"/>
        <w:jc w:val="left"/>
        <w:rPr>
          <w:rFonts w:ascii="Calibri" w:eastAsia="Times New Roman" w:hAnsi="Calibri" w:cs="Times New Roman"/>
          <w:sz w:val="22"/>
          <w:lang w:val="x-none" w:eastAsia="x-none"/>
        </w:rPr>
      </w:pPr>
    </w:p>
    <w:p w:rsidR="00494617" w:rsidRPr="00494617" w:rsidRDefault="00494617" w:rsidP="00494617">
      <w:pPr>
        <w:spacing w:before="0" w:after="200" w:line="240" w:lineRule="auto"/>
        <w:jc w:val="center"/>
        <w:rPr>
          <w:rFonts w:ascii="Calibri" w:eastAsia="Times New Roman" w:hAnsi="Calibri" w:cs="Times New Roman"/>
          <w:b/>
          <w:szCs w:val="24"/>
          <w:lang w:val="hr-HR"/>
        </w:rPr>
      </w:pPr>
      <w:r w:rsidRPr="00494617">
        <w:rPr>
          <w:rFonts w:ascii="Calibri" w:eastAsia="Times New Roman" w:hAnsi="Calibri" w:cs="Times New Roman"/>
          <w:noProof/>
          <w:sz w:val="22"/>
          <w:lang w:val="sr-Latn-RS" w:eastAsia="sr-Latn-RS"/>
        </w:rPr>
        <w:drawing>
          <wp:inline distT="0" distB="0" distL="0" distR="0" wp14:anchorId="564C4297" wp14:editId="46A378AB">
            <wp:extent cx="6057900" cy="3457575"/>
            <wp:effectExtent l="0" t="0" r="0" b="9525"/>
            <wp:docPr id="35" name="Chart 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494617">
        <w:rPr>
          <w:rFonts w:ascii="Calibri" w:eastAsia="Times New Roman" w:hAnsi="Calibri" w:cs="Times New Roman"/>
          <w:b/>
          <w:szCs w:val="24"/>
          <w:u w:val="single"/>
          <w:lang w:val="hr-HR"/>
        </w:rPr>
        <w:t>Grafikon br. 3</w:t>
      </w:r>
    </w:p>
    <w:p w:rsidR="00494617" w:rsidRPr="00494617" w:rsidRDefault="00494617" w:rsidP="00494617">
      <w:pPr>
        <w:spacing w:before="0" w:after="200" w:line="240" w:lineRule="auto"/>
        <w:rPr>
          <w:rFonts w:ascii="Calibri" w:eastAsia="Times New Roman" w:hAnsi="Calibri" w:cs="Times New Roman"/>
          <w:szCs w:val="24"/>
          <w:lang w:val="hr-HR"/>
        </w:rPr>
      </w:pPr>
      <w:r w:rsidRPr="00494617">
        <w:rPr>
          <w:rFonts w:ascii="Calibri" w:eastAsia="Times New Roman" w:hAnsi="Calibri" w:cs="Times New Roman"/>
          <w:szCs w:val="24"/>
          <w:lang w:val="hr-HR"/>
        </w:rPr>
        <w:t xml:space="preserve">Učešće pojedinih vrsta igara na sreću u ukupnom budžetskom prihodu za 2020. godinu je prikazano na grafikonu br. 3. U odnosu na 2019. godinu (grafikon br. 4) je primjetno smanjenje učešća prihoda </w:t>
      </w:r>
      <w:r w:rsidRPr="00494617">
        <w:rPr>
          <w:rFonts w:ascii="Calibri" w:eastAsia="Times New Roman" w:hAnsi="Calibri" w:cs="Times New Roman"/>
          <w:szCs w:val="24"/>
          <w:lang w:val="hr-HR"/>
        </w:rPr>
        <w:lastRenderedPageBreak/>
        <w:t>od terminala za klađenje ( u ugostiteljskim objektima), što je bilo očekvano kao posljedica Odluke</w:t>
      </w:r>
      <w:r w:rsidRPr="00494617">
        <w:rPr>
          <w:rFonts w:ascii="Calibri" w:eastAsia="Times New Roman" w:hAnsi="Calibri" w:cs="Times New Roman"/>
          <w:szCs w:val="24"/>
          <w:vertAlign w:val="superscript"/>
          <w:lang w:val="hr-HR"/>
        </w:rPr>
        <w:footnoteReference w:id="19"/>
      </w:r>
      <w:r w:rsidRPr="00494617">
        <w:rPr>
          <w:rFonts w:ascii="Calibri" w:eastAsia="Times New Roman" w:hAnsi="Calibri" w:cs="Times New Roman"/>
          <w:szCs w:val="24"/>
          <w:lang w:val="hr-HR"/>
        </w:rPr>
        <w:t xml:space="preserve"> Ustavnog suda Crne Gore iz 2017. godine.</w:t>
      </w:r>
    </w:p>
    <w:p w:rsidR="00494617" w:rsidRPr="00494617" w:rsidRDefault="00494617" w:rsidP="00494617">
      <w:pPr>
        <w:keepNext/>
        <w:keepLines/>
        <w:spacing w:before="480" w:after="0" w:line="276" w:lineRule="auto"/>
        <w:jc w:val="left"/>
        <w:outlineLvl w:val="0"/>
        <w:rPr>
          <w:rFonts w:ascii="Cambria" w:eastAsia="Times New Roman" w:hAnsi="Cambria" w:cs="Times New Roman"/>
          <w:b/>
          <w:bCs/>
          <w:color w:val="365F91"/>
          <w:sz w:val="28"/>
          <w:szCs w:val="28"/>
          <w:lang w:val="en-GB" w:eastAsia="en-GB"/>
        </w:rPr>
      </w:pPr>
      <w:r w:rsidRPr="00494617">
        <w:rPr>
          <w:rFonts w:ascii="Times New Roman" w:eastAsia="Times New Roman" w:hAnsi="Times New Roman" w:cs="Times New Roman"/>
          <w:b/>
          <w:bCs/>
          <w:noProof/>
          <w:color w:val="365F91"/>
          <w:sz w:val="28"/>
          <w:szCs w:val="28"/>
          <w:lang w:val="sr-Latn-RS" w:eastAsia="sr-Latn-RS"/>
        </w:rPr>
        <w:drawing>
          <wp:inline distT="0" distB="0" distL="0" distR="0" wp14:anchorId="0859127D" wp14:editId="5C26FB22">
            <wp:extent cx="5934075" cy="4200525"/>
            <wp:effectExtent l="0" t="0" r="9525" b="9525"/>
            <wp:docPr id="34" name="Chart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494617" w:rsidRPr="00494617" w:rsidRDefault="00494617" w:rsidP="00494617">
      <w:pPr>
        <w:spacing w:before="0" w:after="200" w:line="276" w:lineRule="auto"/>
        <w:jc w:val="center"/>
        <w:rPr>
          <w:rFonts w:ascii="Times New Roman" w:eastAsia="Times New Roman" w:hAnsi="Times New Roman" w:cs="Times New Roman"/>
          <w:b/>
          <w:szCs w:val="24"/>
          <w:lang w:val="hr-HR"/>
        </w:rPr>
      </w:pPr>
      <w:r w:rsidRPr="00494617">
        <w:rPr>
          <w:rFonts w:ascii="Times New Roman" w:eastAsia="Times New Roman" w:hAnsi="Times New Roman" w:cs="Times New Roman"/>
          <w:b/>
          <w:szCs w:val="24"/>
          <w:lang w:val="hr-HR"/>
        </w:rPr>
        <w:t>Grafikon br. 4</w:t>
      </w:r>
      <w:bookmarkStart w:id="100" w:name="_Toc67655057"/>
    </w:p>
    <w:p w:rsidR="00494617" w:rsidRPr="00494617" w:rsidRDefault="00494617" w:rsidP="00494617">
      <w:pPr>
        <w:keepNext/>
        <w:keepLines/>
        <w:spacing w:before="200" w:after="0" w:line="276" w:lineRule="auto"/>
        <w:jc w:val="left"/>
        <w:outlineLvl w:val="1"/>
        <w:rPr>
          <w:rFonts w:ascii="Calibri" w:eastAsia="Times New Roman" w:hAnsi="Calibri" w:cs="Times New Roman"/>
          <w:b/>
          <w:bCs/>
          <w:color w:val="4F81BD"/>
          <w:szCs w:val="24"/>
          <w:lang w:val="x-none" w:eastAsia="x-none"/>
        </w:rPr>
      </w:pPr>
      <w:r w:rsidRPr="00494617">
        <w:rPr>
          <w:rFonts w:ascii="Calibri" w:eastAsia="Times New Roman" w:hAnsi="Calibri" w:cs="Times New Roman"/>
          <w:b/>
          <w:bCs/>
          <w:color w:val="4F81BD"/>
          <w:szCs w:val="24"/>
          <w:lang w:val="x-none" w:eastAsia="x-none"/>
        </w:rPr>
        <w:t>2.3. PRIHODI OD IGARA NA SREĆU PO PRIREĐIVAČIMA</w:t>
      </w:r>
      <w:bookmarkEnd w:id="100"/>
    </w:p>
    <w:p w:rsidR="00494617" w:rsidRPr="00494617" w:rsidRDefault="00494617" w:rsidP="00494617">
      <w:pPr>
        <w:keepNext/>
        <w:keepLines/>
        <w:spacing w:before="200" w:after="0" w:line="240" w:lineRule="auto"/>
        <w:outlineLvl w:val="2"/>
        <w:rPr>
          <w:rFonts w:ascii="Calibri" w:eastAsia="Times New Roman" w:hAnsi="Calibri" w:cs="Times New Roman"/>
          <w:b/>
          <w:bCs/>
          <w:color w:val="4F81BD"/>
          <w:szCs w:val="24"/>
          <w:lang w:val="en-GB" w:eastAsia="x-none"/>
        </w:rPr>
      </w:pPr>
      <w:bookmarkStart w:id="101" w:name="_Toc67655058"/>
      <w:r w:rsidRPr="00494617">
        <w:rPr>
          <w:rFonts w:ascii="Calibri" w:eastAsia="Times New Roman" w:hAnsi="Calibri" w:cs="Times New Roman"/>
          <w:b/>
          <w:bCs/>
          <w:color w:val="4F81BD"/>
          <w:szCs w:val="24"/>
          <w:lang w:val="en-GB" w:eastAsia="x-none"/>
        </w:rPr>
        <w:t>2.3.1 LISTA 10 NAJVEĆIH PRIREĐIVAČA PO PRIHODIMA U 2020. GODINI</w:t>
      </w:r>
      <w:bookmarkEnd w:id="101"/>
    </w:p>
    <w:tbl>
      <w:tblPr>
        <w:tblW w:w="9351" w:type="dxa"/>
        <w:tblLook w:val="04A0" w:firstRow="1" w:lastRow="0" w:firstColumn="1" w:lastColumn="0" w:noHBand="0" w:noVBand="1"/>
      </w:tblPr>
      <w:tblGrid>
        <w:gridCol w:w="960"/>
        <w:gridCol w:w="4705"/>
        <w:gridCol w:w="3686"/>
      </w:tblGrid>
      <w:tr w:rsidR="00494617" w:rsidRPr="00494617" w:rsidTr="00494617">
        <w:trPr>
          <w:trHeight w:val="1365"/>
        </w:trPr>
        <w:tc>
          <w:tcPr>
            <w:tcW w:w="960" w:type="dxa"/>
            <w:tcBorders>
              <w:top w:val="single" w:sz="4" w:space="0" w:color="auto"/>
              <w:left w:val="single" w:sz="4" w:space="0" w:color="auto"/>
              <w:bottom w:val="single" w:sz="4" w:space="0" w:color="auto"/>
              <w:right w:val="single" w:sz="4" w:space="0" w:color="auto"/>
            </w:tcBorders>
            <w:shd w:val="clear" w:color="000000" w:fill="E2EFDA"/>
            <w:vAlign w:val="bottom"/>
            <w:hideMark/>
          </w:tcPr>
          <w:p w:rsidR="00494617" w:rsidRPr="00494617" w:rsidRDefault="00494617" w:rsidP="00494617">
            <w:pPr>
              <w:spacing w:before="0" w:after="0" w:line="240" w:lineRule="auto"/>
              <w:jc w:val="center"/>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REDNI BROJ</w:t>
            </w:r>
          </w:p>
        </w:tc>
        <w:tc>
          <w:tcPr>
            <w:tcW w:w="4705" w:type="dxa"/>
            <w:tcBorders>
              <w:top w:val="single" w:sz="4" w:space="0" w:color="auto"/>
              <w:left w:val="nil"/>
              <w:bottom w:val="single" w:sz="4" w:space="0" w:color="auto"/>
              <w:right w:val="single" w:sz="4" w:space="0" w:color="auto"/>
            </w:tcBorders>
            <w:shd w:val="clear" w:color="000000" w:fill="E2EFDA"/>
            <w:vAlign w:val="bottom"/>
            <w:hideMark/>
          </w:tcPr>
          <w:p w:rsidR="00494617" w:rsidRPr="00494617" w:rsidRDefault="00494617" w:rsidP="00494617">
            <w:pPr>
              <w:spacing w:before="0" w:after="0" w:line="240" w:lineRule="auto"/>
              <w:jc w:val="center"/>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NAZIV PRIREĐIVAČA</w:t>
            </w:r>
          </w:p>
        </w:tc>
        <w:tc>
          <w:tcPr>
            <w:tcW w:w="3686" w:type="dxa"/>
            <w:tcBorders>
              <w:top w:val="single" w:sz="4" w:space="0" w:color="auto"/>
              <w:left w:val="nil"/>
              <w:bottom w:val="single" w:sz="4" w:space="0" w:color="auto"/>
              <w:right w:val="single" w:sz="4" w:space="0" w:color="auto"/>
            </w:tcBorders>
            <w:shd w:val="clear" w:color="000000" w:fill="E2EFDA"/>
            <w:vAlign w:val="bottom"/>
            <w:hideMark/>
          </w:tcPr>
          <w:p w:rsidR="00494617" w:rsidRPr="00494617" w:rsidRDefault="00494617" w:rsidP="00494617">
            <w:pPr>
              <w:spacing w:before="0" w:after="0" w:line="240" w:lineRule="auto"/>
              <w:jc w:val="center"/>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PRIHODI U 2020. GODINI</w:t>
            </w:r>
          </w:p>
        </w:tc>
      </w:tr>
      <w:tr w:rsidR="00494617" w:rsidRPr="00494617" w:rsidTr="0049461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1</w:t>
            </w:r>
          </w:p>
        </w:tc>
        <w:tc>
          <w:tcPr>
            <w:tcW w:w="4705" w:type="dxa"/>
            <w:tcBorders>
              <w:top w:val="nil"/>
              <w:left w:val="nil"/>
              <w:bottom w:val="single" w:sz="4" w:space="0" w:color="auto"/>
              <w:right w:val="nil"/>
            </w:tcBorders>
            <w:shd w:val="clear" w:color="auto" w:fill="auto"/>
            <w:noWrap/>
            <w:vAlign w:val="bottom"/>
            <w:hideMark/>
          </w:tcPr>
          <w:p w:rsidR="00494617" w:rsidRPr="00494617" w:rsidRDefault="00494617" w:rsidP="00494617">
            <w:pPr>
              <w:spacing w:before="0" w:after="0" w:line="240" w:lineRule="auto"/>
              <w:jc w:val="left"/>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VEZUV DOO</w:t>
            </w:r>
          </w:p>
        </w:tc>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2,578,647.57</w:t>
            </w:r>
          </w:p>
        </w:tc>
      </w:tr>
      <w:tr w:rsidR="00494617" w:rsidRPr="00494617" w:rsidTr="0049461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2</w:t>
            </w:r>
          </w:p>
        </w:tc>
        <w:tc>
          <w:tcPr>
            <w:tcW w:w="4705" w:type="dxa"/>
            <w:tcBorders>
              <w:top w:val="nil"/>
              <w:left w:val="nil"/>
              <w:bottom w:val="single" w:sz="4" w:space="0" w:color="auto"/>
              <w:right w:val="nil"/>
            </w:tcBorders>
            <w:shd w:val="clear" w:color="auto" w:fill="auto"/>
            <w:noWrap/>
            <w:vAlign w:val="bottom"/>
            <w:hideMark/>
          </w:tcPr>
          <w:p w:rsidR="00494617" w:rsidRPr="00494617" w:rsidRDefault="00494617" w:rsidP="00494617">
            <w:pPr>
              <w:spacing w:before="0" w:after="0" w:line="240" w:lineRule="auto"/>
              <w:jc w:val="left"/>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LOB COMMPANY DOO</w:t>
            </w:r>
          </w:p>
        </w:tc>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1,100,994.73</w:t>
            </w:r>
          </w:p>
        </w:tc>
      </w:tr>
      <w:tr w:rsidR="00494617" w:rsidRPr="00494617" w:rsidTr="0049461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3</w:t>
            </w:r>
          </w:p>
        </w:tc>
        <w:tc>
          <w:tcPr>
            <w:tcW w:w="4705" w:type="dxa"/>
            <w:tcBorders>
              <w:top w:val="nil"/>
              <w:left w:val="nil"/>
              <w:bottom w:val="single" w:sz="4" w:space="0" w:color="auto"/>
              <w:right w:val="nil"/>
            </w:tcBorders>
            <w:shd w:val="clear" w:color="auto" w:fill="auto"/>
            <w:noWrap/>
            <w:vAlign w:val="bottom"/>
            <w:hideMark/>
          </w:tcPr>
          <w:p w:rsidR="00494617" w:rsidRPr="00494617" w:rsidRDefault="00494617" w:rsidP="00494617">
            <w:pPr>
              <w:spacing w:before="0" w:after="0" w:line="240" w:lineRule="auto"/>
              <w:jc w:val="left"/>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SPORTING GROUP DOO</w:t>
            </w:r>
          </w:p>
        </w:tc>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1,097,439.98</w:t>
            </w:r>
          </w:p>
        </w:tc>
      </w:tr>
      <w:tr w:rsidR="00494617" w:rsidRPr="00494617" w:rsidTr="0049461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4</w:t>
            </w:r>
          </w:p>
        </w:tc>
        <w:tc>
          <w:tcPr>
            <w:tcW w:w="4705" w:type="dxa"/>
            <w:tcBorders>
              <w:top w:val="nil"/>
              <w:left w:val="nil"/>
              <w:bottom w:val="single" w:sz="4" w:space="0" w:color="auto"/>
              <w:right w:val="nil"/>
            </w:tcBorders>
            <w:shd w:val="clear" w:color="auto" w:fill="auto"/>
            <w:noWrap/>
            <w:vAlign w:val="bottom"/>
            <w:hideMark/>
          </w:tcPr>
          <w:p w:rsidR="00494617" w:rsidRPr="00494617" w:rsidRDefault="00494617" w:rsidP="00494617">
            <w:pPr>
              <w:spacing w:before="0" w:after="0" w:line="240" w:lineRule="auto"/>
              <w:jc w:val="left"/>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ČIBRI DOO</w:t>
            </w:r>
          </w:p>
        </w:tc>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866,490.94</w:t>
            </w:r>
          </w:p>
        </w:tc>
      </w:tr>
      <w:tr w:rsidR="00494617" w:rsidRPr="00494617" w:rsidTr="0049461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5</w:t>
            </w:r>
          </w:p>
        </w:tc>
        <w:tc>
          <w:tcPr>
            <w:tcW w:w="4705" w:type="dxa"/>
            <w:tcBorders>
              <w:top w:val="nil"/>
              <w:left w:val="nil"/>
              <w:bottom w:val="single" w:sz="4" w:space="0" w:color="auto"/>
              <w:right w:val="nil"/>
            </w:tcBorders>
            <w:shd w:val="clear" w:color="auto" w:fill="auto"/>
            <w:noWrap/>
            <w:vAlign w:val="bottom"/>
            <w:hideMark/>
          </w:tcPr>
          <w:p w:rsidR="00494617" w:rsidRPr="00494617" w:rsidRDefault="00494617" w:rsidP="00494617">
            <w:pPr>
              <w:spacing w:before="0" w:after="0" w:line="240" w:lineRule="auto"/>
              <w:jc w:val="left"/>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 xml:space="preserve">MNA GAMING DOO  </w:t>
            </w:r>
          </w:p>
        </w:tc>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819,827.59</w:t>
            </w:r>
          </w:p>
        </w:tc>
      </w:tr>
      <w:tr w:rsidR="00494617" w:rsidRPr="00494617" w:rsidTr="0049461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6</w:t>
            </w:r>
          </w:p>
        </w:tc>
        <w:tc>
          <w:tcPr>
            <w:tcW w:w="4705" w:type="dxa"/>
            <w:tcBorders>
              <w:top w:val="nil"/>
              <w:left w:val="nil"/>
              <w:bottom w:val="single" w:sz="4" w:space="0" w:color="auto"/>
              <w:right w:val="nil"/>
            </w:tcBorders>
            <w:shd w:val="clear" w:color="auto" w:fill="auto"/>
            <w:noWrap/>
            <w:vAlign w:val="bottom"/>
            <w:hideMark/>
          </w:tcPr>
          <w:p w:rsidR="00494617" w:rsidRPr="00494617" w:rsidRDefault="00494617" w:rsidP="00494617">
            <w:pPr>
              <w:spacing w:before="0" w:after="0" w:line="240" w:lineRule="auto"/>
              <w:jc w:val="left"/>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 xml:space="preserve">FUN FUN DOO </w:t>
            </w:r>
          </w:p>
        </w:tc>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702,341.38</w:t>
            </w:r>
          </w:p>
        </w:tc>
      </w:tr>
      <w:tr w:rsidR="00494617" w:rsidRPr="00494617" w:rsidTr="0049461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7</w:t>
            </w:r>
          </w:p>
        </w:tc>
        <w:tc>
          <w:tcPr>
            <w:tcW w:w="4705" w:type="dxa"/>
            <w:tcBorders>
              <w:top w:val="nil"/>
              <w:left w:val="nil"/>
              <w:bottom w:val="single" w:sz="4" w:space="0" w:color="auto"/>
              <w:right w:val="nil"/>
            </w:tcBorders>
            <w:shd w:val="clear" w:color="auto" w:fill="auto"/>
            <w:noWrap/>
            <w:vAlign w:val="bottom"/>
            <w:hideMark/>
          </w:tcPr>
          <w:p w:rsidR="00494617" w:rsidRPr="00494617" w:rsidRDefault="00494617" w:rsidP="00494617">
            <w:pPr>
              <w:spacing w:before="0" w:after="0" w:line="240" w:lineRule="auto"/>
              <w:jc w:val="left"/>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DŽEK POT DOO</w:t>
            </w:r>
          </w:p>
        </w:tc>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635,968.35</w:t>
            </w:r>
          </w:p>
        </w:tc>
      </w:tr>
      <w:tr w:rsidR="00494617" w:rsidRPr="00494617" w:rsidTr="0049461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8</w:t>
            </w:r>
          </w:p>
        </w:tc>
        <w:tc>
          <w:tcPr>
            <w:tcW w:w="4705" w:type="dxa"/>
            <w:tcBorders>
              <w:top w:val="nil"/>
              <w:left w:val="nil"/>
              <w:bottom w:val="single" w:sz="4" w:space="0" w:color="auto"/>
              <w:right w:val="nil"/>
            </w:tcBorders>
            <w:shd w:val="clear" w:color="auto" w:fill="auto"/>
            <w:noWrap/>
            <w:vAlign w:val="bottom"/>
            <w:hideMark/>
          </w:tcPr>
          <w:p w:rsidR="00494617" w:rsidRPr="00494617" w:rsidRDefault="00494617" w:rsidP="00494617">
            <w:pPr>
              <w:spacing w:before="0" w:after="0" w:line="240" w:lineRule="auto"/>
              <w:jc w:val="left"/>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MULTIMAT DOO</w:t>
            </w:r>
          </w:p>
        </w:tc>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618,515.39</w:t>
            </w:r>
          </w:p>
        </w:tc>
      </w:tr>
      <w:tr w:rsidR="00494617" w:rsidRPr="00494617" w:rsidTr="00494617">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lastRenderedPageBreak/>
              <w:t>9</w:t>
            </w:r>
          </w:p>
        </w:tc>
        <w:tc>
          <w:tcPr>
            <w:tcW w:w="4705" w:type="dxa"/>
            <w:tcBorders>
              <w:top w:val="nil"/>
              <w:left w:val="nil"/>
              <w:bottom w:val="single" w:sz="4" w:space="0" w:color="auto"/>
              <w:right w:val="nil"/>
            </w:tcBorders>
            <w:shd w:val="clear" w:color="auto" w:fill="auto"/>
            <w:vAlign w:val="bottom"/>
            <w:hideMark/>
          </w:tcPr>
          <w:p w:rsidR="00494617" w:rsidRPr="00494617" w:rsidRDefault="00494617" w:rsidP="00494617">
            <w:pPr>
              <w:spacing w:before="0" w:after="0" w:line="240" w:lineRule="auto"/>
              <w:jc w:val="left"/>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 xml:space="preserve">MAESTRAL HOTELS AND CASINOS DOO </w:t>
            </w:r>
          </w:p>
        </w:tc>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606,878.88</w:t>
            </w:r>
          </w:p>
        </w:tc>
      </w:tr>
      <w:tr w:rsidR="00494617" w:rsidRPr="00494617" w:rsidTr="0049461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10</w:t>
            </w:r>
          </w:p>
        </w:tc>
        <w:tc>
          <w:tcPr>
            <w:tcW w:w="4705" w:type="dxa"/>
            <w:tcBorders>
              <w:top w:val="nil"/>
              <w:left w:val="nil"/>
              <w:bottom w:val="single" w:sz="4" w:space="0" w:color="auto"/>
              <w:right w:val="nil"/>
            </w:tcBorders>
            <w:shd w:val="clear" w:color="auto" w:fill="auto"/>
            <w:noWrap/>
            <w:vAlign w:val="bottom"/>
            <w:hideMark/>
          </w:tcPr>
          <w:p w:rsidR="00494617" w:rsidRPr="00494617" w:rsidRDefault="00494617" w:rsidP="00494617">
            <w:pPr>
              <w:spacing w:before="0" w:after="0" w:line="240" w:lineRule="auto"/>
              <w:jc w:val="left"/>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MERIDIAN BET DOO</w:t>
            </w:r>
          </w:p>
        </w:tc>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553,137.54</w:t>
            </w:r>
          </w:p>
        </w:tc>
      </w:tr>
    </w:tbl>
    <w:p w:rsidR="00494617" w:rsidRPr="00494617" w:rsidRDefault="00494617" w:rsidP="00494617">
      <w:pPr>
        <w:spacing w:before="0" w:after="200" w:line="276" w:lineRule="auto"/>
        <w:jc w:val="center"/>
        <w:rPr>
          <w:rFonts w:ascii="Calibri" w:eastAsia="Times New Roman" w:hAnsi="Calibri" w:cs="Times New Roman"/>
          <w:b/>
          <w:szCs w:val="24"/>
          <w:u w:val="single"/>
          <w:lang w:val="hr-HR"/>
        </w:rPr>
      </w:pPr>
      <w:r w:rsidRPr="00494617">
        <w:rPr>
          <w:rFonts w:ascii="Calibri" w:eastAsia="Times New Roman" w:hAnsi="Calibri" w:cs="Times New Roman"/>
          <w:b/>
          <w:szCs w:val="24"/>
          <w:u w:val="single"/>
          <w:lang w:val="hr-HR"/>
        </w:rPr>
        <w:t>Tabela br. 4</w:t>
      </w:r>
    </w:p>
    <w:p w:rsidR="00494617" w:rsidRPr="00494617" w:rsidRDefault="00494617" w:rsidP="00494617">
      <w:pPr>
        <w:keepNext/>
        <w:keepLines/>
        <w:spacing w:before="200" w:after="0" w:line="240" w:lineRule="auto"/>
        <w:outlineLvl w:val="2"/>
        <w:rPr>
          <w:rFonts w:ascii="Calibri" w:eastAsia="Times New Roman" w:hAnsi="Calibri" w:cs="Times New Roman"/>
          <w:b/>
          <w:bCs/>
          <w:color w:val="4F81BD"/>
          <w:szCs w:val="24"/>
          <w:lang w:val="en-GB" w:eastAsia="x-none"/>
        </w:rPr>
      </w:pPr>
      <w:bookmarkStart w:id="102" w:name="_Toc67655059"/>
      <w:r w:rsidRPr="00494617">
        <w:rPr>
          <w:rFonts w:ascii="Calibri" w:eastAsia="Times New Roman" w:hAnsi="Calibri" w:cs="Times New Roman"/>
          <w:b/>
          <w:bCs/>
          <w:color w:val="4F81BD"/>
          <w:szCs w:val="24"/>
          <w:lang w:val="en-GB" w:eastAsia="x-none"/>
        </w:rPr>
        <w:t>2.3.2 PRIHODI OD KAZINA U 2020. GODINI PO PRIREĐIVAČIMA</w:t>
      </w:r>
      <w:bookmarkEnd w:id="102"/>
    </w:p>
    <w:tbl>
      <w:tblPr>
        <w:tblW w:w="9351" w:type="dxa"/>
        <w:tblLook w:val="04A0" w:firstRow="1" w:lastRow="0" w:firstColumn="1" w:lastColumn="0" w:noHBand="0" w:noVBand="1"/>
      </w:tblPr>
      <w:tblGrid>
        <w:gridCol w:w="960"/>
        <w:gridCol w:w="4705"/>
        <w:gridCol w:w="3686"/>
      </w:tblGrid>
      <w:tr w:rsidR="00494617" w:rsidRPr="00494617" w:rsidTr="00494617">
        <w:trPr>
          <w:trHeight w:val="525"/>
        </w:trPr>
        <w:tc>
          <w:tcPr>
            <w:tcW w:w="960" w:type="dxa"/>
            <w:tcBorders>
              <w:top w:val="single" w:sz="4" w:space="0" w:color="auto"/>
              <w:left w:val="single" w:sz="4" w:space="0" w:color="auto"/>
              <w:bottom w:val="single" w:sz="4" w:space="0" w:color="auto"/>
              <w:right w:val="single" w:sz="4" w:space="0" w:color="auto"/>
            </w:tcBorders>
            <w:shd w:val="clear" w:color="000000" w:fill="E2EFDA"/>
            <w:vAlign w:val="bottom"/>
            <w:hideMark/>
          </w:tcPr>
          <w:p w:rsidR="00494617" w:rsidRPr="00494617" w:rsidRDefault="00494617" w:rsidP="00494617">
            <w:pPr>
              <w:spacing w:before="0" w:after="0" w:line="240" w:lineRule="auto"/>
              <w:jc w:val="center"/>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REDNI BROJ</w:t>
            </w:r>
          </w:p>
        </w:tc>
        <w:tc>
          <w:tcPr>
            <w:tcW w:w="4705" w:type="dxa"/>
            <w:tcBorders>
              <w:top w:val="single" w:sz="4" w:space="0" w:color="auto"/>
              <w:left w:val="nil"/>
              <w:bottom w:val="single" w:sz="4" w:space="0" w:color="auto"/>
              <w:right w:val="single" w:sz="4" w:space="0" w:color="auto"/>
            </w:tcBorders>
            <w:shd w:val="clear" w:color="000000" w:fill="E2EFDA"/>
            <w:vAlign w:val="bottom"/>
            <w:hideMark/>
          </w:tcPr>
          <w:p w:rsidR="00494617" w:rsidRPr="00494617" w:rsidRDefault="00494617" w:rsidP="00494617">
            <w:pPr>
              <w:spacing w:before="0" w:after="0" w:line="240" w:lineRule="auto"/>
              <w:jc w:val="center"/>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NAZIV PRIREĐIVAČA</w:t>
            </w:r>
          </w:p>
        </w:tc>
        <w:tc>
          <w:tcPr>
            <w:tcW w:w="3686" w:type="dxa"/>
            <w:tcBorders>
              <w:top w:val="single" w:sz="4" w:space="0" w:color="auto"/>
              <w:left w:val="nil"/>
              <w:bottom w:val="single" w:sz="4" w:space="0" w:color="auto"/>
              <w:right w:val="single" w:sz="4" w:space="0" w:color="auto"/>
            </w:tcBorders>
            <w:shd w:val="clear" w:color="000000" w:fill="E2EFDA"/>
            <w:vAlign w:val="bottom"/>
            <w:hideMark/>
          </w:tcPr>
          <w:p w:rsidR="00494617" w:rsidRPr="00494617" w:rsidRDefault="00494617" w:rsidP="00494617">
            <w:pPr>
              <w:spacing w:before="0" w:after="0" w:line="240" w:lineRule="auto"/>
              <w:jc w:val="center"/>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PRIHODI U 2020. GODINI</w:t>
            </w:r>
          </w:p>
        </w:tc>
      </w:tr>
      <w:tr w:rsidR="00494617" w:rsidRPr="00494617" w:rsidTr="0049461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1</w:t>
            </w:r>
          </w:p>
        </w:tc>
        <w:tc>
          <w:tcPr>
            <w:tcW w:w="4705"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left"/>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DŽEK POT DOO</w:t>
            </w:r>
          </w:p>
        </w:tc>
        <w:tc>
          <w:tcPr>
            <w:tcW w:w="3686"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635,968.35</w:t>
            </w:r>
          </w:p>
        </w:tc>
      </w:tr>
      <w:tr w:rsidR="00494617" w:rsidRPr="00494617" w:rsidTr="00494617">
        <w:trPr>
          <w:trHeight w:val="6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2</w:t>
            </w:r>
          </w:p>
        </w:tc>
        <w:tc>
          <w:tcPr>
            <w:tcW w:w="4705" w:type="dxa"/>
            <w:tcBorders>
              <w:top w:val="nil"/>
              <w:left w:val="nil"/>
              <w:bottom w:val="single" w:sz="4" w:space="0" w:color="auto"/>
              <w:right w:val="single" w:sz="4" w:space="0" w:color="auto"/>
            </w:tcBorders>
            <w:shd w:val="clear" w:color="auto" w:fill="auto"/>
            <w:vAlign w:val="bottom"/>
            <w:hideMark/>
          </w:tcPr>
          <w:p w:rsidR="00494617" w:rsidRPr="00494617" w:rsidRDefault="00494617" w:rsidP="00494617">
            <w:pPr>
              <w:spacing w:before="0" w:after="0" w:line="240" w:lineRule="auto"/>
              <w:jc w:val="left"/>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 xml:space="preserve">MAESTRAL HOTELS AND CASINOS DOO </w:t>
            </w:r>
          </w:p>
        </w:tc>
        <w:tc>
          <w:tcPr>
            <w:tcW w:w="3686"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606,878.88</w:t>
            </w:r>
          </w:p>
        </w:tc>
      </w:tr>
      <w:tr w:rsidR="00494617" w:rsidRPr="00494617" w:rsidTr="0049461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3</w:t>
            </w:r>
          </w:p>
        </w:tc>
        <w:tc>
          <w:tcPr>
            <w:tcW w:w="4705"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left"/>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CASINO AVALA DOO</w:t>
            </w:r>
          </w:p>
        </w:tc>
        <w:tc>
          <w:tcPr>
            <w:tcW w:w="3686"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157,157.86</w:t>
            </w:r>
          </w:p>
        </w:tc>
      </w:tr>
    </w:tbl>
    <w:p w:rsidR="00494617" w:rsidRPr="00494617" w:rsidRDefault="00494617" w:rsidP="00494617">
      <w:pPr>
        <w:spacing w:before="0" w:after="200" w:line="276" w:lineRule="auto"/>
        <w:jc w:val="center"/>
        <w:rPr>
          <w:rFonts w:ascii="Calibri" w:eastAsia="Times New Roman" w:hAnsi="Calibri" w:cs="Times New Roman"/>
          <w:b/>
          <w:szCs w:val="24"/>
          <w:u w:val="single"/>
          <w:lang w:val="hr-HR"/>
        </w:rPr>
      </w:pPr>
      <w:r w:rsidRPr="00494617">
        <w:rPr>
          <w:rFonts w:ascii="Calibri" w:eastAsia="Times New Roman" w:hAnsi="Calibri" w:cs="Times New Roman"/>
          <w:b/>
          <w:szCs w:val="24"/>
          <w:u w:val="single"/>
          <w:lang w:val="hr-HR"/>
        </w:rPr>
        <w:t>Tabela br. 5</w:t>
      </w:r>
    </w:p>
    <w:p w:rsidR="00494617" w:rsidRPr="00494617" w:rsidRDefault="00494617" w:rsidP="00494617">
      <w:pPr>
        <w:keepNext/>
        <w:keepLines/>
        <w:spacing w:before="200" w:after="0" w:line="240" w:lineRule="auto"/>
        <w:outlineLvl w:val="2"/>
        <w:rPr>
          <w:rFonts w:ascii="Calibri" w:eastAsia="Times New Roman" w:hAnsi="Calibri" w:cs="Times New Roman"/>
          <w:b/>
          <w:bCs/>
          <w:color w:val="4F81BD"/>
          <w:szCs w:val="24"/>
          <w:lang w:val="en-GB" w:eastAsia="x-none"/>
        </w:rPr>
      </w:pPr>
      <w:bookmarkStart w:id="103" w:name="_Toc67655060"/>
      <w:r w:rsidRPr="00494617">
        <w:rPr>
          <w:rFonts w:ascii="Calibri" w:eastAsia="Times New Roman" w:hAnsi="Calibri" w:cs="Times New Roman"/>
          <w:b/>
          <w:bCs/>
          <w:color w:val="4F81BD"/>
          <w:szCs w:val="24"/>
          <w:lang w:val="en-GB" w:eastAsia="x-none"/>
        </w:rPr>
        <w:t>2.3.3 LISTA 5 NAJVEĆIH PRIREĐIVAČA IGARA NA SREĆU NA AUTOMATIMA PO PRIHODIMA U 2020. GODINI</w:t>
      </w:r>
      <w:bookmarkEnd w:id="103"/>
    </w:p>
    <w:tbl>
      <w:tblPr>
        <w:tblW w:w="9351" w:type="dxa"/>
        <w:tblLook w:val="04A0" w:firstRow="1" w:lastRow="0" w:firstColumn="1" w:lastColumn="0" w:noHBand="0" w:noVBand="1"/>
      </w:tblPr>
      <w:tblGrid>
        <w:gridCol w:w="842"/>
        <w:gridCol w:w="4685"/>
        <w:gridCol w:w="3827"/>
      </w:tblGrid>
      <w:tr w:rsidR="00494617" w:rsidRPr="00494617" w:rsidTr="00494617">
        <w:trPr>
          <w:trHeight w:val="960"/>
        </w:trPr>
        <w:tc>
          <w:tcPr>
            <w:tcW w:w="839" w:type="dxa"/>
            <w:tcBorders>
              <w:top w:val="single" w:sz="4" w:space="0" w:color="auto"/>
              <w:left w:val="single" w:sz="4" w:space="0" w:color="auto"/>
              <w:bottom w:val="single" w:sz="4" w:space="0" w:color="auto"/>
              <w:right w:val="single" w:sz="4" w:space="0" w:color="auto"/>
            </w:tcBorders>
            <w:shd w:val="clear" w:color="000000" w:fill="E2EFDA"/>
            <w:vAlign w:val="bottom"/>
            <w:hideMark/>
          </w:tcPr>
          <w:p w:rsidR="00494617" w:rsidRPr="00494617" w:rsidRDefault="00494617" w:rsidP="00494617">
            <w:pPr>
              <w:spacing w:before="0" w:after="0" w:line="240" w:lineRule="auto"/>
              <w:jc w:val="center"/>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REDNI BROJ</w:t>
            </w:r>
          </w:p>
        </w:tc>
        <w:tc>
          <w:tcPr>
            <w:tcW w:w="4685" w:type="dxa"/>
            <w:tcBorders>
              <w:top w:val="single" w:sz="4" w:space="0" w:color="auto"/>
              <w:left w:val="nil"/>
              <w:bottom w:val="single" w:sz="4" w:space="0" w:color="auto"/>
              <w:right w:val="single" w:sz="4" w:space="0" w:color="auto"/>
            </w:tcBorders>
            <w:shd w:val="clear" w:color="000000" w:fill="E2EFDA"/>
            <w:vAlign w:val="bottom"/>
            <w:hideMark/>
          </w:tcPr>
          <w:p w:rsidR="00494617" w:rsidRPr="00494617" w:rsidRDefault="00494617" w:rsidP="00494617">
            <w:pPr>
              <w:spacing w:before="0" w:after="0" w:line="240" w:lineRule="auto"/>
              <w:jc w:val="center"/>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NAZIV PRIREĐIVAČA</w:t>
            </w:r>
          </w:p>
        </w:tc>
        <w:tc>
          <w:tcPr>
            <w:tcW w:w="3827" w:type="dxa"/>
            <w:tcBorders>
              <w:top w:val="single" w:sz="4" w:space="0" w:color="auto"/>
              <w:left w:val="nil"/>
              <w:bottom w:val="single" w:sz="4" w:space="0" w:color="auto"/>
              <w:right w:val="single" w:sz="4" w:space="0" w:color="auto"/>
            </w:tcBorders>
            <w:shd w:val="clear" w:color="000000" w:fill="E2EFDA"/>
            <w:vAlign w:val="bottom"/>
            <w:hideMark/>
          </w:tcPr>
          <w:p w:rsidR="00494617" w:rsidRPr="00494617" w:rsidRDefault="00494617" w:rsidP="00494617">
            <w:pPr>
              <w:spacing w:before="0" w:after="0" w:line="240" w:lineRule="auto"/>
              <w:jc w:val="center"/>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UPLATE</w:t>
            </w:r>
          </w:p>
        </w:tc>
      </w:tr>
      <w:tr w:rsidR="00494617" w:rsidRPr="00494617" w:rsidTr="00494617">
        <w:trPr>
          <w:trHeight w:val="315"/>
        </w:trPr>
        <w:tc>
          <w:tcPr>
            <w:tcW w:w="839"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1</w:t>
            </w:r>
          </w:p>
        </w:tc>
        <w:tc>
          <w:tcPr>
            <w:tcW w:w="4685"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 xml:space="preserve">     MNA GAMING DOO  </w:t>
            </w:r>
          </w:p>
        </w:tc>
        <w:tc>
          <w:tcPr>
            <w:tcW w:w="3827"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679,952.50</w:t>
            </w:r>
          </w:p>
        </w:tc>
      </w:tr>
      <w:tr w:rsidR="00494617" w:rsidRPr="00494617" w:rsidTr="00494617">
        <w:trPr>
          <w:trHeight w:val="315"/>
        </w:trPr>
        <w:tc>
          <w:tcPr>
            <w:tcW w:w="839"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2</w:t>
            </w:r>
          </w:p>
        </w:tc>
        <w:tc>
          <w:tcPr>
            <w:tcW w:w="4685"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VEZUV DOO</w:t>
            </w:r>
          </w:p>
        </w:tc>
        <w:tc>
          <w:tcPr>
            <w:tcW w:w="3827"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313,733.65</w:t>
            </w:r>
          </w:p>
        </w:tc>
      </w:tr>
      <w:tr w:rsidR="00494617" w:rsidRPr="00494617" w:rsidTr="00494617">
        <w:trPr>
          <w:trHeight w:val="315"/>
        </w:trPr>
        <w:tc>
          <w:tcPr>
            <w:tcW w:w="839"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3</w:t>
            </w:r>
          </w:p>
        </w:tc>
        <w:tc>
          <w:tcPr>
            <w:tcW w:w="4685"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GAME WORLD DOO</w:t>
            </w:r>
          </w:p>
        </w:tc>
        <w:tc>
          <w:tcPr>
            <w:tcW w:w="3827"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217,698.06</w:t>
            </w:r>
          </w:p>
        </w:tc>
      </w:tr>
      <w:tr w:rsidR="00494617" w:rsidRPr="00494617" w:rsidTr="00494617">
        <w:trPr>
          <w:trHeight w:val="315"/>
        </w:trPr>
        <w:tc>
          <w:tcPr>
            <w:tcW w:w="839"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4</w:t>
            </w:r>
          </w:p>
        </w:tc>
        <w:tc>
          <w:tcPr>
            <w:tcW w:w="4685"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LUTRIJA CRNE GORE</w:t>
            </w:r>
          </w:p>
        </w:tc>
        <w:tc>
          <w:tcPr>
            <w:tcW w:w="3827"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213,211.49</w:t>
            </w:r>
          </w:p>
        </w:tc>
      </w:tr>
      <w:tr w:rsidR="00494617" w:rsidRPr="00494617" w:rsidTr="00494617">
        <w:trPr>
          <w:trHeight w:val="315"/>
        </w:trPr>
        <w:tc>
          <w:tcPr>
            <w:tcW w:w="839"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5</w:t>
            </w:r>
          </w:p>
        </w:tc>
        <w:tc>
          <w:tcPr>
            <w:tcW w:w="4685"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MARKOVIĆ GRAND COMPANY DOO</w:t>
            </w:r>
          </w:p>
        </w:tc>
        <w:tc>
          <w:tcPr>
            <w:tcW w:w="3827"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119,458.42</w:t>
            </w:r>
          </w:p>
        </w:tc>
      </w:tr>
    </w:tbl>
    <w:p w:rsidR="00494617" w:rsidRPr="00494617" w:rsidRDefault="00494617" w:rsidP="00494617">
      <w:pPr>
        <w:spacing w:before="0" w:after="200" w:line="276" w:lineRule="auto"/>
        <w:jc w:val="center"/>
        <w:rPr>
          <w:rFonts w:ascii="Calibri" w:eastAsia="Times New Roman" w:hAnsi="Calibri" w:cs="Times New Roman"/>
          <w:b/>
          <w:szCs w:val="24"/>
          <w:u w:val="single"/>
          <w:lang w:val="hr-HR"/>
        </w:rPr>
      </w:pPr>
      <w:r w:rsidRPr="00494617">
        <w:rPr>
          <w:rFonts w:ascii="Calibri" w:eastAsia="Times New Roman" w:hAnsi="Calibri" w:cs="Times New Roman"/>
          <w:b/>
          <w:szCs w:val="24"/>
          <w:u w:val="single"/>
          <w:lang w:val="hr-HR"/>
        </w:rPr>
        <w:t>Tabela br. 6</w:t>
      </w:r>
    </w:p>
    <w:p w:rsidR="00494617" w:rsidRPr="00494617" w:rsidRDefault="00494617" w:rsidP="00494617">
      <w:pPr>
        <w:keepNext/>
        <w:keepLines/>
        <w:spacing w:before="200" w:after="0" w:line="240" w:lineRule="auto"/>
        <w:outlineLvl w:val="2"/>
        <w:rPr>
          <w:rFonts w:ascii="Calibri" w:eastAsia="Times New Roman" w:hAnsi="Calibri" w:cs="Times New Roman"/>
          <w:b/>
          <w:bCs/>
          <w:color w:val="4F81BD"/>
          <w:szCs w:val="24"/>
          <w:lang w:val="en-GB" w:eastAsia="x-none"/>
        </w:rPr>
      </w:pPr>
      <w:bookmarkStart w:id="104" w:name="_Toc67655061"/>
      <w:r w:rsidRPr="00494617">
        <w:rPr>
          <w:rFonts w:ascii="Calibri" w:eastAsia="Times New Roman" w:hAnsi="Calibri" w:cs="Times New Roman"/>
          <w:b/>
          <w:bCs/>
          <w:color w:val="4F81BD"/>
          <w:szCs w:val="24"/>
          <w:lang w:val="en-GB" w:eastAsia="x-none"/>
        </w:rPr>
        <w:t>2.3.4 LISTA 5 NAJVEĆIH PRIREĐIVAČA KLADIONIČKIH IGARA PO PRIHODIMA U 2020. GODINI</w:t>
      </w:r>
      <w:bookmarkEnd w:id="104"/>
    </w:p>
    <w:tbl>
      <w:tblPr>
        <w:tblW w:w="9351" w:type="dxa"/>
        <w:tblLook w:val="04A0" w:firstRow="1" w:lastRow="0" w:firstColumn="1" w:lastColumn="0" w:noHBand="0" w:noVBand="1"/>
      </w:tblPr>
      <w:tblGrid>
        <w:gridCol w:w="960"/>
        <w:gridCol w:w="3320"/>
        <w:gridCol w:w="1600"/>
        <w:gridCol w:w="1400"/>
        <w:gridCol w:w="2071"/>
      </w:tblGrid>
      <w:tr w:rsidR="00494617" w:rsidRPr="00494617" w:rsidTr="00494617">
        <w:trPr>
          <w:trHeight w:val="315"/>
        </w:trPr>
        <w:tc>
          <w:tcPr>
            <w:tcW w:w="960" w:type="dxa"/>
            <w:vMerge w:val="restart"/>
            <w:tcBorders>
              <w:top w:val="single" w:sz="4" w:space="0" w:color="auto"/>
              <w:left w:val="single" w:sz="4" w:space="0" w:color="auto"/>
              <w:bottom w:val="single" w:sz="4" w:space="0" w:color="auto"/>
              <w:right w:val="single" w:sz="4" w:space="0" w:color="auto"/>
            </w:tcBorders>
            <w:shd w:val="clear" w:color="000000" w:fill="E2EFDA"/>
            <w:vAlign w:val="bottom"/>
            <w:hideMark/>
          </w:tcPr>
          <w:p w:rsidR="00494617" w:rsidRPr="00494617" w:rsidRDefault="00494617" w:rsidP="00494617">
            <w:pPr>
              <w:spacing w:before="0" w:after="0" w:line="240" w:lineRule="auto"/>
              <w:jc w:val="center"/>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REDNI BROJ</w:t>
            </w:r>
          </w:p>
        </w:tc>
        <w:tc>
          <w:tcPr>
            <w:tcW w:w="3320" w:type="dxa"/>
            <w:vMerge w:val="restart"/>
            <w:tcBorders>
              <w:top w:val="single" w:sz="4" w:space="0" w:color="auto"/>
              <w:left w:val="single" w:sz="4" w:space="0" w:color="auto"/>
              <w:bottom w:val="single" w:sz="4" w:space="0" w:color="auto"/>
              <w:right w:val="single" w:sz="4" w:space="0" w:color="auto"/>
            </w:tcBorders>
            <w:shd w:val="clear" w:color="000000" w:fill="E2EFDA"/>
            <w:vAlign w:val="bottom"/>
            <w:hideMark/>
          </w:tcPr>
          <w:p w:rsidR="00494617" w:rsidRPr="00494617" w:rsidRDefault="00494617" w:rsidP="00494617">
            <w:pPr>
              <w:spacing w:before="0" w:after="0" w:line="240" w:lineRule="auto"/>
              <w:jc w:val="center"/>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NAZIV PRIREĐIVAČA</w:t>
            </w:r>
          </w:p>
        </w:tc>
        <w:tc>
          <w:tcPr>
            <w:tcW w:w="3000" w:type="dxa"/>
            <w:gridSpan w:val="2"/>
            <w:tcBorders>
              <w:top w:val="single" w:sz="4" w:space="0" w:color="auto"/>
              <w:left w:val="nil"/>
              <w:bottom w:val="single" w:sz="4" w:space="0" w:color="auto"/>
              <w:right w:val="single" w:sz="4" w:space="0" w:color="auto"/>
            </w:tcBorders>
            <w:shd w:val="clear" w:color="000000" w:fill="E2EFDA"/>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KLADIONIČKE IGRE</w:t>
            </w:r>
          </w:p>
        </w:tc>
        <w:tc>
          <w:tcPr>
            <w:tcW w:w="2071" w:type="dxa"/>
            <w:vMerge w:val="restart"/>
            <w:tcBorders>
              <w:top w:val="single" w:sz="4" w:space="0" w:color="auto"/>
              <w:left w:val="single" w:sz="4" w:space="0" w:color="auto"/>
              <w:bottom w:val="single" w:sz="4" w:space="0" w:color="auto"/>
              <w:right w:val="single" w:sz="4" w:space="0" w:color="auto"/>
            </w:tcBorders>
            <w:shd w:val="clear" w:color="000000" w:fill="E2EFDA"/>
            <w:vAlign w:val="bottom"/>
            <w:hideMark/>
          </w:tcPr>
          <w:p w:rsidR="00494617" w:rsidRPr="00494617" w:rsidRDefault="00494617" w:rsidP="00494617">
            <w:pPr>
              <w:spacing w:before="0" w:after="0" w:line="240" w:lineRule="auto"/>
              <w:jc w:val="center"/>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UPLATE</w:t>
            </w:r>
          </w:p>
        </w:tc>
      </w:tr>
      <w:tr w:rsidR="00494617" w:rsidRPr="00494617" w:rsidTr="00494617">
        <w:trPr>
          <w:trHeight w:val="754"/>
        </w:trPr>
        <w:tc>
          <w:tcPr>
            <w:tcW w:w="960" w:type="dxa"/>
            <w:vMerge/>
            <w:tcBorders>
              <w:top w:val="single" w:sz="4" w:space="0" w:color="auto"/>
              <w:left w:val="single" w:sz="4" w:space="0" w:color="auto"/>
              <w:bottom w:val="single" w:sz="4" w:space="0" w:color="auto"/>
              <w:right w:val="single" w:sz="4" w:space="0" w:color="auto"/>
            </w:tcBorders>
            <w:vAlign w:val="center"/>
            <w:hideMark/>
          </w:tcPr>
          <w:p w:rsidR="00494617" w:rsidRPr="00494617" w:rsidRDefault="00494617" w:rsidP="00494617">
            <w:pPr>
              <w:spacing w:before="0" w:after="0" w:line="240" w:lineRule="auto"/>
              <w:jc w:val="left"/>
              <w:rPr>
                <w:rFonts w:ascii="Calibri" w:eastAsia="Times New Roman" w:hAnsi="Calibri" w:cs="Times New Roman"/>
                <w:b/>
                <w:bCs/>
                <w:szCs w:val="24"/>
                <w:lang w:val="hr-HR" w:eastAsia="en-GB"/>
              </w:rPr>
            </w:pPr>
          </w:p>
        </w:tc>
        <w:tc>
          <w:tcPr>
            <w:tcW w:w="3320" w:type="dxa"/>
            <w:vMerge/>
            <w:tcBorders>
              <w:top w:val="single" w:sz="4" w:space="0" w:color="auto"/>
              <w:left w:val="single" w:sz="4" w:space="0" w:color="auto"/>
              <w:bottom w:val="single" w:sz="4" w:space="0" w:color="auto"/>
              <w:right w:val="single" w:sz="4" w:space="0" w:color="auto"/>
            </w:tcBorders>
            <w:vAlign w:val="center"/>
            <w:hideMark/>
          </w:tcPr>
          <w:p w:rsidR="00494617" w:rsidRPr="00494617" w:rsidRDefault="00494617" w:rsidP="00494617">
            <w:pPr>
              <w:spacing w:before="0" w:after="0" w:line="240" w:lineRule="auto"/>
              <w:jc w:val="left"/>
              <w:rPr>
                <w:rFonts w:ascii="Calibri" w:eastAsia="Times New Roman" w:hAnsi="Calibri" w:cs="Times New Roman"/>
                <w:b/>
                <w:bCs/>
                <w:szCs w:val="24"/>
                <w:lang w:val="hr-HR" w:eastAsia="en-GB"/>
              </w:rPr>
            </w:pPr>
          </w:p>
        </w:tc>
        <w:tc>
          <w:tcPr>
            <w:tcW w:w="1600" w:type="dxa"/>
            <w:tcBorders>
              <w:top w:val="nil"/>
              <w:left w:val="nil"/>
              <w:bottom w:val="single" w:sz="4" w:space="0" w:color="auto"/>
              <w:right w:val="single" w:sz="4" w:space="0" w:color="auto"/>
            </w:tcBorders>
            <w:shd w:val="clear" w:color="000000" w:fill="E2EFDA"/>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KLADIONICE</w:t>
            </w:r>
          </w:p>
        </w:tc>
        <w:tc>
          <w:tcPr>
            <w:tcW w:w="1400" w:type="dxa"/>
            <w:tcBorders>
              <w:top w:val="nil"/>
              <w:left w:val="nil"/>
              <w:bottom w:val="single" w:sz="4" w:space="0" w:color="auto"/>
              <w:right w:val="single" w:sz="4" w:space="0" w:color="auto"/>
            </w:tcBorders>
            <w:shd w:val="clear" w:color="000000" w:fill="E2EFDA"/>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TERMINALI</w:t>
            </w:r>
          </w:p>
        </w:tc>
        <w:tc>
          <w:tcPr>
            <w:tcW w:w="2071" w:type="dxa"/>
            <w:vMerge/>
            <w:tcBorders>
              <w:top w:val="single" w:sz="4" w:space="0" w:color="auto"/>
              <w:left w:val="single" w:sz="4" w:space="0" w:color="auto"/>
              <w:bottom w:val="single" w:sz="4" w:space="0" w:color="auto"/>
              <w:right w:val="single" w:sz="4" w:space="0" w:color="auto"/>
            </w:tcBorders>
            <w:vAlign w:val="center"/>
            <w:hideMark/>
          </w:tcPr>
          <w:p w:rsidR="00494617" w:rsidRPr="00494617" w:rsidRDefault="00494617" w:rsidP="00494617">
            <w:pPr>
              <w:spacing w:before="0" w:after="0" w:line="240" w:lineRule="auto"/>
              <w:jc w:val="left"/>
              <w:rPr>
                <w:rFonts w:ascii="Calibri" w:eastAsia="Times New Roman" w:hAnsi="Calibri" w:cs="Times New Roman"/>
                <w:b/>
                <w:bCs/>
                <w:szCs w:val="24"/>
                <w:lang w:val="hr-HR" w:eastAsia="en-GB"/>
              </w:rPr>
            </w:pPr>
          </w:p>
        </w:tc>
      </w:tr>
      <w:tr w:rsidR="00494617" w:rsidRPr="00494617" w:rsidTr="00494617">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494617" w:rsidRPr="00494617" w:rsidRDefault="00494617" w:rsidP="00494617">
            <w:pPr>
              <w:spacing w:before="0" w:after="0" w:line="240" w:lineRule="auto"/>
              <w:jc w:val="center"/>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1</w:t>
            </w:r>
          </w:p>
        </w:tc>
        <w:tc>
          <w:tcPr>
            <w:tcW w:w="3320" w:type="dxa"/>
            <w:tcBorders>
              <w:top w:val="nil"/>
              <w:left w:val="nil"/>
              <w:bottom w:val="single" w:sz="4" w:space="0" w:color="auto"/>
              <w:right w:val="single" w:sz="4" w:space="0" w:color="auto"/>
            </w:tcBorders>
            <w:shd w:val="clear" w:color="000000" w:fill="FFFFFF"/>
            <w:noWrap/>
            <w:vAlign w:val="bottom"/>
            <w:hideMark/>
          </w:tcPr>
          <w:p w:rsidR="00494617" w:rsidRPr="00494617" w:rsidRDefault="00494617" w:rsidP="00494617">
            <w:pPr>
              <w:spacing w:before="0" w:after="0" w:line="240" w:lineRule="auto"/>
              <w:jc w:val="center"/>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VEZUV DOO</w:t>
            </w:r>
          </w:p>
        </w:tc>
        <w:tc>
          <w:tcPr>
            <w:tcW w:w="160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color w:val="000000"/>
                <w:szCs w:val="24"/>
                <w:lang w:val="hr-HR" w:eastAsia="en-GB"/>
              </w:rPr>
            </w:pPr>
            <w:r w:rsidRPr="00494617">
              <w:rPr>
                <w:rFonts w:ascii="Calibri" w:eastAsia="Times New Roman" w:hAnsi="Calibri" w:cs="Times New Roman"/>
                <w:b/>
                <w:color w:val="000000"/>
                <w:szCs w:val="24"/>
                <w:lang w:val="hr-HR" w:eastAsia="en-GB"/>
              </w:rPr>
              <w:t>2,073,495.22</w:t>
            </w:r>
          </w:p>
        </w:tc>
        <w:tc>
          <w:tcPr>
            <w:tcW w:w="140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color w:val="000000"/>
                <w:szCs w:val="24"/>
                <w:lang w:val="hr-HR" w:eastAsia="en-GB"/>
              </w:rPr>
            </w:pPr>
            <w:r w:rsidRPr="00494617">
              <w:rPr>
                <w:rFonts w:ascii="Calibri" w:eastAsia="Times New Roman" w:hAnsi="Calibri" w:cs="Times New Roman"/>
                <w:b/>
                <w:color w:val="000000"/>
                <w:szCs w:val="24"/>
                <w:lang w:val="hr-HR" w:eastAsia="en-GB"/>
              </w:rPr>
              <w:t>51,382.97</w:t>
            </w:r>
          </w:p>
        </w:tc>
        <w:tc>
          <w:tcPr>
            <w:tcW w:w="2071"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color w:val="000000"/>
                <w:szCs w:val="24"/>
                <w:lang w:val="hr-HR" w:eastAsia="en-GB"/>
              </w:rPr>
            </w:pPr>
            <w:r w:rsidRPr="00494617">
              <w:rPr>
                <w:rFonts w:ascii="Calibri" w:eastAsia="Times New Roman" w:hAnsi="Calibri" w:cs="Times New Roman"/>
                <w:b/>
                <w:color w:val="000000"/>
                <w:szCs w:val="24"/>
                <w:lang w:val="hr-HR" w:eastAsia="en-GB"/>
              </w:rPr>
              <w:t>2,124,878.19</w:t>
            </w:r>
          </w:p>
        </w:tc>
      </w:tr>
      <w:tr w:rsidR="00494617" w:rsidRPr="00494617" w:rsidTr="00494617">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494617" w:rsidRPr="00494617" w:rsidRDefault="00494617" w:rsidP="00494617">
            <w:pPr>
              <w:spacing w:before="0" w:after="0" w:line="240" w:lineRule="auto"/>
              <w:jc w:val="center"/>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2</w:t>
            </w:r>
          </w:p>
        </w:tc>
        <w:tc>
          <w:tcPr>
            <w:tcW w:w="3320" w:type="dxa"/>
            <w:tcBorders>
              <w:top w:val="nil"/>
              <w:left w:val="nil"/>
              <w:bottom w:val="single" w:sz="4" w:space="0" w:color="auto"/>
              <w:right w:val="single" w:sz="4" w:space="0" w:color="auto"/>
            </w:tcBorders>
            <w:shd w:val="clear" w:color="000000" w:fill="FFFFFF"/>
            <w:noWrap/>
            <w:vAlign w:val="bottom"/>
            <w:hideMark/>
          </w:tcPr>
          <w:p w:rsidR="00494617" w:rsidRPr="00494617" w:rsidRDefault="00494617" w:rsidP="00494617">
            <w:pPr>
              <w:spacing w:before="0" w:after="0" w:line="240" w:lineRule="auto"/>
              <w:jc w:val="center"/>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LOB COMPANY DOO</w:t>
            </w:r>
          </w:p>
        </w:tc>
        <w:tc>
          <w:tcPr>
            <w:tcW w:w="160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color w:val="000000"/>
                <w:szCs w:val="24"/>
                <w:lang w:val="hr-HR" w:eastAsia="en-GB"/>
              </w:rPr>
            </w:pPr>
            <w:r w:rsidRPr="00494617">
              <w:rPr>
                <w:rFonts w:ascii="Calibri" w:eastAsia="Times New Roman" w:hAnsi="Calibri" w:cs="Times New Roman"/>
                <w:b/>
                <w:color w:val="000000"/>
                <w:szCs w:val="24"/>
                <w:lang w:val="hr-HR" w:eastAsia="en-GB"/>
              </w:rPr>
              <w:t>977,669.84</w:t>
            </w:r>
          </w:p>
        </w:tc>
        <w:tc>
          <w:tcPr>
            <w:tcW w:w="140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color w:val="000000"/>
                <w:szCs w:val="24"/>
                <w:lang w:val="hr-HR" w:eastAsia="en-GB"/>
              </w:rPr>
            </w:pPr>
            <w:r w:rsidRPr="00494617">
              <w:rPr>
                <w:rFonts w:ascii="Calibri" w:eastAsia="Times New Roman" w:hAnsi="Calibri" w:cs="Times New Roman"/>
                <w:b/>
                <w:color w:val="000000"/>
                <w:szCs w:val="24"/>
                <w:lang w:val="hr-HR" w:eastAsia="en-GB"/>
              </w:rPr>
              <w:t>3,211.99</w:t>
            </w:r>
          </w:p>
        </w:tc>
        <w:tc>
          <w:tcPr>
            <w:tcW w:w="2071"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color w:val="000000"/>
                <w:szCs w:val="24"/>
                <w:lang w:val="hr-HR" w:eastAsia="en-GB"/>
              </w:rPr>
            </w:pPr>
            <w:r w:rsidRPr="00494617">
              <w:rPr>
                <w:rFonts w:ascii="Calibri" w:eastAsia="Times New Roman" w:hAnsi="Calibri" w:cs="Times New Roman"/>
                <w:b/>
                <w:color w:val="000000"/>
                <w:szCs w:val="24"/>
                <w:lang w:val="hr-HR" w:eastAsia="en-GB"/>
              </w:rPr>
              <w:t>980,881.83</w:t>
            </w:r>
          </w:p>
        </w:tc>
      </w:tr>
      <w:tr w:rsidR="00494617" w:rsidRPr="00494617" w:rsidTr="00494617">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494617" w:rsidRPr="00494617" w:rsidRDefault="00494617" w:rsidP="00494617">
            <w:pPr>
              <w:spacing w:before="0" w:after="0" w:line="240" w:lineRule="auto"/>
              <w:jc w:val="center"/>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3</w:t>
            </w:r>
          </w:p>
        </w:tc>
        <w:tc>
          <w:tcPr>
            <w:tcW w:w="3320" w:type="dxa"/>
            <w:tcBorders>
              <w:top w:val="nil"/>
              <w:left w:val="nil"/>
              <w:bottom w:val="single" w:sz="4" w:space="0" w:color="auto"/>
              <w:right w:val="single" w:sz="4" w:space="0" w:color="auto"/>
            </w:tcBorders>
            <w:shd w:val="clear" w:color="000000" w:fill="FFFFFF"/>
            <w:noWrap/>
            <w:vAlign w:val="bottom"/>
            <w:hideMark/>
          </w:tcPr>
          <w:p w:rsidR="00494617" w:rsidRPr="00494617" w:rsidRDefault="00494617" w:rsidP="00494617">
            <w:pPr>
              <w:spacing w:before="0" w:after="0" w:line="240" w:lineRule="auto"/>
              <w:jc w:val="center"/>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SPORTING GROUP DOO</w:t>
            </w:r>
          </w:p>
        </w:tc>
        <w:tc>
          <w:tcPr>
            <w:tcW w:w="160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color w:val="000000"/>
                <w:szCs w:val="24"/>
                <w:lang w:val="hr-HR" w:eastAsia="en-GB"/>
              </w:rPr>
            </w:pPr>
            <w:r w:rsidRPr="00494617">
              <w:rPr>
                <w:rFonts w:ascii="Calibri" w:eastAsia="Times New Roman" w:hAnsi="Calibri" w:cs="Times New Roman"/>
                <w:b/>
                <w:color w:val="000000"/>
                <w:szCs w:val="24"/>
                <w:lang w:val="hr-HR" w:eastAsia="en-GB"/>
              </w:rPr>
              <w:t>977,439.98</w:t>
            </w:r>
          </w:p>
        </w:tc>
        <w:tc>
          <w:tcPr>
            <w:tcW w:w="140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color w:val="000000"/>
                <w:szCs w:val="24"/>
                <w:lang w:val="hr-HR" w:eastAsia="en-GB"/>
              </w:rPr>
            </w:pPr>
            <w:r w:rsidRPr="00494617">
              <w:rPr>
                <w:rFonts w:ascii="Calibri" w:eastAsia="Times New Roman" w:hAnsi="Calibri" w:cs="Times New Roman"/>
                <w:b/>
                <w:color w:val="000000"/>
                <w:szCs w:val="24"/>
                <w:lang w:val="hr-HR" w:eastAsia="en-GB"/>
              </w:rPr>
              <w:t> </w:t>
            </w:r>
          </w:p>
        </w:tc>
        <w:tc>
          <w:tcPr>
            <w:tcW w:w="2071"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color w:val="000000"/>
                <w:szCs w:val="24"/>
                <w:lang w:val="hr-HR" w:eastAsia="en-GB"/>
              </w:rPr>
            </w:pPr>
            <w:r w:rsidRPr="00494617">
              <w:rPr>
                <w:rFonts w:ascii="Calibri" w:eastAsia="Times New Roman" w:hAnsi="Calibri" w:cs="Times New Roman"/>
                <w:b/>
                <w:color w:val="000000"/>
                <w:szCs w:val="24"/>
                <w:lang w:val="hr-HR" w:eastAsia="en-GB"/>
              </w:rPr>
              <w:t>977,439.98</w:t>
            </w:r>
          </w:p>
        </w:tc>
      </w:tr>
      <w:tr w:rsidR="00494617" w:rsidRPr="00494617" w:rsidTr="00494617">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494617" w:rsidRPr="00494617" w:rsidRDefault="00494617" w:rsidP="00494617">
            <w:pPr>
              <w:spacing w:before="0" w:after="0" w:line="240" w:lineRule="auto"/>
              <w:jc w:val="center"/>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4</w:t>
            </w:r>
          </w:p>
        </w:tc>
        <w:tc>
          <w:tcPr>
            <w:tcW w:w="3320" w:type="dxa"/>
            <w:tcBorders>
              <w:top w:val="nil"/>
              <w:left w:val="nil"/>
              <w:bottom w:val="single" w:sz="4" w:space="0" w:color="auto"/>
              <w:right w:val="single" w:sz="4" w:space="0" w:color="auto"/>
            </w:tcBorders>
            <w:shd w:val="clear" w:color="000000" w:fill="FFFFFF"/>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 xml:space="preserve">ČIBRI DOO </w:t>
            </w:r>
          </w:p>
        </w:tc>
        <w:tc>
          <w:tcPr>
            <w:tcW w:w="160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color w:val="000000"/>
                <w:szCs w:val="24"/>
                <w:lang w:val="hr-HR" w:eastAsia="en-GB"/>
              </w:rPr>
            </w:pPr>
            <w:r w:rsidRPr="00494617">
              <w:rPr>
                <w:rFonts w:ascii="Calibri" w:eastAsia="Times New Roman" w:hAnsi="Calibri" w:cs="Times New Roman"/>
                <w:b/>
                <w:color w:val="000000"/>
                <w:szCs w:val="24"/>
                <w:lang w:val="hr-HR" w:eastAsia="en-GB"/>
              </w:rPr>
              <w:t>643,569.19</w:t>
            </w:r>
          </w:p>
        </w:tc>
        <w:tc>
          <w:tcPr>
            <w:tcW w:w="140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color w:val="000000"/>
                <w:szCs w:val="24"/>
                <w:lang w:val="hr-HR" w:eastAsia="en-GB"/>
              </w:rPr>
            </w:pPr>
            <w:r w:rsidRPr="00494617">
              <w:rPr>
                <w:rFonts w:ascii="Calibri" w:eastAsia="Times New Roman" w:hAnsi="Calibri" w:cs="Times New Roman"/>
                <w:b/>
                <w:color w:val="000000"/>
                <w:szCs w:val="24"/>
                <w:lang w:val="hr-HR" w:eastAsia="en-GB"/>
              </w:rPr>
              <w:t>19,549.50</w:t>
            </w:r>
          </w:p>
        </w:tc>
        <w:tc>
          <w:tcPr>
            <w:tcW w:w="2071"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color w:val="000000"/>
                <w:szCs w:val="24"/>
                <w:lang w:val="hr-HR" w:eastAsia="en-GB"/>
              </w:rPr>
            </w:pPr>
            <w:r w:rsidRPr="00494617">
              <w:rPr>
                <w:rFonts w:ascii="Calibri" w:eastAsia="Times New Roman" w:hAnsi="Calibri" w:cs="Times New Roman"/>
                <w:b/>
                <w:color w:val="000000"/>
                <w:szCs w:val="24"/>
                <w:lang w:val="hr-HR" w:eastAsia="en-GB"/>
              </w:rPr>
              <w:t>663,118.69</w:t>
            </w:r>
          </w:p>
        </w:tc>
      </w:tr>
      <w:tr w:rsidR="00494617" w:rsidRPr="00494617" w:rsidTr="00494617">
        <w:trPr>
          <w:trHeight w:val="315"/>
        </w:trPr>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494617" w:rsidRPr="00494617" w:rsidRDefault="00494617" w:rsidP="00494617">
            <w:pPr>
              <w:spacing w:before="0" w:after="0" w:line="240" w:lineRule="auto"/>
              <w:jc w:val="center"/>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5</w:t>
            </w:r>
          </w:p>
        </w:tc>
        <w:tc>
          <w:tcPr>
            <w:tcW w:w="3320" w:type="dxa"/>
            <w:tcBorders>
              <w:top w:val="nil"/>
              <w:left w:val="nil"/>
              <w:bottom w:val="single" w:sz="4" w:space="0" w:color="auto"/>
              <w:right w:val="single" w:sz="4" w:space="0" w:color="auto"/>
            </w:tcBorders>
            <w:shd w:val="clear" w:color="000000" w:fill="FFFFFF"/>
            <w:noWrap/>
            <w:vAlign w:val="bottom"/>
            <w:hideMark/>
          </w:tcPr>
          <w:p w:rsidR="00494617" w:rsidRPr="00494617" w:rsidRDefault="00494617" w:rsidP="00494617">
            <w:pPr>
              <w:spacing w:before="0" w:after="0" w:line="240" w:lineRule="auto"/>
              <w:jc w:val="center"/>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FUN FUN DOO</w:t>
            </w:r>
          </w:p>
        </w:tc>
        <w:tc>
          <w:tcPr>
            <w:tcW w:w="160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color w:val="000000"/>
                <w:szCs w:val="24"/>
                <w:lang w:val="hr-HR" w:eastAsia="en-GB"/>
              </w:rPr>
            </w:pPr>
            <w:r w:rsidRPr="00494617">
              <w:rPr>
                <w:rFonts w:ascii="Calibri" w:eastAsia="Times New Roman" w:hAnsi="Calibri" w:cs="Times New Roman"/>
                <w:b/>
                <w:color w:val="000000"/>
                <w:szCs w:val="24"/>
                <w:lang w:val="hr-HR" w:eastAsia="en-GB"/>
              </w:rPr>
              <w:t>596,572.20</w:t>
            </w:r>
          </w:p>
        </w:tc>
        <w:tc>
          <w:tcPr>
            <w:tcW w:w="1400"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color w:val="000000"/>
                <w:szCs w:val="24"/>
                <w:lang w:val="hr-HR" w:eastAsia="en-GB"/>
              </w:rPr>
            </w:pPr>
            <w:r w:rsidRPr="00494617">
              <w:rPr>
                <w:rFonts w:ascii="Calibri" w:eastAsia="Times New Roman" w:hAnsi="Calibri" w:cs="Times New Roman"/>
                <w:b/>
                <w:color w:val="000000"/>
                <w:szCs w:val="24"/>
                <w:lang w:val="hr-HR" w:eastAsia="en-GB"/>
              </w:rPr>
              <w:t>411.59</w:t>
            </w:r>
          </w:p>
        </w:tc>
        <w:tc>
          <w:tcPr>
            <w:tcW w:w="2071" w:type="dxa"/>
            <w:tcBorders>
              <w:top w:val="nil"/>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color w:val="000000"/>
                <w:szCs w:val="24"/>
                <w:lang w:val="hr-HR" w:eastAsia="en-GB"/>
              </w:rPr>
            </w:pPr>
            <w:r w:rsidRPr="00494617">
              <w:rPr>
                <w:rFonts w:ascii="Calibri" w:eastAsia="Times New Roman" w:hAnsi="Calibri" w:cs="Times New Roman"/>
                <w:b/>
                <w:color w:val="000000"/>
                <w:szCs w:val="24"/>
                <w:lang w:val="hr-HR" w:eastAsia="en-GB"/>
              </w:rPr>
              <w:t>596,983.79</w:t>
            </w:r>
          </w:p>
        </w:tc>
      </w:tr>
    </w:tbl>
    <w:p w:rsidR="00494617" w:rsidRPr="00494617" w:rsidRDefault="00494617" w:rsidP="00494617">
      <w:pPr>
        <w:spacing w:before="0" w:after="200" w:line="276" w:lineRule="auto"/>
        <w:jc w:val="center"/>
        <w:rPr>
          <w:rFonts w:ascii="Calibri" w:eastAsia="Times New Roman" w:hAnsi="Calibri" w:cs="Times New Roman"/>
          <w:b/>
          <w:szCs w:val="24"/>
          <w:u w:val="single"/>
          <w:lang w:val="hr-HR"/>
        </w:rPr>
      </w:pPr>
      <w:r w:rsidRPr="00494617">
        <w:rPr>
          <w:rFonts w:ascii="Calibri" w:eastAsia="Times New Roman" w:hAnsi="Calibri" w:cs="Times New Roman"/>
          <w:b/>
          <w:szCs w:val="24"/>
          <w:u w:val="single"/>
          <w:lang w:val="hr-HR"/>
        </w:rPr>
        <w:t>Tabela br. 7</w:t>
      </w:r>
    </w:p>
    <w:p w:rsidR="00494617" w:rsidRPr="00494617" w:rsidRDefault="00494617" w:rsidP="00494617">
      <w:pPr>
        <w:keepNext/>
        <w:keepLines/>
        <w:spacing w:before="200" w:after="0" w:line="240" w:lineRule="auto"/>
        <w:outlineLvl w:val="2"/>
        <w:rPr>
          <w:rFonts w:ascii="Calibri" w:eastAsia="Times New Roman" w:hAnsi="Calibri" w:cs="Times New Roman"/>
          <w:b/>
          <w:bCs/>
          <w:color w:val="4F81BD"/>
          <w:szCs w:val="24"/>
          <w:lang w:val="en-GB" w:eastAsia="x-none"/>
        </w:rPr>
      </w:pPr>
      <w:bookmarkStart w:id="105" w:name="_Toc67655062"/>
      <w:r w:rsidRPr="00494617">
        <w:rPr>
          <w:rFonts w:ascii="Calibri" w:eastAsia="Times New Roman" w:hAnsi="Calibri" w:cs="Times New Roman"/>
          <w:b/>
          <w:bCs/>
          <w:color w:val="4F81BD"/>
          <w:szCs w:val="24"/>
          <w:lang w:val="en-GB" w:eastAsia="x-none"/>
        </w:rPr>
        <w:t>2.3.5 PRIHODI OD TOMBOLE ZATVORENOG TIPA PO PRIREĐIVAČIMA U 2020. GODINI</w:t>
      </w:r>
      <w:bookmarkEnd w:id="105"/>
    </w:p>
    <w:tbl>
      <w:tblPr>
        <w:tblW w:w="9493" w:type="dxa"/>
        <w:tblLook w:val="04A0" w:firstRow="1" w:lastRow="0" w:firstColumn="1" w:lastColumn="0" w:noHBand="0" w:noVBand="1"/>
      </w:tblPr>
      <w:tblGrid>
        <w:gridCol w:w="960"/>
        <w:gridCol w:w="3855"/>
        <w:gridCol w:w="4678"/>
      </w:tblGrid>
      <w:tr w:rsidR="00494617" w:rsidRPr="00494617" w:rsidTr="00494617">
        <w:trPr>
          <w:trHeight w:val="525"/>
        </w:trPr>
        <w:tc>
          <w:tcPr>
            <w:tcW w:w="960" w:type="dxa"/>
            <w:tcBorders>
              <w:top w:val="single" w:sz="4" w:space="0" w:color="auto"/>
              <w:left w:val="single" w:sz="4" w:space="0" w:color="auto"/>
              <w:bottom w:val="single" w:sz="4" w:space="0" w:color="auto"/>
              <w:right w:val="single" w:sz="4" w:space="0" w:color="auto"/>
            </w:tcBorders>
            <w:shd w:val="clear" w:color="000000" w:fill="E2EFDA"/>
            <w:vAlign w:val="bottom"/>
            <w:hideMark/>
          </w:tcPr>
          <w:p w:rsidR="00494617" w:rsidRPr="00494617" w:rsidRDefault="00494617" w:rsidP="00494617">
            <w:pPr>
              <w:spacing w:before="0" w:after="0" w:line="240" w:lineRule="auto"/>
              <w:jc w:val="center"/>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RED. BROJ</w:t>
            </w:r>
          </w:p>
        </w:tc>
        <w:tc>
          <w:tcPr>
            <w:tcW w:w="3855" w:type="dxa"/>
            <w:tcBorders>
              <w:top w:val="single" w:sz="4" w:space="0" w:color="auto"/>
              <w:left w:val="nil"/>
              <w:bottom w:val="single" w:sz="4" w:space="0" w:color="auto"/>
              <w:right w:val="single" w:sz="4" w:space="0" w:color="auto"/>
            </w:tcBorders>
            <w:shd w:val="clear" w:color="000000" w:fill="E2EFDA"/>
            <w:vAlign w:val="center"/>
            <w:hideMark/>
          </w:tcPr>
          <w:p w:rsidR="00494617" w:rsidRPr="00494617" w:rsidRDefault="00494617" w:rsidP="00494617">
            <w:pPr>
              <w:spacing w:before="0" w:after="0" w:line="240" w:lineRule="auto"/>
              <w:jc w:val="center"/>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NAZIV PRIREĐIVAČA</w:t>
            </w:r>
          </w:p>
        </w:tc>
        <w:tc>
          <w:tcPr>
            <w:tcW w:w="4678" w:type="dxa"/>
            <w:tcBorders>
              <w:top w:val="single" w:sz="4" w:space="0" w:color="auto"/>
              <w:left w:val="nil"/>
              <w:bottom w:val="single" w:sz="4" w:space="0" w:color="auto"/>
              <w:right w:val="single" w:sz="4" w:space="0" w:color="auto"/>
            </w:tcBorders>
            <w:shd w:val="clear" w:color="000000" w:fill="E2EFDA"/>
            <w:vAlign w:val="center"/>
            <w:hideMark/>
          </w:tcPr>
          <w:p w:rsidR="00494617" w:rsidRPr="00494617" w:rsidRDefault="00494617" w:rsidP="00494617">
            <w:pPr>
              <w:spacing w:before="0" w:after="0" w:line="240" w:lineRule="auto"/>
              <w:jc w:val="center"/>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UPLATE</w:t>
            </w:r>
          </w:p>
        </w:tc>
      </w:tr>
      <w:tr w:rsidR="00494617" w:rsidRPr="00494617" w:rsidTr="00494617">
        <w:trPr>
          <w:trHeight w:val="37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1</w:t>
            </w:r>
          </w:p>
        </w:tc>
        <w:tc>
          <w:tcPr>
            <w:tcW w:w="3855" w:type="dxa"/>
            <w:tcBorders>
              <w:top w:val="nil"/>
              <w:left w:val="nil"/>
              <w:bottom w:val="nil"/>
              <w:right w:val="nil"/>
            </w:tcBorders>
            <w:shd w:val="clear" w:color="auto" w:fill="auto"/>
            <w:noWrap/>
            <w:vAlign w:val="bottom"/>
            <w:hideMark/>
          </w:tcPr>
          <w:p w:rsidR="00494617" w:rsidRPr="00494617" w:rsidRDefault="00494617" w:rsidP="00494617">
            <w:pPr>
              <w:spacing w:before="0" w:after="0" w:line="240" w:lineRule="auto"/>
              <w:jc w:val="left"/>
              <w:rPr>
                <w:rFonts w:ascii="Calibri" w:eastAsia="Times New Roman" w:hAnsi="Calibri" w:cs="Times New Roman"/>
                <w:b/>
                <w:bCs/>
                <w:szCs w:val="24"/>
                <w:lang w:val="hr-HR" w:eastAsia="en-GB"/>
              </w:rPr>
            </w:pPr>
            <w:r w:rsidRPr="00494617">
              <w:rPr>
                <w:rFonts w:ascii="Calibri" w:eastAsia="Times New Roman" w:hAnsi="Calibri" w:cs="Times New Roman"/>
                <w:b/>
                <w:bCs/>
                <w:szCs w:val="24"/>
                <w:lang w:val="hr-HR" w:eastAsia="en-GB"/>
              </w:rPr>
              <w:t xml:space="preserve">VEZUV DOO </w:t>
            </w:r>
          </w:p>
        </w:tc>
        <w:tc>
          <w:tcPr>
            <w:tcW w:w="4678"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color w:val="000000"/>
                <w:szCs w:val="24"/>
                <w:lang w:val="hr-HR" w:eastAsia="en-GB"/>
              </w:rPr>
            </w:pPr>
            <w:r w:rsidRPr="00494617">
              <w:rPr>
                <w:rFonts w:ascii="Calibri" w:eastAsia="Times New Roman" w:hAnsi="Calibri" w:cs="Times New Roman"/>
                <w:b/>
                <w:color w:val="000000"/>
                <w:szCs w:val="24"/>
                <w:lang w:val="hr-HR" w:eastAsia="en-GB"/>
              </w:rPr>
              <w:t>20,035.73</w:t>
            </w:r>
          </w:p>
        </w:tc>
      </w:tr>
      <w:tr w:rsidR="00494617" w:rsidRPr="00494617" w:rsidTr="00494617">
        <w:trPr>
          <w:trHeight w:val="37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2</w:t>
            </w:r>
          </w:p>
        </w:tc>
        <w:tc>
          <w:tcPr>
            <w:tcW w:w="3855" w:type="dxa"/>
            <w:tcBorders>
              <w:top w:val="single" w:sz="4" w:space="0" w:color="auto"/>
              <w:left w:val="nil"/>
              <w:bottom w:val="single" w:sz="4" w:space="0" w:color="auto"/>
              <w:right w:val="nil"/>
            </w:tcBorders>
            <w:shd w:val="clear" w:color="auto" w:fill="auto"/>
            <w:noWrap/>
            <w:vAlign w:val="bottom"/>
            <w:hideMark/>
          </w:tcPr>
          <w:p w:rsidR="00494617" w:rsidRPr="00494617" w:rsidRDefault="00494617" w:rsidP="00494617">
            <w:pPr>
              <w:spacing w:before="0" w:after="0" w:line="240" w:lineRule="auto"/>
              <w:jc w:val="left"/>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REGINA SPORT DOO</w:t>
            </w:r>
          </w:p>
        </w:tc>
        <w:tc>
          <w:tcPr>
            <w:tcW w:w="4678"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color w:val="000000"/>
                <w:szCs w:val="24"/>
                <w:lang w:val="hr-HR" w:eastAsia="en-GB"/>
              </w:rPr>
            </w:pPr>
            <w:r w:rsidRPr="00494617">
              <w:rPr>
                <w:rFonts w:ascii="Calibri" w:eastAsia="Times New Roman" w:hAnsi="Calibri" w:cs="Times New Roman"/>
                <w:b/>
                <w:color w:val="000000"/>
                <w:szCs w:val="24"/>
                <w:lang w:val="hr-HR" w:eastAsia="en-GB"/>
              </w:rPr>
              <w:t>1,362.61</w:t>
            </w:r>
          </w:p>
        </w:tc>
      </w:tr>
      <w:tr w:rsidR="00494617" w:rsidRPr="00494617" w:rsidTr="00494617">
        <w:trPr>
          <w:trHeight w:val="37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3</w:t>
            </w:r>
          </w:p>
        </w:tc>
        <w:tc>
          <w:tcPr>
            <w:tcW w:w="3855" w:type="dxa"/>
            <w:tcBorders>
              <w:top w:val="nil"/>
              <w:left w:val="nil"/>
              <w:bottom w:val="single" w:sz="4" w:space="0" w:color="auto"/>
              <w:right w:val="nil"/>
            </w:tcBorders>
            <w:shd w:val="clear" w:color="auto" w:fill="auto"/>
            <w:noWrap/>
            <w:vAlign w:val="bottom"/>
            <w:hideMark/>
          </w:tcPr>
          <w:p w:rsidR="00494617" w:rsidRPr="00494617" w:rsidRDefault="00494617" w:rsidP="00494617">
            <w:pPr>
              <w:spacing w:before="0" w:after="0" w:line="240" w:lineRule="auto"/>
              <w:jc w:val="left"/>
              <w:rPr>
                <w:rFonts w:ascii="Calibri" w:eastAsia="Times New Roman" w:hAnsi="Calibri" w:cs="Times New Roman"/>
                <w:b/>
                <w:bCs/>
                <w:color w:val="000000"/>
                <w:szCs w:val="24"/>
                <w:lang w:val="hr-HR" w:eastAsia="en-GB"/>
              </w:rPr>
            </w:pPr>
            <w:r w:rsidRPr="00494617">
              <w:rPr>
                <w:rFonts w:ascii="Calibri" w:eastAsia="Times New Roman" w:hAnsi="Calibri" w:cs="Times New Roman"/>
                <w:b/>
                <w:bCs/>
                <w:color w:val="000000"/>
                <w:szCs w:val="24"/>
                <w:lang w:val="hr-HR" w:eastAsia="en-GB"/>
              </w:rPr>
              <w:t>NORD DOO</w:t>
            </w:r>
          </w:p>
        </w:tc>
        <w:tc>
          <w:tcPr>
            <w:tcW w:w="4678" w:type="dxa"/>
            <w:tcBorders>
              <w:top w:val="nil"/>
              <w:left w:val="single" w:sz="4" w:space="0" w:color="auto"/>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40" w:lineRule="auto"/>
              <w:jc w:val="center"/>
              <w:rPr>
                <w:rFonts w:ascii="Calibri" w:eastAsia="Times New Roman" w:hAnsi="Calibri" w:cs="Times New Roman"/>
                <w:b/>
                <w:color w:val="000000"/>
                <w:szCs w:val="24"/>
                <w:lang w:val="hr-HR" w:eastAsia="en-GB"/>
              </w:rPr>
            </w:pPr>
            <w:r w:rsidRPr="00494617">
              <w:rPr>
                <w:rFonts w:ascii="Calibri" w:eastAsia="Times New Roman" w:hAnsi="Calibri" w:cs="Times New Roman"/>
                <w:b/>
                <w:color w:val="000000"/>
                <w:szCs w:val="24"/>
                <w:lang w:val="hr-HR" w:eastAsia="en-GB"/>
              </w:rPr>
              <w:t>266.00</w:t>
            </w:r>
          </w:p>
        </w:tc>
      </w:tr>
    </w:tbl>
    <w:p w:rsidR="00494617" w:rsidRPr="00494617" w:rsidRDefault="00494617" w:rsidP="00494617">
      <w:pPr>
        <w:spacing w:before="0" w:after="200" w:line="276" w:lineRule="auto"/>
        <w:jc w:val="center"/>
        <w:rPr>
          <w:rFonts w:ascii="Calibri" w:eastAsia="Times New Roman" w:hAnsi="Calibri" w:cs="Times New Roman"/>
          <w:b/>
          <w:szCs w:val="24"/>
          <w:u w:val="single"/>
          <w:lang w:val="hr-HR"/>
        </w:rPr>
      </w:pPr>
      <w:r w:rsidRPr="00494617">
        <w:rPr>
          <w:rFonts w:ascii="Calibri" w:eastAsia="Times New Roman" w:hAnsi="Calibri" w:cs="Times New Roman"/>
          <w:b/>
          <w:szCs w:val="24"/>
          <w:u w:val="single"/>
          <w:lang w:val="hr-HR"/>
        </w:rPr>
        <w:t>Tabela br.8</w:t>
      </w:r>
    </w:p>
    <w:p w:rsidR="00494617" w:rsidRPr="00494617" w:rsidRDefault="00494617" w:rsidP="00494617">
      <w:pPr>
        <w:keepNext/>
        <w:keepLines/>
        <w:spacing w:before="480" w:after="0" w:line="276" w:lineRule="auto"/>
        <w:jc w:val="left"/>
        <w:outlineLvl w:val="0"/>
        <w:rPr>
          <w:rFonts w:ascii="Calibri" w:eastAsia="Times New Roman" w:hAnsi="Calibri" w:cs="Times New Roman"/>
          <w:b/>
          <w:bCs/>
          <w:color w:val="365F91"/>
          <w:szCs w:val="24"/>
          <w:lang w:val="en-GB" w:eastAsia="en-GB"/>
        </w:rPr>
      </w:pPr>
      <w:bookmarkStart w:id="106" w:name="_Toc67655063"/>
      <w:r w:rsidRPr="00494617">
        <w:rPr>
          <w:rFonts w:ascii="Calibri" w:eastAsia="Times New Roman" w:hAnsi="Calibri" w:cs="Times New Roman"/>
          <w:b/>
          <w:bCs/>
          <w:color w:val="365F91"/>
          <w:szCs w:val="24"/>
          <w:lang w:val="en-GB" w:eastAsia="en-GB"/>
        </w:rPr>
        <w:lastRenderedPageBreak/>
        <w:t>3.  REGISTAR PRIREĐIVAČA</w:t>
      </w:r>
      <w:bookmarkEnd w:id="96"/>
      <w:bookmarkEnd w:id="106"/>
    </w:p>
    <w:p w:rsidR="00494617" w:rsidRDefault="00494617" w:rsidP="00494617">
      <w:pPr>
        <w:keepNext/>
        <w:keepLines/>
        <w:spacing w:before="200" w:after="0" w:line="276" w:lineRule="auto"/>
        <w:jc w:val="left"/>
        <w:outlineLvl w:val="1"/>
        <w:rPr>
          <w:rFonts w:ascii="Calibri" w:eastAsia="Times New Roman" w:hAnsi="Calibri" w:cs="Times New Roman"/>
          <w:b/>
          <w:bCs/>
          <w:color w:val="4F81BD"/>
          <w:szCs w:val="24"/>
          <w:lang w:val="x-none" w:eastAsia="x-none"/>
        </w:rPr>
      </w:pPr>
      <w:bookmarkStart w:id="107" w:name="_Toc32920665"/>
      <w:bookmarkStart w:id="108" w:name="_Toc67655064"/>
      <w:r w:rsidRPr="00494617">
        <w:rPr>
          <w:rFonts w:ascii="Calibri" w:eastAsia="Times New Roman" w:hAnsi="Calibri" w:cs="Times New Roman"/>
          <w:b/>
          <w:bCs/>
          <w:color w:val="4F81BD"/>
          <w:szCs w:val="24"/>
          <w:lang w:val="x-none" w:eastAsia="x-none"/>
        </w:rPr>
        <w:t>3.1  KLADIONIČKE IGRE NA SREĆU</w:t>
      </w:r>
      <w:bookmarkEnd w:id="107"/>
      <w:bookmarkEnd w:id="108"/>
    </w:p>
    <w:p w:rsidR="00494617" w:rsidRPr="00494617" w:rsidRDefault="00494617" w:rsidP="00494617">
      <w:pPr>
        <w:keepNext/>
        <w:keepLines/>
        <w:spacing w:before="200" w:after="0" w:line="276" w:lineRule="auto"/>
        <w:jc w:val="left"/>
        <w:outlineLvl w:val="1"/>
        <w:rPr>
          <w:rFonts w:ascii="Calibri" w:eastAsia="Times New Roman" w:hAnsi="Calibri" w:cs="Times New Roman"/>
          <w:b/>
          <w:bCs/>
          <w:color w:val="4F81BD"/>
          <w:szCs w:val="24"/>
          <w:lang w:val="x-none" w:eastAsia="x-none"/>
        </w:rPr>
      </w:pPr>
    </w:p>
    <w:p w:rsidR="00494617" w:rsidRPr="00494617" w:rsidRDefault="00494617" w:rsidP="00494617">
      <w:pPr>
        <w:spacing w:before="0" w:after="0" w:line="276" w:lineRule="auto"/>
        <w:ind w:right="-648"/>
        <w:jc w:val="left"/>
        <w:rPr>
          <w:rFonts w:ascii="Calibri" w:eastAsia="Times New Roman" w:hAnsi="Calibri" w:cs="Times New Roman"/>
          <w:szCs w:val="24"/>
          <w:lang w:val="hr-HR"/>
        </w:rPr>
      </w:pPr>
      <w:r w:rsidRPr="00494617">
        <w:rPr>
          <w:rFonts w:ascii="Calibri" w:eastAsia="Times New Roman" w:hAnsi="Calibri" w:cs="Times New Roman"/>
          <w:szCs w:val="24"/>
          <w:lang w:val="hr-HR"/>
        </w:rPr>
        <w:t xml:space="preserve">U Crnoj Gori, na dan 31.12.2020. godine, </w:t>
      </w:r>
      <w:r w:rsidRPr="00494617">
        <w:rPr>
          <w:rFonts w:ascii="Calibri" w:eastAsia="Times New Roman" w:hAnsi="Calibri" w:cs="Times New Roman"/>
          <w:b/>
          <w:szCs w:val="24"/>
          <w:lang w:val="hr-HR"/>
        </w:rPr>
        <w:t>16</w:t>
      </w:r>
      <w:r w:rsidRPr="00494617">
        <w:rPr>
          <w:rFonts w:ascii="Calibri" w:eastAsia="Times New Roman" w:hAnsi="Calibri" w:cs="Times New Roman"/>
          <w:szCs w:val="24"/>
          <w:lang w:val="hr-HR"/>
        </w:rPr>
        <w:t xml:space="preserve"> privrednih društava priređivalo je posebne igre </w:t>
      </w:r>
    </w:p>
    <w:p w:rsidR="00494617" w:rsidRDefault="00494617" w:rsidP="00494617">
      <w:pPr>
        <w:spacing w:before="0" w:after="0" w:line="276" w:lineRule="auto"/>
        <w:ind w:right="-648"/>
        <w:jc w:val="left"/>
        <w:rPr>
          <w:rFonts w:ascii="Calibri" w:eastAsia="Times New Roman" w:hAnsi="Calibri" w:cs="Times New Roman"/>
          <w:szCs w:val="24"/>
          <w:lang w:val="hr-HR"/>
        </w:rPr>
      </w:pPr>
      <w:r w:rsidRPr="00494617">
        <w:rPr>
          <w:rFonts w:ascii="Calibri" w:eastAsia="Times New Roman" w:hAnsi="Calibri" w:cs="Times New Roman"/>
          <w:szCs w:val="24"/>
          <w:lang w:val="hr-HR"/>
        </w:rPr>
        <w:t>na sreću – kladioničke igre.</w:t>
      </w:r>
    </w:p>
    <w:p w:rsidR="00494617" w:rsidRPr="00494617" w:rsidRDefault="00494617" w:rsidP="00494617">
      <w:pPr>
        <w:spacing w:before="0" w:after="0" w:line="276" w:lineRule="auto"/>
        <w:ind w:right="-648"/>
        <w:jc w:val="left"/>
        <w:rPr>
          <w:rFonts w:ascii="Calibri" w:eastAsia="Times New Roman" w:hAnsi="Calibri" w:cs="Times New Roman"/>
          <w:szCs w:val="24"/>
          <w:lang w:val="hr-HR"/>
        </w:rPr>
      </w:pPr>
    </w:p>
    <w:tbl>
      <w:tblPr>
        <w:tblW w:w="8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5635"/>
        <w:gridCol w:w="2102"/>
      </w:tblGrid>
      <w:tr w:rsidR="00494617" w:rsidRPr="00494617" w:rsidTr="00494617">
        <w:trPr>
          <w:trHeight w:val="570"/>
          <w:jc w:val="center"/>
        </w:trPr>
        <w:tc>
          <w:tcPr>
            <w:tcW w:w="8817" w:type="dxa"/>
            <w:gridSpan w:val="3"/>
            <w:shd w:val="clear" w:color="auto" w:fill="C6D9F1"/>
            <w:vAlign w:val="center"/>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PRIREĐIVAČI KLADIONIČARSKIH IGARA NA SREĆU 31.12.2020. GODINE</w:t>
            </w:r>
          </w:p>
        </w:tc>
      </w:tr>
      <w:tr w:rsidR="00494617" w:rsidRPr="00494617" w:rsidTr="00494617">
        <w:trPr>
          <w:trHeight w:val="830"/>
          <w:jc w:val="center"/>
        </w:trPr>
        <w:tc>
          <w:tcPr>
            <w:tcW w:w="1080" w:type="dxa"/>
            <w:shd w:val="clear" w:color="auto" w:fill="C6D9F1"/>
            <w:vAlign w:val="center"/>
          </w:tcPr>
          <w:p w:rsidR="00494617" w:rsidRPr="00494617" w:rsidRDefault="00494617" w:rsidP="00494617">
            <w:pPr>
              <w:spacing w:before="240" w:after="0" w:line="276" w:lineRule="auto"/>
              <w:jc w:val="center"/>
              <w:rPr>
                <w:rFonts w:ascii="Calibri" w:eastAsia="Times New Roman" w:hAnsi="Calibri" w:cs="Times New Roman"/>
                <w:szCs w:val="24"/>
                <w:lang w:val="hr-HR"/>
              </w:rPr>
            </w:pPr>
            <w:r w:rsidRPr="00494617">
              <w:rPr>
                <w:rFonts w:ascii="Calibri" w:eastAsia="Times New Roman" w:hAnsi="Calibri" w:cs="Times New Roman"/>
                <w:szCs w:val="24"/>
                <w:lang w:val="hr-HR"/>
              </w:rPr>
              <w:t>REDNI</w:t>
            </w:r>
          </w:p>
          <w:p w:rsidR="00494617" w:rsidRPr="00494617" w:rsidRDefault="00494617" w:rsidP="00494617">
            <w:pPr>
              <w:spacing w:before="0" w:after="0" w:line="276" w:lineRule="auto"/>
              <w:jc w:val="center"/>
              <w:rPr>
                <w:rFonts w:ascii="Calibri" w:eastAsia="Times New Roman" w:hAnsi="Calibri" w:cs="Times New Roman"/>
                <w:szCs w:val="24"/>
                <w:lang w:val="hr-HR"/>
              </w:rPr>
            </w:pPr>
            <w:r w:rsidRPr="00494617">
              <w:rPr>
                <w:rFonts w:ascii="Calibri" w:eastAsia="Times New Roman" w:hAnsi="Calibri" w:cs="Times New Roman"/>
                <w:szCs w:val="24"/>
                <w:lang w:val="hr-HR"/>
              </w:rPr>
              <w:t>BROJ</w:t>
            </w:r>
          </w:p>
          <w:p w:rsidR="00494617" w:rsidRPr="00494617" w:rsidRDefault="00494617" w:rsidP="00494617">
            <w:pPr>
              <w:spacing w:before="0" w:after="0" w:line="276" w:lineRule="auto"/>
              <w:jc w:val="center"/>
              <w:rPr>
                <w:rFonts w:ascii="Calibri" w:eastAsia="Times New Roman" w:hAnsi="Calibri" w:cs="Times New Roman"/>
                <w:szCs w:val="24"/>
                <w:lang w:val="hr-HR"/>
              </w:rPr>
            </w:pPr>
          </w:p>
        </w:tc>
        <w:tc>
          <w:tcPr>
            <w:tcW w:w="5635" w:type="dxa"/>
            <w:shd w:val="clear" w:color="auto" w:fill="8DB3E2"/>
            <w:vAlign w:val="center"/>
          </w:tcPr>
          <w:p w:rsidR="00494617" w:rsidRPr="00494617" w:rsidRDefault="00494617" w:rsidP="00494617">
            <w:pPr>
              <w:spacing w:before="0" w:after="0" w:line="276" w:lineRule="auto"/>
              <w:jc w:val="center"/>
              <w:rPr>
                <w:rFonts w:ascii="Calibri" w:eastAsia="Times New Roman" w:hAnsi="Calibri" w:cs="Times New Roman"/>
                <w:szCs w:val="24"/>
                <w:lang w:val="hr-HR"/>
              </w:rPr>
            </w:pPr>
            <w:r w:rsidRPr="00494617">
              <w:rPr>
                <w:rFonts w:ascii="Calibri" w:eastAsia="Times New Roman" w:hAnsi="Calibri" w:cs="Times New Roman"/>
                <w:szCs w:val="24"/>
                <w:lang w:val="hr-HR"/>
              </w:rPr>
              <w:t>NAZIV PRIREĐIVAČA</w:t>
            </w:r>
          </w:p>
        </w:tc>
        <w:tc>
          <w:tcPr>
            <w:tcW w:w="2102" w:type="dxa"/>
            <w:shd w:val="clear" w:color="auto" w:fill="C2D69B"/>
            <w:vAlign w:val="center"/>
          </w:tcPr>
          <w:p w:rsidR="00494617" w:rsidRPr="00494617" w:rsidRDefault="00494617" w:rsidP="00494617">
            <w:pPr>
              <w:spacing w:before="0" w:after="0" w:line="276" w:lineRule="auto"/>
              <w:jc w:val="center"/>
              <w:rPr>
                <w:rFonts w:ascii="Calibri" w:eastAsia="Times New Roman" w:hAnsi="Calibri" w:cs="Times New Roman"/>
                <w:szCs w:val="24"/>
                <w:lang w:val="hr-HR"/>
              </w:rPr>
            </w:pPr>
            <w:r w:rsidRPr="00494617">
              <w:rPr>
                <w:rFonts w:ascii="Calibri" w:eastAsia="Times New Roman" w:hAnsi="Calibri" w:cs="Times New Roman"/>
                <w:szCs w:val="24"/>
                <w:lang w:val="hr-HR"/>
              </w:rPr>
              <w:t>BROJ KLADIONICA</w:t>
            </w:r>
          </w:p>
        </w:tc>
      </w:tr>
      <w:tr w:rsidR="00494617" w:rsidRPr="00494617" w:rsidTr="00494617">
        <w:trPr>
          <w:trHeight w:val="305"/>
          <w:jc w:val="center"/>
        </w:trPr>
        <w:tc>
          <w:tcPr>
            <w:tcW w:w="1080"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1</w:t>
            </w:r>
          </w:p>
        </w:tc>
        <w:tc>
          <w:tcPr>
            <w:tcW w:w="5635" w:type="dxa"/>
          </w:tcPr>
          <w:p w:rsidR="00494617" w:rsidRPr="00494617" w:rsidRDefault="00494617" w:rsidP="00494617">
            <w:pPr>
              <w:spacing w:before="0" w:after="0" w:line="276" w:lineRule="auto"/>
              <w:jc w:val="left"/>
              <w:rPr>
                <w:rFonts w:ascii="Calibri" w:eastAsia="Times New Roman" w:hAnsi="Calibri" w:cs="Times New Roman"/>
                <w:b/>
                <w:szCs w:val="24"/>
                <w:lang w:val="hr-HR"/>
              </w:rPr>
            </w:pPr>
            <w:r w:rsidRPr="00494617">
              <w:rPr>
                <w:rFonts w:ascii="Calibri" w:eastAsia="Times New Roman" w:hAnsi="Calibri" w:cs="Times New Roman"/>
                <w:b/>
                <w:szCs w:val="24"/>
                <w:lang w:val="hr-HR"/>
              </w:rPr>
              <w:t>ALFA-99 INFOTECH CONSULTANCY DOO</w:t>
            </w:r>
          </w:p>
        </w:tc>
        <w:tc>
          <w:tcPr>
            <w:tcW w:w="2102"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1</w:t>
            </w:r>
          </w:p>
        </w:tc>
      </w:tr>
      <w:tr w:rsidR="00494617" w:rsidRPr="00494617" w:rsidTr="00494617">
        <w:trPr>
          <w:trHeight w:val="305"/>
          <w:jc w:val="center"/>
        </w:trPr>
        <w:tc>
          <w:tcPr>
            <w:tcW w:w="1080"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2</w:t>
            </w:r>
          </w:p>
        </w:tc>
        <w:tc>
          <w:tcPr>
            <w:tcW w:w="5635" w:type="dxa"/>
          </w:tcPr>
          <w:p w:rsidR="00494617" w:rsidRPr="00494617" w:rsidRDefault="00494617" w:rsidP="00494617">
            <w:pPr>
              <w:spacing w:before="0" w:after="0" w:line="276" w:lineRule="auto"/>
              <w:jc w:val="left"/>
              <w:rPr>
                <w:rFonts w:ascii="Calibri" w:eastAsia="Times New Roman" w:hAnsi="Calibri" w:cs="Times New Roman"/>
                <w:b/>
                <w:szCs w:val="24"/>
                <w:lang w:val="hr-HR"/>
              </w:rPr>
            </w:pPr>
            <w:r w:rsidRPr="00494617">
              <w:rPr>
                <w:rFonts w:ascii="Calibri" w:eastAsia="Times New Roman" w:hAnsi="Calibri" w:cs="Times New Roman"/>
                <w:b/>
                <w:szCs w:val="24"/>
                <w:lang w:val="hr-HR"/>
              </w:rPr>
              <w:t>ARUA DOO</w:t>
            </w:r>
          </w:p>
        </w:tc>
        <w:tc>
          <w:tcPr>
            <w:tcW w:w="2102"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39</w:t>
            </w:r>
          </w:p>
        </w:tc>
      </w:tr>
      <w:tr w:rsidR="00494617" w:rsidRPr="00494617" w:rsidTr="00494617">
        <w:trPr>
          <w:trHeight w:val="305"/>
          <w:jc w:val="center"/>
        </w:trPr>
        <w:tc>
          <w:tcPr>
            <w:tcW w:w="1080"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3</w:t>
            </w:r>
          </w:p>
        </w:tc>
        <w:tc>
          <w:tcPr>
            <w:tcW w:w="5635" w:type="dxa"/>
          </w:tcPr>
          <w:p w:rsidR="00494617" w:rsidRPr="00494617" w:rsidRDefault="00494617" w:rsidP="00494617">
            <w:pPr>
              <w:spacing w:before="0" w:after="0" w:line="276" w:lineRule="auto"/>
              <w:jc w:val="left"/>
              <w:rPr>
                <w:rFonts w:ascii="Calibri" w:eastAsia="Times New Roman" w:hAnsi="Calibri" w:cs="Times New Roman"/>
                <w:b/>
                <w:szCs w:val="24"/>
                <w:lang w:val="hr-HR"/>
              </w:rPr>
            </w:pPr>
            <w:r w:rsidRPr="00494617">
              <w:rPr>
                <w:rFonts w:ascii="Calibri" w:eastAsia="Times New Roman" w:hAnsi="Calibri" w:cs="Times New Roman"/>
                <w:b/>
                <w:szCs w:val="24"/>
                <w:lang w:val="hr-HR"/>
              </w:rPr>
              <w:t>ATMOSFERA PLUS DOO</w:t>
            </w:r>
          </w:p>
        </w:tc>
        <w:tc>
          <w:tcPr>
            <w:tcW w:w="2102"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5</w:t>
            </w:r>
          </w:p>
        </w:tc>
      </w:tr>
      <w:tr w:rsidR="00494617" w:rsidRPr="00494617" w:rsidTr="00494617">
        <w:trPr>
          <w:trHeight w:val="305"/>
          <w:jc w:val="center"/>
        </w:trPr>
        <w:tc>
          <w:tcPr>
            <w:tcW w:w="1080"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4</w:t>
            </w:r>
          </w:p>
        </w:tc>
        <w:tc>
          <w:tcPr>
            <w:tcW w:w="5635" w:type="dxa"/>
          </w:tcPr>
          <w:p w:rsidR="00494617" w:rsidRPr="00494617" w:rsidRDefault="00494617" w:rsidP="00494617">
            <w:pPr>
              <w:spacing w:before="0" w:after="0" w:line="276" w:lineRule="auto"/>
              <w:jc w:val="left"/>
              <w:rPr>
                <w:rFonts w:ascii="Calibri" w:eastAsia="Times New Roman" w:hAnsi="Calibri" w:cs="Times New Roman"/>
                <w:b/>
                <w:szCs w:val="24"/>
                <w:lang w:val="hr-HR"/>
              </w:rPr>
            </w:pPr>
            <w:r w:rsidRPr="00494617">
              <w:rPr>
                <w:rFonts w:ascii="Calibri" w:eastAsia="Times New Roman" w:hAnsi="Calibri" w:cs="Times New Roman"/>
                <w:b/>
                <w:szCs w:val="24"/>
                <w:lang w:val="hr-HR"/>
              </w:rPr>
              <w:t>BEE FEE MNE DOO</w:t>
            </w:r>
          </w:p>
        </w:tc>
        <w:tc>
          <w:tcPr>
            <w:tcW w:w="2102"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3</w:t>
            </w:r>
          </w:p>
        </w:tc>
      </w:tr>
      <w:tr w:rsidR="00494617" w:rsidRPr="00494617" w:rsidTr="00494617">
        <w:trPr>
          <w:jc w:val="center"/>
        </w:trPr>
        <w:tc>
          <w:tcPr>
            <w:tcW w:w="1080"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5</w:t>
            </w:r>
          </w:p>
        </w:tc>
        <w:tc>
          <w:tcPr>
            <w:tcW w:w="5635" w:type="dxa"/>
          </w:tcPr>
          <w:p w:rsidR="00494617" w:rsidRPr="00494617" w:rsidRDefault="00494617" w:rsidP="00494617">
            <w:pPr>
              <w:spacing w:before="0" w:after="0" w:line="276" w:lineRule="auto"/>
              <w:jc w:val="left"/>
              <w:rPr>
                <w:rFonts w:ascii="Calibri" w:eastAsia="Times New Roman" w:hAnsi="Calibri" w:cs="Times New Roman"/>
                <w:b/>
                <w:szCs w:val="24"/>
                <w:lang w:val="hr-HR"/>
              </w:rPr>
            </w:pPr>
            <w:r w:rsidRPr="00494617">
              <w:rPr>
                <w:rFonts w:ascii="Calibri" w:eastAsia="Times New Roman" w:hAnsi="Calibri" w:cs="Times New Roman"/>
                <w:b/>
                <w:szCs w:val="24"/>
                <w:lang w:val="hr-HR"/>
              </w:rPr>
              <w:t xml:space="preserve">BONUS DOO </w:t>
            </w:r>
          </w:p>
        </w:tc>
        <w:tc>
          <w:tcPr>
            <w:tcW w:w="2102"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20</w:t>
            </w:r>
          </w:p>
        </w:tc>
      </w:tr>
      <w:tr w:rsidR="00494617" w:rsidRPr="00494617" w:rsidTr="00494617">
        <w:trPr>
          <w:trHeight w:val="286"/>
          <w:jc w:val="center"/>
        </w:trPr>
        <w:tc>
          <w:tcPr>
            <w:tcW w:w="1080"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6</w:t>
            </w:r>
          </w:p>
        </w:tc>
        <w:tc>
          <w:tcPr>
            <w:tcW w:w="5635" w:type="dxa"/>
          </w:tcPr>
          <w:p w:rsidR="00494617" w:rsidRPr="00494617" w:rsidRDefault="00494617" w:rsidP="00494617">
            <w:pPr>
              <w:spacing w:before="0" w:after="0" w:line="276" w:lineRule="auto"/>
              <w:jc w:val="left"/>
              <w:rPr>
                <w:rFonts w:ascii="Calibri" w:eastAsia="Times New Roman" w:hAnsi="Calibri" w:cs="Times New Roman"/>
                <w:b/>
                <w:szCs w:val="24"/>
                <w:lang w:val="hr-HR"/>
              </w:rPr>
            </w:pPr>
            <w:r w:rsidRPr="00494617">
              <w:rPr>
                <w:rFonts w:ascii="Calibri" w:eastAsia="Times New Roman" w:hAnsi="Calibri" w:cs="Times New Roman"/>
                <w:b/>
                <w:szCs w:val="24"/>
                <w:lang w:val="hr-HR"/>
              </w:rPr>
              <w:t xml:space="preserve">ČIBRI DOO </w:t>
            </w:r>
          </w:p>
        </w:tc>
        <w:tc>
          <w:tcPr>
            <w:tcW w:w="2102"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134</w:t>
            </w:r>
          </w:p>
        </w:tc>
      </w:tr>
      <w:tr w:rsidR="00494617" w:rsidRPr="00494617" w:rsidTr="00494617">
        <w:trPr>
          <w:jc w:val="center"/>
        </w:trPr>
        <w:tc>
          <w:tcPr>
            <w:tcW w:w="1080"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7</w:t>
            </w:r>
          </w:p>
        </w:tc>
        <w:tc>
          <w:tcPr>
            <w:tcW w:w="5635" w:type="dxa"/>
          </w:tcPr>
          <w:p w:rsidR="00494617" w:rsidRPr="00494617" w:rsidRDefault="00494617" w:rsidP="00494617">
            <w:pPr>
              <w:spacing w:before="0" w:after="0" w:line="276" w:lineRule="auto"/>
              <w:jc w:val="left"/>
              <w:rPr>
                <w:rFonts w:ascii="Calibri" w:eastAsia="Times New Roman" w:hAnsi="Calibri" w:cs="Times New Roman"/>
                <w:b/>
                <w:szCs w:val="24"/>
                <w:lang w:val="hr-HR"/>
              </w:rPr>
            </w:pPr>
            <w:r w:rsidRPr="00494617">
              <w:rPr>
                <w:rFonts w:ascii="Calibri" w:eastAsia="Times New Roman" w:hAnsi="Calibri" w:cs="Times New Roman"/>
                <w:b/>
                <w:szCs w:val="24"/>
                <w:lang w:val="hr-HR"/>
              </w:rPr>
              <w:t xml:space="preserve">FUN FUN DOO </w:t>
            </w:r>
          </w:p>
        </w:tc>
        <w:tc>
          <w:tcPr>
            <w:tcW w:w="2102"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87</w:t>
            </w:r>
          </w:p>
        </w:tc>
      </w:tr>
      <w:tr w:rsidR="00494617" w:rsidRPr="00494617" w:rsidTr="00494617">
        <w:trPr>
          <w:jc w:val="center"/>
        </w:trPr>
        <w:tc>
          <w:tcPr>
            <w:tcW w:w="1080"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8</w:t>
            </w:r>
          </w:p>
        </w:tc>
        <w:tc>
          <w:tcPr>
            <w:tcW w:w="5635" w:type="dxa"/>
          </w:tcPr>
          <w:p w:rsidR="00494617" w:rsidRPr="00494617" w:rsidRDefault="00494617" w:rsidP="00494617">
            <w:pPr>
              <w:spacing w:before="0" w:after="0" w:line="276" w:lineRule="auto"/>
              <w:jc w:val="left"/>
              <w:rPr>
                <w:rFonts w:ascii="Calibri" w:eastAsia="Times New Roman" w:hAnsi="Calibri" w:cs="Times New Roman"/>
                <w:b/>
                <w:szCs w:val="24"/>
                <w:lang w:val="hr-HR"/>
              </w:rPr>
            </w:pPr>
            <w:r w:rsidRPr="00494617">
              <w:rPr>
                <w:rFonts w:ascii="Calibri" w:eastAsia="Times New Roman" w:hAnsi="Calibri" w:cs="Times New Roman"/>
                <w:b/>
                <w:szCs w:val="24"/>
                <w:lang w:val="hr-HR"/>
              </w:rPr>
              <w:t>LOB COMMPANY DOO</w:t>
            </w:r>
          </w:p>
        </w:tc>
        <w:tc>
          <w:tcPr>
            <w:tcW w:w="2102"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112</w:t>
            </w:r>
          </w:p>
        </w:tc>
      </w:tr>
      <w:tr w:rsidR="00494617" w:rsidRPr="00494617" w:rsidTr="00494617">
        <w:trPr>
          <w:jc w:val="center"/>
        </w:trPr>
        <w:tc>
          <w:tcPr>
            <w:tcW w:w="1080"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9</w:t>
            </w:r>
          </w:p>
        </w:tc>
        <w:tc>
          <w:tcPr>
            <w:tcW w:w="5635" w:type="dxa"/>
          </w:tcPr>
          <w:p w:rsidR="00494617" w:rsidRPr="00494617" w:rsidRDefault="00494617" w:rsidP="00494617">
            <w:pPr>
              <w:spacing w:before="0" w:after="0" w:line="276" w:lineRule="auto"/>
              <w:jc w:val="left"/>
              <w:rPr>
                <w:rFonts w:ascii="Calibri" w:eastAsia="Times New Roman" w:hAnsi="Calibri" w:cs="Times New Roman"/>
                <w:b/>
                <w:szCs w:val="24"/>
                <w:lang w:val="hr-HR"/>
              </w:rPr>
            </w:pPr>
            <w:r w:rsidRPr="00494617">
              <w:rPr>
                <w:rFonts w:ascii="Calibri" w:eastAsia="Times New Roman" w:hAnsi="Calibri" w:cs="Times New Roman"/>
                <w:b/>
                <w:szCs w:val="24"/>
                <w:lang w:val="hr-HR"/>
              </w:rPr>
              <w:t>LUCA`S BET DOO</w:t>
            </w:r>
          </w:p>
        </w:tc>
        <w:tc>
          <w:tcPr>
            <w:tcW w:w="2102"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12</w:t>
            </w:r>
          </w:p>
        </w:tc>
      </w:tr>
      <w:tr w:rsidR="00494617" w:rsidRPr="00494617" w:rsidTr="00494617">
        <w:trPr>
          <w:jc w:val="center"/>
        </w:trPr>
        <w:tc>
          <w:tcPr>
            <w:tcW w:w="1080"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10</w:t>
            </w:r>
          </w:p>
        </w:tc>
        <w:tc>
          <w:tcPr>
            <w:tcW w:w="5635" w:type="dxa"/>
          </w:tcPr>
          <w:p w:rsidR="00494617" w:rsidRPr="00494617" w:rsidRDefault="00494617" w:rsidP="00494617">
            <w:pPr>
              <w:spacing w:before="0" w:after="0" w:line="276" w:lineRule="auto"/>
              <w:jc w:val="left"/>
              <w:rPr>
                <w:rFonts w:ascii="Calibri" w:eastAsia="Times New Roman" w:hAnsi="Calibri" w:cs="Times New Roman"/>
                <w:b/>
                <w:szCs w:val="24"/>
                <w:lang w:val="hr-HR"/>
              </w:rPr>
            </w:pPr>
            <w:r w:rsidRPr="00494617">
              <w:rPr>
                <w:rFonts w:ascii="Calibri" w:eastAsia="Times New Roman" w:hAnsi="Calibri" w:cs="Times New Roman"/>
                <w:b/>
                <w:szCs w:val="24"/>
                <w:lang w:val="hr-HR"/>
              </w:rPr>
              <w:t>MERIDIANBET DOO</w:t>
            </w:r>
          </w:p>
        </w:tc>
        <w:tc>
          <w:tcPr>
            <w:tcW w:w="2102"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32</w:t>
            </w:r>
          </w:p>
        </w:tc>
      </w:tr>
      <w:tr w:rsidR="00494617" w:rsidRPr="00494617" w:rsidTr="00494617">
        <w:trPr>
          <w:jc w:val="center"/>
        </w:trPr>
        <w:tc>
          <w:tcPr>
            <w:tcW w:w="1080"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11</w:t>
            </w:r>
          </w:p>
        </w:tc>
        <w:tc>
          <w:tcPr>
            <w:tcW w:w="5635" w:type="dxa"/>
          </w:tcPr>
          <w:p w:rsidR="00494617" w:rsidRPr="00494617" w:rsidRDefault="00494617" w:rsidP="00494617">
            <w:pPr>
              <w:spacing w:before="0" w:after="0" w:line="276" w:lineRule="auto"/>
              <w:jc w:val="left"/>
              <w:rPr>
                <w:rFonts w:ascii="Calibri" w:eastAsia="Times New Roman" w:hAnsi="Calibri" w:cs="Times New Roman"/>
                <w:b/>
                <w:szCs w:val="24"/>
                <w:lang w:val="hr-HR"/>
              </w:rPr>
            </w:pPr>
            <w:r w:rsidRPr="00494617">
              <w:rPr>
                <w:rFonts w:ascii="Calibri" w:eastAsia="Times New Roman" w:hAnsi="Calibri" w:cs="Times New Roman"/>
                <w:b/>
                <w:szCs w:val="24"/>
                <w:lang w:val="hr-HR"/>
              </w:rPr>
              <w:t>MNA GAMING DOO</w:t>
            </w:r>
          </w:p>
        </w:tc>
        <w:tc>
          <w:tcPr>
            <w:tcW w:w="2102"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34</w:t>
            </w:r>
          </w:p>
        </w:tc>
      </w:tr>
      <w:tr w:rsidR="00494617" w:rsidRPr="00494617" w:rsidTr="00494617">
        <w:trPr>
          <w:jc w:val="center"/>
        </w:trPr>
        <w:tc>
          <w:tcPr>
            <w:tcW w:w="1080"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12</w:t>
            </w:r>
          </w:p>
        </w:tc>
        <w:tc>
          <w:tcPr>
            <w:tcW w:w="5635" w:type="dxa"/>
          </w:tcPr>
          <w:p w:rsidR="00494617" w:rsidRPr="00494617" w:rsidRDefault="00494617" w:rsidP="00494617">
            <w:pPr>
              <w:spacing w:before="0" w:after="0" w:line="276" w:lineRule="auto"/>
              <w:jc w:val="left"/>
              <w:rPr>
                <w:rFonts w:ascii="Calibri" w:eastAsia="Times New Roman" w:hAnsi="Calibri" w:cs="Times New Roman"/>
                <w:b/>
                <w:szCs w:val="24"/>
                <w:lang w:val="hr-HR"/>
              </w:rPr>
            </w:pPr>
            <w:r w:rsidRPr="00494617">
              <w:rPr>
                <w:rFonts w:ascii="Calibri" w:eastAsia="Times New Roman" w:hAnsi="Calibri" w:cs="Times New Roman"/>
                <w:b/>
                <w:szCs w:val="24"/>
                <w:lang w:val="hr-HR"/>
              </w:rPr>
              <w:t xml:space="preserve">MULTIMAT DOO </w:t>
            </w:r>
          </w:p>
        </w:tc>
        <w:tc>
          <w:tcPr>
            <w:tcW w:w="2102"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70</w:t>
            </w:r>
          </w:p>
        </w:tc>
      </w:tr>
      <w:tr w:rsidR="00494617" w:rsidRPr="00494617" w:rsidTr="00494617">
        <w:trPr>
          <w:jc w:val="center"/>
        </w:trPr>
        <w:tc>
          <w:tcPr>
            <w:tcW w:w="1080"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13</w:t>
            </w:r>
          </w:p>
        </w:tc>
        <w:tc>
          <w:tcPr>
            <w:tcW w:w="5635" w:type="dxa"/>
          </w:tcPr>
          <w:p w:rsidR="00494617" w:rsidRPr="00494617" w:rsidRDefault="00494617" w:rsidP="00494617">
            <w:pPr>
              <w:spacing w:before="0" w:after="0" w:line="276" w:lineRule="auto"/>
              <w:jc w:val="left"/>
              <w:rPr>
                <w:rFonts w:ascii="Calibri" w:eastAsia="Times New Roman" w:hAnsi="Calibri" w:cs="Times New Roman"/>
                <w:b/>
                <w:szCs w:val="24"/>
                <w:lang w:val="hr-HR"/>
              </w:rPr>
            </w:pPr>
            <w:r w:rsidRPr="00494617">
              <w:rPr>
                <w:rFonts w:ascii="Calibri" w:eastAsia="Times New Roman" w:hAnsi="Calibri" w:cs="Times New Roman"/>
                <w:b/>
                <w:szCs w:val="24"/>
                <w:lang w:val="hr-HR"/>
              </w:rPr>
              <w:t>SPORT BET DOO</w:t>
            </w:r>
          </w:p>
        </w:tc>
        <w:tc>
          <w:tcPr>
            <w:tcW w:w="2102"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30</w:t>
            </w:r>
          </w:p>
        </w:tc>
      </w:tr>
      <w:tr w:rsidR="00494617" w:rsidRPr="00494617" w:rsidTr="00494617">
        <w:trPr>
          <w:jc w:val="center"/>
        </w:trPr>
        <w:tc>
          <w:tcPr>
            <w:tcW w:w="1080"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14</w:t>
            </w:r>
          </w:p>
        </w:tc>
        <w:tc>
          <w:tcPr>
            <w:tcW w:w="5635" w:type="dxa"/>
          </w:tcPr>
          <w:p w:rsidR="00494617" w:rsidRPr="00494617" w:rsidRDefault="00494617" w:rsidP="00494617">
            <w:pPr>
              <w:spacing w:before="0" w:after="0" w:line="276" w:lineRule="auto"/>
              <w:jc w:val="left"/>
              <w:rPr>
                <w:rFonts w:ascii="Calibri" w:eastAsia="Times New Roman" w:hAnsi="Calibri" w:cs="Times New Roman"/>
                <w:b/>
                <w:szCs w:val="24"/>
                <w:lang w:val="hr-HR"/>
              </w:rPr>
            </w:pPr>
            <w:r w:rsidRPr="00494617">
              <w:rPr>
                <w:rFonts w:ascii="Calibri" w:eastAsia="Times New Roman" w:hAnsi="Calibri" w:cs="Times New Roman"/>
                <w:b/>
                <w:szCs w:val="24"/>
                <w:lang w:val="hr-HR"/>
              </w:rPr>
              <w:t>SPORTING GROUP DOO</w:t>
            </w:r>
          </w:p>
        </w:tc>
        <w:tc>
          <w:tcPr>
            <w:tcW w:w="2102"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92</w:t>
            </w:r>
          </w:p>
        </w:tc>
      </w:tr>
      <w:tr w:rsidR="00494617" w:rsidRPr="00494617" w:rsidTr="00494617">
        <w:trPr>
          <w:jc w:val="center"/>
        </w:trPr>
        <w:tc>
          <w:tcPr>
            <w:tcW w:w="1080"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15</w:t>
            </w:r>
          </w:p>
        </w:tc>
        <w:tc>
          <w:tcPr>
            <w:tcW w:w="5635" w:type="dxa"/>
          </w:tcPr>
          <w:p w:rsidR="00494617" w:rsidRPr="00494617" w:rsidRDefault="00494617" w:rsidP="00494617">
            <w:pPr>
              <w:spacing w:before="0" w:after="0" w:line="276" w:lineRule="auto"/>
              <w:jc w:val="left"/>
              <w:rPr>
                <w:rFonts w:ascii="Calibri" w:eastAsia="Times New Roman" w:hAnsi="Calibri" w:cs="Times New Roman"/>
                <w:b/>
                <w:szCs w:val="24"/>
                <w:lang w:val="hr-HR"/>
              </w:rPr>
            </w:pPr>
            <w:r w:rsidRPr="00494617">
              <w:rPr>
                <w:rFonts w:ascii="Calibri" w:eastAsia="Times New Roman" w:hAnsi="Calibri" w:cs="Times New Roman"/>
                <w:b/>
                <w:szCs w:val="24"/>
                <w:lang w:val="hr-HR"/>
              </w:rPr>
              <w:t>VEZUV DOO</w:t>
            </w:r>
          </w:p>
        </w:tc>
        <w:tc>
          <w:tcPr>
            <w:tcW w:w="2102"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350</w:t>
            </w:r>
          </w:p>
        </w:tc>
      </w:tr>
      <w:tr w:rsidR="00494617" w:rsidRPr="00494617" w:rsidTr="00494617">
        <w:trPr>
          <w:jc w:val="center"/>
        </w:trPr>
        <w:tc>
          <w:tcPr>
            <w:tcW w:w="1080"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16</w:t>
            </w:r>
          </w:p>
        </w:tc>
        <w:tc>
          <w:tcPr>
            <w:tcW w:w="5635" w:type="dxa"/>
          </w:tcPr>
          <w:p w:rsidR="00494617" w:rsidRPr="00494617" w:rsidRDefault="00494617" w:rsidP="00494617">
            <w:pPr>
              <w:spacing w:before="0" w:after="0" w:line="276" w:lineRule="auto"/>
              <w:jc w:val="left"/>
              <w:rPr>
                <w:rFonts w:ascii="Calibri" w:eastAsia="Times New Roman" w:hAnsi="Calibri" w:cs="Times New Roman"/>
                <w:b/>
                <w:szCs w:val="24"/>
                <w:lang w:val="hr-HR"/>
              </w:rPr>
            </w:pPr>
            <w:r w:rsidRPr="00494617">
              <w:rPr>
                <w:rFonts w:ascii="Calibri" w:eastAsia="Times New Roman" w:hAnsi="Calibri" w:cs="Times New Roman"/>
                <w:b/>
                <w:szCs w:val="24"/>
                <w:lang w:val="hr-HR"/>
              </w:rPr>
              <w:t>WESTERFULL MONTENEGRO DOO</w:t>
            </w:r>
          </w:p>
        </w:tc>
        <w:tc>
          <w:tcPr>
            <w:tcW w:w="2102"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3</w:t>
            </w:r>
          </w:p>
        </w:tc>
      </w:tr>
      <w:tr w:rsidR="00494617" w:rsidRPr="00494617" w:rsidTr="00494617">
        <w:trPr>
          <w:jc w:val="center"/>
        </w:trPr>
        <w:tc>
          <w:tcPr>
            <w:tcW w:w="1080" w:type="dxa"/>
            <w:shd w:val="clear" w:color="auto" w:fill="D9D9D9"/>
          </w:tcPr>
          <w:p w:rsidR="00494617" w:rsidRPr="00494617" w:rsidRDefault="00494617" w:rsidP="00494617">
            <w:pPr>
              <w:spacing w:before="0" w:after="0" w:line="276" w:lineRule="auto"/>
              <w:jc w:val="left"/>
              <w:rPr>
                <w:rFonts w:ascii="Calibri" w:eastAsia="Times New Roman" w:hAnsi="Calibri" w:cs="Times New Roman"/>
                <w:szCs w:val="24"/>
                <w:lang w:val="hr-HR"/>
              </w:rPr>
            </w:pPr>
          </w:p>
        </w:tc>
        <w:tc>
          <w:tcPr>
            <w:tcW w:w="5635" w:type="dxa"/>
            <w:shd w:val="clear" w:color="auto" w:fill="D9D9D9"/>
          </w:tcPr>
          <w:p w:rsidR="00494617" w:rsidRPr="00494617" w:rsidRDefault="00494617" w:rsidP="00494617">
            <w:pPr>
              <w:spacing w:before="0" w:after="0" w:line="276" w:lineRule="auto"/>
              <w:jc w:val="right"/>
              <w:rPr>
                <w:rFonts w:ascii="Calibri" w:eastAsia="Times New Roman" w:hAnsi="Calibri" w:cs="Times New Roman"/>
                <w:b/>
                <w:szCs w:val="24"/>
                <w:lang w:val="hr-HR"/>
              </w:rPr>
            </w:pPr>
            <w:r w:rsidRPr="00494617">
              <w:rPr>
                <w:rFonts w:ascii="Calibri" w:eastAsia="Times New Roman" w:hAnsi="Calibri" w:cs="Times New Roman"/>
                <w:b/>
                <w:szCs w:val="24"/>
                <w:lang w:val="hr-HR"/>
              </w:rPr>
              <w:t xml:space="preserve">UKUPNO: </w:t>
            </w:r>
          </w:p>
        </w:tc>
        <w:tc>
          <w:tcPr>
            <w:tcW w:w="2102" w:type="dxa"/>
            <w:shd w:val="clear" w:color="auto" w:fill="D9D9D9"/>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1024</w:t>
            </w:r>
          </w:p>
        </w:tc>
      </w:tr>
    </w:tbl>
    <w:p w:rsidR="00494617" w:rsidRPr="00494617" w:rsidRDefault="00494617" w:rsidP="00494617">
      <w:pPr>
        <w:tabs>
          <w:tab w:val="left" w:pos="3284"/>
        </w:tabs>
        <w:spacing w:before="0" w:after="0" w:line="276" w:lineRule="auto"/>
        <w:jc w:val="center"/>
        <w:rPr>
          <w:rFonts w:ascii="Calibri" w:eastAsia="Times New Roman" w:hAnsi="Calibri" w:cs="Times New Roman"/>
          <w:b/>
          <w:szCs w:val="24"/>
          <w:u w:val="single"/>
          <w:lang w:val="en-US"/>
        </w:rPr>
      </w:pPr>
      <w:r w:rsidRPr="00494617">
        <w:rPr>
          <w:rFonts w:ascii="Calibri" w:eastAsia="Times New Roman" w:hAnsi="Calibri" w:cs="Times New Roman"/>
          <w:b/>
          <w:szCs w:val="24"/>
          <w:u w:val="single"/>
          <w:lang w:val="en-US"/>
        </w:rPr>
        <w:t>Tabela br.9</w:t>
      </w:r>
    </w:p>
    <w:p w:rsidR="00494617" w:rsidRPr="00494617" w:rsidRDefault="00494617" w:rsidP="00494617">
      <w:pPr>
        <w:spacing w:before="0" w:after="200" w:line="276" w:lineRule="auto"/>
        <w:jc w:val="left"/>
        <w:rPr>
          <w:rFonts w:ascii="Calibri" w:eastAsia="Times New Roman" w:hAnsi="Calibri" w:cs="Times New Roman"/>
          <w:szCs w:val="24"/>
          <w:lang w:val="en-GB" w:eastAsia="en-GB"/>
        </w:rPr>
      </w:pPr>
    </w:p>
    <w:p w:rsidR="00494617" w:rsidRPr="00494617" w:rsidRDefault="00494617" w:rsidP="00494617">
      <w:pPr>
        <w:keepNext/>
        <w:keepLines/>
        <w:spacing w:before="200" w:after="0" w:line="276" w:lineRule="auto"/>
        <w:jc w:val="left"/>
        <w:outlineLvl w:val="1"/>
        <w:rPr>
          <w:rFonts w:ascii="Calibri" w:eastAsia="Times New Roman" w:hAnsi="Calibri" w:cs="Times New Roman"/>
          <w:b/>
          <w:bCs/>
          <w:color w:val="4F81BD"/>
          <w:szCs w:val="24"/>
          <w:lang w:val="x-none" w:eastAsia="x-none"/>
        </w:rPr>
      </w:pPr>
    </w:p>
    <w:p w:rsidR="00494617" w:rsidRPr="00494617" w:rsidRDefault="00494617" w:rsidP="00494617">
      <w:pPr>
        <w:spacing w:before="0" w:after="200" w:line="276" w:lineRule="auto"/>
        <w:jc w:val="left"/>
        <w:rPr>
          <w:rFonts w:ascii="Calibri" w:eastAsia="Times New Roman" w:hAnsi="Calibri" w:cs="Times New Roman"/>
          <w:szCs w:val="24"/>
          <w:lang w:val="en-US"/>
        </w:rPr>
      </w:pPr>
    </w:p>
    <w:p w:rsidR="00494617" w:rsidRPr="00494617" w:rsidRDefault="00494617" w:rsidP="00494617">
      <w:pPr>
        <w:spacing w:before="0" w:after="200" w:line="276" w:lineRule="auto"/>
        <w:jc w:val="left"/>
        <w:rPr>
          <w:rFonts w:ascii="Calibri" w:eastAsia="Times New Roman" w:hAnsi="Calibri" w:cs="Times New Roman"/>
          <w:szCs w:val="24"/>
          <w:lang w:val="en-US"/>
        </w:rPr>
      </w:pPr>
    </w:p>
    <w:p w:rsidR="00494617" w:rsidRPr="00494617" w:rsidRDefault="00494617" w:rsidP="00494617">
      <w:pPr>
        <w:spacing w:before="0" w:after="200" w:line="276" w:lineRule="auto"/>
        <w:jc w:val="left"/>
        <w:rPr>
          <w:rFonts w:ascii="Calibri" w:eastAsia="Times New Roman" w:hAnsi="Calibri" w:cs="Times New Roman"/>
          <w:szCs w:val="24"/>
          <w:lang w:val="en-US"/>
        </w:rPr>
      </w:pPr>
    </w:p>
    <w:p w:rsidR="00494617" w:rsidRPr="00494617" w:rsidRDefault="00494617" w:rsidP="00494617">
      <w:pPr>
        <w:spacing w:before="0" w:after="200" w:line="276" w:lineRule="auto"/>
        <w:jc w:val="left"/>
        <w:rPr>
          <w:rFonts w:ascii="Calibri" w:eastAsia="Times New Roman" w:hAnsi="Calibri" w:cs="Times New Roman"/>
          <w:szCs w:val="24"/>
          <w:lang w:val="en-US"/>
        </w:rPr>
      </w:pPr>
    </w:p>
    <w:p w:rsidR="00494617" w:rsidRPr="00494617" w:rsidRDefault="00494617" w:rsidP="00494617">
      <w:pPr>
        <w:spacing w:before="0" w:after="200" w:line="276" w:lineRule="auto"/>
        <w:jc w:val="left"/>
        <w:rPr>
          <w:rFonts w:ascii="Calibri" w:eastAsia="Times New Roman" w:hAnsi="Calibri" w:cs="Times New Roman"/>
          <w:szCs w:val="24"/>
          <w:lang w:val="en-US"/>
        </w:rPr>
      </w:pPr>
    </w:p>
    <w:p w:rsidR="00494617" w:rsidRPr="00494617" w:rsidRDefault="00494617" w:rsidP="00494617">
      <w:pPr>
        <w:keepNext/>
        <w:keepLines/>
        <w:spacing w:before="200" w:after="0" w:line="276" w:lineRule="auto"/>
        <w:jc w:val="left"/>
        <w:outlineLvl w:val="1"/>
        <w:rPr>
          <w:rFonts w:ascii="Calibri" w:eastAsia="Times New Roman" w:hAnsi="Calibri" w:cs="Times New Roman"/>
          <w:b/>
          <w:bCs/>
          <w:color w:val="4F81BD"/>
          <w:szCs w:val="24"/>
          <w:lang w:val="x-none" w:eastAsia="x-none"/>
        </w:rPr>
      </w:pPr>
      <w:bookmarkStart w:id="109" w:name="_Toc32920666"/>
      <w:bookmarkStart w:id="110" w:name="_Toc67655065"/>
      <w:r w:rsidRPr="00494617">
        <w:rPr>
          <w:rFonts w:ascii="Calibri" w:eastAsia="Times New Roman" w:hAnsi="Calibri" w:cs="Times New Roman"/>
          <w:b/>
          <w:bCs/>
          <w:color w:val="4F81BD"/>
          <w:szCs w:val="24"/>
          <w:lang w:val="x-none" w:eastAsia="x-none"/>
        </w:rPr>
        <w:lastRenderedPageBreak/>
        <w:t>3.2   AUTOMAT KLUBOVI</w:t>
      </w:r>
      <w:bookmarkEnd w:id="109"/>
      <w:bookmarkEnd w:id="110"/>
    </w:p>
    <w:p w:rsidR="00494617" w:rsidRPr="00494617" w:rsidRDefault="00494617" w:rsidP="00494617">
      <w:pPr>
        <w:spacing w:before="0" w:after="200" w:line="276" w:lineRule="auto"/>
        <w:jc w:val="left"/>
        <w:rPr>
          <w:rFonts w:ascii="Calibri" w:eastAsia="Times New Roman" w:hAnsi="Calibri" w:cs="Times New Roman"/>
          <w:szCs w:val="24"/>
          <w:lang w:val="en-GB" w:eastAsia="en-GB"/>
        </w:rPr>
      </w:pPr>
    </w:p>
    <w:p w:rsidR="00494617" w:rsidRPr="00494617" w:rsidRDefault="00494617" w:rsidP="00494617">
      <w:pPr>
        <w:spacing w:before="0" w:after="200" w:line="276" w:lineRule="auto"/>
        <w:rPr>
          <w:rFonts w:ascii="Calibri" w:eastAsia="Times New Roman" w:hAnsi="Calibri" w:cs="Times New Roman"/>
          <w:szCs w:val="24"/>
          <w:lang w:val="es-ES" w:eastAsia="en-GB"/>
        </w:rPr>
      </w:pPr>
      <w:r w:rsidRPr="00494617">
        <w:rPr>
          <w:rFonts w:ascii="Calibri" w:eastAsia="Times New Roman" w:hAnsi="Calibri" w:cs="Times New Roman"/>
          <w:szCs w:val="24"/>
          <w:lang w:val="es-ES" w:eastAsia="en-GB"/>
        </w:rPr>
        <w:t xml:space="preserve">Na dan 31.12.2020. godine, 26 priređivača je priređivalo posebne igre na sreću – igre na automatima i elektronskim ruletima u 128 objekata (automat klubova). </w:t>
      </w:r>
    </w:p>
    <w:tbl>
      <w:tblPr>
        <w:tblW w:w="10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5"/>
        <w:gridCol w:w="4536"/>
        <w:gridCol w:w="1276"/>
        <w:gridCol w:w="1417"/>
        <w:gridCol w:w="1134"/>
        <w:gridCol w:w="1497"/>
      </w:tblGrid>
      <w:tr w:rsidR="00494617" w:rsidRPr="00494617" w:rsidTr="00494617">
        <w:trPr>
          <w:trHeight w:val="507"/>
          <w:jc w:val="center"/>
        </w:trPr>
        <w:tc>
          <w:tcPr>
            <w:tcW w:w="915" w:type="dxa"/>
            <w:vMerge w:val="restart"/>
            <w:shd w:val="clear" w:color="auto" w:fill="C6D9F1"/>
            <w:vAlign w:val="center"/>
          </w:tcPr>
          <w:p w:rsidR="00494617" w:rsidRPr="00494617" w:rsidRDefault="00494617" w:rsidP="00494617">
            <w:pPr>
              <w:spacing w:before="0" w:after="0" w:line="276" w:lineRule="auto"/>
              <w:jc w:val="center"/>
              <w:rPr>
                <w:rFonts w:ascii="Calibri" w:eastAsia="Times New Roman" w:hAnsi="Calibri" w:cs="Times New Roman"/>
                <w:szCs w:val="24"/>
                <w:lang w:val="hr-HR"/>
              </w:rPr>
            </w:pPr>
            <w:r w:rsidRPr="00494617">
              <w:rPr>
                <w:rFonts w:ascii="Calibri" w:eastAsia="Times New Roman" w:hAnsi="Calibri" w:cs="Times New Roman"/>
                <w:szCs w:val="24"/>
                <w:lang w:val="hr-HR"/>
              </w:rPr>
              <w:t>Redni broj</w:t>
            </w:r>
          </w:p>
        </w:tc>
        <w:tc>
          <w:tcPr>
            <w:tcW w:w="9860" w:type="dxa"/>
            <w:gridSpan w:val="5"/>
            <w:shd w:val="clear" w:color="auto" w:fill="C6D9F1"/>
            <w:vAlign w:val="center"/>
          </w:tcPr>
          <w:p w:rsidR="00494617" w:rsidRPr="00494617" w:rsidRDefault="00494617" w:rsidP="00494617">
            <w:pPr>
              <w:spacing w:before="0" w:after="0" w:line="276" w:lineRule="auto"/>
              <w:jc w:val="center"/>
              <w:rPr>
                <w:rFonts w:ascii="Calibri" w:eastAsia="Times New Roman" w:hAnsi="Calibri" w:cs="Times New Roman"/>
                <w:b/>
                <w:sz w:val="22"/>
                <w:lang w:val="hr-HR"/>
              </w:rPr>
            </w:pPr>
            <w:r w:rsidRPr="00494617">
              <w:rPr>
                <w:rFonts w:ascii="Calibri" w:eastAsia="Times New Roman" w:hAnsi="Calibri" w:cs="Times New Roman"/>
                <w:b/>
                <w:sz w:val="22"/>
                <w:lang w:val="hr-HR"/>
              </w:rPr>
              <w:t>BROJ AUTOMATA I RULETA PO PRIREĐIVAČIMA 31.12.2020. GODINE</w:t>
            </w:r>
          </w:p>
        </w:tc>
      </w:tr>
      <w:tr w:rsidR="00494617" w:rsidRPr="00494617" w:rsidTr="00494617">
        <w:trPr>
          <w:trHeight w:val="903"/>
          <w:jc w:val="center"/>
        </w:trPr>
        <w:tc>
          <w:tcPr>
            <w:tcW w:w="915" w:type="dxa"/>
            <w:vMerge/>
            <w:shd w:val="clear" w:color="auto" w:fill="C6D9F1"/>
            <w:vAlign w:val="center"/>
          </w:tcPr>
          <w:p w:rsidR="00494617" w:rsidRPr="00494617" w:rsidRDefault="00494617" w:rsidP="00494617">
            <w:pPr>
              <w:spacing w:before="0" w:after="200" w:line="276" w:lineRule="auto"/>
              <w:jc w:val="center"/>
              <w:rPr>
                <w:rFonts w:ascii="Calibri" w:eastAsia="Times New Roman" w:hAnsi="Calibri" w:cs="Times New Roman"/>
                <w:szCs w:val="24"/>
                <w:lang w:val="hr-HR"/>
              </w:rPr>
            </w:pPr>
          </w:p>
        </w:tc>
        <w:tc>
          <w:tcPr>
            <w:tcW w:w="4536" w:type="dxa"/>
            <w:shd w:val="clear" w:color="auto" w:fill="8DB3E2"/>
            <w:vAlign w:val="center"/>
          </w:tcPr>
          <w:p w:rsidR="00494617" w:rsidRPr="00494617" w:rsidRDefault="00494617" w:rsidP="00494617">
            <w:pPr>
              <w:spacing w:before="0" w:after="0" w:line="276" w:lineRule="auto"/>
              <w:jc w:val="center"/>
              <w:rPr>
                <w:rFonts w:ascii="Calibri" w:eastAsia="Times New Roman" w:hAnsi="Calibri" w:cs="Times New Roman"/>
                <w:sz w:val="22"/>
                <w:lang w:val="hr-HR"/>
              </w:rPr>
            </w:pPr>
            <w:r w:rsidRPr="00494617">
              <w:rPr>
                <w:rFonts w:ascii="Calibri" w:eastAsia="Times New Roman" w:hAnsi="Calibri" w:cs="Times New Roman"/>
                <w:sz w:val="22"/>
                <w:lang w:val="hr-HR"/>
              </w:rPr>
              <w:t>NAZIV PRIREĐIVAČA</w:t>
            </w:r>
          </w:p>
        </w:tc>
        <w:tc>
          <w:tcPr>
            <w:tcW w:w="1276" w:type="dxa"/>
            <w:shd w:val="clear" w:color="auto" w:fill="C2D69B"/>
            <w:vAlign w:val="center"/>
          </w:tcPr>
          <w:p w:rsidR="00494617" w:rsidRPr="00494617" w:rsidRDefault="00494617" w:rsidP="00494617">
            <w:pPr>
              <w:spacing w:before="0" w:after="0" w:line="276" w:lineRule="auto"/>
              <w:jc w:val="center"/>
              <w:rPr>
                <w:rFonts w:ascii="Calibri" w:eastAsia="Times New Roman" w:hAnsi="Calibri" w:cs="Times New Roman"/>
                <w:sz w:val="22"/>
                <w:lang w:val="hr-HR"/>
              </w:rPr>
            </w:pPr>
            <w:r w:rsidRPr="00494617">
              <w:rPr>
                <w:rFonts w:ascii="Calibri" w:eastAsia="Times New Roman" w:hAnsi="Calibri" w:cs="Times New Roman"/>
                <w:sz w:val="22"/>
                <w:lang w:val="hr-HR"/>
              </w:rPr>
              <w:t>Broj klubova</w:t>
            </w:r>
          </w:p>
        </w:tc>
        <w:tc>
          <w:tcPr>
            <w:tcW w:w="1417" w:type="dxa"/>
            <w:shd w:val="clear" w:color="auto" w:fill="C2D69B"/>
            <w:vAlign w:val="center"/>
          </w:tcPr>
          <w:p w:rsidR="00494617" w:rsidRPr="00494617" w:rsidRDefault="00494617" w:rsidP="00494617">
            <w:pPr>
              <w:spacing w:before="0" w:after="0" w:line="276" w:lineRule="auto"/>
              <w:jc w:val="center"/>
              <w:rPr>
                <w:rFonts w:ascii="Calibri" w:eastAsia="Times New Roman" w:hAnsi="Calibri" w:cs="Times New Roman"/>
                <w:sz w:val="22"/>
                <w:lang w:val="hr-HR"/>
              </w:rPr>
            </w:pPr>
            <w:r w:rsidRPr="00494617">
              <w:rPr>
                <w:rFonts w:ascii="Calibri" w:eastAsia="Times New Roman" w:hAnsi="Calibri" w:cs="Times New Roman"/>
                <w:sz w:val="22"/>
                <w:lang w:val="hr-HR"/>
              </w:rPr>
              <w:t>Broj automata</w:t>
            </w:r>
          </w:p>
        </w:tc>
        <w:tc>
          <w:tcPr>
            <w:tcW w:w="1134" w:type="dxa"/>
            <w:shd w:val="clear" w:color="auto" w:fill="C2D69B"/>
            <w:vAlign w:val="center"/>
          </w:tcPr>
          <w:p w:rsidR="00494617" w:rsidRPr="00494617" w:rsidRDefault="00494617" w:rsidP="00494617">
            <w:pPr>
              <w:spacing w:before="0" w:after="0" w:line="276" w:lineRule="auto"/>
              <w:jc w:val="center"/>
              <w:rPr>
                <w:rFonts w:ascii="Calibri" w:eastAsia="Times New Roman" w:hAnsi="Calibri" w:cs="Times New Roman"/>
                <w:sz w:val="22"/>
                <w:lang w:val="hr-HR"/>
              </w:rPr>
            </w:pPr>
            <w:r w:rsidRPr="00494617">
              <w:rPr>
                <w:rFonts w:ascii="Calibri" w:eastAsia="Times New Roman" w:hAnsi="Calibri" w:cs="Times New Roman"/>
                <w:sz w:val="22"/>
                <w:lang w:val="hr-HR"/>
              </w:rPr>
              <w:t>Broj ruleta</w:t>
            </w:r>
          </w:p>
        </w:tc>
        <w:tc>
          <w:tcPr>
            <w:tcW w:w="1497" w:type="dxa"/>
            <w:shd w:val="clear" w:color="auto" w:fill="C2D69B"/>
            <w:vAlign w:val="center"/>
          </w:tcPr>
          <w:p w:rsidR="00494617" w:rsidRPr="00494617" w:rsidRDefault="00494617" w:rsidP="00494617">
            <w:pPr>
              <w:spacing w:before="0" w:after="0" w:line="276" w:lineRule="auto"/>
              <w:jc w:val="center"/>
              <w:rPr>
                <w:rFonts w:ascii="Calibri" w:eastAsia="Times New Roman" w:hAnsi="Calibri" w:cs="Times New Roman"/>
                <w:sz w:val="22"/>
                <w:lang w:val="hr-HR"/>
              </w:rPr>
            </w:pPr>
            <w:r w:rsidRPr="00494617">
              <w:rPr>
                <w:rFonts w:ascii="Calibri" w:eastAsia="Times New Roman" w:hAnsi="Calibri" w:cs="Times New Roman"/>
                <w:sz w:val="22"/>
                <w:lang w:val="hr-HR"/>
              </w:rPr>
              <w:t>Broj mjesta na ruletima</w:t>
            </w:r>
          </w:p>
        </w:tc>
      </w:tr>
      <w:tr w:rsidR="00494617" w:rsidRPr="00494617" w:rsidTr="00494617">
        <w:trPr>
          <w:trHeight w:val="313"/>
          <w:jc w:val="center"/>
        </w:trPr>
        <w:tc>
          <w:tcPr>
            <w:tcW w:w="915"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1</w:t>
            </w:r>
          </w:p>
        </w:tc>
        <w:tc>
          <w:tcPr>
            <w:tcW w:w="4536" w:type="dxa"/>
          </w:tcPr>
          <w:p w:rsidR="00494617" w:rsidRPr="00494617" w:rsidRDefault="00494617" w:rsidP="00494617">
            <w:pPr>
              <w:spacing w:before="0" w:after="0" w:line="276" w:lineRule="auto"/>
              <w:jc w:val="left"/>
              <w:rPr>
                <w:rFonts w:ascii="Calibri" w:eastAsia="Times New Roman" w:hAnsi="Calibri" w:cs="Times New Roman"/>
                <w:b/>
                <w:sz w:val="22"/>
                <w:lang w:val="hr-HR"/>
              </w:rPr>
            </w:pPr>
            <w:r w:rsidRPr="00494617">
              <w:rPr>
                <w:rFonts w:ascii="Calibri" w:eastAsia="Times New Roman" w:hAnsi="Calibri" w:cs="Times New Roman"/>
                <w:b/>
                <w:sz w:val="22"/>
                <w:lang w:val="hr-HR"/>
              </w:rPr>
              <w:t>ADRIA TRANSPORT DOO</w:t>
            </w:r>
          </w:p>
        </w:tc>
        <w:tc>
          <w:tcPr>
            <w:tcW w:w="1276"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1</w:t>
            </w:r>
          </w:p>
        </w:tc>
        <w:tc>
          <w:tcPr>
            <w:tcW w:w="141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10</w:t>
            </w:r>
          </w:p>
        </w:tc>
        <w:tc>
          <w:tcPr>
            <w:tcW w:w="1134"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w:t>
            </w:r>
          </w:p>
        </w:tc>
        <w:tc>
          <w:tcPr>
            <w:tcW w:w="149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w:t>
            </w:r>
          </w:p>
        </w:tc>
      </w:tr>
      <w:tr w:rsidR="00494617" w:rsidRPr="00494617" w:rsidTr="00494617">
        <w:trPr>
          <w:trHeight w:val="313"/>
          <w:jc w:val="center"/>
        </w:trPr>
        <w:tc>
          <w:tcPr>
            <w:tcW w:w="915"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2</w:t>
            </w:r>
          </w:p>
        </w:tc>
        <w:tc>
          <w:tcPr>
            <w:tcW w:w="4536" w:type="dxa"/>
          </w:tcPr>
          <w:p w:rsidR="00494617" w:rsidRPr="00494617" w:rsidRDefault="00494617" w:rsidP="00494617">
            <w:pPr>
              <w:spacing w:before="0" w:after="0" w:line="276" w:lineRule="auto"/>
              <w:jc w:val="left"/>
              <w:rPr>
                <w:rFonts w:ascii="Calibri" w:eastAsia="Times New Roman" w:hAnsi="Calibri" w:cs="Times New Roman"/>
                <w:b/>
                <w:sz w:val="22"/>
                <w:lang w:val="hr-HR"/>
              </w:rPr>
            </w:pPr>
            <w:r w:rsidRPr="00494617">
              <w:rPr>
                <w:rFonts w:ascii="Calibri" w:eastAsia="Times New Roman" w:hAnsi="Calibri" w:cs="Times New Roman"/>
                <w:b/>
                <w:sz w:val="22"/>
                <w:lang w:val="hr-HR"/>
              </w:rPr>
              <w:t>ARBUN COMMERCE DOO</w:t>
            </w:r>
          </w:p>
        </w:tc>
        <w:tc>
          <w:tcPr>
            <w:tcW w:w="1276"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3</w:t>
            </w:r>
          </w:p>
        </w:tc>
        <w:tc>
          <w:tcPr>
            <w:tcW w:w="141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36</w:t>
            </w:r>
          </w:p>
        </w:tc>
        <w:tc>
          <w:tcPr>
            <w:tcW w:w="1134"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w:t>
            </w:r>
          </w:p>
        </w:tc>
        <w:tc>
          <w:tcPr>
            <w:tcW w:w="149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w:t>
            </w:r>
          </w:p>
        </w:tc>
      </w:tr>
      <w:tr w:rsidR="00494617" w:rsidRPr="00494617" w:rsidTr="00494617">
        <w:trPr>
          <w:trHeight w:val="313"/>
          <w:jc w:val="center"/>
        </w:trPr>
        <w:tc>
          <w:tcPr>
            <w:tcW w:w="915"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3</w:t>
            </w:r>
          </w:p>
        </w:tc>
        <w:tc>
          <w:tcPr>
            <w:tcW w:w="4536" w:type="dxa"/>
          </w:tcPr>
          <w:p w:rsidR="00494617" w:rsidRPr="00494617" w:rsidRDefault="00494617" w:rsidP="00494617">
            <w:pPr>
              <w:spacing w:before="0" w:after="0" w:line="276" w:lineRule="auto"/>
              <w:jc w:val="left"/>
              <w:rPr>
                <w:rFonts w:ascii="Calibri" w:eastAsia="Times New Roman" w:hAnsi="Calibri" w:cs="Times New Roman"/>
                <w:b/>
                <w:sz w:val="22"/>
                <w:lang w:val="hr-HR"/>
              </w:rPr>
            </w:pPr>
            <w:r w:rsidRPr="00494617">
              <w:rPr>
                <w:rFonts w:ascii="Calibri" w:eastAsia="Times New Roman" w:hAnsi="Calibri" w:cs="Times New Roman"/>
                <w:b/>
                <w:sz w:val="22"/>
                <w:lang w:val="hr-HR"/>
              </w:rPr>
              <w:t>ARUA DOO</w:t>
            </w:r>
          </w:p>
        </w:tc>
        <w:tc>
          <w:tcPr>
            <w:tcW w:w="1276"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8</w:t>
            </w:r>
          </w:p>
        </w:tc>
        <w:tc>
          <w:tcPr>
            <w:tcW w:w="141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94</w:t>
            </w:r>
          </w:p>
        </w:tc>
        <w:tc>
          <w:tcPr>
            <w:tcW w:w="1134"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6</w:t>
            </w:r>
          </w:p>
        </w:tc>
        <w:tc>
          <w:tcPr>
            <w:tcW w:w="149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33</w:t>
            </w:r>
          </w:p>
        </w:tc>
      </w:tr>
      <w:tr w:rsidR="00494617" w:rsidRPr="00494617" w:rsidTr="00494617">
        <w:trPr>
          <w:trHeight w:val="295"/>
          <w:jc w:val="center"/>
        </w:trPr>
        <w:tc>
          <w:tcPr>
            <w:tcW w:w="915"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4</w:t>
            </w:r>
          </w:p>
        </w:tc>
        <w:tc>
          <w:tcPr>
            <w:tcW w:w="4536" w:type="dxa"/>
          </w:tcPr>
          <w:p w:rsidR="00494617" w:rsidRPr="00494617" w:rsidRDefault="00494617" w:rsidP="00494617">
            <w:pPr>
              <w:spacing w:before="0" w:after="0" w:line="276" w:lineRule="auto"/>
              <w:jc w:val="left"/>
              <w:rPr>
                <w:rFonts w:ascii="Calibri" w:eastAsia="Times New Roman" w:hAnsi="Calibri" w:cs="Times New Roman"/>
                <w:b/>
                <w:sz w:val="22"/>
                <w:lang w:val="hr-HR"/>
              </w:rPr>
            </w:pPr>
            <w:r w:rsidRPr="00494617">
              <w:rPr>
                <w:rFonts w:ascii="Calibri" w:eastAsia="Times New Roman" w:hAnsi="Calibri" w:cs="Times New Roman"/>
                <w:b/>
                <w:sz w:val="22"/>
                <w:lang w:val="hr-HR"/>
              </w:rPr>
              <w:t>BEE FEE MNE DOO</w:t>
            </w:r>
          </w:p>
        </w:tc>
        <w:tc>
          <w:tcPr>
            <w:tcW w:w="1276"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3</w:t>
            </w:r>
          </w:p>
        </w:tc>
        <w:tc>
          <w:tcPr>
            <w:tcW w:w="141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40</w:t>
            </w:r>
          </w:p>
        </w:tc>
        <w:tc>
          <w:tcPr>
            <w:tcW w:w="1134"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3</w:t>
            </w:r>
          </w:p>
        </w:tc>
        <w:tc>
          <w:tcPr>
            <w:tcW w:w="149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16</w:t>
            </w:r>
          </w:p>
        </w:tc>
      </w:tr>
      <w:tr w:rsidR="00494617" w:rsidRPr="00494617" w:rsidTr="00494617">
        <w:trPr>
          <w:trHeight w:val="295"/>
          <w:jc w:val="center"/>
        </w:trPr>
        <w:tc>
          <w:tcPr>
            <w:tcW w:w="915"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5</w:t>
            </w:r>
          </w:p>
        </w:tc>
        <w:tc>
          <w:tcPr>
            <w:tcW w:w="4536" w:type="dxa"/>
          </w:tcPr>
          <w:p w:rsidR="00494617" w:rsidRPr="00494617" w:rsidRDefault="00494617" w:rsidP="00494617">
            <w:pPr>
              <w:spacing w:before="0" w:after="0" w:line="276" w:lineRule="auto"/>
              <w:jc w:val="left"/>
              <w:rPr>
                <w:rFonts w:ascii="Calibri" w:eastAsia="Times New Roman" w:hAnsi="Calibri" w:cs="Times New Roman"/>
                <w:b/>
                <w:sz w:val="22"/>
                <w:lang w:val="hr-HR"/>
              </w:rPr>
            </w:pPr>
            <w:r w:rsidRPr="00494617">
              <w:rPr>
                <w:rFonts w:ascii="Calibri" w:eastAsia="Times New Roman" w:hAnsi="Calibri" w:cs="Times New Roman"/>
                <w:b/>
                <w:sz w:val="22"/>
                <w:lang w:val="hr-HR"/>
              </w:rPr>
              <w:t>BINGO-KRIVOKAPIĆ DOO</w:t>
            </w:r>
          </w:p>
        </w:tc>
        <w:tc>
          <w:tcPr>
            <w:tcW w:w="1276"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1</w:t>
            </w:r>
          </w:p>
        </w:tc>
        <w:tc>
          <w:tcPr>
            <w:tcW w:w="141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10</w:t>
            </w:r>
          </w:p>
        </w:tc>
        <w:tc>
          <w:tcPr>
            <w:tcW w:w="1134"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w:t>
            </w:r>
          </w:p>
        </w:tc>
        <w:tc>
          <w:tcPr>
            <w:tcW w:w="149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w:t>
            </w:r>
          </w:p>
        </w:tc>
      </w:tr>
      <w:tr w:rsidR="00494617" w:rsidRPr="00494617" w:rsidTr="00494617">
        <w:trPr>
          <w:trHeight w:val="295"/>
          <w:jc w:val="center"/>
        </w:trPr>
        <w:tc>
          <w:tcPr>
            <w:tcW w:w="915"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6</w:t>
            </w:r>
          </w:p>
        </w:tc>
        <w:tc>
          <w:tcPr>
            <w:tcW w:w="4536" w:type="dxa"/>
          </w:tcPr>
          <w:p w:rsidR="00494617" w:rsidRPr="00494617" w:rsidRDefault="00494617" w:rsidP="00494617">
            <w:pPr>
              <w:spacing w:before="0" w:after="0" w:line="276" w:lineRule="auto"/>
              <w:jc w:val="left"/>
              <w:rPr>
                <w:rFonts w:ascii="Calibri" w:eastAsia="Times New Roman" w:hAnsi="Calibri" w:cs="Times New Roman"/>
                <w:b/>
                <w:sz w:val="22"/>
                <w:lang w:val="hr-HR"/>
              </w:rPr>
            </w:pPr>
            <w:r w:rsidRPr="00494617">
              <w:rPr>
                <w:rFonts w:ascii="Calibri" w:eastAsia="Times New Roman" w:hAnsi="Calibri" w:cs="Times New Roman"/>
                <w:b/>
                <w:sz w:val="22"/>
                <w:lang w:val="hr-HR"/>
              </w:rPr>
              <w:t>CATTARO COMPANY GROUP DOO</w:t>
            </w:r>
          </w:p>
        </w:tc>
        <w:tc>
          <w:tcPr>
            <w:tcW w:w="1276"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3</w:t>
            </w:r>
          </w:p>
        </w:tc>
        <w:tc>
          <w:tcPr>
            <w:tcW w:w="141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57</w:t>
            </w:r>
          </w:p>
        </w:tc>
        <w:tc>
          <w:tcPr>
            <w:tcW w:w="1134"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3</w:t>
            </w:r>
          </w:p>
        </w:tc>
        <w:tc>
          <w:tcPr>
            <w:tcW w:w="149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20</w:t>
            </w:r>
          </w:p>
        </w:tc>
      </w:tr>
      <w:tr w:rsidR="00494617" w:rsidRPr="00494617" w:rsidTr="00494617">
        <w:trPr>
          <w:trHeight w:val="293"/>
          <w:jc w:val="center"/>
        </w:trPr>
        <w:tc>
          <w:tcPr>
            <w:tcW w:w="915"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7</w:t>
            </w:r>
          </w:p>
        </w:tc>
        <w:tc>
          <w:tcPr>
            <w:tcW w:w="4536" w:type="dxa"/>
          </w:tcPr>
          <w:p w:rsidR="00494617" w:rsidRPr="00494617" w:rsidRDefault="00494617" w:rsidP="00494617">
            <w:pPr>
              <w:spacing w:before="0" w:after="0" w:line="276" w:lineRule="auto"/>
              <w:jc w:val="left"/>
              <w:rPr>
                <w:rFonts w:ascii="Calibri" w:eastAsia="Times New Roman" w:hAnsi="Calibri" w:cs="Times New Roman"/>
                <w:b/>
                <w:sz w:val="22"/>
                <w:lang w:val="hr-HR"/>
              </w:rPr>
            </w:pPr>
            <w:r w:rsidRPr="00494617">
              <w:rPr>
                <w:rFonts w:ascii="Calibri" w:eastAsia="Times New Roman" w:hAnsi="Calibri" w:cs="Times New Roman"/>
                <w:b/>
                <w:sz w:val="22"/>
                <w:lang w:val="hr-HR"/>
              </w:rPr>
              <w:t xml:space="preserve">ČIBRI  DOO </w:t>
            </w:r>
          </w:p>
        </w:tc>
        <w:tc>
          <w:tcPr>
            <w:tcW w:w="1276"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6</w:t>
            </w:r>
          </w:p>
        </w:tc>
        <w:tc>
          <w:tcPr>
            <w:tcW w:w="141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68</w:t>
            </w:r>
          </w:p>
        </w:tc>
        <w:tc>
          <w:tcPr>
            <w:tcW w:w="1134"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5</w:t>
            </w:r>
          </w:p>
        </w:tc>
        <w:tc>
          <w:tcPr>
            <w:tcW w:w="149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20</w:t>
            </w:r>
          </w:p>
        </w:tc>
      </w:tr>
      <w:tr w:rsidR="00494617" w:rsidRPr="00494617" w:rsidTr="00494617">
        <w:trPr>
          <w:trHeight w:val="293"/>
          <w:jc w:val="center"/>
        </w:trPr>
        <w:tc>
          <w:tcPr>
            <w:tcW w:w="915"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8</w:t>
            </w:r>
          </w:p>
        </w:tc>
        <w:tc>
          <w:tcPr>
            <w:tcW w:w="4536" w:type="dxa"/>
          </w:tcPr>
          <w:p w:rsidR="00494617" w:rsidRPr="00494617" w:rsidRDefault="00494617" w:rsidP="00494617">
            <w:pPr>
              <w:spacing w:before="0" w:after="0" w:line="276" w:lineRule="auto"/>
              <w:jc w:val="left"/>
              <w:rPr>
                <w:rFonts w:ascii="Calibri" w:eastAsia="Times New Roman" w:hAnsi="Calibri" w:cs="Times New Roman"/>
                <w:b/>
                <w:sz w:val="22"/>
                <w:lang w:val="hr-HR"/>
              </w:rPr>
            </w:pPr>
            <w:r w:rsidRPr="00494617">
              <w:rPr>
                <w:rFonts w:ascii="Calibri" w:eastAsia="Times New Roman" w:hAnsi="Calibri" w:cs="Times New Roman"/>
                <w:b/>
                <w:sz w:val="22"/>
                <w:lang w:val="hr-HR"/>
              </w:rPr>
              <w:t>FLESH &amp;AS DOO</w:t>
            </w:r>
          </w:p>
        </w:tc>
        <w:tc>
          <w:tcPr>
            <w:tcW w:w="1276"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1</w:t>
            </w:r>
          </w:p>
        </w:tc>
        <w:tc>
          <w:tcPr>
            <w:tcW w:w="141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9</w:t>
            </w:r>
          </w:p>
        </w:tc>
        <w:tc>
          <w:tcPr>
            <w:tcW w:w="1134"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1</w:t>
            </w:r>
          </w:p>
        </w:tc>
        <w:tc>
          <w:tcPr>
            <w:tcW w:w="149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10</w:t>
            </w:r>
          </w:p>
        </w:tc>
      </w:tr>
      <w:tr w:rsidR="00494617" w:rsidRPr="00494617" w:rsidTr="00494617">
        <w:trPr>
          <w:trHeight w:val="308"/>
          <w:jc w:val="center"/>
        </w:trPr>
        <w:tc>
          <w:tcPr>
            <w:tcW w:w="915"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9</w:t>
            </w:r>
          </w:p>
        </w:tc>
        <w:tc>
          <w:tcPr>
            <w:tcW w:w="4536" w:type="dxa"/>
          </w:tcPr>
          <w:p w:rsidR="00494617" w:rsidRPr="00494617" w:rsidRDefault="00494617" w:rsidP="00494617">
            <w:pPr>
              <w:spacing w:before="0" w:after="0" w:line="276" w:lineRule="auto"/>
              <w:jc w:val="left"/>
              <w:rPr>
                <w:rFonts w:ascii="Calibri" w:eastAsia="Times New Roman" w:hAnsi="Calibri" w:cs="Times New Roman"/>
                <w:b/>
                <w:sz w:val="22"/>
                <w:lang w:val="hr-HR"/>
              </w:rPr>
            </w:pPr>
            <w:r w:rsidRPr="00494617">
              <w:rPr>
                <w:rFonts w:ascii="Calibri" w:eastAsia="Times New Roman" w:hAnsi="Calibri" w:cs="Times New Roman"/>
                <w:b/>
                <w:sz w:val="22"/>
                <w:lang w:val="hr-HR"/>
              </w:rPr>
              <w:t>FUN FUN DOO</w:t>
            </w:r>
          </w:p>
        </w:tc>
        <w:tc>
          <w:tcPr>
            <w:tcW w:w="1276"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3</w:t>
            </w:r>
          </w:p>
        </w:tc>
        <w:tc>
          <w:tcPr>
            <w:tcW w:w="141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21</w:t>
            </w:r>
          </w:p>
        </w:tc>
        <w:tc>
          <w:tcPr>
            <w:tcW w:w="1134"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3</w:t>
            </w:r>
          </w:p>
        </w:tc>
        <w:tc>
          <w:tcPr>
            <w:tcW w:w="149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20</w:t>
            </w:r>
          </w:p>
        </w:tc>
      </w:tr>
      <w:tr w:rsidR="00494617" w:rsidRPr="00494617" w:rsidTr="00494617">
        <w:trPr>
          <w:trHeight w:val="308"/>
          <w:jc w:val="center"/>
        </w:trPr>
        <w:tc>
          <w:tcPr>
            <w:tcW w:w="915"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10</w:t>
            </w:r>
          </w:p>
        </w:tc>
        <w:tc>
          <w:tcPr>
            <w:tcW w:w="4536" w:type="dxa"/>
          </w:tcPr>
          <w:p w:rsidR="00494617" w:rsidRPr="00494617" w:rsidRDefault="00494617" w:rsidP="00494617">
            <w:pPr>
              <w:spacing w:before="0" w:after="0" w:line="276" w:lineRule="auto"/>
              <w:jc w:val="left"/>
              <w:rPr>
                <w:rFonts w:ascii="Calibri" w:eastAsia="Times New Roman" w:hAnsi="Calibri" w:cs="Times New Roman"/>
                <w:b/>
                <w:sz w:val="22"/>
                <w:lang w:val="hr-HR"/>
              </w:rPr>
            </w:pPr>
            <w:r w:rsidRPr="00494617">
              <w:rPr>
                <w:rFonts w:ascii="Calibri" w:eastAsia="Times New Roman" w:hAnsi="Calibri" w:cs="Times New Roman"/>
                <w:b/>
                <w:sz w:val="22"/>
                <w:lang w:val="hr-HR"/>
              </w:rPr>
              <w:t>GAMBLER MONTENEGRO DOO</w:t>
            </w:r>
          </w:p>
        </w:tc>
        <w:tc>
          <w:tcPr>
            <w:tcW w:w="1276"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6</w:t>
            </w:r>
          </w:p>
        </w:tc>
        <w:tc>
          <w:tcPr>
            <w:tcW w:w="141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61</w:t>
            </w:r>
          </w:p>
        </w:tc>
        <w:tc>
          <w:tcPr>
            <w:tcW w:w="1134"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1</w:t>
            </w:r>
          </w:p>
        </w:tc>
        <w:tc>
          <w:tcPr>
            <w:tcW w:w="149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4</w:t>
            </w:r>
          </w:p>
        </w:tc>
      </w:tr>
      <w:tr w:rsidR="00494617" w:rsidRPr="00494617" w:rsidTr="00494617">
        <w:trPr>
          <w:trHeight w:val="295"/>
          <w:jc w:val="center"/>
        </w:trPr>
        <w:tc>
          <w:tcPr>
            <w:tcW w:w="915"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11</w:t>
            </w:r>
          </w:p>
        </w:tc>
        <w:tc>
          <w:tcPr>
            <w:tcW w:w="4536" w:type="dxa"/>
          </w:tcPr>
          <w:p w:rsidR="00494617" w:rsidRPr="00494617" w:rsidRDefault="00494617" w:rsidP="00494617">
            <w:pPr>
              <w:spacing w:before="0" w:after="0" w:line="276" w:lineRule="auto"/>
              <w:jc w:val="left"/>
              <w:rPr>
                <w:rFonts w:ascii="Calibri" w:eastAsia="Times New Roman" w:hAnsi="Calibri" w:cs="Times New Roman"/>
                <w:b/>
                <w:sz w:val="22"/>
                <w:lang w:val="hr-HR"/>
              </w:rPr>
            </w:pPr>
            <w:r w:rsidRPr="00494617">
              <w:rPr>
                <w:rFonts w:ascii="Calibri" w:eastAsia="Times New Roman" w:hAnsi="Calibri" w:cs="Times New Roman"/>
                <w:b/>
                <w:sz w:val="22"/>
                <w:lang w:val="hr-HR"/>
              </w:rPr>
              <w:t>GAME WORLD DOO</w:t>
            </w:r>
          </w:p>
        </w:tc>
        <w:tc>
          <w:tcPr>
            <w:tcW w:w="1276"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5</w:t>
            </w:r>
          </w:p>
        </w:tc>
        <w:tc>
          <w:tcPr>
            <w:tcW w:w="141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142</w:t>
            </w:r>
          </w:p>
        </w:tc>
        <w:tc>
          <w:tcPr>
            <w:tcW w:w="1134"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5</w:t>
            </w:r>
          </w:p>
        </w:tc>
        <w:tc>
          <w:tcPr>
            <w:tcW w:w="149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26</w:t>
            </w:r>
          </w:p>
        </w:tc>
      </w:tr>
      <w:tr w:rsidR="00494617" w:rsidRPr="00494617" w:rsidTr="00494617">
        <w:trPr>
          <w:trHeight w:val="295"/>
          <w:jc w:val="center"/>
        </w:trPr>
        <w:tc>
          <w:tcPr>
            <w:tcW w:w="915"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12</w:t>
            </w:r>
          </w:p>
        </w:tc>
        <w:tc>
          <w:tcPr>
            <w:tcW w:w="4536" w:type="dxa"/>
          </w:tcPr>
          <w:p w:rsidR="00494617" w:rsidRPr="00494617" w:rsidRDefault="00494617" w:rsidP="00494617">
            <w:pPr>
              <w:spacing w:before="0" w:after="0" w:line="276" w:lineRule="auto"/>
              <w:jc w:val="left"/>
              <w:rPr>
                <w:rFonts w:ascii="Calibri" w:eastAsia="Times New Roman" w:hAnsi="Calibri" w:cs="Times New Roman"/>
                <w:b/>
                <w:sz w:val="22"/>
                <w:lang w:val="hr-HR"/>
              </w:rPr>
            </w:pPr>
            <w:r w:rsidRPr="00494617">
              <w:rPr>
                <w:rFonts w:ascii="Calibri" w:eastAsia="Times New Roman" w:hAnsi="Calibri" w:cs="Times New Roman"/>
                <w:b/>
                <w:sz w:val="22"/>
                <w:lang w:val="hr-HR"/>
              </w:rPr>
              <w:t>GIDA DOO</w:t>
            </w:r>
          </w:p>
        </w:tc>
        <w:tc>
          <w:tcPr>
            <w:tcW w:w="1276"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8</w:t>
            </w:r>
          </w:p>
        </w:tc>
        <w:tc>
          <w:tcPr>
            <w:tcW w:w="141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79</w:t>
            </w:r>
          </w:p>
        </w:tc>
        <w:tc>
          <w:tcPr>
            <w:tcW w:w="1134"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4</w:t>
            </w:r>
          </w:p>
        </w:tc>
        <w:tc>
          <w:tcPr>
            <w:tcW w:w="149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20</w:t>
            </w:r>
          </w:p>
        </w:tc>
      </w:tr>
      <w:tr w:rsidR="00494617" w:rsidRPr="00494617" w:rsidTr="00494617">
        <w:trPr>
          <w:trHeight w:val="295"/>
          <w:jc w:val="center"/>
        </w:trPr>
        <w:tc>
          <w:tcPr>
            <w:tcW w:w="915"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13</w:t>
            </w:r>
          </w:p>
        </w:tc>
        <w:tc>
          <w:tcPr>
            <w:tcW w:w="4536" w:type="dxa"/>
          </w:tcPr>
          <w:p w:rsidR="00494617" w:rsidRPr="00494617" w:rsidRDefault="00494617" w:rsidP="00494617">
            <w:pPr>
              <w:spacing w:before="0" w:after="0" w:line="276" w:lineRule="auto"/>
              <w:jc w:val="left"/>
              <w:rPr>
                <w:rFonts w:ascii="Calibri" w:eastAsia="Times New Roman" w:hAnsi="Calibri" w:cs="Times New Roman"/>
                <w:b/>
                <w:sz w:val="22"/>
                <w:lang w:val="hr-HR"/>
              </w:rPr>
            </w:pPr>
            <w:r w:rsidRPr="00494617">
              <w:rPr>
                <w:rFonts w:ascii="Calibri" w:eastAsia="Times New Roman" w:hAnsi="Calibri" w:cs="Times New Roman"/>
                <w:b/>
                <w:sz w:val="22"/>
                <w:lang w:val="hr-HR"/>
              </w:rPr>
              <w:t xml:space="preserve">KINGS &amp; CO DOO </w:t>
            </w:r>
          </w:p>
        </w:tc>
        <w:tc>
          <w:tcPr>
            <w:tcW w:w="1276"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3</w:t>
            </w:r>
          </w:p>
        </w:tc>
        <w:tc>
          <w:tcPr>
            <w:tcW w:w="141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57</w:t>
            </w:r>
          </w:p>
        </w:tc>
        <w:tc>
          <w:tcPr>
            <w:tcW w:w="1134"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w:t>
            </w:r>
          </w:p>
        </w:tc>
        <w:tc>
          <w:tcPr>
            <w:tcW w:w="149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w:t>
            </w:r>
          </w:p>
        </w:tc>
      </w:tr>
      <w:tr w:rsidR="00494617" w:rsidRPr="00494617" w:rsidTr="00494617">
        <w:trPr>
          <w:trHeight w:val="295"/>
          <w:jc w:val="center"/>
        </w:trPr>
        <w:tc>
          <w:tcPr>
            <w:tcW w:w="915"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14</w:t>
            </w:r>
          </w:p>
        </w:tc>
        <w:tc>
          <w:tcPr>
            <w:tcW w:w="4536" w:type="dxa"/>
          </w:tcPr>
          <w:p w:rsidR="00494617" w:rsidRPr="00494617" w:rsidRDefault="00494617" w:rsidP="00494617">
            <w:pPr>
              <w:spacing w:before="0" w:after="0" w:line="276" w:lineRule="auto"/>
              <w:jc w:val="left"/>
              <w:rPr>
                <w:rFonts w:ascii="Calibri" w:eastAsia="Times New Roman" w:hAnsi="Calibri" w:cs="Times New Roman"/>
                <w:b/>
                <w:sz w:val="22"/>
                <w:lang w:val="hr-HR"/>
              </w:rPr>
            </w:pPr>
            <w:r w:rsidRPr="00494617">
              <w:rPr>
                <w:rFonts w:ascii="Calibri" w:eastAsia="Times New Roman" w:hAnsi="Calibri" w:cs="Times New Roman"/>
                <w:b/>
                <w:sz w:val="22"/>
                <w:lang w:val="hr-HR"/>
              </w:rPr>
              <w:t>LOB COMMPANY DOO</w:t>
            </w:r>
          </w:p>
        </w:tc>
        <w:tc>
          <w:tcPr>
            <w:tcW w:w="1276"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1</w:t>
            </w:r>
          </w:p>
        </w:tc>
        <w:tc>
          <w:tcPr>
            <w:tcW w:w="141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10</w:t>
            </w:r>
          </w:p>
        </w:tc>
        <w:tc>
          <w:tcPr>
            <w:tcW w:w="1134"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w:t>
            </w:r>
          </w:p>
        </w:tc>
        <w:tc>
          <w:tcPr>
            <w:tcW w:w="149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w:t>
            </w:r>
          </w:p>
        </w:tc>
      </w:tr>
      <w:tr w:rsidR="00494617" w:rsidRPr="00494617" w:rsidTr="00494617">
        <w:trPr>
          <w:trHeight w:val="295"/>
          <w:jc w:val="center"/>
        </w:trPr>
        <w:tc>
          <w:tcPr>
            <w:tcW w:w="915"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15</w:t>
            </w:r>
          </w:p>
        </w:tc>
        <w:tc>
          <w:tcPr>
            <w:tcW w:w="4536" w:type="dxa"/>
          </w:tcPr>
          <w:p w:rsidR="00494617" w:rsidRPr="00494617" w:rsidRDefault="00494617" w:rsidP="00494617">
            <w:pPr>
              <w:spacing w:before="0" w:after="0" w:line="276" w:lineRule="auto"/>
              <w:jc w:val="left"/>
              <w:rPr>
                <w:rFonts w:ascii="Calibri" w:eastAsia="Times New Roman" w:hAnsi="Calibri" w:cs="Times New Roman"/>
                <w:b/>
                <w:sz w:val="22"/>
                <w:lang w:val="hr-HR"/>
              </w:rPr>
            </w:pPr>
            <w:r w:rsidRPr="00494617">
              <w:rPr>
                <w:rFonts w:ascii="Calibri" w:eastAsia="Times New Roman" w:hAnsi="Calibri" w:cs="Times New Roman"/>
                <w:b/>
                <w:sz w:val="22"/>
                <w:lang w:val="hr-HR"/>
              </w:rPr>
              <w:t>LUTRIJA CRNE GORE AD</w:t>
            </w:r>
          </w:p>
        </w:tc>
        <w:tc>
          <w:tcPr>
            <w:tcW w:w="1276"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18</w:t>
            </w:r>
          </w:p>
        </w:tc>
        <w:tc>
          <w:tcPr>
            <w:tcW w:w="141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163</w:t>
            </w:r>
          </w:p>
        </w:tc>
        <w:tc>
          <w:tcPr>
            <w:tcW w:w="1134"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12</w:t>
            </w:r>
          </w:p>
        </w:tc>
        <w:tc>
          <w:tcPr>
            <w:tcW w:w="149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83</w:t>
            </w:r>
          </w:p>
        </w:tc>
      </w:tr>
      <w:tr w:rsidR="00494617" w:rsidRPr="00494617" w:rsidTr="00494617">
        <w:trPr>
          <w:trHeight w:val="295"/>
          <w:jc w:val="center"/>
        </w:trPr>
        <w:tc>
          <w:tcPr>
            <w:tcW w:w="915"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16</w:t>
            </w:r>
          </w:p>
        </w:tc>
        <w:tc>
          <w:tcPr>
            <w:tcW w:w="4536" w:type="dxa"/>
          </w:tcPr>
          <w:p w:rsidR="00494617" w:rsidRPr="00494617" w:rsidRDefault="00494617" w:rsidP="00494617">
            <w:pPr>
              <w:spacing w:before="0" w:after="0" w:line="276" w:lineRule="auto"/>
              <w:jc w:val="left"/>
              <w:rPr>
                <w:rFonts w:ascii="Calibri" w:eastAsia="Times New Roman" w:hAnsi="Calibri" w:cs="Times New Roman"/>
                <w:b/>
                <w:sz w:val="22"/>
                <w:lang w:val="hr-HR"/>
              </w:rPr>
            </w:pPr>
            <w:r w:rsidRPr="00494617">
              <w:rPr>
                <w:rFonts w:ascii="Calibri" w:eastAsia="Times New Roman" w:hAnsi="Calibri" w:cs="Times New Roman"/>
                <w:b/>
                <w:sz w:val="22"/>
                <w:lang w:val="hr-HR"/>
              </w:rPr>
              <w:t>MARKOVIĆ GRAND COMPANY DOO</w:t>
            </w:r>
          </w:p>
        </w:tc>
        <w:tc>
          <w:tcPr>
            <w:tcW w:w="1276"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7</w:t>
            </w:r>
          </w:p>
        </w:tc>
        <w:tc>
          <w:tcPr>
            <w:tcW w:w="141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92</w:t>
            </w:r>
          </w:p>
        </w:tc>
        <w:tc>
          <w:tcPr>
            <w:tcW w:w="1134"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7</w:t>
            </w:r>
          </w:p>
        </w:tc>
        <w:tc>
          <w:tcPr>
            <w:tcW w:w="149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29</w:t>
            </w:r>
          </w:p>
        </w:tc>
      </w:tr>
      <w:tr w:rsidR="00494617" w:rsidRPr="00494617" w:rsidTr="00494617">
        <w:trPr>
          <w:trHeight w:val="295"/>
          <w:jc w:val="center"/>
        </w:trPr>
        <w:tc>
          <w:tcPr>
            <w:tcW w:w="915"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17</w:t>
            </w:r>
          </w:p>
        </w:tc>
        <w:tc>
          <w:tcPr>
            <w:tcW w:w="4536" w:type="dxa"/>
          </w:tcPr>
          <w:p w:rsidR="00494617" w:rsidRPr="00494617" w:rsidRDefault="00494617" w:rsidP="00494617">
            <w:pPr>
              <w:spacing w:before="0" w:after="0" w:line="276" w:lineRule="auto"/>
              <w:jc w:val="left"/>
              <w:rPr>
                <w:rFonts w:ascii="Calibri" w:eastAsia="Times New Roman" w:hAnsi="Calibri" w:cs="Times New Roman"/>
                <w:b/>
                <w:sz w:val="22"/>
                <w:lang w:val="hr-HR"/>
              </w:rPr>
            </w:pPr>
            <w:r w:rsidRPr="00494617">
              <w:rPr>
                <w:rFonts w:ascii="Calibri" w:eastAsia="Times New Roman" w:hAnsi="Calibri" w:cs="Times New Roman"/>
                <w:b/>
                <w:sz w:val="22"/>
                <w:lang w:val="hr-HR"/>
              </w:rPr>
              <w:t>MERIDIANBET DOO</w:t>
            </w:r>
          </w:p>
        </w:tc>
        <w:tc>
          <w:tcPr>
            <w:tcW w:w="1276"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1</w:t>
            </w:r>
          </w:p>
        </w:tc>
        <w:tc>
          <w:tcPr>
            <w:tcW w:w="141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10</w:t>
            </w:r>
          </w:p>
        </w:tc>
        <w:tc>
          <w:tcPr>
            <w:tcW w:w="1134"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w:t>
            </w:r>
          </w:p>
        </w:tc>
        <w:tc>
          <w:tcPr>
            <w:tcW w:w="149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w:t>
            </w:r>
          </w:p>
        </w:tc>
      </w:tr>
      <w:tr w:rsidR="00494617" w:rsidRPr="00494617" w:rsidTr="00494617">
        <w:trPr>
          <w:trHeight w:val="295"/>
          <w:jc w:val="center"/>
        </w:trPr>
        <w:tc>
          <w:tcPr>
            <w:tcW w:w="915"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18</w:t>
            </w:r>
          </w:p>
        </w:tc>
        <w:tc>
          <w:tcPr>
            <w:tcW w:w="4536" w:type="dxa"/>
          </w:tcPr>
          <w:p w:rsidR="00494617" w:rsidRPr="00494617" w:rsidRDefault="00494617" w:rsidP="00494617">
            <w:pPr>
              <w:spacing w:before="0" w:after="0" w:line="276" w:lineRule="auto"/>
              <w:jc w:val="left"/>
              <w:rPr>
                <w:rFonts w:ascii="Calibri" w:eastAsia="Times New Roman" w:hAnsi="Calibri" w:cs="Times New Roman"/>
                <w:b/>
                <w:sz w:val="22"/>
                <w:lang w:val="hr-HR"/>
              </w:rPr>
            </w:pPr>
            <w:r w:rsidRPr="00494617">
              <w:rPr>
                <w:rFonts w:ascii="Calibri" w:eastAsia="Times New Roman" w:hAnsi="Calibri" w:cs="Times New Roman"/>
                <w:b/>
                <w:sz w:val="22"/>
                <w:lang w:val="hr-HR"/>
              </w:rPr>
              <w:t xml:space="preserve">MNA GAMING DOO </w:t>
            </w:r>
          </w:p>
        </w:tc>
        <w:tc>
          <w:tcPr>
            <w:tcW w:w="1276"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17</w:t>
            </w:r>
          </w:p>
        </w:tc>
        <w:tc>
          <w:tcPr>
            <w:tcW w:w="141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361</w:t>
            </w:r>
          </w:p>
        </w:tc>
        <w:tc>
          <w:tcPr>
            <w:tcW w:w="1134"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13</w:t>
            </w:r>
          </w:p>
        </w:tc>
        <w:tc>
          <w:tcPr>
            <w:tcW w:w="149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69</w:t>
            </w:r>
          </w:p>
        </w:tc>
      </w:tr>
      <w:tr w:rsidR="00494617" w:rsidRPr="00494617" w:rsidTr="00494617">
        <w:trPr>
          <w:trHeight w:val="295"/>
          <w:jc w:val="center"/>
        </w:trPr>
        <w:tc>
          <w:tcPr>
            <w:tcW w:w="915"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19</w:t>
            </w:r>
          </w:p>
        </w:tc>
        <w:tc>
          <w:tcPr>
            <w:tcW w:w="4536" w:type="dxa"/>
          </w:tcPr>
          <w:p w:rsidR="00494617" w:rsidRPr="00494617" w:rsidRDefault="00494617" w:rsidP="00494617">
            <w:pPr>
              <w:spacing w:before="0" w:after="0" w:line="276" w:lineRule="auto"/>
              <w:jc w:val="left"/>
              <w:rPr>
                <w:rFonts w:ascii="Calibri" w:eastAsia="Times New Roman" w:hAnsi="Calibri" w:cs="Times New Roman"/>
                <w:b/>
                <w:sz w:val="22"/>
                <w:lang w:val="hr-HR"/>
              </w:rPr>
            </w:pPr>
            <w:r w:rsidRPr="00494617">
              <w:rPr>
                <w:rFonts w:ascii="Calibri" w:eastAsia="Times New Roman" w:hAnsi="Calibri" w:cs="Times New Roman"/>
                <w:b/>
                <w:sz w:val="22"/>
                <w:lang w:val="hr-HR"/>
              </w:rPr>
              <w:t>MONTENEGRO BETTING DOO</w:t>
            </w:r>
          </w:p>
        </w:tc>
        <w:tc>
          <w:tcPr>
            <w:tcW w:w="1276"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5</w:t>
            </w:r>
          </w:p>
        </w:tc>
        <w:tc>
          <w:tcPr>
            <w:tcW w:w="141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30</w:t>
            </w:r>
          </w:p>
        </w:tc>
        <w:tc>
          <w:tcPr>
            <w:tcW w:w="1134"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5</w:t>
            </w:r>
          </w:p>
        </w:tc>
        <w:tc>
          <w:tcPr>
            <w:tcW w:w="149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20</w:t>
            </w:r>
          </w:p>
        </w:tc>
      </w:tr>
      <w:tr w:rsidR="00494617" w:rsidRPr="00494617" w:rsidTr="00494617">
        <w:trPr>
          <w:trHeight w:val="295"/>
          <w:jc w:val="center"/>
        </w:trPr>
        <w:tc>
          <w:tcPr>
            <w:tcW w:w="915"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20</w:t>
            </w:r>
          </w:p>
        </w:tc>
        <w:tc>
          <w:tcPr>
            <w:tcW w:w="4536" w:type="dxa"/>
          </w:tcPr>
          <w:p w:rsidR="00494617" w:rsidRPr="00494617" w:rsidRDefault="00494617" w:rsidP="00494617">
            <w:pPr>
              <w:spacing w:before="0" w:after="0" w:line="276" w:lineRule="auto"/>
              <w:jc w:val="left"/>
              <w:rPr>
                <w:rFonts w:ascii="Calibri" w:eastAsia="Times New Roman" w:hAnsi="Calibri" w:cs="Times New Roman"/>
                <w:b/>
                <w:sz w:val="22"/>
                <w:lang w:val="hr-HR"/>
              </w:rPr>
            </w:pPr>
            <w:r w:rsidRPr="00494617">
              <w:rPr>
                <w:rFonts w:ascii="Calibri" w:eastAsia="Times New Roman" w:hAnsi="Calibri" w:cs="Times New Roman"/>
                <w:b/>
                <w:sz w:val="22"/>
                <w:lang w:val="hr-HR"/>
              </w:rPr>
              <w:t>MONTEVEGAS DOO</w:t>
            </w:r>
          </w:p>
        </w:tc>
        <w:tc>
          <w:tcPr>
            <w:tcW w:w="1276"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2</w:t>
            </w:r>
          </w:p>
        </w:tc>
        <w:tc>
          <w:tcPr>
            <w:tcW w:w="141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63</w:t>
            </w:r>
          </w:p>
        </w:tc>
        <w:tc>
          <w:tcPr>
            <w:tcW w:w="1134"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2</w:t>
            </w:r>
          </w:p>
        </w:tc>
        <w:tc>
          <w:tcPr>
            <w:tcW w:w="149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12</w:t>
            </w:r>
          </w:p>
        </w:tc>
      </w:tr>
      <w:tr w:rsidR="00494617" w:rsidRPr="00494617" w:rsidTr="00494617">
        <w:trPr>
          <w:trHeight w:val="295"/>
          <w:jc w:val="center"/>
        </w:trPr>
        <w:tc>
          <w:tcPr>
            <w:tcW w:w="915"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21</w:t>
            </w:r>
          </w:p>
        </w:tc>
        <w:tc>
          <w:tcPr>
            <w:tcW w:w="4536" w:type="dxa"/>
          </w:tcPr>
          <w:p w:rsidR="00494617" w:rsidRPr="00494617" w:rsidRDefault="00494617" w:rsidP="00494617">
            <w:pPr>
              <w:spacing w:before="0" w:after="0" w:line="276" w:lineRule="auto"/>
              <w:jc w:val="left"/>
              <w:rPr>
                <w:rFonts w:ascii="Calibri" w:eastAsia="Times New Roman" w:hAnsi="Calibri" w:cs="Times New Roman"/>
                <w:b/>
                <w:sz w:val="22"/>
                <w:lang w:val="hr-HR"/>
              </w:rPr>
            </w:pPr>
            <w:r w:rsidRPr="00494617">
              <w:rPr>
                <w:rFonts w:ascii="Calibri" w:eastAsia="Times New Roman" w:hAnsi="Calibri" w:cs="Times New Roman"/>
                <w:b/>
                <w:sz w:val="22"/>
                <w:lang w:val="hr-HR"/>
              </w:rPr>
              <w:t>MTV</w:t>
            </w:r>
          </w:p>
        </w:tc>
        <w:tc>
          <w:tcPr>
            <w:tcW w:w="1276"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1</w:t>
            </w:r>
          </w:p>
        </w:tc>
        <w:tc>
          <w:tcPr>
            <w:tcW w:w="141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10</w:t>
            </w:r>
          </w:p>
        </w:tc>
        <w:tc>
          <w:tcPr>
            <w:tcW w:w="1134"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w:t>
            </w:r>
          </w:p>
        </w:tc>
        <w:tc>
          <w:tcPr>
            <w:tcW w:w="149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w:t>
            </w:r>
          </w:p>
        </w:tc>
      </w:tr>
      <w:tr w:rsidR="00494617" w:rsidRPr="00494617" w:rsidTr="00494617">
        <w:trPr>
          <w:trHeight w:val="308"/>
          <w:jc w:val="center"/>
        </w:trPr>
        <w:tc>
          <w:tcPr>
            <w:tcW w:w="915"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22</w:t>
            </w:r>
          </w:p>
        </w:tc>
        <w:tc>
          <w:tcPr>
            <w:tcW w:w="4536" w:type="dxa"/>
          </w:tcPr>
          <w:p w:rsidR="00494617" w:rsidRPr="00494617" w:rsidRDefault="00494617" w:rsidP="00494617">
            <w:pPr>
              <w:spacing w:before="0" w:after="0" w:line="276" w:lineRule="auto"/>
              <w:jc w:val="left"/>
              <w:rPr>
                <w:rFonts w:ascii="Calibri" w:eastAsia="Times New Roman" w:hAnsi="Calibri" w:cs="Times New Roman"/>
                <w:b/>
                <w:sz w:val="22"/>
                <w:lang w:val="hr-HR"/>
              </w:rPr>
            </w:pPr>
            <w:r w:rsidRPr="00494617">
              <w:rPr>
                <w:rFonts w:ascii="Calibri" w:eastAsia="Times New Roman" w:hAnsi="Calibri" w:cs="Times New Roman"/>
                <w:b/>
                <w:sz w:val="22"/>
                <w:lang w:val="hr-HR"/>
              </w:rPr>
              <w:t xml:space="preserve">MULTIMAT DOO </w:t>
            </w:r>
          </w:p>
        </w:tc>
        <w:tc>
          <w:tcPr>
            <w:tcW w:w="1276"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7</w:t>
            </w:r>
          </w:p>
        </w:tc>
        <w:tc>
          <w:tcPr>
            <w:tcW w:w="141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67</w:t>
            </w:r>
          </w:p>
        </w:tc>
        <w:tc>
          <w:tcPr>
            <w:tcW w:w="1134"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6</w:t>
            </w:r>
          </w:p>
        </w:tc>
        <w:tc>
          <w:tcPr>
            <w:tcW w:w="149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31</w:t>
            </w:r>
          </w:p>
        </w:tc>
      </w:tr>
      <w:tr w:rsidR="00494617" w:rsidRPr="00494617" w:rsidTr="00494617">
        <w:trPr>
          <w:trHeight w:val="295"/>
          <w:jc w:val="center"/>
        </w:trPr>
        <w:tc>
          <w:tcPr>
            <w:tcW w:w="915"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23</w:t>
            </w:r>
          </w:p>
        </w:tc>
        <w:tc>
          <w:tcPr>
            <w:tcW w:w="4536" w:type="dxa"/>
          </w:tcPr>
          <w:p w:rsidR="00494617" w:rsidRPr="00494617" w:rsidRDefault="00494617" w:rsidP="00494617">
            <w:pPr>
              <w:spacing w:before="0" w:after="0" w:line="276" w:lineRule="auto"/>
              <w:jc w:val="left"/>
              <w:rPr>
                <w:rFonts w:ascii="Calibri" w:eastAsia="Times New Roman" w:hAnsi="Calibri" w:cs="Times New Roman"/>
                <w:b/>
                <w:sz w:val="22"/>
                <w:lang w:val="hr-HR"/>
              </w:rPr>
            </w:pPr>
            <w:r w:rsidRPr="00494617">
              <w:rPr>
                <w:rFonts w:ascii="Calibri" w:eastAsia="Times New Roman" w:hAnsi="Calibri" w:cs="Times New Roman"/>
                <w:b/>
                <w:sz w:val="22"/>
                <w:lang w:val="hr-HR"/>
              </w:rPr>
              <w:t>PALADIUM DOO</w:t>
            </w:r>
          </w:p>
        </w:tc>
        <w:tc>
          <w:tcPr>
            <w:tcW w:w="1276"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3</w:t>
            </w:r>
          </w:p>
        </w:tc>
        <w:tc>
          <w:tcPr>
            <w:tcW w:w="141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36</w:t>
            </w:r>
          </w:p>
        </w:tc>
        <w:tc>
          <w:tcPr>
            <w:tcW w:w="1134"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3</w:t>
            </w:r>
          </w:p>
        </w:tc>
        <w:tc>
          <w:tcPr>
            <w:tcW w:w="149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16</w:t>
            </w:r>
          </w:p>
        </w:tc>
      </w:tr>
      <w:tr w:rsidR="00494617" w:rsidRPr="00494617" w:rsidTr="00494617">
        <w:trPr>
          <w:trHeight w:val="295"/>
          <w:jc w:val="center"/>
        </w:trPr>
        <w:tc>
          <w:tcPr>
            <w:tcW w:w="915"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24</w:t>
            </w:r>
          </w:p>
        </w:tc>
        <w:tc>
          <w:tcPr>
            <w:tcW w:w="4536" w:type="dxa"/>
          </w:tcPr>
          <w:p w:rsidR="00494617" w:rsidRPr="00494617" w:rsidRDefault="00494617" w:rsidP="00494617">
            <w:pPr>
              <w:spacing w:before="0" w:after="0" w:line="276" w:lineRule="auto"/>
              <w:jc w:val="left"/>
              <w:rPr>
                <w:rFonts w:ascii="Calibri" w:eastAsia="Times New Roman" w:hAnsi="Calibri" w:cs="Times New Roman"/>
                <w:b/>
                <w:sz w:val="22"/>
                <w:lang w:val="hr-HR"/>
              </w:rPr>
            </w:pPr>
            <w:r w:rsidRPr="00494617">
              <w:rPr>
                <w:rFonts w:ascii="Calibri" w:eastAsia="Times New Roman" w:hAnsi="Calibri" w:cs="Times New Roman"/>
                <w:b/>
                <w:sz w:val="22"/>
                <w:lang w:val="hr-HR"/>
              </w:rPr>
              <w:t>SATURNUS CODEX DOO</w:t>
            </w:r>
          </w:p>
        </w:tc>
        <w:tc>
          <w:tcPr>
            <w:tcW w:w="1276"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2</w:t>
            </w:r>
          </w:p>
        </w:tc>
        <w:tc>
          <w:tcPr>
            <w:tcW w:w="141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8</w:t>
            </w:r>
          </w:p>
        </w:tc>
        <w:tc>
          <w:tcPr>
            <w:tcW w:w="1134"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2</w:t>
            </w:r>
          </w:p>
        </w:tc>
        <w:tc>
          <w:tcPr>
            <w:tcW w:w="149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12</w:t>
            </w:r>
          </w:p>
        </w:tc>
      </w:tr>
      <w:tr w:rsidR="00494617" w:rsidRPr="00494617" w:rsidTr="00494617">
        <w:trPr>
          <w:trHeight w:val="295"/>
          <w:jc w:val="center"/>
        </w:trPr>
        <w:tc>
          <w:tcPr>
            <w:tcW w:w="915"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25</w:t>
            </w:r>
          </w:p>
        </w:tc>
        <w:tc>
          <w:tcPr>
            <w:tcW w:w="4536" w:type="dxa"/>
          </w:tcPr>
          <w:p w:rsidR="00494617" w:rsidRPr="00494617" w:rsidRDefault="00494617" w:rsidP="00494617">
            <w:pPr>
              <w:spacing w:before="0" w:after="0" w:line="276" w:lineRule="auto"/>
              <w:jc w:val="left"/>
              <w:rPr>
                <w:rFonts w:ascii="Calibri" w:eastAsia="Times New Roman" w:hAnsi="Calibri" w:cs="Times New Roman"/>
                <w:b/>
                <w:sz w:val="22"/>
                <w:lang w:val="hr-HR"/>
              </w:rPr>
            </w:pPr>
            <w:r w:rsidRPr="00494617">
              <w:rPr>
                <w:rFonts w:ascii="Calibri" w:eastAsia="Times New Roman" w:hAnsi="Calibri" w:cs="Times New Roman"/>
                <w:b/>
                <w:sz w:val="22"/>
                <w:lang w:val="hr-HR"/>
              </w:rPr>
              <w:t>VEZUV DOO</w:t>
            </w:r>
          </w:p>
        </w:tc>
        <w:tc>
          <w:tcPr>
            <w:tcW w:w="1276"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12</w:t>
            </w:r>
          </w:p>
        </w:tc>
        <w:tc>
          <w:tcPr>
            <w:tcW w:w="141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248</w:t>
            </w:r>
          </w:p>
        </w:tc>
        <w:tc>
          <w:tcPr>
            <w:tcW w:w="1134"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11</w:t>
            </w:r>
          </w:p>
        </w:tc>
        <w:tc>
          <w:tcPr>
            <w:tcW w:w="149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70</w:t>
            </w:r>
          </w:p>
        </w:tc>
      </w:tr>
      <w:tr w:rsidR="00494617" w:rsidRPr="00494617" w:rsidTr="00494617">
        <w:trPr>
          <w:trHeight w:val="295"/>
          <w:jc w:val="center"/>
        </w:trPr>
        <w:tc>
          <w:tcPr>
            <w:tcW w:w="915" w:type="dxa"/>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26</w:t>
            </w:r>
          </w:p>
        </w:tc>
        <w:tc>
          <w:tcPr>
            <w:tcW w:w="4536" w:type="dxa"/>
          </w:tcPr>
          <w:p w:rsidR="00494617" w:rsidRPr="00494617" w:rsidRDefault="00494617" w:rsidP="00494617">
            <w:pPr>
              <w:spacing w:before="0" w:after="0" w:line="276" w:lineRule="auto"/>
              <w:jc w:val="left"/>
              <w:rPr>
                <w:rFonts w:ascii="Calibri" w:eastAsia="Times New Roman" w:hAnsi="Calibri" w:cs="Times New Roman"/>
                <w:b/>
                <w:sz w:val="22"/>
                <w:lang w:val="hr-HR"/>
              </w:rPr>
            </w:pPr>
            <w:r w:rsidRPr="00494617">
              <w:rPr>
                <w:rFonts w:ascii="Calibri" w:eastAsia="Times New Roman" w:hAnsi="Calibri" w:cs="Times New Roman"/>
                <w:b/>
                <w:sz w:val="22"/>
                <w:lang w:val="hr-HR"/>
              </w:rPr>
              <w:t>ZEN A MATIC DOO</w:t>
            </w:r>
          </w:p>
        </w:tc>
        <w:tc>
          <w:tcPr>
            <w:tcW w:w="1276"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1</w:t>
            </w:r>
          </w:p>
        </w:tc>
        <w:tc>
          <w:tcPr>
            <w:tcW w:w="141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12</w:t>
            </w:r>
          </w:p>
        </w:tc>
        <w:tc>
          <w:tcPr>
            <w:tcW w:w="1134"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1</w:t>
            </w:r>
          </w:p>
        </w:tc>
        <w:tc>
          <w:tcPr>
            <w:tcW w:w="1497" w:type="dxa"/>
            <w:vAlign w:val="center"/>
          </w:tcPr>
          <w:p w:rsidR="00494617" w:rsidRPr="00494617" w:rsidRDefault="00494617" w:rsidP="00494617">
            <w:pPr>
              <w:spacing w:before="0" w:after="0" w:line="276" w:lineRule="auto"/>
              <w:jc w:val="right"/>
              <w:rPr>
                <w:rFonts w:ascii="Calibri" w:eastAsia="Times New Roman" w:hAnsi="Calibri" w:cs="Times New Roman"/>
                <w:b/>
                <w:sz w:val="22"/>
                <w:lang w:val="hr-HR"/>
              </w:rPr>
            </w:pPr>
            <w:r w:rsidRPr="00494617">
              <w:rPr>
                <w:rFonts w:ascii="Calibri" w:eastAsia="Times New Roman" w:hAnsi="Calibri" w:cs="Times New Roman"/>
                <w:b/>
                <w:sz w:val="22"/>
                <w:lang w:val="hr-HR"/>
              </w:rPr>
              <w:t>4</w:t>
            </w:r>
          </w:p>
        </w:tc>
      </w:tr>
      <w:tr w:rsidR="00494617" w:rsidRPr="00494617" w:rsidTr="00494617">
        <w:trPr>
          <w:trHeight w:val="337"/>
          <w:jc w:val="center"/>
        </w:trPr>
        <w:tc>
          <w:tcPr>
            <w:tcW w:w="915" w:type="dxa"/>
            <w:tcBorders>
              <w:bottom w:val="single" w:sz="4" w:space="0" w:color="auto"/>
            </w:tcBorders>
            <w:shd w:val="clear" w:color="auto" w:fill="BFBFBF"/>
          </w:tcPr>
          <w:p w:rsidR="00494617" w:rsidRPr="00494617" w:rsidRDefault="00494617" w:rsidP="00494617">
            <w:pPr>
              <w:spacing w:before="0" w:after="0" w:line="276" w:lineRule="auto"/>
              <w:jc w:val="left"/>
              <w:rPr>
                <w:rFonts w:ascii="Calibri" w:eastAsia="Times New Roman" w:hAnsi="Calibri" w:cs="Times New Roman"/>
                <w:szCs w:val="24"/>
                <w:lang w:val="hr-HR"/>
              </w:rPr>
            </w:pPr>
          </w:p>
        </w:tc>
        <w:tc>
          <w:tcPr>
            <w:tcW w:w="4536" w:type="dxa"/>
            <w:tcBorders>
              <w:bottom w:val="single" w:sz="4" w:space="0" w:color="auto"/>
            </w:tcBorders>
            <w:shd w:val="clear" w:color="auto" w:fill="BFBFBF"/>
            <w:vAlign w:val="center"/>
          </w:tcPr>
          <w:p w:rsidR="00494617" w:rsidRPr="00494617" w:rsidRDefault="00494617" w:rsidP="00494617">
            <w:pPr>
              <w:spacing w:before="0" w:after="0" w:line="276" w:lineRule="auto"/>
              <w:jc w:val="right"/>
              <w:rPr>
                <w:rFonts w:ascii="Calibri" w:eastAsia="Times New Roman" w:hAnsi="Calibri" w:cs="Times New Roman"/>
                <w:b/>
                <w:bCs/>
                <w:color w:val="000000"/>
                <w:sz w:val="22"/>
                <w:lang w:val="hr-HR"/>
              </w:rPr>
            </w:pPr>
            <w:r w:rsidRPr="00494617">
              <w:rPr>
                <w:rFonts w:ascii="Calibri" w:eastAsia="Times New Roman" w:hAnsi="Calibri" w:cs="Times New Roman"/>
                <w:b/>
                <w:bCs/>
                <w:color w:val="000000"/>
                <w:sz w:val="22"/>
                <w:lang w:val="hr-HR"/>
              </w:rPr>
              <w:t>UKUPNO:</w:t>
            </w:r>
          </w:p>
        </w:tc>
        <w:tc>
          <w:tcPr>
            <w:tcW w:w="1276" w:type="dxa"/>
            <w:tcBorders>
              <w:bottom w:val="single" w:sz="4" w:space="0" w:color="auto"/>
            </w:tcBorders>
            <w:shd w:val="clear" w:color="auto" w:fill="BFBFBF"/>
            <w:vAlign w:val="center"/>
          </w:tcPr>
          <w:p w:rsidR="00494617" w:rsidRPr="00494617" w:rsidRDefault="00494617" w:rsidP="00494617">
            <w:pPr>
              <w:spacing w:before="0" w:after="0" w:line="276" w:lineRule="auto"/>
              <w:jc w:val="right"/>
              <w:rPr>
                <w:rFonts w:ascii="Calibri" w:eastAsia="Times New Roman" w:hAnsi="Calibri" w:cs="Times New Roman"/>
                <w:b/>
                <w:color w:val="000000"/>
                <w:sz w:val="22"/>
                <w:lang w:val="hr-HR"/>
              </w:rPr>
            </w:pPr>
            <w:r w:rsidRPr="00494617">
              <w:rPr>
                <w:rFonts w:ascii="Calibri" w:eastAsia="Times New Roman" w:hAnsi="Calibri" w:cs="Times New Roman"/>
                <w:b/>
                <w:color w:val="000000"/>
                <w:sz w:val="22"/>
                <w:lang w:val="hr-HR"/>
              </w:rPr>
              <w:t>128</w:t>
            </w:r>
          </w:p>
        </w:tc>
        <w:tc>
          <w:tcPr>
            <w:tcW w:w="1417" w:type="dxa"/>
            <w:tcBorders>
              <w:bottom w:val="single" w:sz="4" w:space="0" w:color="auto"/>
            </w:tcBorders>
            <w:shd w:val="clear" w:color="auto" w:fill="BFBFBF"/>
            <w:vAlign w:val="center"/>
          </w:tcPr>
          <w:p w:rsidR="00494617" w:rsidRPr="00494617" w:rsidRDefault="00494617" w:rsidP="00494617">
            <w:pPr>
              <w:spacing w:before="0" w:after="0" w:line="276" w:lineRule="auto"/>
              <w:jc w:val="right"/>
              <w:rPr>
                <w:rFonts w:ascii="Calibri" w:eastAsia="Times New Roman" w:hAnsi="Calibri" w:cs="Times New Roman"/>
                <w:b/>
                <w:color w:val="000000"/>
                <w:sz w:val="22"/>
                <w:lang w:val="hr-HR"/>
              </w:rPr>
            </w:pPr>
            <w:r w:rsidRPr="00494617">
              <w:rPr>
                <w:rFonts w:ascii="Calibri" w:eastAsia="Times New Roman" w:hAnsi="Calibri" w:cs="Times New Roman"/>
                <w:b/>
                <w:color w:val="000000"/>
                <w:sz w:val="22"/>
                <w:lang w:val="hr-HR"/>
              </w:rPr>
              <w:t>1794</w:t>
            </w:r>
          </w:p>
        </w:tc>
        <w:tc>
          <w:tcPr>
            <w:tcW w:w="1134" w:type="dxa"/>
            <w:tcBorders>
              <w:bottom w:val="single" w:sz="4" w:space="0" w:color="auto"/>
            </w:tcBorders>
            <w:shd w:val="clear" w:color="auto" w:fill="BFBFBF"/>
            <w:vAlign w:val="center"/>
          </w:tcPr>
          <w:p w:rsidR="00494617" w:rsidRPr="00494617" w:rsidRDefault="00494617" w:rsidP="00494617">
            <w:pPr>
              <w:spacing w:before="0" w:after="0" w:line="276" w:lineRule="auto"/>
              <w:jc w:val="right"/>
              <w:rPr>
                <w:rFonts w:ascii="Calibri" w:eastAsia="Times New Roman" w:hAnsi="Calibri" w:cs="Times New Roman"/>
                <w:b/>
                <w:color w:val="000000"/>
                <w:sz w:val="22"/>
                <w:lang w:val="hr-HR"/>
              </w:rPr>
            </w:pPr>
            <w:r w:rsidRPr="00494617">
              <w:rPr>
                <w:rFonts w:ascii="Calibri" w:eastAsia="Times New Roman" w:hAnsi="Calibri" w:cs="Times New Roman"/>
                <w:b/>
                <w:color w:val="000000"/>
                <w:sz w:val="22"/>
                <w:lang w:val="hr-HR"/>
              </w:rPr>
              <w:t>93</w:t>
            </w:r>
          </w:p>
        </w:tc>
        <w:tc>
          <w:tcPr>
            <w:tcW w:w="1497" w:type="dxa"/>
            <w:tcBorders>
              <w:bottom w:val="single" w:sz="4" w:space="0" w:color="auto"/>
            </w:tcBorders>
            <w:shd w:val="clear" w:color="auto" w:fill="BFBFBF"/>
            <w:vAlign w:val="center"/>
          </w:tcPr>
          <w:p w:rsidR="00494617" w:rsidRPr="00494617" w:rsidRDefault="00494617" w:rsidP="00494617">
            <w:pPr>
              <w:spacing w:before="0" w:after="0" w:line="276" w:lineRule="auto"/>
              <w:jc w:val="right"/>
              <w:rPr>
                <w:rFonts w:ascii="Calibri" w:eastAsia="Times New Roman" w:hAnsi="Calibri" w:cs="Times New Roman"/>
                <w:b/>
                <w:color w:val="000000"/>
                <w:sz w:val="22"/>
                <w:lang w:val="hr-HR"/>
              </w:rPr>
            </w:pPr>
            <w:r w:rsidRPr="00494617">
              <w:rPr>
                <w:rFonts w:ascii="Calibri" w:eastAsia="Times New Roman" w:hAnsi="Calibri" w:cs="Times New Roman"/>
                <w:b/>
                <w:color w:val="000000"/>
                <w:sz w:val="22"/>
                <w:lang w:val="hr-HR"/>
              </w:rPr>
              <w:t>515</w:t>
            </w:r>
          </w:p>
        </w:tc>
      </w:tr>
    </w:tbl>
    <w:p w:rsidR="00494617" w:rsidRPr="00494617" w:rsidRDefault="00494617" w:rsidP="00494617">
      <w:pPr>
        <w:tabs>
          <w:tab w:val="left" w:pos="3284"/>
        </w:tabs>
        <w:spacing w:before="0" w:after="0" w:line="276" w:lineRule="auto"/>
        <w:jc w:val="center"/>
        <w:rPr>
          <w:rFonts w:ascii="Calibri" w:eastAsia="Times New Roman" w:hAnsi="Calibri" w:cs="Times New Roman"/>
          <w:b/>
          <w:szCs w:val="24"/>
          <w:u w:val="single"/>
          <w:lang w:val="en-US"/>
        </w:rPr>
      </w:pPr>
      <w:r w:rsidRPr="00494617">
        <w:rPr>
          <w:rFonts w:ascii="Calibri" w:eastAsia="Times New Roman" w:hAnsi="Calibri" w:cs="Times New Roman"/>
          <w:b/>
          <w:szCs w:val="24"/>
          <w:u w:val="single"/>
          <w:lang w:val="en-US"/>
        </w:rPr>
        <w:t>Tabela br.10</w:t>
      </w:r>
    </w:p>
    <w:p w:rsidR="00494617" w:rsidRPr="00494617" w:rsidRDefault="00494617" w:rsidP="00494617">
      <w:pPr>
        <w:spacing w:before="0" w:after="200" w:line="276" w:lineRule="auto"/>
        <w:jc w:val="left"/>
        <w:rPr>
          <w:rFonts w:ascii="Calibri" w:eastAsia="Times New Roman" w:hAnsi="Calibri" w:cs="Times New Roman"/>
          <w:szCs w:val="24"/>
          <w:lang w:val="en-GB" w:eastAsia="en-GB"/>
        </w:rPr>
      </w:pPr>
    </w:p>
    <w:p w:rsidR="00494617" w:rsidRPr="00494617" w:rsidRDefault="00494617" w:rsidP="00494617">
      <w:pPr>
        <w:spacing w:before="0" w:after="200" w:line="276" w:lineRule="auto"/>
        <w:jc w:val="left"/>
        <w:rPr>
          <w:rFonts w:ascii="Calibri" w:eastAsia="Times New Roman" w:hAnsi="Calibri" w:cs="Times New Roman"/>
          <w:sz w:val="22"/>
          <w:lang w:val="en-GB" w:eastAsia="en-GB"/>
        </w:rPr>
      </w:pPr>
    </w:p>
    <w:p w:rsidR="00494617" w:rsidRPr="00494617" w:rsidRDefault="00494617" w:rsidP="00494617">
      <w:pPr>
        <w:keepNext/>
        <w:keepLines/>
        <w:spacing w:before="200" w:after="0" w:line="276" w:lineRule="auto"/>
        <w:jc w:val="left"/>
        <w:outlineLvl w:val="1"/>
        <w:rPr>
          <w:rFonts w:ascii="Calibri" w:eastAsia="Times New Roman" w:hAnsi="Calibri" w:cs="Times New Roman"/>
          <w:b/>
          <w:bCs/>
          <w:color w:val="4F81BD"/>
          <w:szCs w:val="24"/>
          <w:lang w:val="x-none" w:eastAsia="en-GB"/>
        </w:rPr>
      </w:pPr>
      <w:bookmarkStart w:id="111" w:name="_Toc32920667"/>
      <w:bookmarkStart w:id="112" w:name="_Toc67655066"/>
      <w:r w:rsidRPr="00494617">
        <w:rPr>
          <w:rFonts w:ascii="Calibri" w:eastAsia="Times New Roman" w:hAnsi="Calibri" w:cs="Times New Roman"/>
          <w:b/>
          <w:bCs/>
          <w:color w:val="4F81BD"/>
          <w:szCs w:val="24"/>
          <w:lang w:val="x-none" w:eastAsia="en-GB"/>
        </w:rPr>
        <w:lastRenderedPageBreak/>
        <w:t>3.3  KAZINA</w:t>
      </w:r>
      <w:bookmarkEnd w:id="111"/>
      <w:bookmarkEnd w:id="112"/>
    </w:p>
    <w:p w:rsidR="00494617" w:rsidRPr="00494617" w:rsidRDefault="00494617" w:rsidP="00494617">
      <w:pPr>
        <w:spacing w:before="0" w:after="200" w:line="276" w:lineRule="auto"/>
        <w:ind w:left="-540" w:right="-558" w:firstLine="540"/>
        <w:rPr>
          <w:rFonts w:ascii="Calibri" w:eastAsia="Times New Roman" w:hAnsi="Calibri" w:cs="Times New Roman"/>
          <w:szCs w:val="24"/>
          <w:lang w:val="hr-HR"/>
        </w:rPr>
      </w:pPr>
      <w:r w:rsidRPr="00494617">
        <w:rPr>
          <w:rFonts w:ascii="Calibri" w:eastAsia="Times New Roman" w:hAnsi="Calibri" w:cs="Times New Roman"/>
          <w:szCs w:val="24"/>
          <w:lang w:val="hr-HR"/>
        </w:rPr>
        <w:t xml:space="preserve">Na dan 31.12.2020. godine, posebne igre na sreću u kazinima priređivala su </w:t>
      </w:r>
      <w:r w:rsidRPr="00494617">
        <w:rPr>
          <w:rFonts w:ascii="Calibri" w:eastAsia="Times New Roman" w:hAnsi="Calibri" w:cs="Times New Roman"/>
          <w:b/>
          <w:szCs w:val="24"/>
          <w:lang w:val="hr-HR"/>
        </w:rPr>
        <w:t>3</w:t>
      </w:r>
      <w:r w:rsidRPr="00494617">
        <w:rPr>
          <w:rFonts w:ascii="Calibri" w:eastAsia="Times New Roman" w:hAnsi="Calibri" w:cs="Times New Roman"/>
          <w:szCs w:val="24"/>
          <w:lang w:val="hr-HR"/>
        </w:rPr>
        <w:t xml:space="preserve"> privredna društva, u </w:t>
      </w:r>
      <w:r w:rsidRPr="00494617">
        <w:rPr>
          <w:rFonts w:ascii="Calibri" w:eastAsia="Times New Roman" w:hAnsi="Calibri" w:cs="Times New Roman"/>
          <w:b/>
          <w:szCs w:val="24"/>
          <w:lang w:val="hr-HR"/>
        </w:rPr>
        <w:t>5</w:t>
      </w:r>
      <w:r w:rsidRPr="00494617">
        <w:rPr>
          <w:rFonts w:ascii="Calibri" w:eastAsia="Times New Roman" w:hAnsi="Calibri" w:cs="Times New Roman"/>
          <w:szCs w:val="24"/>
          <w:lang w:val="hr-HR"/>
        </w:rPr>
        <w:t xml:space="preserve"> kazina.</w:t>
      </w:r>
    </w:p>
    <w:tbl>
      <w:tblPr>
        <w:tblW w:w="4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87"/>
        <w:gridCol w:w="2087"/>
      </w:tblGrid>
      <w:tr w:rsidR="00494617" w:rsidRPr="00494617" w:rsidTr="00494617">
        <w:trPr>
          <w:jc w:val="center"/>
        </w:trPr>
        <w:tc>
          <w:tcPr>
            <w:tcW w:w="2387"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Naziv priređivača</w:t>
            </w:r>
          </w:p>
        </w:tc>
        <w:tc>
          <w:tcPr>
            <w:tcW w:w="2087"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Naziv kazina</w:t>
            </w:r>
          </w:p>
        </w:tc>
      </w:tr>
      <w:tr w:rsidR="00494617" w:rsidRPr="00494617" w:rsidTr="00494617">
        <w:trPr>
          <w:jc w:val="center"/>
        </w:trPr>
        <w:tc>
          <w:tcPr>
            <w:tcW w:w="2387" w:type="dxa"/>
            <w:tcBorders>
              <w:top w:val="single" w:sz="4" w:space="0" w:color="auto"/>
              <w:left w:val="single" w:sz="4" w:space="0" w:color="auto"/>
              <w:bottom w:val="single" w:sz="4" w:space="0" w:color="auto"/>
              <w:right w:val="single" w:sz="4" w:space="0" w:color="auto"/>
            </w:tcBorders>
            <w:vAlign w:val="center"/>
            <w:hideMark/>
          </w:tcPr>
          <w:p w:rsidR="00494617" w:rsidRPr="00494617" w:rsidRDefault="00494617" w:rsidP="00494617">
            <w:pPr>
              <w:spacing w:before="0" w:after="0" w:line="276" w:lineRule="auto"/>
              <w:jc w:val="center"/>
              <w:rPr>
                <w:rFonts w:ascii="Calibri" w:eastAsia="Times New Roman" w:hAnsi="Calibri" w:cs="Times New Roman"/>
                <w:szCs w:val="24"/>
                <w:lang w:val="hr-HR"/>
              </w:rPr>
            </w:pPr>
            <w:r w:rsidRPr="00494617">
              <w:rPr>
                <w:rFonts w:ascii="Calibri" w:eastAsia="Times New Roman" w:hAnsi="Calibri" w:cs="Times New Roman"/>
                <w:b/>
                <w:szCs w:val="24"/>
                <w:lang w:val="hr-HR"/>
              </w:rPr>
              <w:t>DŽEK POT DOO</w:t>
            </w:r>
          </w:p>
        </w:tc>
        <w:tc>
          <w:tcPr>
            <w:tcW w:w="2087" w:type="dxa"/>
            <w:tcBorders>
              <w:top w:val="single" w:sz="4" w:space="0" w:color="auto"/>
              <w:left w:val="single" w:sz="4" w:space="0" w:color="auto"/>
              <w:bottom w:val="single" w:sz="4" w:space="0" w:color="auto"/>
              <w:right w:val="single" w:sz="4" w:space="0" w:color="auto"/>
            </w:tcBorders>
            <w:vAlign w:val="center"/>
            <w:hideMark/>
          </w:tcPr>
          <w:p w:rsidR="00494617" w:rsidRPr="00494617" w:rsidRDefault="00494617" w:rsidP="00494617">
            <w:pPr>
              <w:spacing w:before="0" w:after="0" w:line="276" w:lineRule="auto"/>
              <w:jc w:val="center"/>
              <w:rPr>
                <w:rFonts w:ascii="Calibri" w:eastAsia="Times New Roman" w:hAnsi="Calibri" w:cs="Times New Roman"/>
                <w:szCs w:val="24"/>
                <w:lang w:val="hr-HR"/>
              </w:rPr>
            </w:pPr>
            <w:r w:rsidRPr="00494617">
              <w:rPr>
                <w:rFonts w:ascii="Calibri" w:eastAsia="Times New Roman" w:hAnsi="Calibri" w:cs="Times New Roman"/>
                <w:szCs w:val="24"/>
                <w:lang w:val="hr-HR"/>
              </w:rPr>
              <w:t xml:space="preserve"> CASINO ROYAL SPLENDID</w:t>
            </w:r>
          </w:p>
        </w:tc>
      </w:tr>
      <w:tr w:rsidR="00494617" w:rsidRPr="00494617" w:rsidTr="00494617">
        <w:trPr>
          <w:jc w:val="center"/>
        </w:trPr>
        <w:tc>
          <w:tcPr>
            <w:tcW w:w="2387" w:type="dxa"/>
            <w:tcBorders>
              <w:top w:val="single" w:sz="4" w:space="0" w:color="auto"/>
              <w:left w:val="single" w:sz="4" w:space="0" w:color="auto"/>
              <w:bottom w:val="single" w:sz="4" w:space="0" w:color="auto"/>
              <w:right w:val="single" w:sz="4" w:space="0" w:color="auto"/>
            </w:tcBorders>
            <w:vAlign w:val="center"/>
            <w:hideMark/>
          </w:tcPr>
          <w:p w:rsidR="00494617" w:rsidRPr="00494617" w:rsidRDefault="00494617" w:rsidP="00494617">
            <w:pPr>
              <w:spacing w:before="0" w:after="0" w:line="276" w:lineRule="auto"/>
              <w:jc w:val="center"/>
              <w:rPr>
                <w:rFonts w:ascii="Calibri" w:eastAsia="Times New Roman" w:hAnsi="Calibri" w:cs="Times New Roman"/>
                <w:szCs w:val="24"/>
                <w:lang w:val="hr-HR"/>
              </w:rPr>
            </w:pPr>
            <w:r w:rsidRPr="00494617">
              <w:rPr>
                <w:rFonts w:ascii="Calibri" w:eastAsia="Times New Roman" w:hAnsi="Calibri" w:cs="Times New Roman"/>
                <w:b/>
                <w:szCs w:val="24"/>
                <w:lang w:val="hr-HR"/>
              </w:rPr>
              <w:t>DŽEK POT DOO</w:t>
            </w:r>
          </w:p>
        </w:tc>
        <w:tc>
          <w:tcPr>
            <w:tcW w:w="2087" w:type="dxa"/>
            <w:tcBorders>
              <w:top w:val="single" w:sz="4" w:space="0" w:color="auto"/>
              <w:left w:val="single" w:sz="4" w:space="0" w:color="auto"/>
              <w:bottom w:val="single" w:sz="4" w:space="0" w:color="auto"/>
              <w:right w:val="single" w:sz="4" w:space="0" w:color="auto"/>
            </w:tcBorders>
            <w:vAlign w:val="center"/>
            <w:hideMark/>
          </w:tcPr>
          <w:p w:rsidR="00494617" w:rsidRPr="00494617" w:rsidRDefault="00494617" w:rsidP="00494617">
            <w:pPr>
              <w:spacing w:before="0" w:after="0" w:line="276" w:lineRule="auto"/>
              <w:jc w:val="center"/>
              <w:rPr>
                <w:rFonts w:ascii="Calibri" w:eastAsia="Times New Roman" w:hAnsi="Calibri" w:cs="Times New Roman"/>
                <w:szCs w:val="24"/>
                <w:lang w:val="hr-HR"/>
              </w:rPr>
            </w:pPr>
            <w:r w:rsidRPr="00494617">
              <w:rPr>
                <w:rFonts w:ascii="Calibri" w:eastAsia="Times New Roman" w:hAnsi="Calibri" w:cs="Times New Roman"/>
                <w:szCs w:val="24"/>
                <w:lang w:val="hr-HR"/>
              </w:rPr>
              <w:t>QUEEN OF MONTENEGRO</w:t>
            </w:r>
          </w:p>
        </w:tc>
      </w:tr>
      <w:tr w:rsidR="00494617" w:rsidRPr="00494617" w:rsidTr="00494617">
        <w:trPr>
          <w:jc w:val="center"/>
        </w:trPr>
        <w:tc>
          <w:tcPr>
            <w:tcW w:w="2387" w:type="dxa"/>
            <w:tcBorders>
              <w:top w:val="single" w:sz="4" w:space="0" w:color="auto"/>
              <w:left w:val="single" w:sz="4" w:space="0" w:color="auto"/>
              <w:bottom w:val="single" w:sz="4" w:space="0" w:color="auto"/>
              <w:right w:val="single" w:sz="4" w:space="0" w:color="auto"/>
            </w:tcBorders>
            <w:vAlign w:val="center"/>
            <w:hideMark/>
          </w:tcPr>
          <w:p w:rsidR="00494617" w:rsidRPr="00494617" w:rsidRDefault="00494617" w:rsidP="00494617">
            <w:pPr>
              <w:spacing w:before="0" w:after="0" w:line="276" w:lineRule="auto"/>
              <w:jc w:val="center"/>
              <w:rPr>
                <w:rFonts w:ascii="Calibri" w:eastAsia="Times New Roman" w:hAnsi="Calibri" w:cs="Times New Roman"/>
                <w:szCs w:val="24"/>
                <w:lang w:val="hr-HR"/>
              </w:rPr>
            </w:pPr>
            <w:r w:rsidRPr="00494617">
              <w:rPr>
                <w:rFonts w:ascii="Calibri" w:eastAsia="Times New Roman" w:hAnsi="Calibri" w:cs="Times New Roman"/>
                <w:b/>
                <w:szCs w:val="24"/>
                <w:lang w:val="hr-HR"/>
              </w:rPr>
              <w:t>DŽEK POT DOO</w:t>
            </w:r>
          </w:p>
        </w:tc>
        <w:tc>
          <w:tcPr>
            <w:tcW w:w="2087" w:type="dxa"/>
            <w:tcBorders>
              <w:top w:val="single" w:sz="4" w:space="0" w:color="auto"/>
              <w:left w:val="single" w:sz="4" w:space="0" w:color="auto"/>
              <w:bottom w:val="single" w:sz="4" w:space="0" w:color="auto"/>
              <w:right w:val="single" w:sz="4" w:space="0" w:color="auto"/>
            </w:tcBorders>
            <w:vAlign w:val="center"/>
            <w:hideMark/>
          </w:tcPr>
          <w:p w:rsidR="00494617" w:rsidRPr="00494617" w:rsidRDefault="00494617" w:rsidP="00494617">
            <w:pPr>
              <w:spacing w:before="0" w:after="0" w:line="276" w:lineRule="auto"/>
              <w:jc w:val="center"/>
              <w:rPr>
                <w:rFonts w:ascii="Calibri" w:eastAsia="Times New Roman" w:hAnsi="Calibri" w:cs="Times New Roman"/>
                <w:szCs w:val="24"/>
                <w:lang w:val="hr-HR"/>
              </w:rPr>
            </w:pPr>
            <w:r w:rsidRPr="00494617">
              <w:rPr>
                <w:rFonts w:ascii="Calibri" w:eastAsia="Times New Roman" w:hAnsi="Calibri" w:cs="Times New Roman"/>
                <w:szCs w:val="24"/>
                <w:lang w:val="hr-HR"/>
              </w:rPr>
              <w:t>CASINO MONTENEGRO</w:t>
            </w:r>
          </w:p>
        </w:tc>
      </w:tr>
      <w:tr w:rsidR="00494617" w:rsidRPr="00494617" w:rsidTr="00494617">
        <w:trPr>
          <w:jc w:val="center"/>
        </w:trPr>
        <w:tc>
          <w:tcPr>
            <w:tcW w:w="2387" w:type="dxa"/>
            <w:tcBorders>
              <w:top w:val="single" w:sz="4" w:space="0" w:color="auto"/>
              <w:left w:val="single" w:sz="4" w:space="0" w:color="auto"/>
              <w:bottom w:val="single" w:sz="4" w:space="0" w:color="auto"/>
              <w:right w:val="single" w:sz="4" w:space="0" w:color="auto"/>
            </w:tcBorders>
            <w:vAlign w:val="center"/>
            <w:hideMark/>
          </w:tcPr>
          <w:p w:rsidR="00494617" w:rsidRPr="00494617" w:rsidRDefault="00494617" w:rsidP="00494617">
            <w:pPr>
              <w:spacing w:before="0" w:after="0" w:line="276" w:lineRule="auto"/>
              <w:jc w:val="center"/>
              <w:rPr>
                <w:rFonts w:ascii="Calibri" w:eastAsia="Times New Roman" w:hAnsi="Calibri" w:cs="Times New Roman"/>
                <w:szCs w:val="24"/>
                <w:lang w:val="hr-HR"/>
              </w:rPr>
            </w:pPr>
            <w:r w:rsidRPr="00494617">
              <w:rPr>
                <w:rFonts w:ascii="Calibri" w:eastAsia="Times New Roman" w:hAnsi="Calibri" w:cs="Times New Roman"/>
                <w:b/>
                <w:szCs w:val="24"/>
                <w:lang w:val="hr-HR"/>
              </w:rPr>
              <w:t>MAESTRAL Hotels And Casinos DOO</w:t>
            </w:r>
          </w:p>
        </w:tc>
        <w:tc>
          <w:tcPr>
            <w:tcW w:w="2087" w:type="dxa"/>
            <w:tcBorders>
              <w:top w:val="single" w:sz="4" w:space="0" w:color="auto"/>
              <w:left w:val="single" w:sz="4" w:space="0" w:color="auto"/>
              <w:bottom w:val="single" w:sz="4" w:space="0" w:color="auto"/>
              <w:right w:val="single" w:sz="4" w:space="0" w:color="auto"/>
            </w:tcBorders>
            <w:vAlign w:val="center"/>
            <w:hideMark/>
          </w:tcPr>
          <w:p w:rsidR="00494617" w:rsidRPr="00494617" w:rsidRDefault="00494617" w:rsidP="00494617">
            <w:pPr>
              <w:spacing w:before="0" w:after="0" w:line="276" w:lineRule="auto"/>
              <w:jc w:val="center"/>
              <w:rPr>
                <w:rFonts w:ascii="Calibri" w:eastAsia="Times New Roman" w:hAnsi="Calibri" w:cs="Times New Roman"/>
                <w:szCs w:val="24"/>
                <w:lang w:val="hr-HR"/>
              </w:rPr>
            </w:pPr>
            <w:r w:rsidRPr="00494617">
              <w:rPr>
                <w:rFonts w:ascii="Calibri" w:eastAsia="Times New Roman" w:hAnsi="Calibri" w:cs="Times New Roman"/>
                <w:szCs w:val="24"/>
                <w:lang w:val="hr-HR"/>
              </w:rPr>
              <w:t>MAESTRAL</w:t>
            </w:r>
          </w:p>
        </w:tc>
      </w:tr>
      <w:tr w:rsidR="00494617" w:rsidRPr="00494617" w:rsidTr="00494617">
        <w:trPr>
          <w:jc w:val="center"/>
        </w:trPr>
        <w:tc>
          <w:tcPr>
            <w:tcW w:w="2387" w:type="dxa"/>
            <w:tcBorders>
              <w:top w:val="single" w:sz="4" w:space="0" w:color="auto"/>
              <w:left w:val="single" w:sz="4" w:space="0" w:color="auto"/>
              <w:bottom w:val="single" w:sz="4" w:space="0" w:color="auto"/>
              <w:right w:val="single" w:sz="4" w:space="0" w:color="auto"/>
            </w:tcBorders>
            <w:vAlign w:val="center"/>
            <w:hideMark/>
          </w:tcPr>
          <w:p w:rsidR="00494617" w:rsidRPr="00494617" w:rsidRDefault="00494617" w:rsidP="00494617">
            <w:pPr>
              <w:spacing w:before="0" w:after="0" w:line="276" w:lineRule="auto"/>
              <w:jc w:val="center"/>
              <w:rPr>
                <w:rFonts w:ascii="Calibri" w:eastAsia="Times New Roman" w:hAnsi="Calibri" w:cs="Times New Roman"/>
                <w:b/>
                <w:szCs w:val="24"/>
                <w:lang w:val="hr-HR"/>
              </w:rPr>
            </w:pPr>
            <w:r w:rsidRPr="00494617">
              <w:rPr>
                <w:rFonts w:ascii="Calibri" w:eastAsia="Times New Roman" w:hAnsi="Calibri" w:cs="Times New Roman"/>
                <w:b/>
                <w:szCs w:val="24"/>
                <w:lang w:val="hr-HR"/>
              </w:rPr>
              <w:t>CASINO AVALA DOO</w:t>
            </w:r>
          </w:p>
        </w:tc>
        <w:tc>
          <w:tcPr>
            <w:tcW w:w="2087" w:type="dxa"/>
            <w:tcBorders>
              <w:top w:val="single" w:sz="4" w:space="0" w:color="auto"/>
              <w:left w:val="single" w:sz="4" w:space="0" w:color="auto"/>
              <w:bottom w:val="single" w:sz="4" w:space="0" w:color="auto"/>
              <w:right w:val="single" w:sz="4" w:space="0" w:color="auto"/>
            </w:tcBorders>
            <w:vAlign w:val="center"/>
            <w:hideMark/>
          </w:tcPr>
          <w:p w:rsidR="00494617" w:rsidRPr="00494617" w:rsidRDefault="00494617" w:rsidP="00494617">
            <w:pPr>
              <w:spacing w:before="0" w:after="0" w:line="276" w:lineRule="auto"/>
              <w:jc w:val="center"/>
              <w:rPr>
                <w:rFonts w:ascii="Calibri" w:eastAsia="Times New Roman" w:hAnsi="Calibri" w:cs="Times New Roman"/>
                <w:szCs w:val="24"/>
                <w:lang w:val="hr-HR"/>
              </w:rPr>
            </w:pPr>
            <w:r w:rsidRPr="00494617">
              <w:rPr>
                <w:rFonts w:ascii="Calibri" w:eastAsia="Times New Roman" w:hAnsi="Calibri" w:cs="Times New Roman"/>
                <w:szCs w:val="24"/>
                <w:lang w:val="hr-HR"/>
              </w:rPr>
              <w:t>CASINO AVALA</w:t>
            </w:r>
          </w:p>
        </w:tc>
      </w:tr>
    </w:tbl>
    <w:p w:rsidR="00494617" w:rsidRPr="00494617" w:rsidRDefault="00494617" w:rsidP="00494617">
      <w:pPr>
        <w:tabs>
          <w:tab w:val="left" w:pos="3284"/>
        </w:tabs>
        <w:spacing w:before="0" w:after="0" w:line="276" w:lineRule="auto"/>
        <w:jc w:val="center"/>
        <w:rPr>
          <w:rFonts w:ascii="Calibri" w:eastAsia="Times New Roman" w:hAnsi="Calibri" w:cs="Times New Roman"/>
          <w:b/>
          <w:szCs w:val="24"/>
          <w:u w:val="single"/>
          <w:lang w:val="en-US"/>
        </w:rPr>
      </w:pPr>
      <w:r w:rsidRPr="00494617">
        <w:rPr>
          <w:rFonts w:ascii="Calibri" w:eastAsia="Times New Roman" w:hAnsi="Calibri" w:cs="Times New Roman"/>
          <w:b/>
          <w:szCs w:val="24"/>
          <w:u w:val="single"/>
          <w:lang w:val="en-US"/>
        </w:rPr>
        <w:t>Tabela br.11</w:t>
      </w:r>
    </w:p>
    <w:p w:rsidR="00494617" w:rsidRPr="00494617" w:rsidRDefault="00494617" w:rsidP="00494617">
      <w:pPr>
        <w:spacing w:before="0" w:after="200" w:line="276" w:lineRule="auto"/>
        <w:jc w:val="left"/>
        <w:rPr>
          <w:rFonts w:ascii="Calibri" w:eastAsia="Times New Roman" w:hAnsi="Calibri" w:cs="Times New Roman"/>
          <w:color w:val="FF0000"/>
          <w:szCs w:val="24"/>
          <w:lang w:val="en-US" w:eastAsia="en-GB"/>
        </w:rPr>
      </w:pPr>
    </w:p>
    <w:p w:rsidR="00494617" w:rsidRPr="00405F24" w:rsidRDefault="00494617" w:rsidP="00405F24">
      <w:pPr>
        <w:keepNext/>
        <w:keepLines/>
        <w:spacing w:before="200" w:after="0" w:line="276" w:lineRule="auto"/>
        <w:jc w:val="left"/>
        <w:outlineLvl w:val="1"/>
        <w:rPr>
          <w:rFonts w:ascii="Calibri" w:eastAsia="Times New Roman" w:hAnsi="Calibri" w:cs="Times New Roman"/>
          <w:b/>
          <w:bCs/>
          <w:color w:val="4F81BD"/>
          <w:szCs w:val="24"/>
          <w:lang w:val="x-none" w:eastAsia="x-none"/>
        </w:rPr>
      </w:pPr>
      <w:bookmarkStart w:id="113" w:name="_Toc32920668"/>
      <w:bookmarkStart w:id="114" w:name="_Toc67655067"/>
      <w:r w:rsidRPr="00494617">
        <w:rPr>
          <w:rFonts w:ascii="Calibri" w:eastAsia="Times New Roman" w:hAnsi="Calibri" w:cs="Times New Roman"/>
          <w:b/>
          <w:bCs/>
          <w:color w:val="4F81BD"/>
          <w:szCs w:val="24"/>
          <w:lang w:val="x-none" w:eastAsia="x-none"/>
        </w:rPr>
        <w:t>3.4  LUTRIJSKE IGRE NA SREĆU</w:t>
      </w:r>
      <w:bookmarkEnd w:id="113"/>
      <w:bookmarkEnd w:id="114"/>
    </w:p>
    <w:p w:rsidR="00494617" w:rsidRPr="00405F24" w:rsidRDefault="00494617" w:rsidP="00405F24">
      <w:pPr>
        <w:spacing w:before="0" w:after="0" w:line="276" w:lineRule="auto"/>
        <w:ind w:right="-558" w:firstLine="709"/>
        <w:rPr>
          <w:rFonts w:ascii="Calibri" w:eastAsia="Times New Roman" w:hAnsi="Calibri" w:cs="Times New Roman"/>
          <w:szCs w:val="24"/>
          <w:lang w:val="hr-HR"/>
        </w:rPr>
      </w:pPr>
      <w:r w:rsidRPr="00494617">
        <w:rPr>
          <w:rFonts w:ascii="Calibri" w:eastAsia="Times New Roman" w:hAnsi="Calibri" w:cs="Times New Roman"/>
          <w:szCs w:val="24"/>
          <w:lang w:val="hr-HR"/>
        </w:rPr>
        <w:t>U Crnoj Gori na dan 31.12.2020. godine, 3  privredna društava priređivala su lutrijske igre na sreću – tombolu za</w:t>
      </w:r>
      <w:r w:rsidR="00405F24">
        <w:rPr>
          <w:rFonts w:ascii="Calibri" w:eastAsia="Times New Roman" w:hAnsi="Calibri" w:cs="Times New Roman"/>
          <w:szCs w:val="24"/>
          <w:lang w:val="hr-HR"/>
        </w:rPr>
        <w:t>tvorenog tipa.</w:t>
      </w:r>
    </w:p>
    <w:tbl>
      <w:tblPr>
        <w:tblW w:w="10248" w:type="dxa"/>
        <w:jc w:val="center"/>
        <w:tblLook w:val="04A0" w:firstRow="1" w:lastRow="0" w:firstColumn="1" w:lastColumn="0" w:noHBand="0" w:noVBand="1"/>
      </w:tblPr>
      <w:tblGrid>
        <w:gridCol w:w="779"/>
        <w:gridCol w:w="2970"/>
        <w:gridCol w:w="4660"/>
        <w:gridCol w:w="1839"/>
      </w:tblGrid>
      <w:tr w:rsidR="00494617" w:rsidRPr="00494617" w:rsidTr="00494617">
        <w:trPr>
          <w:trHeight w:val="465"/>
          <w:jc w:val="center"/>
        </w:trPr>
        <w:tc>
          <w:tcPr>
            <w:tcW w:w="779"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494617" w:rsidRPr="00494617" w:rsidRDefault="00494617" w:rsidP="00494617">
            <w:pPr>
              <w:spacing w:before="0" w:after="0" w:line="276" w:lineRule="auto"/>
              <w:jc w:val="center"/>
              <w:rPr>
                <w:rFonts w:ascii="Calibri" w:eastAsia="Times New Roman" w:hAnsi="Calibri" w:cs="Times New Roman"/>
                <w:b/>
                <w:color w:val="000000"/>
                <w:sz w:val="22"/>
                <w:lang w:val="hr-HR"/>
              </w:rPr>
            </w:pPr>
            <w:r w:rsidRPr="00494617">
              <w:rPr>
                <w:rFonts w:ascii="Calibri" w:eastAsia="Times New Roman" w:hAnsi="Calibri" w:cs="Times New Roman"/>
                <w:b/>
                <w:color w:val="000000"/>
                <w:sz w:val="22"/>
                <w:lang w:val="hr-HR"/>
              </w:rPr>
              <w:t>Redni broj</w:t>
            </w:r>
          </w:p>
        </w:tc>
        <w:tc>
          <w:tcPr>
            <w:tcW w:w="2970" w:type="dxa"/>
            <w:tcBorders>
              <w:top w:val="single" w:sz="4" w:space="0" w:color="auto"/>
              <w:left w:val="nil"/>
              <w:bottom w:val="single" w:sz="4" w:space="0" w:color="auto"/>
              <w:right w:val="single" w:sz="4" w:space="0" w:color="auto"/>
            </w:tcBorders>
            <w:shd w:val="clear" w:color="auto" w:fill="C6D9F1"/>
            <w:vAlign w:val="center"/>
            <w:hideMark/>
          </w:tcPr>
          <w:p w:rsidR="00494617" w:rsidRPr="00494617" w:rsidRDefault="00494617" w:rsidP="00494617">
            <w:pPr>
              <w:spacing w:before="0" w:after="0" w:line="276" w:lineRule="auto"/>
              <w:jc w:val="center"/>
              <w:rPr>
                <w:rFonts w:ascii="Calibri" w:eastAsia="Times New Roman" w:hAnsi="Calibri" w:cs="Times New Roman"/>
                <w:b/>
                <w:bCs/>
                <w:color w:val="000000"/>
                <w:sz w:val="22"/>
                <w:lang w:val="hr-HR"/>
              </w:rPr>
            </w:pPr>
            <w:r w:rsidRPr="00494617">
              <w:rPr>
                <w:rFonts w:ascii="Calibri" w:eastAsia="Times New Roman" w:hAnsi="Calibri" w:cs="Times New Roman"/>
                <w:b/>
                <w:bCs/>
                <w:color w:val="000000"/>
                <w:sz w:val="22"/>
                <w:lang w:val="hr-HR"/>
              </w:rPr>
              <w:t>Naziv priredjivača</w:t>
            </w:r>
          </w:p>
        </w:tc>
        <w:tc>
          <w:tcPr>
            <w:tcW w:w="4660" w:type="dxa"/>
            <w:tcBorders>
              <w:top w:val="single" w:sz="4" w:space="0" w:color="auto"/>
              <w:left w:val="nil"/>
              <w:right w:val="single" w:sz="4" w:space="0" w:color="auto"/>
            </w:tcBorders>
            <w:shd w:val="clear" w:color="auto" w:fill="C6D9F1"/>
            <w:vAlign w:val="center"/>
            <w:hideMark/>
          </w:tcPr>
          <w:p w:rsidR="00494617" w:rsidRPr="00494617" w:rsidRDefault="00494617" w:rsidP="00494617">
            <w:pPr>
              <w:spacing w:before="0" w:after="0" w:line="276" w:lineRule="auto"/>
              <w:jc w:val="center"/>
              <w:rPr>
                <w:rFonts w:ascii="Calibri" w:eastAsia="Times New Roman" w:hAnsi="Calibri" w:cs="Times New Roman"/>
                <w:b/>
                <w:bCs/>
                <w:color w:val="000000"/>
                <w:sz w:val="22"/>
                <w:lang w:val="hr-HR"/>
              </w:rPr>
            </w:pPr>
            <w:r w:rsidRPr="00494617">
              <w:rPr>
                <w:rFonts w:ascii="Calibri" w:eastAsia="Times New Roman" w:hAnsi="Calibri" w:cs="Times New Roman"/>
                <w:b/>
                <w:bCs/>
                <w:color w:val="000000"/>
                <w:sz w:val="22"/>
                <w:lang w:val="hr-HR"/>
              </w:rPr>
              <w:t>Adresa</w:t>
            </w:r>
          </w:p>
        </w:tc>
        <w:tc>
          <w:tcPr>
            <w:tcW w:w="1839" w:type="dxa"/>
            <w:tcBorders>
              <w:top w:val="single" w:sz="4" w:space="0" w:color="auto"/>
              <w:left w:val="nil"/>
              <w:bottom w:val="single" w:sz="4" w:space="0" w:color="auto"/>
              <w:right w:val="single" w:sz="4" w:space="0" w:color="auto"/>
            </w:tcBorders>
            <w:shd w:val="clear" w:color="auto" w:fill="C6D9F1"/>
            <w:vAlign w:val="center"/>
            <w:hideMark/>
          </w:tcPr>
          <w:p w:rsidR="00494617" w:rsidRPr="00494617" w:rsidRDefault="00494617" w:rsidP="00494617">
            <w:pPr>
              <w:spacing w:before="0" w:after="0" w:line="276" w:lineRule="auto"/>
              <w:jc w:val="center"/>
              <w:rPr>
                <w:rFonts w:ascii="Calibri" w:eastAsia="Times New Roman" w:hAnsi="Calibri" w:cs="Times New Roman"/>
                <w:b/>
                <w:bCs/>
                <w:color w:val="000000"/>
                <w:sz w:val="22"/>
                <w:lang w:val="hr-HR"/>
              </w:rPr>
            </w:pPr>
            <w:r w:rsidRPr="00494617">
              <w:rPr>
                <w:rFonts w:ascii="Calibri" w:eastAsia="Times New Roman" w:hAnsi="Calibri" w:cs="Times New Roman"/>
                <w:b/>
                <w:bCs/>
                <w:color w:val="000000"/>
                <w:sz w:val="22"/>
                <w:lang w:val="hr-HR"/>
              </w:rPr>
              <w:t>Naziv objekta</w:t>
            </w:r>
          </w:p>
        </w:tc>
      </w:tr>
      <w:tr w:rsidR="00494617" w:rsidRPr="00494617" w:rsidTr="00494617">
        <w:trPr>
          <w:trHeight w:val="300"/>
          <w:jc w:val="center"/>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rsidR="00494617" w:rsidRPr="00494617" w:rsidRDefault="00494617" w:rsidP="00494617">
            <w:pPr>
              <w:spacing w:before="0" w:after="0" w:line="276" w:lineRule="auto"/>
              <w:jc w:val="center"/>
              <w:rPr>
                <w:rFonts w:ascii="Calibri" w:eastAsia="Times New Roman" w:hAnsi="Calibri" w:cs="Times New Roman"/>
                <w:b/>
                <w:color w:val="000000"/>
                <w:sz w:val="22"/>
                <w:lang w:val="hr-HR"/>
              </w:rPr>
            </w:pPr>
            <w:r w:rsidRPr="00494617">
              <w:rPr>
                <w:rFonts w:ascii="Calibri" w:eastAsia="Times New Roman" w:hAnsi="Calibri" w:cs="Times New Roman"/>
                <w:b/>
                <w:color w:val="000000"/>
                <w:sz w:val="22"/>
                <w:lang w:val="hr-HR"/>
              </w:rPr>
              <w:t>1</w:t>
            </w:r>
          </w:p>
        </w:tc>
        <w:tc>
          <w:tcPr>
            <w:tcW w:w="2970" w:type="dxa"/>
            <w:tcBorders>
              <w:top w:val="nil"/>
              <w:left w:val="nil"/>
              <w:bottom w:val="single" w:sz="4" w:space="0" w:color="auto"/>
              <w:right w:val="single" w:sz="4" w:space="0" w:color="auto"/>
            </w:tcBorders>
            <w:shd w:val="clear" w:color="auto" w:fill="auto"/>
            <w:noWrap/>
            <w:vAlign w:val="center"/>
            <w:hideMark/>
          </w:tcPr>
          <w:p w:rsidR="00494617" w:rsidRPr="00494617" w:rsidRDefault="00494617" w:rsidP="00494617">
            <w:pPr>
              <w:spacing w:before="0" w:after="0" w:line="276" w:lineRule="auto"/>
              <w:jc w:val="center"/>
              <w:rPr>
                <w:rFonts w:ascii="Calibri" w:eastAsia="Times New Roman" w:hAnsi="Calibri" w:cs="Times New Roman"/>
                <w:b/>
                <w:color w:val="000000"/>
                <w:sz w:val="22"/>
                <w:lang w:val="hr-HR"/>
              </w:rPr>
            </w:pPr>
            <w:r w:rsidRPr="00494617">
              <w:rPr>
                <w:rFonts w:ascii="Calibri" w:eastAsia="Times New Roman" w:hAnsi="Calibri" w:cs="Times New Roman"/>
                <w:b/>
                <w:color w:val="000000"/>
                <w:sz w:val="22"/>
                <w:lang w:val="hr-HR"/>
              </w:rPr>
              <w:t>NORD DOO</w:t>
            </w:r>
          </w:p>
        </w:tc>
        <w:tc>
          <w:tcPr>
            <w:tcW w:w="4660" w:type="dxa"/>
            <w:tcBorders>
              <w:left w:val="nil"/>
              <w:bottom w:val="single" w:sz="4" w:space="0" w:color="auto"/>
              <w:right w:val="single" w:sz="4" w:space="0" w:color="auto"/>
            </w:tcBorders>
            <w:shd w:val="clear" w:color="auto" w:fill="auto"/>
            <w:noWrap/>
            <w:vAlign w:val="bottom"/>
            <w:hideMark/>
          </w:tcPr>
          <w:p w:rsidR="00494617" w:rsidRPr="00494617" w:rsidRDefault="00494617" w:rsidP="00494617">
            <w:pPr>
              <w:spacing w:before="0" w:after="0" w:line="276" w:lineRule="auto"/>
              <w:jc w:val="center"/>
              <w:rPr>
                <w:rFonts w:ascii="Calibri" w:eastAsia="Times New Roman" w:hAnsi="Calibri" w:cs="Times New Roman"/>
                <w:color w:val="000000"/>
                <w:sz w:val="22"/>
                <w:lang w:val="hr-HR"/>
              </w:rPr>
            </w:pPr>
            <w:r w:rsidRPr="00494617">
              <w:rPr>
                <w:rFonts w:ascii="Calibri" w:eastAsia="Times New Roman" w:hAnsi="Calibri" w:cs="Times New Roman"/>
                <w:color w:val="000000"/>
                <w:sz w:val="22"/>
                <w:lang w:val="hr-HR"/>
              </w:rPr>
              <w:t>UL. TOMAŠA ŽIŽIĆA BB - BIJELO POLJE</w:t>
            </w:r>
          </w:p>
        </w:tc>
        <w:tc>
          <w:tcPr>
            <w:tcW w:w="1839" w:type="dxa"/>
            <w:tcBorders>
              <w:top w:val="nil"/>
              <w:left w:val="nil"/>
              <w:bottom w:val="single" w:sz="4" w:space="0" w:color="auto"/>
              <w:right w:val="single" w:sz="4" w:space="0" w:color="auto"/>
            </w:tcBorders>
            <w:shd w:val="clear" w:color="auto" w:fill="auto"/>
            <w:noWrap/>
            <w:vAlign w:val="center"/>
            <w:hideMark/>
          </w:tcPr>
          <w:p w:rsidR="00494617" w:rsidRPr="00494617" w:rsidRDefault="00494617" w:rsidP="00494617">
            <w:pPr>
              <w:spacing w:before="0" w:after="0" w:line="276" w:lineRule="auto"/>
              <w:jc w:val="center"/>
              <w:rPr>
                <w:rFonts w:ascii="Calibri" w:eastAsia="Times New Roman" w:hAnsi="Calibri" w:cs="Times New Roman"/>
                <w:b/>
                <w:color w:val="000000"/>
                <w:sz w:val="22"/>
                <w:lang w:val="hr-HR"/>
              </w:rPr>
            </w:pPr>
            <w:r w:rsidRPr="00494617">
              <w:rPr>
                <w:rFonts w:ascii="Calibri" w:eastAsia="Times New Roman" w:hAnsi="Calibri" w:cs="Times New Roman"/>
                <w:b/>
                <w:sz w:val="22"/>
                <w:lang w:val="hr-HR"/>
              </w:rPr>
              <w:t>"NORD"</w:t>
            </w:r>
          </w:p>
        </w:tc>
      </w:tr>
      <w:tr w:rsidR="00494617" w:rsidRPr="00494617" w:rsidTr="00494617">
        <w:trPr>
          <w:trHeight w:val="300"/>
          <w:jc w:val="center"/>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rsidR="00494617" w:rsidRPr="00494617" w:rsidRDefault="00494617" w:rsidP="00494617">
            <w:pPr>
              <w:spacing w:before="0" w:after="0" w:line="276" w:lineRule="auto"/>
              <w:jc w:val="center"/>
              <w:rPr>
                <w:rFonts w:ascii="Calibri" w:eastAsia="Times New Roman" w:hAnsi="Calibri" w:cs="Times New Roman"/>
                <w:b/>
                <w:color w:val="000000"/>
                <w:sz w:val="22"/>
                <w:lang w:val="hr-HR"/>
              </w:rPr>
            </w:pPr>
            <w:r w:rsidRPr="00494617">
              <w:rPr>
                <w:rFonts w:ascii="Calibri" w:eastAsia="Times New Roman" w:hAnsi="Calibri" w:cs="Times New Roman"/>
                <w:b/>
                <w:color w:val="000000"/>
                <w:sz w:val="22"/>
                <w:lang w:val="hr-HR"/>
              </w:rPr>
              <w:t>2</w:t>
            </w:r>
          </w:p>
        </w:tc>
        <w:tc>
          <w:tcPr>
            <w:tcW w:w="2970" w:type="dxa"/>
            <w:tcBorders>
              <w:top w:val="nil"/>
              <w:left w:val="nil"/>
              <w:bottom w:val="single" w:sz="4" w:space="0" w:color="auto"/>
              <w:right w:val="single" w:sz="4" w:space="0" w:color="auto"/>
            </w:tcBorders>
            <w:shd w:val="clear" w:color="auto" w:fill="auto"/>
            <w:noWrap/>
            <w:vAlign w:val="center"/>
            <w:hideMark/>
          </w:tcPr>
          <w:p w:rsidR="00494617" w:rsidRPr="00494617" w:rsidRDefault="00494617" w:rsidP="00494617">
            <w:pPr>
              <w:spacing w:before="0" w:after="0" w:line="276" w:lineRule="auto"/>
              <w:jc w:val="center"/>
              <w:rPr>
                <w:rFonts w:ascii="Calibri" w:eastAsia="Times New Roman" w:hAnsi="Calibri" w:cs="Times New Roman"/>
                <w:b/>
                <w:sz w:val="22"/>
                <w:lang w:val="hr-HR"/>
              </w:rPr>
            </w:pPr>
            <w:r w:rsidRPr="00494617">
              <w:rPr>
                <w:rFonts w:ascii="Calibri" w:eastAsia="Times New Roman" w:hAnsi="Calibri" w:cs="Times New Roman"/>
                <w:b/>
                <w:sz w:val="22"/>
                <w:lang w:val="hr-HR"/>
              </w:rPr>
              <w:t>REGINA SPORT  DOO</w:t>
            </w:r>
          </w:p>
        </w:tc>
        <w:tc>
          <w:tcPr>
            <w:tcW w:w="4660" w:type="dxa"/>
            <w:tcBorders>
              <w:top w:val="nil"/>
              <w:left w:val="nil"/>
              <w:bottom w:val="single" w:sz="4" w:space="0" w:color="auto"/>
              <w:right w:val="single" w:sz="4" w:space="0" w:color="auto"/>
            </w:tcBorders>
            <w:shd w:val="clear" w:color="auto" w:fill="auto"/>
            <w:noWrap/>
            <w:vAlign w:val="center"/>
            <w:hideMark/>
          </w:tcPr>
          <w:p w:rsidR="00494617" w:rsidRPr="00494617" w:rsidRDefault="00494617" w:rsidP="00494617">
            <w:pPr>
              <w:spacing w:before="0" w:after="0" w:line="276" w:lineRule="auto"/>
              <w:jc w:val="center"/>
              <w:rPr>
                <w:rFonts w:ascii="Calibri" w:eastAsia="Times New Roman" w:hAnsi="Calibri" w:cs="Times New Roman"/>
                <w:sz w:val="22"/>
                <w:lang w:val="hr-HR"/>
              </w:rPr>
            </w:pPr>
            <w:r w:rsidRPr="00494617">
              <w:rPr>
                <w:rFonts w:ascii="Calibri" w:eastAsia="Times New Roman" w:hAnsi="Calibri" w:cs="Times New Roman"/>
                <w:sz w:val="22"/>
                <w:lang w:val="hr-HR"/>
              </w:rPr>
              <w:t>UL. NJEGOŠEVA BR. 21 - NIKŠIĆ</w:t>
            </w:r>
          </w:p>
        </w:tc>
        <w:tc>
          <w:tcPr>
            <w:tcW w:w="1839" w:type="dxa"/>
            <w:tcBorders>
              <w:top w:val="nil"/>
              <w:left w:val="nil"/>
              <w:bottom w:val="single" w:sz="4" w:space="0" w:color="auto"/>
              <w:right w:val="single" w:sz="4" w:space="0" w:color="auto"/>
            </w:tcBorders>
            <w:shd w:val="clear" w:color="auto" w:fill="auto"/>
            <w:noWrap/>
            <w:vAlign w:val="center"/>
            <w:hideMark/>
          </w:tcPr>
          <w:p w:rsidR="00494617" w:rsidRPr="00494617" w:rsidRDefault="00494617" w:rsidP="00494617">
            <w:pPr>
              <w:spacing w:before="0" w:after="0" w:line="276" w:lineRule="auto"/>
              <w:jc w:val="center"/>
              <w:rPr>
                <w:rFonts w:ascii="Calibri" w:eastAsia="Times New Roman" w:hAnsi="Calibri" w:cs="Times New Roman"/>
                <w:b/>
                <w:sz w:val="22"/>
                <w:lang w:val="hr-HR"/>
              </w:rPr>
            </w:pPr>
            <w:r w:rsidRPr="00494617">
              <w:rPr>
                <w:rFonts w:ascii="Calibri" w:eastAsia="Times New Roman" w:hAnsi="Calibri" w:cs="Times New Roman"/>
                <w:b/>
                <w:sz w:val="22"/>
                <w:lang w:val="hr-HR"/>
              </w:rPr>
              <w:t>"SKVER"</w:t>
            </w:r>
          </w:p>
        </w:tc>
      </w:tr>
      <w:tr w:rsidR="00494617" w:rsidRPr="00494617" w:rsidTr="00494617">
        <w:trPr>
          <w:trHeight w:val="300"/>
          <w:jc w:val="center"/>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rsidR="00494617" w:rsidRPr="00494617" w:rsidRDefault="00494617" w:rsidP="00494617">
            <w:pPr>
              <w:spacing w:before="0" w:after="0" w:line="276" w:lineRule="auto"/>
              <w:jc w:val="center"/>
              <w:rPr>
                <w:rFonts w:ascii="Calibri" w:eastAsia="Times New Roman" w:hAnsi="Calibri" w:cs="Times New Roman"/>
                <w:b/>
                <w:color w:val="000000"/>
                <w:sz w:val="22"/>
                <w:lang w:val="hr-HR"/>
              </w:rPr>
            </w:pPr>
            <w:r w:rsidRPr="00494617">
              <w:rPr>
                <w:rFonts w:ascii="Calibri" w:eastAsia="Times New Roman" w:hAnsi="Calibri" w:cs="Times New Roman"/>
                <w:b/>
                <w:color w:val="000000"/>
                <w:sz w:val="22"/>
                <w:lang w:val="hr-HR"/>
              </w:rPr>
              <w:t>3</w:t>
            </w:r>
          </w:p>
        </w:tc>
        <w:tc>
          <w:tcPr>
            <w:tcW w:w="2970" w:type="dxa"/>
            <w:tcBorders>
              <w:top w:val="nil"/>
              <w:left w:val="nil"/>
              <w:bottom w:val="single" w:sz="4" w:space="0" w:color="auto"/>
              <w:right w:val="single" w:sz="4" w:space="0" w:color="auto"/>
            </w:tcBorders>
            <w:shd w:val="clear" w:color="auto" w:fill="auto"/>
            <w:noWrap/>
            <w:vAlign w:val="center"/>
            <w:hideMark/>
          </w:tcPr>
          <w:p w:rsidR="00494617" w:rsidRPr="00494617" w:rsidRDefault="00494617" w:rsidP="00494617">
            <w:pPr>
              <w:spacing w:before="0" w:after="0" w:line="276" w:lineRule="auto"/>
              <w:jc w:val="center"/>
              <w:rPr>
                <w:rFonts w:ascii="Calibri" w:eastAsia="Times New Roman" w:hAnsi="Calibri" w:cs="Times New Roman"/>
                <w:b/>
                <w:sz w:val="22"/>
                <w:lang w:val="hr-HR"/>
              </w:rPr>
            </w:pPr>
            <w:r w:rsidRPr="00494617">
              <w:rPr>
                <w:rFonts w:ascii="Calibri" w:eastAsia="Times New Roman" w:hAnsi="Calibri" w:cs="Times New Roman"/>
                <w:b/>
                <w:sz w:val="22"/>
                <w:lang w:val="hr-HR"/>
              </w:rPr>
              <w:t>VEZUV  DOO</w:t>
            </w:r>
          </w:p>
        </w:tc>
        <w:tc>
          <w:tcPr>
            <w:tcW w:w="4660" w:type="dxa"/>
            <w:tcBorders>
              <w:top w:val="nil"/>
              <w:left w:val="nil"/>
              <w:bottom w:val="single" w:sz="4" w:space="0" w:color="auto"/>
              <w:right w:val="single" w:sz="4" w:space="0" w:color="auto"/>
            </w:tcBorders>
            <w:shd w:val="clear" w:color="auto" w:fill="auto"/>
            <w:noWrap/>
            <w:vAlign w:val="center"/>
            <w:hideMark/>
          </w:tcPr>
          <w:p w:rsidR="00494617" w:rsidRPr="00494617" w:rsidRDefault="00494617" w:rsidP="00494617">
            <w:pPr>
              <w:spacing w:before="0" w:after="0" w:line="276" w:lineRule="auto"/>
              <w:jc w:val="center"/>
              <w:rPr>
                <w:rFonts w:ascii="Calibri" w:eastAsia="Times New Roman" w:hAnsi="Calibri" w:cs="Times New Roman"/>
                <w:sz w:val="22"/>
                <w:lang w:val="hr-HR"/>
              </w:rPr>
            </w:pPr>
            <w:r w:rsidRPr="00494617">
              <w:rPr>
                <w:rFonts w:ascii="Calibri" w:eastAsia="Times New Roman" w:hAnsi="Calibri" w:cs="Times New Roman"/>
                <w:sz w:val="22"/>
                <w:lang w:val="hr-HR"/>
              </w:rPr>
              <w:t>TRG REPUBLIKE BB - PODGORICA</w:t>
            </w:r>
          </w:p>
        </w:tc>
        <w:tc>
          <w:tcPr>
            <w:tcW w:w="1839" w:type="dxa"/>
            <w:tcBorders>
              <w:top w:val="nil"/>
              <w:left w:val="nil"/>
              <w:bottom w:val="single" w:sz="4" w:space="0" w:color="auto"/>
              <w:right w:val="single" w:sz="4" w:space="0" w:color="auto"/>
            </w:tcBorders>
            <w:shd w:val="clear" w:color="auto" w:fill="auto"/>
            <w:noWrap/>
            <w:vAlign w:val="center"/>
            <w:hideMark/>
          </w:tcPr>
          <w:p w:rsidR="00494617" w:rsidRPr="00494617" w:rsidRDefault="00494617" w:rsidP="00494617">
            <w:pPr>
              <w:spacing w:before="0" w:after="0" w:line="276" w:lineRule="auto"/>
              <w:jc w:val="center"/>
              <w:rPr>
                <w:rFonts w:ascii="Calibri" w:eastAsia="Times New Roman" w:hAnsi="Calibri" w:cs="Times New Roman"/>
                <w:b/>
                <w:sz w:val="22"/>
                <w:lang w:val="hr-HR"/>
              </w:rPr>
            </w:pPr>
            <w:r w:rsidRPr="00494617">
              <w:rPr>
                <w:rFonts w:ascii="Calibri" w:eastAsia="Times New Roman" w:hAnsi="Calibri" w:cs="Times New Roman"/>
                <w:b/>
                <w:sz w:val="22"/>
                <w:lang w:val="hr-HR"/>
              </w:rPr>
              <w:t>"PRINC"</w:t>
            </w:r>
          </w:p>
        </w:tc>
      </w:tr>
    </w:tbl>
    <w:p w:rsidR="00494617" w:rsidRPr="00494617" w:rsidRDefault="00494617" w:rsidP="00494617">
      <w:pPr>
        <w:tabs>
          <w:tab w:val="left" w:pos="3284"/>
        </w:tabs>
        <w:spacing w:before="0" w:after="0" w:line="276" w:lineRule="auto"/>
        <w:jc w:val="center"/>
        <w:rPr>
          <w:rFonts w:ascii="Calibri" w:eastAsia="Times New Roman" w:hAnsi="Calibri" w:cs="Times New Roman"/>
          <w:b/>
          <w:sz w:val="22"/>
          <w:u w:val="single"/>
          <w:lang w:val="en-US"/>
        </w:rPr>
      </w:pPr>
      <w:r w:rsidRPr="00494617">
        <w:rPr>
          <w:rFonts w:ascii="Calibri" w:eastAsia="Times New Roman" w:hAnsi="Calibri" w:cs="Times New Roman"/>
          <w:b/>
          <w:sz w:val="22"/>
          <w:u w:val="single"/>
          <w:lang w:val="en-US"/>
        </w:rPr>
        <w:t>Tabela br.12</w:t>
      </w:r>
    </w:p>
    <w:p w:rsidR="00494617" w:rsidRPr="00494617" w:rsidRDefault="00494617" w:rsidP="00494617">
      <w:pPr>
        <w:tabs>
          <w:tab w:val="left" w:pos="3284"/>
        </w:tabs>
        <w:spacing w:before="0" w:after="0" w:line="276" w:lineRule="auto"/>
        <w:jc w:val="center"/>
        <w:rPr>
          <w:rFonts w:ascii="Times New Roman" w:eastAsia="Times New Roman" w:hAnsi="Times New Roman" w:cs="Times New Roman"/>
          <w:b/>
          <w:sz w:val="20"/>
          <w:u w:val="single"/>
          <w:lang w:val="en-US"/>
        </w:rPr>
      </w:pPr>
    </w:p>
    <w:p w:rsidR="00494617" w:rsidRPr="00494617" w:rsidRDefault="00494617" w:rsidP="00494617">
      <w:pPr>
        <w:keepNext/>
        <w:keepLines/>
        <w:spacing w:before="0" w:after="0" w:line="240" w:lineRule="auto"/>
        <w:outlineLvl w:val="1"/>
        <w:rPr>
          <w:rFonts w:ascii="Calibri" w:eastAsia="Times New Roman" w:hAnsi="Calibri" w:cs="Times New Roman"/>
          <w:b/>
          <w:bCs/>
          <w:color w:val="4F81BD"/>
          <w:szCs w:val="24"/>
          <w:lang w:val="x-none" w:eastAsia="en-GB"/>
        </w:rPr>
      </w:pPr>
      <w:bookmarkStart w:id="115" w:name="_Toc32920669"/>
      <w:bookmarkStart w:id="116" w:name="_Toc67655068"/>
      <w:r w:rsidRPr="00494617">
        <w:rPr>
          <w:rFonts w:ascii="Calibri" w:eastAsia="Times New Roman" w:hAnsi="Calibri" w:cs="Times New Roman"/>
          <w:b/>
          <w:bCs/>
          <w:color w:val="4F81BD"/>
          <w:szCs w:val="24"/>
          <w:lang w:val="x-none" w:eastAsia="en-GB"/>
        </w:rPr>
        <w:t>3.5  IGRE NA SREĆU PREKO INTERNETA</w:t>
      </w:r>
      <w:bookmarkEnd w:id="115"/>
      <w:bookmarkEnd w:id="116"/>
    </w:p>
    <w:p w:rsidR="00494617" w:rsidRPr="00494617" w:rsidRDefault="00494617" w:rsidP="00405F24">
      <w:pPr>
        <w:spacing w:before="0" w:after="0" w:line="240" w:lineRule="auto"/>
        <w:ind w:right="-558" w:firstLine="709"/>
        <w:rPr>
          <w:rFonts w:ascii="Calibri" w:eastAsia="Times New Roman" w:hAnsi="Calibri" w:cs="Times New Roman"/>
          <w:szCs w:val="24"/>
          <w:lang w:val="hr-HR"/>
        </w:rPr>
      </w:pPr>
      <w:bookmarkStart w:id="117" w:name="_Toc32920670"/>
      <w:r w:rsidRPr="00494617">
        <w:rPr>
          <w:rFonts w:ascii="Calibri" w:eastAsia="Times New Roman" w:hAnsi="Calibri" w:cs="Times New Roman"/>
          <w:szCs w:val="24"/>
          <w:lang w:val="hr-HR"/>
        </w:rPr>
        <w:t>U Crnoj Gori je na dan 31.12.2020. godine, 10 (deset) privrednih društava priređivalo igre</w:t>
      </w:r>
    </w:p>
    <w:p w:rsidR="00494617" w:rsidRPr="00494617" w:rsidRDefault="00494617" w:rsidP="00494617">
      <w:pPr>
        <w:spacing w:before="0" w:after="0" w:line="240" w:lineRule="auto"/>
        <w:ind w:right="-558"/>
        <w:rPr>
          <w:rFonts w:ascii="Calibri" w:eastAsia="Times New Roman" w:hAnsi="Calibri" w:cs="Times New Roman"/>
          <w:szCs w:val="24"/>
          <w:lang w:val="hr-HR"/>
        </w:rPr>
      </w:pPr>
      <w:r w:rsidRPr="00494617">
        <w:rPr>
          <w:rFonts w:ascii="Calibri" w:eastAsia="Times New Roman" w:hAnsi="Calibri" w:cs="Times New Roman"/>
          <w:szCs w:val="24"/>
          <w:lang w:val="hr-HR"/>
        </w:rPr>
        <w:t xml:space="preserve">preko interneta: </w:t>
      </w:r>
    </w:p>
    <w:p w:rsidR="00494617" w:rsidRPr="00494617" w:rsidRDefault="00494617" w:rsidP="00632490">
      <w:pPr>
        <w:numPr>
          <w:ilvl w:val="0"/>
          <w:numId w:val="82"/>
        </w:numPr>
        <w:spacing w:before="0" w:after="0" w:line="240" w:lineRule="auto"/>
        <w:ind w:right="-558"/>
        <w:jc w:val="left"/>
        <w:rPr>
          <w:rFonts w:ascii="Calibri" w:eastAsia="Times New Roman" w:hAnsi="Calibri" w:cs="Times New Roman"/>
          <w:szCs w:val="24"/>
          <w:lang w:val="hr-HR"/>
        </w:rPr>
      </w:pPr>
      <w:r w:rsidRPr="00494617">
        <w:rPr>
          <w:rFonts w:ascii="Calibri" w:eastAsia="Times New Roman" w:hAnsi="Calibri" w:cs="Times New Roman"/>
          <w:szCs w:val="24"/>
          <w:lang w:val="hr-HR"/>
        </w:rPr>
        <w:t xml:space="preserve">Vezuv DOO, </w:t>
      </w:r>
    </w:p>
    <w:p w:rsidR="00494617" w:rsidRPr="00494617" w:rsidRDefault="00494617" w:rsidP="00632490">
      <w:pPr>
        <w:numPr>
          <w:ilvl w:val="0"/>
          <w:numId w:val="82"/>
        </w:numPr>
        <w:spacing w:before="0" w:after="0" w:line="240" w:lineRule="auto"/>
        <w:ind w:right="-558"/>
        <w:jc w:val="left"/>
        <w:rPr>
          <w:rFonts w:ascii="Calibri" w:eastAsia="Times New Roman" w:hAnsi="Calibri" w:cs="Times New Roman"/>
          <w:szCs w:val="24"/>
          <w:lang w:val="hr-HR"/>
        </w:rPr>
      </w:pPr>
      <w:r w:rsidRPr="00494617">
        <w:rPr>
          <w:rFonts w:ascii="Calibri" w:eastAsia="Times New Roman" w:hAnsi="Calibri" w:cs="Times New Roman"/>
          <w:szCs w:val="24"/>
          <w:lang w:val="hr-HR"/>
        </w:rPr>
        <w:t xml:space="preserve">Lob commpany DOO, </w:t>
      </w:r>
    </w:p>
    <w:p w:rsidR="00494617" w:rsidRPr="00494617" w:rsidRDefault="00494617" w:rsidP="00632490">
      <w:pPr>
        <w:numPr>
          <w:ilvl w:val="0"/>
          <w:numId w:val="82"/>
        </w:numPr>
        <w:spacing w:before="0" w:after="0" w:line="240" w:lineRule="auto"/>
        <w:ind w:right="-558"/>
        <w:jc w:val="left"/>
        <w:rPr>
          <w:rFonts w:ascii="Calibri" w:eastAsia="Times New Roman" w:hAnsi="Calibri" w:cs="Times New Roman"/>
          <w:szCs w:val="24"/>
          <w:lang w:val="hr-HR"/>
        </w:rPr>
      </w:pPr>
      <w:r w:rsidRPr="00494617">
        <w:rPr>
          <w:rFonts w:ascii="Calibri" w:eastAsia="Times New Roman" w:hAnsi="Calibri" w:cs="Times New Roman"/>
          <w:szCs w:val="24"/>
          <w:lang w:val="hr-HR"/>
        </w:rPr>
        <w:t xml:space="preserve">Arua DOO, </w:t>
      </w:r>
    </w:p>
    <w:p w:rsidR="00494617" w:rsidRPr="00494617" w:rsidRDefault="00494617" w:rsidP="00632490">
      <w:pPr>
        <w:numPr>
          <w:ilvl w:val="0"/>
          <w:numId w:val="82"/>
        </w:numPr>
        <w:spacing w:before="0" w:after="0" w:line="240" w:lineRule="auto"/>
        <w:ind w:right="-558"/>
        <w:jc w:val="left"/>
        <w:rPr>
          <w:rFonts w:ascii="Calibri" w:eastAsia="Times New Roman" w:hAnsi="Calibri" w:cs="Times New Roman"/>
          <w:szCs w:val="24"/>
          <w:lang w:val="hr-HR"/>
        </w:rPr>
      </w:pPr>
      <w:r w:rsidRPr="00494617">
        <w:rPr>
          <w:rFonts w:ascii="Calibri" w:eastAsia="Times New Roman" w:hAnsi="Calibri" w:cs="Times New Roman"/>
          <w:szCs w:val="24"/>
          <w:lang w:val="hr-HR"/>
        </w:rPr>
        <w:t xml:space="preserve">Meridianbet DOO, </w:t>
      </w:r>
    </w:p>
    <w:p w:rsidR="00494617" w:rsidRPr="00494617" w:rsidRDefault="00494617" w:rsidP="00632490">
      <w:pPr>
        <w:numPr>
          <w:ilvl w:val="0"/>
          <w:numId w:val="82"/>
        </w:numPr>
        <w:spacing w:before="0" w:after="0" w:line="240" w:lineRule="auto"/>
        <w:ind w:right="-558"/>
        <w:jc w:val="left"/>
        <w:rPr>
          <w:rFonts w:ascii="Calibri" w:eastAsia="Times New Roman" w:hAnsi="Calibri" w:cs="Times New Roman"/>
          <w:szCs w:val="24"/>
          <w:lang w:val="hr-HR"/>
        </w:rPr>
      </w:pPr>
      <w:r w:rsidRPr="00494617">
        <w:rPr>
          <w:rFonts w:ascii="Calibri" w:eastAsia="Times New Roman" w:hAnsi="Calibri" w:cs="Times New Roman"/>
          <w:szCs w:val="24"/>
          <w:lang w:val="hr-HR"/>
        </w:rPr>
        <w:t xml:space="preserve">Sporting Group DOO, </w:t>
      </w:r>
    </w:p>
    <w:p w:rsidR="00494617" w:rsidRPr="00494617" w:rsidRDefault="00494617" w:rsidP="00632490">
      <w:pPr>
        <w:numPr>
          <w:ilvl w:val="0"/>
          <w:numId w:val="82"/>
        </w:numPr>
        <w:spacing w:before="0" w:after="0" w:line="240" w:lineRule="auto"/>
        <w:ind w:right="-558"/>
        <w:jc w:val="left"/>
        <w:rPr>
          <w:rFonts w:ascii="Calibri" w:eastAsia="Times New Roman" w:hAnsi="Calibri" w:cs="Times New Roman"/>
          <w:szCs w:val="24"/>
          <w:lang w:val="hr-HR"/>
        </w:rPr>
      </w:pPr>
      <w:r w:rsidRPr="00494617">
        <w:rPr>
          <w:rFonts w:ascii="Calibri" w:eastAsia="Times New Roman" w:hAnsi="Calibri" w:cs="Times New Roman"/>
          <w:szCs w:val="24"/>
          <w:lang w:val="hr-HR"/>
        </w:rPr>
        <w:t xml:space="preserve">Sport Bet DOO,  </w:t>
      </w:r>
    </w:p>
    <w:p w:rsidR="00494617" w:rsidRPr="00494617" w:rsidRDefault="00494617" w:rsidP="00632490">
      <w:pPr>
        <w:numPr>
          <w:ilvl w:val="0"/>
          <w:numId w:val="82"/>
        </w:numPr>
        <w:spacing w:before="0" w:after="0" w:line="240" w:lineRule="auto"/>
        <w:ind w:right="-558"/>
        <w:jc w:val="left"/>
        <w:rPr>
          <w:rFonts w:ascii="Calibri" w:eastAsia="Times New Roman" w:hAnsi="Calibri" w:cs="Times New Roman"/>
          <w:b/>
          <w:szCs w:val="24"/>
          <w:lang w:val="hr-HR"/>
        </w:rPr>
      </w:pPr>
      <w:r w:rsidRPr="00494617">
        <w:rPr>
          <w:rFonts w:ascii="Calibri" w:eastAsia="Times New Roman" w:hAnsi="Calibri" w:cs="Times New Roman"/>
          <w:szCs w:val="24"/>
          <w:lang w:val="hr-HR"/>
        </w:rPr>
        <w:t>Čibri DOO ,</w:t>
      </w:r>
    </w:p>
    <w:p w:rsidR="00494617" w:rsidRPr="00494617" w:rsidRDefault="00494617" w:rsidP="00632490">
      <w:pPr>
        <w:numPr>
          <w:ilvl w:val="0"/>
          <w:numId w:val="82"/>
        </w:numPr>
        <w:spacing w:before="0" w:after="0" w:line="240" w:lineRule="auto"/>
        <w:ind w:right="-558"/>
        <w:jc w:val="left"/>
        <w:rPr>
          <w:rFonts w:ascii="Calibri" w:eastAsia="Times New Roman" w:hAnsi="Calibri" w:cs="Times New Roman"/>
          <w:szCs w:val="24"/>
          <w:lang w:val="hr-HR"/>
        </w:rPr>
      </w:pPr>
      <w:r w:rsidRPr="00494617">
        <w:rPr>
          <w:rFonts w:ascii="Calibri" w:eastAsia="Times New Roman" w:hAnsi="Calibri" w:cs="Times New Roman"/>
          <w:szCs w:val="24"/>
          <w:lang w:val="hr-HR"/>
        </w:rPr>
        <w:t>ALFA-99 INFOTECH CONSULTANCY DOO,</w:t>
      </w:r>
    </w:p>
    <w:p w:rsidR="00494617" w:rsidRPr="00494617" w:rsidRDefault="00494617" w:rsidP="00632490">
      <w:pPr>
        <w:numPr>
          <w:ilvl w:val="0"/>
          <w:numId w:val="82"/>
        </w:numPr>
        <w:spacing w:before="0" w:after="0" w:line="240" w:lineRule="auto"/>
        <w:ind w:right="-558"/>
        <w:jc w:val="left"/>
        <w:rPr>
          <w:rFonts w:ascii="Calibri" w:eastAsia="Times New Roman" w:hAnsi="Calibri" w:cs="Times New Roman"/>
          <w:szCs w:val="24"/>
          <w:lang w:val="hr-HR"/>
        </w:rPr>
      </w:pPr>
      <w:r w:rsidRPr="00494617">
        <w:rPr>
          <w:rFonts w:ascii="Calibri" w:eastAsia="Times New Roman" w:hAnsi="Calibri" w:cs="Times New Roman"/>
          <w:szCs w:val="24"/>
          <w:lang w:val="hr-HR"/>
        </w:rPr>
        <w:t>FUN FUN DOO,</w:t>
      </w:r>
    </w:p>
    <w:p w:rsidR="00494617" w:rsidRDefault="00494617" w:rsidP="00632490">
      <w:pPr>
        <w:numPr>
          <w:ilvl w:val="0"/>
          <w:numId w:val="82"/>
        </w:numPr>
        <w:spacing w:before="0" w:after="0" w:line="240" w:lineRule="auto"/>
        <w:ind w:right="-558"/>
        <w:jc w:val="left"/>
        <w:rPr>
          <w:rFonts w:ascii="Calibri" w:eastAsia="Times New Roman" w:hAnsi="Calibri" w:cs="Times New Roman"/>
          <w:szCs w:val="24"/>
          <w:lang w:val="hr-HR"/>
        </w:rPr>
      </w:pPr>
      <w:r w:rsidRPr="00494617">
        <w:rPr>
          <w:rFonts w:ascii="Calibri" w:eastAsia="Times New Roman" w:hAnsi="Calibri" w:cs="Times New Roman"/>
          <w:szCs w:val="24"/>
          <w:lang w:val="hr-HR"/>
        </w:rPr>
        <w:t>MULTIMAT DOO</w:t>
      </w:r>
    </w:p>
    <w:p w:rsidR="00405F24" w:rsidRPr="00494617" w:rsidRDefault="00405F24" w:rsidP="00632490">
      <w:pPr>
        <w:numPr>
          <w:ilvl w:val="0"/>
          <w:numId w:val="82"/>
        </w:numPr>
        <w:spacing w:before="0" w:after="0" w:line="240" w:lineRule="auto"/>
        <w:ind w:right="-558"/>
        <w:jc w:val="left"/>
        <w:rPr>
          <w:rFonts w:ascii="Calibri" w:eastAsia="Times New Roman" w:hAnsi="Calibri" w:cs="Times New Roman"/>
          <w:szCs w:val="24"/>
          <w:lang w:val="hr-HR"/>
        </w:rPr>
      </w:pPr>
    </w:p>
    <w:p w:rsidR="00494617" w:rsidRPr="00405F24" w:rsidRDefault="00494617" w:rsidP="00405F24">
      <w:pPr>
        <w:keepNext/>
        <w:keepLines/>
        <w:spacing w:before="0" w:after="0" w:line="240" w:lineRule="auto"/>
        <w:outlineLvl w:val="1"/>
        <w:rPr>
          <w:rFonts w:ascii="Calibri" w:eastAsia="Times New Roman" w:hAnsi="Calibri" w:cs="Times New Roman"/>
          <w:b/>
          <w:bCs/>
          <w:color w:val="4F81BD"/>
          <w:szCs w:val="24"/>
          <w:lang w:val="x-none" w:eastAsia="en-GB"/>
        </w:rPr>
      </w:pPr>
      <w:bookmarkStart w:id="118" w:name="_Toc67655069"/>
      <w:r w:rsidRPr="00494617">
        <w:rPr>
          <w:rFonts w:ascii="Calibri" w:eastAsia="Times New Roman" w:hAnsi="Calibri" w:cs="Times New Roman"/>
          <w:b/>
          <w:bCs/>
          <w:color w:val="4F81BD"/>
          <w:szCs w:val="24"/>
          <w:lang w:val="x-none" w:eastAsia="en-GB"/>
        </w:rPr>
        <w:t>3.6  NAGRADNE IGRE</w:t>
      </w:r>
      <w:bookmarkEnd w:id="117"/>
      <w:bookmarkEnd w:id="118"/>
    </w:p>
    <w:p w:rsidR="00494617" w:rsidRPr="00494617" w:rsidRDefault="00405F24" w:rsidP="00494617">
      <w:pPr>
        <w:tabs>
          <w:tab w:val="left" w:pos="-450"/>
        </w:tabs>
        <w:spacing w:before="0" w:after="0" w:line="240" w:lineRule="auto"/>
        <w:rPr>
          <w:rFonts w:ascii="Calibri" w:eastAsia="Times New Roman" w:hAnsi="Calibri" w:cs="Times New Roman"/>
          <w:b/>
          <w:color w:val="000000"/>
          <w:szCs w:val="24"/>
          <w:lang w:val="hr-HR"/>
        </w:rPr>
      </w:pPr>
      <w:r>
        <w:rPr>
          <w:rFonts w:ascii="Calibri" w:eastAsia="Times New Roman" w:hAnsi="Calibri" w:cs="Times New Roman"/>
          <w:color w:val="000000"/>
          <w:szCs w:val="24"/>
          <w:lang w:val="hr-HR"/>
        </w:rPr>
        <w:tab/>
      </w:r>
      <w:r w:rsidR="00494617" w:rsidRPr="00494617">
        <w:rPr>
          <w:rFonts w:ascii="Calibri" w:eastAsia="Times New Roman" w:hAnsi="Calibri" w:cs="Times New Roman"/>
          <w:color w:val="000000"/>
          <w:szCs w:val="24"/>
          <w:lang w:val="hr-HR"/>
        </w:rPr>
        <w:t xml:space="preserve">Tokom 2020. godine, organizovano je ukupno 47 nagradnih igrara. Od toga su 12 bile sa fondom nagrada u iznosu od preko 10,000.00 </w:t>
      </w:r>
      <w:r w:rsidR="00494617" w:rsidRPr="00494617">
        <w:rPr>
          <w:rFonts w:ascii="Calibri" w:eastAsia="Times New Roman" w:hAnsi="Calibri" w:cs="Times New Roman"/>
          <w:bCs/>
          <w:szCs w:val="24"/>
          <w:lang w:val="hr-HR"/>
        </w:rPr>
        <w:t>€</w:t>
      </w:r>
      <w:r w:rsidR="00494617" w:rsidRPr="00494617">
        <w:rPr>
          <w:rFonts w:ascii="Calibri" w:eastAsia="Times New Roman" w:hAnsi="Calibri" w:cs="Times New Roman"/>
          <w:color w:val="000000"/>
          <w:szCs w:val="24"/>
          <w:lang w:val="hr-HR"/>
        </w:rPr>
        <w:t xml:space="preserve">. Ukupan budžetski prihod realizovan u 2020. godini je iznosio </w:t>
      </w:r>
      <w:r w:rsidR="00494617" w:rsidRPr="00494617">
        <w:rPr>
          <w:rFonts w:ascii="Calibri" w:eastAsia="Times New Roman" w:hAnsi="Calibri" w:cs="Times New Roman"/>
          <w:b/>
          <w:color w:val="000000"/>
          <w:szCs w:val="24"/>
          <w:lang w:val="en-GB" w:eastAsia="en-GB"/>
        </w:rPr>
        <w:t xml:space="preserve">15.159,19 </w:t>
      </w:r>
      <w:r w:rsidR="00494617" w:rsidRPr="00494617">
        <w:rPr>
          <w:rFonts w:ascii="Calibri" w:eastAsia="Times New Roman" w:hAnsi="Calibri" w:cs="Times New Roman"/>
          <w:b/>
          <w:color w:val="000000"/>
          <w:szCs w:val="24"/>
          <w:lang w:val="hr-HR"/>
        </w:rPr>
        <w:t xml:space="preserve">€. </w:t>
      </w:r>
    </w:p>
    <w:p w:rsidR="00494617" w:rsidRPr="00494617" w:rsidRDefault="00405F24" w:rsidP="00494617">
      <w:pPr>
        <w:tabs>
          <w:tab w:val="left" w:pos="-450"/>
        </w:tabs>
        <w:spacing w:before="0" w:after="0" w:line="240" w:lineRule="auto"/>
        <w:rPr>
          <w:rFonts w:ascii="Calibri" w:eastAsia="Times New Roman" w:hAnsi="Calibri" w:cs="Times New Roman"/>
          <w:b/>
          <w:color w:val="000000"/>
          <w:szCs w:val="24"/>
          <w:lang w:val="hr-HR"/>
        </w:rPr>
      </w:pPr>
      <w:r>
        <w:rPr>
          <w:rFonts w:ascii="Calibri" w:eastAsia="Times New Roman" w:hAnsi="Calibri" w:cs="Times New Roman"/>
          <w:szCs w:val="24"/>
          <w:lang w:val="hr-HR"/>
        </w:rPr>
        <w:lastRenderedPageBreak/>
        <w:tab/>
      </w:r>
      <w:r w:rsidR="00494617" w:rsidRPr="00494617">
        <w:rPr>
          <w:rFonts w:ascii="Calibri" w:eastAsia="Times New Roman" w:hAnsi="Calibri" w:cs="Times New Roman"/>
          <w:szCs w:val="24"/>
          <w:lang w:val="hr-HR"/>
        </w:rPr>
        <w:t>Kako je prihod od nagradnih igara za 2019. godinu iznosio</w:t>
      </w:r>
      <w:r w:rsidR="00494617" w:rsidRPr="00494617">
        <w:rPr>
          <w:rFonts w:ascii="Calibri" w:eastAsia="Times New Roman" w:hAnsi="Calibri" w:cs="Times New Roman"/>
          <w:color w:val="000000"/>
          <w:szCs w:val="24"/>
          <w:lang w:val="en-GB" w:eastAsia="en-GB"/>
        </w:rPr>
        <w:t xml:space="preserve"> </w:t>
      </w:r>
      <w:r w:rsidR="00494617" w:rsidRPr="00494617">
        <w:rPr>
          <w:rFonts w:ascii="Calibri" w:eastAsia="Times New Roman" w:hAnsi="Calibri" w:cs="Times New Roman"/>
          <w:b/>
          <w:color w:val="000000"/>
          <w:szCs w:val="24"/>
          <w:lang w:val="en-GB" w:eastAsia="en-GB"/>
        </w:rPr>
        <w:t xml:space="preserve">41.484,94 </w:t>
      </w:r>
      <w:r w:rsidR="00494617" w:rsidRPr="00494617">
        <w:rPr>
          <w:rFonts w:ascii="Calibri" w:eastAsia="Times New Roman" w:hAnsi="Calibri" w:cs="Times New Roman"/>
          <w:b/>
          <w:color w:val="000000"/>
          <w:szCs w:val="24"/>
          <w:lang w:val="hr-HR"/>
        </w:rPr>
        <w:t>€</w:t>
      </w:r>
      <w:r w:rsidR="00494617" w:rsidRPr="00494617">
        <w:rPr>
          <w:rFonts w:ascii="Calibri" w:eastAsia="Times New Roman" w:hAnsi="Calibri" w:cs="Times New Roman"/>
          <w:bCs/>
          <w:szCs w:val="24"/>
          <w:lang w:val="hr-HR"/>
        </w:rPr>
        <w:t xml:space="preserve">, u 2020. godini je isti  umanjen za </w:t>
      </w:r>
      <w:r w:rsidR="00494617" w:rsidRPr="00494617">
        <w:rPr>
          <w:rFonts w:ascii="Calibri" w:eastAsia="Times New Roman" w:hAnsi="Calibri" w:cs="Times New Roman"/>
          <w:b/>
          <w:bCs/>
          <w:szCs w:val="24"/>
          <w:lang w:val="hr-HR"/>
        </w:rPr>
        <w:t>63,46%</w:t>
      </w:r>
      <w:r w:rsidR="00494617" w:rsidRPr="00494617">
        <w:rPr>
          <w:rFonts w:ascii="Calibri" w:eastAsia="Times New Roman" w:hAnsi="Calibri" w:cs="Times New Roman"/>
          <w:bCs/>
          <w:szCs w:val="24"/>
          <w:lang w:val="hr-HR"/>
        </w:rPr>
        <w:t xml:space="preserve"> u odnosu na 2019. godinu.</w:t>
      </w:r>
    </w:p>
    <w:p w:rsidR="00494617" w:rsidRPr="00494617" w:rsidRDefault="00494617" w:rsidP="00494617">
      <w:pPr>
        <w:tabs>
          <w:tab w:val="left" w:pos="-450"/>
        </w:tabs>
        <w:spacing w:before="0" w:after="0" w:line="240" w:lineRule="auto"/>
        <w:rPr>
          <w:rFonts w:ascii="Calibri" w:eastAsia="Times New Roman" w:hAnsi="Calibri" w:cs="Times New Roman"/>
          <w:color w:val="000000"/>
          <w:szCs w:val="24"/>
          <w:lang w:val="hr-HR"/>
        </w:rPr>
      </w:pPr>
    </w:p>
    <w:p w:rsidR="00494617" w:rsidRPr="00494617" w:rsidRDefault="00494617" w:rsidP="00494617">
      <w:pPr>
        <w:keepNext/>
        <w:keepLines/>
        <w:spacing w:before="0" w:after="0" w:line="240" w:lineRule="auto"/>
        <w:outlineLvl w:val="0"/>
        <w:rPr>
          <w:rFonts w:ascii="Calibri" w:eastAsia="Times New Roman" w:hAnsi="Calibri" w:cs="Times New Roman"/>
          <w:b/>
          <w:bCs/>
          <w:color w:val="365F91"/>
          <w:szCs w:val="24"/>
          <w:lang w:val="en-US" w:eastAsia="en-GB"/>
        </w:rPr>
      </w:pPr>
      <w:bookmarkStart w:id="119" w:name="_Toc32920672"/>
      <w:bookmarkStart w:id="120" w:name="_Toc67655070"/>
      <w:r w:rsidRPr="00494617">
        <w:rPr>
          <w:rFonts w:ascii="Calibri" w:eastAsia="Times New Roman" w:hAnsi="Calibri" w:cs="Times New Roman"/>
          <w:b/>
          <w:bCs/>
          <w:color w:val="365F91"/>
          <w:szCs w:val="24"/>
          <w:lang w:val="en-US" w:eastAsia="en-GB"/>
        </w:rPr>
        <w:t>4.  RAD SEKTORA ZA INFORMACIONI SISTEM ZA ON-LINE NADZOR PRIREĐIVAČA</w:t>
      </w:r>
      <w:bookmarkEnd w:id="119"/>
      <w:bookmarkEnd w:id="120"/>
    </w:p>
    <w:p w:rsidR="00494617" w:rsidRPr="00494617" w:rsidRDefault="00494617" w:rsidP="00494617">
      <w:pPr>
        <w:spacing w:before="0" w:after="0" w:line="240" w:lineRule="auto"/>
        <w:rPr>
          <w:rFonts w:ascii="Calibri" w:eastAsia="Times New Roman" w:hAnsi="Calibri" w:cs="Times New Roman"/>
          <w:szCs w:val="24"/>
          <w:lang w:val="en-US" w:eastAsia="en-GB"/>
        </w:rPr>
      </w:pPr>
    </w:p>
    <w:p w:rsidR="00494617" w:rsidRPr="00494617" w:rsidRDefault="00494617" w:rsidP="00405F24">
      <w:pPr>
        <w:spacing w:before="0" w:after="0" w:line="240" w:lineRule="auto"/>
        <w:ind w:firstLine="360"/>
        <w:rPr>
          <w:rFonts w:ascii="Calibri" w:eastAsia="Times New Roman" w:hAnsi="Calibri" w:cs="Times New Roman"/>
          <w:szCs w:val="24"/>
          <w:lang w:val="hr-HR"/>
        </w:rPr>
      </w:pPr>
      <w:r w:rsidRPr="00494617">
        <w:rPr>
          <w:rFonts w:ascii="Calibri" w:eastAsia="Times New Roman" w:hAnsi="Calibri" w:cs="Times New Roman"/>
          <w:szCs w:val="24"/>
          <w:lang w:val="hr-HR"/>
        </w:rPr>
        <w:t>Nakon implementacije Informacionog sistema za on-line nadzor igara na sreću (ISONIS) i početka produkcije povezivanjem IS priređivača tokom 2017.godine, Sektor za informacioni sistem za on-line nadzor priređivača je tokom 2020. godine uspješno izvršavao svoje obaveze:</w:t>
      </w:r>
    </w:p>
    <w:p w:rsidR="00494617" w:rsidRPr="00494617" w:rsidRDefault="00494617" w:rsidP="00632490">
      <w:pPr>
        <w:numPr>
          <w:ilvl w:val="0"/>
          <w:numId w:val="83"/>
        </w:numPr>
        <w:spacing w:before="0" w:after="0" w:line="240" w:lineRule="auto"/>
        <w:contextualSpacing/>
        <w:jc w:val="left"/>
        <w:rPr>
          <w:rFonts w:ascii="Calibri" w:eastAsia="Times New Roman" w:hAnsi="Calibri" w:cs="Times New Roman"/>
          <w:szCs w:val="24"/>
          <w:lang w:val="hr-HR"/>
        </w:rPr>
      </w:pPr>
      <w:r w:rsidRPr="00494617">
        <w:rPr>
          <w:rFonts w:ascii="Calibri" w:eastAsia="Times New Roman" w:hAnsi="Calibri" w:cs="Times New Roman"/>
          <w:szCs w:val="24"/>
          <w:lang w:val="hr-HR"/>
        </w:rPr>
        <w:t xml:space="preserve">Od 01.01.2020. godine, primljeno je 892 zahtjeva od strane priređivača igara na sreću, koji se odnose na: priključenje komunikacionih platformi novih priređivača, priključenje novih lokacija na ISONIS, priključenje uređaja, uklanjanje platformi privrednih društava koja su izgubila status priređivača, kao i deaktiviranje lokacija i uređaja. </w:t>
      </w:r>
    </w:p>
    <w:p w:rsidR="00494617" w:rsidRPr="00494617" w:rsidRDefault="00494617" w:rsidP="00632490">
      <w:pPr>
        <w:numPr>
          <w:ilvl w:val="0"/>
          <w:numId w:val="83"/>
        </w:numPr>
        <w:spacing w:before="0" w:after="0" w:line="240" w:lineRule="auto"/>
        <w:contextualSpacing/>
        <w:jc w:val="left"/>
        <w:rPr>
          <w:rFonts w:ascii="Calibri" w:eastAsia="Times New Roman" w:hAnsi="Calibri" w:cs="Times New Roman"/>
          <w:szCs w:val="24"/>
          <w:lang w:val="hr-HR"/>
        </w:rPr>
      </w:pPr>
      <w:r w:rsidRPr="00494617">
        <w:rPr>
          <w:rFonts w:ascii="Calibri" w:eastAsia="Times New Roman" w:hAnsi="Calibri" w:cs="Times New Roman"/>
          <w:szCs w:val="24"/>
          <w:lang w:val="hr-HR"/>
        </w:rPr>
        <w:t xml:space="preserve">Odgovoreno je na preko 2000 e-mail poruka preko </w:t>
      </w:r>
      <w:hyperlink r:id="rId26" w:history="1">
        <w:r w:rsidRPr="00494617">
          <w:rPr>
            <w:rFonts w:ascii="Calibri" w:eastAsia="Times New Roman" w:hAnsi="Calibri" w:cs="Times New Roman"/>
            <w:color w:val="0000FF"/>
            <w:szCs w:val="24"/>
            <w:u w:val="single"/>
            <w:lang w:val="hr-HR"/>
          </w:rPr>
          <w:t>isonis2015@gmail.com</w:t>
        </w:r>
      </w:hyperlink>
      <w:r w:rsidRPr="00494617">
        <w:rPr>
          <w:rFonts w:ascii="Calibri" w:eastAsia="Times New Roman" w:hAnsi="Calibri" w:cs="Times New Roman"/>
          <w:szCs w:val="24"/>
          <w:lang w:val="hr-HR"/>
        </w:rPr>
        <w:t xml:space="preserve"> adrese za pružanje tehničke podrške.</w:t>
      </w:r>
    </w:p>
    <w:p w:rsidR="00494617" w:rsidRPr="00494617" w:rsidRDefault="00494617" w:rsidP="00632490">
      <w:pPr>
        <w:numPr>
          <w:ilvl w:val="0"/>
          <w:numId w:val="83"/>
        </w:numPr>
        <w:spacing w:before="0" w:after="0" w:line="240" w:lineRule="auto"/>
        <w:contextualSpacing/>
        <w:jc w:val="left"/>
        <w:rPr>
          <w:rFonts w:ascii="Calibri" w:eastAsia="Times New Roman" w:hAnsi="Calibri" w:cs="Times New Roman"/>
          <w:szCs w:val="24"/>
          <w:lang w:val="hr-HR"/>
        </w:rPr>
      </w:pPr>
      <w:r w:rsidRPr="00494617">
        <w:rPr>
          <w:rFonts w:ascii="Calibri" w:eastAsia="Times New Roman" w:hAnsi="Calibri" w:cs="Times New Roman"/>
          <w:szCs w:val="24"/>
          <w:lang w:val="hr-HR"/>
        </w:rPr>
        <w:t>Tehnička pomoć od strane Sektora za informacioni sistem za on-line nadzor priređivača je pružana putem telefona kao i organizovanjem brojnih sastanaka prostorijama Uprave za igre na sreću.</w:t>
      </w:r>
    </w:p>
    <w:p w:rsidR="00494617" w:rsidRPr="00494617" w:rsidRDefault="00494617" w:rsidP="00632490">
      <w:pPr>
        <w:numPr>
          <w:ilvl w:val="0"/>
          <w:numId w:val="83"/>
        </w:numPr>
        <w:spacing w:before="0" w:after="0" w:line="240" w:lineRule="auto"/>
        <w:contextualSpacing/>
        <w:jc w:val="left"/>
        <w:rPr>
          <w:rFonts w:ascii="Calibri" w:eastAsia="Times New Roman" w:hAnsi="Calibri" w:cs="Times New Roman"/>
          <w:szCs w:val="24"/>
          <w:lang w:val="en-GB"/>
        </w:rPr>
      </w:pPr>
      <w:r w:rsidRPr="00494617">
        <w:rPr>
          <w:rFonts w:ascii="Calibri" w:eastAsia="Times New Roman" w:hAnsi="Calibri" w:cs="Times New Roman"/>
          <w:szCs w:val="24"/>
          <w:lang w:val="hr-HR"/>
        </w:rPr>
        <w:t>Redovna izrada backup-a podataka u ISONIS-u</w:t>
      </w:r>
    </w:p>
    <w:p w:rsidR="00494617" w:rsidRPr="00494617" w:rsidRDefault="00494617" w:rsidP="00632490">
      <w:pPr>
        <w:numPr>
          <w:ilvl w:val="0"/>
          <w:numId w:val="83"/>
        </w:numPr>
        <w:spacing w:before="0" w:after="0" w:line="240" w:lineRule="auto"/>
        <w:contextualSpacing/>
        <w:jc w:val="left"/>
        <w:rPr>
          <w:rFonts w:ascii="Calibri" w:eastAsia="Times New Roman" w:hAnsi="Calibri" w:cs="Times New Roman"/>
          <w:szCs w:val="24"/>
          <w:lang w:val="hr-HR"/>
        </w:rPr>
      </w:pPr>
      <w:r w:rsidRPr="00494617">
        <w:rPr>
          <w:rFonts w:ascii="Calibri" w:eastAsia="Times New Roman" w:hAnsi="Calibri" w:cs="Times New Roman"/>
          <w:szCs w:val="24"/>
          <w:lang w:val="hr-HR"/>
        </w:rPr>
        <w:t>Svakodnevna analiza rada ISONIS-a, presjek stanja sistema i analiza prenesenih podataka o transakcijama priređivača.</w:t>
      </w:r>
    </w:p>
    <w:p w:rsidR="00494617" w:rsidRPr="00494617" w:rsidRDefault="00494617" w:rsidP="00632490">
      <w:pPr>
        <w:numPr>
          <w:ilvl w:val="0"/>
          <w:numId w:val="83"/>
        </w:numPr>
        <w:spacing w:before="0" w:after="0" w:line="240" w:lineRule="auto"/>
        <w:contextualSpacing/>
        <w:jc w:val="left"/>
        <w:rPr>
          <w:rFonts w:ascii="Calibri" w:eastAsia="Times New Roman" w:hAnsi="Calibri" w:cs="Times New Roman"/>
          <w:szCs w:val="24"/>
          <w:lang w:val="hr-HR"/>
        </w:rPr>
      </w:pPr>
      <w:r w:rsidRPr="00494617">
        <w:rPr>
          <w:rFonts w:ascii="Calibri" w:eastAsia="Times New Roman" w:hAnsi="Calibri" w:cs="Times New Roman"/>
          <w:szCs w:val="24"/>
          <w:lang w:val="hr-HR"/>
        </w:rPr>
        <w:t>Evidentirano je preko 5000 nepravilnosti i grešaka u prenosu podataka o čemu je redovno obavještavana Uprava za inspekcijske poslove – Odsjek za inspekciju za igre na sreću.</w:t>
      </w:r>
    </w:p>
    <w:p w:rsidR="00494617" w:rsidRPr="00494617" w:rsidRDefault="00494617" w:rsidP="00494617">
      <w:pPr>
        <w:spacing w:before="0" w:after="0" w:line="240" w:lineRule="auto"/>
        <w:rPr>
          <w:rFonts w:ascii="Calibri" w:eastAsia="Times New Roman" w:hAnsi="Calibri" w:cs="Times New Roman"/>
          <w:szCs w:val="24"/>
          <w:lang w:val="hr-HR"/>
        </w:rPr>
      </w:pPr>
    </w:p>
    <w:p w:rsidR="00494617" w:rsidRPr="00494617" w:rsidRDefault="00494617" w:rsidP="00405F24">
      <w:pPr>
        <w:spacing w:before="0" w:after="0" w:line="240" w:lineRule="auto"/>
        <w:ind w:firstLine="360"/>
        <w:rPr>
          <w:rFonts w:ascii="Calibri" w:eastAsia="Times New Roman" w:hAnsi="Calibri" w:cs="Times New Roman"/>
          <w:szCs w:val="24"/>
          <w:lang w:val="hr-HR"/>
        </w:rPr>
      </w:pPr>
      <w:r w:rsidRPr="00494617">
        <w:rPr>
          <w:rFonts w:ascii="Calibri" w:eastAsia="Times New Roman" w:hAnsi="Calibri" w:cs="Times New Roman"/>
          <w:szCs w:val="24"/>
          <w:lang w:val="hr-HR"/>
        </w:rPr>
        <w:t>Sektor za informacioni sistem za on-line nadzor priređivača je od početka funkcionisanja ISONIS-a imao kvalitetnu tehničku i konsultantsku podršku od strane “Smart Tech” DOO, a saradnja je nastavljena i tokom 2020. godine. Takođe, u dijelu održavanja hardverske komponente sistema, podršku je pružala kompanija “Infosistemi” DOO.</w:t>
      </w:r>
    </w:p>
    <w:p w:rsidR="00494617" w:rsidRPr="00494617" w:rsidRDefault="00494617" w:rsidP="00494617">
      <w:pPr>
        <w:spacing w:before="0" w:after="0" w:line="240" w:lineRule="auto"/>
        <w:rPr>
          <w:rFonts w:ascii="Calibri" w:eastAsia="Times New Roman" w:hAnsi="Calibri" w:cs="Times New Roman"/>
          <w:bCs/>
          <w:szCs w:val="24"/>
          <w:lang w:val="en-US"/>
        </w:rPr>
      </w:pPr>
      <w:r w:rsidRPr="00494617">
        <w:rPr>
          <w:rFonts w:ascii="Calibri" w:eastAsia="Times New Roman" w:hAnsi="Calibri" w:cs="Times New Roman"/>
          <w:szCs w:val="24"/>
          <w:lang w:val="hr-HR"/>
        </w:rPr>
        <w:t>Glavni</w:t>
      </w:r>
      <w:r w:rsidRPr="00494617">
        <w:rPr>
          <w:rFonts w:ascii="Calibri" w:eastAsia="Times New Roman" w:hAnsi="Calibri" w:cs="Times New Roman"/>
          <w:bCs/>
          <w:szCs w:val="24"/>
          <w:lang w:val="en-US"/>
        </w:rPr>
        <w:t xml:space="preserve"> server je premješten iz data centra Ministarstva javne Uprave u prostorije Uprave za igre na sreću sa čime je zaokružen informacioni sistem i olakšan rad ISONIS-a.</w:t>
      </w:r>
    </w:p>
    <w:p w:rsidR="00494617" w:rsidRPr="00494617" w:rsidRDefault="00494617" w:rsidP="00494617">
      <w:pPr>
        <w:spacing w:before="0" w:after="0" w:line="240" w:lineRule="auto"/>
        <w:rPr>
          <w:rFonts w:ascii="Calibri" w:eastAsia="Times New Roman" w:hAnsi="Calibri" w:cs="Times New Roman"/>
          <w:szCs w:val="24"/>
          <w:lang w:val="en-GB"/>
        </w:rPr>
      </w:pPr>
      <w:r w:rsidRPr="00494617">
        <w:rPr>
          <w:rFonts w:ascii="Calibri" w:eastAsia="Times New Roman" w:hAnsi="Calibri" w:cs="Times New Roman"/>
          <w:szCs w:val="24"/>
          <w:lang w:val="en-GB"/>
        </w:rPr>
        <w:t>Dobijena je iznajmljena linija sa čime je olakšan mrežni saobraćaj i prijem podataka od priređivača.</w:t>
      </w:r>
    </w:p>
    <w:p w:rsidR="00494617" w:rsidRPr="00494617" w:rsidRDefault="00494617" w:rsidP="00494617">
      <w:pPr>
        <w:spacing w:before="0" w:after="0" w:line="240" w:lineRule="auto"/>
        <w:rPr>
          <w:rFonts w:ascii="Calibri" w:eastAsia="Times New Roman" w:hAnsi="Calibri" w:cs="Times New Roman"/>
          <w:bCs/>
          <w:szCs w:val="24"/>
          <w:lang w:val="en-US"/>
        </w:rPr>
      </w:pPr>
      <w:r w:rsidRPr="00494617">
        <w:rPr>
          <w:rFonts w:ascii="Calibri" w:eastAsia="Times New Roman" w:hAnsi="Calibri" w:cs="Times New Roman"/>
          <w:bCs/>
          <w:szCs w:val="24"/>
          <w:lang w:val="en-US"/>
        </w:rPr>
        <w:t xml:space="preserve">Trenutno, ISONIS prikuplja podatke sa 42 priređivačke komunikacione platforme, sa preko 1100 lokacija i više od 4700 uređaja. U 2020.godini, prikupljeno je preko 100.000.000 transakcija sa trendom porasta u narednom periodu. </w:t>
      </w:r>
    </w:p>
    <w:p w:rsidR="00494617" w:rsidRDefault="00494617" w:rsidP="00494617">
      <w:pPr>
        <w:spacing w:before="0" w:after="0" w:line="240" w:lineRule="auto"/>
        <w:rPr>
          <w:rFonts w:ascii="Calibri" w:eastAsia="Times New Roman" w:hAnsi="Calibri" w:cs="Times New Roman"/>
          <w:szCs w:val="24"/>
          <w:lang w:val="hr-HR"/>
        </w:rPr>
      </w:pPr>
      <w:r w:rsidRPr="00494617">
        <w:rPr>
          <w:rFonts w:ascii="Calibri" w:eastAsia="Times New Roman" w:hAnsi="Calibri" w:cs="Times New Roman"/>
          <w:bCs/>
          <w:szCs w:val="24"/>
          <w:lang w:val="en-US"/>
        </w:rPr>
        <w:t xml:space="preserve">Navedeni podaci ukazuju na potrebu hitnih intervencija u cilju poboljšanja hardversko-komunikacione komponente sistema jer je </w:t>
      </w:r>
      <w:r w:rsidRPr="00494617">
        <w:rPr>
          <w:rFonts w:ascii="Calibri" w:eastAsia="Times New Roman" w:hAnsi="Calibri" w:cs="Times New Roman"/>
          <w:szCs w:val="24"/>
          <w:lang w:val="hr-HR"/>
        </w:rPr>
        <w:t xml:space="preserve">računarska oprema pri kraju svog eskploatacionog perioda. </w:t>
      </w:r>
    </w:p>
    <w:p w:rsidR="00405F24" w:rsidRPr="00494617" w:rsidRDefault="00405F24" w:rsidP="00494617">
      <w:pPr>
        <w:spacing w:before="0" w:after="0" w:line="240" w:lineRule="auto"/>
        <w:rPr>
          <w:rFonts w:ascii="Calibri" w:eastAsia="Times New Roman" w:hAnsi="Calibri" w:cs="Times New Roman"/>
          <w:bCs/>
          <w:szCs w:val="24"/>
          <w:lang w:val="en-US"/>
        </w:rPr>
      </w:pPr>
    </w:p>
    <w:p w:rsidR="00494617" w:rsidRPr="00405F24" w:rsidRDefault="00494617" w:rsidP="00405F24">
      <w:pPr>
        <w:keepNext/>
        <w:keepLines/>
        <w:spacing w:before="0" w:after="0" w:line="240" w:lineRule="auto"/>
        <w:outlineLvl w:val="0"/>
        <w:rPr>
          <w:rFonts w:ascii="Calibri" w:eastAsia="Times New Roman" w:hAnsi="Calibri" w:cs="Times New Roman"/>
          <w:b/>
          <w:bCs/>
          <w:color w:val="365F91"/>
          <w:szCs w:val="24"/>
          <w:lang w:val="sr-Latn-ME" w:eastAsia="en-GB"/>
        </w:rPr>
      </w:pPr>
      <w:bookmarkStart w:id="121" w:name="_Toc32920673"/>
      <w:bookmarkStart w:id="122" w:name="_Toc67655071"/>
      <w:r w:rsidRPr="00494617">
        <w:rPr>
          <w:rFonts w:ascii="Calibri" w:eastAsia="Times New Roman" w:hAnsi="Calibri" w:cs="Times New Roman"/>
          <w:b/>
          <w:bCs/>
          <w:color w:val="365F91"/>
          <w:szCs w:val="24"/>
          <w:lang w:val="sr-Latn-ME" w:eastAsia="en-GB"/>
        </w:rPr>
        <w:t>5.  OSTALO</w:t>
      </w:r>
      <w:bookmarkEnd w:id="121"/>
      <w:bookmarkEnd w:id="122"/>
    </w:p>
    <w:p w:rsidR="00494617" w:rsidRPr="00494617" w:rsidRDefault="00494617" w:rsidP="00494617">
      <w:pPr>
        <w:keepNext/>
        <w:keepLines/>
        <w:spacing w:before="0" w:after="0" w:line="240" w:lineRule="auto"/>
        <w:outlineLvl w:val="1"/>
        <w:rPr>
          <w:rFonts w:ascii="Calibri" w:eastAsia="Times New Roman" w:hAnsi="Calibri" w:cs="Times New Roman"/>
          <w:b/>
          <w:bCs/>
          <w:color w:val="4F81BD"/>
          <w:szCs w:val="24"/>
          <w:lang w:val="x-none" w:eastAsia="en-GB"/>
        </w:rPr>
      </w:pPr>
      <w:bookmarkStart w:id="123" w:name="_Toc32920674"/>
      <w:bookmarkStart w:id="124" w:name="_Toc67655072"/>
      <w:r w:rsidRPr="00494617">
        <w:rPr>
          <w:rFonts w:ascii="Calibri" w:eastAsia="Times New Roman" w:hAnsi="Calibri" w:cs="Times New Roman"/>
          <w:b/>
          <w:bCs/>
          <w:color w:val="4F81BD"/>
          <w:szCs w:val="24"/>
          <w:lang w:val="hr-HR" w:eastAsia="en-GB"/>
        </w:rPr>
        <w:t>5</w:t>
      </w:r>
      <w:r w:rsidRPr="00494617">
        <w:rPr>
          <w:rFonts w:ascii="Calibri" w:eastAsia="Times New Roman" w:hAnsi="Calibri" w:cs="Times New Roman"/>
          <w:b/>
          <w:bCs/>
          <w:color w:val="4F81BD"/>
          <w:szCs w:val="24"/>
          <w:lang w:val="x-none" w:eastAsia="en-GB"/>
        </w:rPr>
        <w:t>.1   ZAKONSKA I PODZAKONSKA REGULATIVA</w:t>
      </w:r>
      <w:bookmarkEnd w:id="123"/>
      <w:bookmarkEnd w:id="124"/>
    </w:p>
    <w:p w:rsidR="00494617" w:rsidRPr="00494617" w:rsidRDefault="00494617" w:rsidP="00405F24">
      <w:pPr>
        <w:spacing w:before="0" w:after="0" w:line="240" w:lineRule="auto"/>
        <w:ind w:firstLine="360"/>
        <w:rPr>
          <w:rFonts w:ascii="Calibri" w:eastAsia="Times New Roman" w:hAnsi="Calibri" w:cs="Times New Roman"/>
          <w:szCs w:val="24"/>
          <w:lang w:val="sr-Latn-ME" w:eastAsia="en-GB"/>
        </w:rPr>
      </w:pPr>
      <w:r w:rsidRPr="00494617">
        <w:rPr>
          <w:rFonts w:ascii="Calibri" w:eastAsia="Times New Roman" w:hAnsi="Calibri" w:cs="Times New Roman"/>
          <w:szCs w:val="24"/>
          <w:lang w:val="sr-Latn-ME" w:eastAsia="en-GB"/>
        </w:rPr>
        <w:t>Oblast igara na sreću regulisana je Zakonom o igrama na sreću („Sl. list RCG“ br. 52/04 i „Sl. list Crne Gore“ br. 13/07, 40/11, 61/13 i 37/17), kao i sljedećim pravilnicima:</w:t>
      </w:r>
    </w:p>
    <w:p w:rsidR="00494617" w:rsidRPr="00494617" w:rsidRDefault="00494617" w:rsidP="00632490">
      <w:pPr>
        <w:numPr>
          <w:ilvl w:val="0"/>
          <w:numId w:val="84"/>
        </w:numPr>
        <w:spacing w:before="0" w:after="0" w:line="240" w:lineRule="auto"/>
        <w:jc w:val="left"/>
        <w:rPr>
          <w:rFonts w:ascii="Calibri" w:eastAsia="Times New Roman" w:hAnsi="Calibri" w:cs="Times New Roman"/>
          <w:szCs w:val="24"/>
          <w:lang w:val="sr-Latn-ME" w:eastAsia="en-GB"/>
        </w:rPr>
      </w:pPr>
      <w:r w:rsidRPr="00494617">
        <w:rPr>
          <w:rFonts w:ascii="Calibri" w:eastAsia="Times New Roman" w:hAnsi="Calibri" w:cs="Times New Roman"/>
          <w:szCs w:val="24"/>
          <w:lang w:val="sr-Latn-ME" w:eastAsia="en-GB"/>
        </w:rPr>
        <w:t>Pravilnik o bližim prostornim i tehničkim uslovima za automat klub i obrascima izvještaja o radu i popisu stanja brojčanika („Službeni list RCG“, br. 10/05 i „Službeni list CG“, br. 14/13 i 50/16);</w:t>
      </w:r>
    </w:p>
    <w:p w:rsidR="00494617" w:rsidRPr="00494617" w:rsidRDefault="00494617" w:rsidP="00632490">
      <w:pPr>
        <w:numPr>
          <w:ilvl w:val="0"/>
          <w:numId w:val="84"/>
        </w:numPr>
        <w:spacing w:before="0" w:after="0" w:line="240" w:lineRule="auto"/>
        <w:jc w:val="left"/>
        <w:rPr>
          <w:rFonts w:ascii="Calibri" w:eastAsia="Times New Roman" w:hAnsi="Calibri" w:cs="Times New Roman"/>
          <w:szCs w:val="24"/>
          <w:lang w:val="sr-Latn-ME" w:eastAsia="en-GB"/>
        </w:rPr>
      </w:pPr>
      <w:r w:rsidRPr="00494617">
        <w:rPr>
          <w:rFonts w:ascii="Calibri" w:eastAsia="Times New Roman" w:hAnsi="Calibri" w:cs="Times New Roman"/>
          <w:szCs w:val="24"/>
          <w:lang w:val="sr-Latn-ME" w:eastAsia="en-GB"/>
        </w:rPr>
        <w:t>Pravilnik o uslovima za vršenje tehničkog pregleda i stolova za igre na sreću („Službeni list RCG“, br. 10/05)</w:t>
      </w:r>
    </w:p>
    <w:p w:rsidR="00494617" w:rsidRPr="00494617" w:rsidRDefault="00494617" w:rsidP="00632490">
      <w:pPr>
        <w:numPr>
          <w:ilvl w:val="0"/>
          <w:numId w:val="84"/>
        </w:numPr>
        <w:spacing w:before="0" w:after="0" w:line="240" w:lineRule="auto"/>
        <w:jc w:val="left"/>
        <w:rPr>
          <w:rFonts w:ascii="Calibri" w:eastAsia="Times New Roman" w:hAnsi="Calibri" w:cs="Times New Roman"/>
          <w:szCs w:val="24"/>
          <w:lang w:val="sr-Latn-ME" w:eastAsia="en-GB"/>
        </w:rPr>
      </w:pPr>
      <w:r w:rsidRPr="00494617">
        <w:rPr>
          <w:rFonts w:ascii="Calibri" w:eastAsia="Times New Roman" w:hAnsi="Calibri" w:cs="Times New Roman"/>
          <w:szCs w:val="24"/>
          <w:lang w:val="sr-Latn-ME" w:eastAsia="en-GB"/>
        </w:rPr>
        <w:t xml:space="preserve">Pravilnik o prostornim i tehničkim uslovima za priredjivanje kladioničkih igara („Službeni list RCG“, br. 10/05, i „Službeni list CG“, br. 17/13, 50/16 i 24/17); Odluka Ustavnog suda Crne Gore U-II br. 41/16 i 44/16 („Sl. list CG“, br. 24 od 10. aprila 2017. godine). S obzirom da je </w:t>
      </w:r>
      <w:r w:rsidRPr="00494617">
        <w:rPr>
          <w:rFonts w:ascii="Calibri" w:eastAsia="Times New Roman" w:hAnsi="Calibri" w:cs="Times New Roman"/>
          <w:szCs w:val="24"/>
          <w:lang w:val="sr-Latn-ME" w:eastAsia="en-GB"/>
        </w:rPr>
        <w:lastRenderedPageBreak/>
        <w:t>ovom Odlukom ukinuta odredba člana 6 stav 3 pomenutog Pravilnika, od objavljivaljana u Službenom listu Crne Gore, dana 10.04.2017. godine, terminali za klađenje ne mogu se postavljati u ugostiteljskim objektima.</w:t>
      </w:r>
    </w:p>
    <w:p w:rsidR="00494617" w:rsidRPr="00494617" w:rsidRDefault="00494617" w:rsidP="00632490">
      <w:pPr>
        <w:numPr>
          <w:ilvl w:val="0"/>
          <w:numId w:val="84"/>
        </w:numPr>
        <w:spacing w:before="0" w:after="0" w:line="240" w:lineRule="auto"/>
        <w:jc w:val="left"/>
        <w:rPr>
          <w:rFonts w:ascii="Calibri" w:eastAsia="Times New Roman" w:hAnsi="Calibri" w:cs="Times New Roman"/>
          <w:szCs w:val="24"/>
          <w:lang w:val="sr-Latn-ME" w:eastAsia="en-GB"/>
        </w:rPr>
      </w:pPr>
      <w:r w:rsidRPr="00494617">
        <w:rPr>
          <w:rFonts w:ascii="Calibri" w:eastAsia="Times New Roman" w:hAnsi="Calibri" w:cs="Times New Roman"/>
          <w:szCs w:val="24"/>
          <w:lang w:val="sr-Latn-ME" w:eastAsia="en-GB"/>
        </w:rPr>
        <w:t>Pravilnik o bližim prostornim i tehničkim uslovima koje kazino mora da ispunjava i obrascima o dnevnom obračunu po pojedinom stolu za igre na sreću („Sl. listu RCG“, br. 10/05, i „Sl. listu CG“, br. 14/13 i 50/16);</w:t>
      </w:r>
    </w:p>
    <w:p w:rsidR="00494617" w:rsidRPr="00494617" w:rsidRDefault="00494617" w:rsidP="00632490">
      <w:pPr>
        <w:numPr>
          <w:ilvl w:val="0"/>
          <w:numId w:val="84"/>
        </w:numPr>
        <w:spacing w:before="0" w:after="0" w:line="240" w:lineRule="auto"/>
        <w:jc w:val="left"/>
        <w:rPr>
          <w:rFonts w:ascii="Calibri" w:eastAsia="Times New Roman" w:hAnsi="Calibri" w:cs="Times New Roman"/>
          <w:szCs w:val="24"/>
          <w:lang w:val="sr-Latn-ME" w:eastAsia="en-GB"/>
        </w:rPr>
      </w:pPr>
      <w:r w:rsidRPr="00494617">
        <w:rPr>
          <w:rFonts w:ascii="Calibri" w:eastAsia="Times New Roman" w:hAnsi="Calibri" w:cs="Times New Roman"/>
          <w:szCs w:val="24"/>
          <w:lang w:val="sr-Latn-ME" w:eastAsia="en-GB"/>
        </w:rPr>
        <w:t>Pravilnik o bližim prostornim i tehnickim uslovima za priređivanje binga, tv tombole i tombole („Službeni list RCG“, br. 10/05, i „Službeni list CG“, br. 14/13);</w:t>
      </w:r>
    </w:p>
    <w:p w:rsidR="00494617" w:rsidRDefault="00494617" w:rsidP="00632490">
      <w:pPr>
        <w:numPr>
          <w:ilvl w:val="0"/>
          <w:numId w:val="84"/>
        </w:numPr>
        <w:spacing w:before="0" w:after="0" w:line="240" w:lineRule="auto"/>
        <w:jc w:val="left"/>
        <w:rPr>
          <w:rFonts w:ascii="Calibri" w:eastAsia="Times New Roman" w:hAnsi="Calibri" w:cs="Times New Roman"/>
          <w:szCs w:val="24"/>
          <w:lang w:val="sr-Latn-ME" w:eastAsia="en-GB"/>
        </w:rPr>
      </w:pPr>
      <w:r w:rsidRPr="00494617">
        <w:rPr>
          <w:rFonts w:ascii="Calibri" w:eastAsia="Times New Roman" w:hAnsi="Calibri" w:cs="Times New Roman"/>
          <w:szCs w:val="24"/>
          <w:lang w:val="sr-Latn-ME" w:eastAsia="en-GB"/>
        </w:rPr>
        <w:t>Pravilnik o uslovima koje treba da ispuni priređivač nagradnih igara („Službeni list CG“, br. 12/13).</w:t>
      </w:r>
    </w:p>
    <w:p w:rsidR="00DF6DAB" w:rsidRDefault="00DF6DAB" w:rsidP="00DF6DAB">
      <w:pPr>
        <w:spacing w:before="0" w:after="0" w:line="240" w:lineRule="auto"/>
        <w:jc w:val="left"/>
        <w:rPr>
          <w:rFonts w:ascii="Calibri" w:eastAsia="Times New Roman" w:hAnsi="Calibri" w:cs="Times New Roman"/>
          <w:szCs w:val="24"/>
          <w:lang w:val="sr-Latn-ME" w:eastAsia="en-GB"/>
        </w:rPr>
      </w:pPr>
    </w:p>
    <w:p w:rsidR="00DF6DAB" w:rsidRDefault="00DF6DAB" w:rsidP="00DF6DAB">
      <w:pPr>
        <w:spacing w:before="0" w:after="0" w:line="240" w:lineRule="auto"/>
        <w:jc w:val="left"/>
        <w:rPr>
          <w:rFonts w:ascii="Calibri" w:eastAsia="Times New Roman" w:hAnsi="Calibri" w:cs="Times New Roman"/>
          <w:szCs w:val="24"/>
          <w:lang w:val="sr-Latn-ME" w:eastAsia="en-GB"/>
        </w:rPr>
      </w:pPr>
    </w:p>
    <w:p w:rsidR="00DF6DAB" w:rsidRPr="00DF6DAB" w:rsidRDefault="00DF6DAB" w:rsidP="00DF6DAB">
      <w:pPr>
        <w:shd w:val="clear" w:color="auto" w:fill="EE8C69" w:themeFill="accent1" w:themeFillTint="99"/>
        <w:spacing w:before="0" w:after="0" w:line="240" w:lineRule="auto"/>
        <w:jc w:val="center"/>
        <w:rPr>
          <w:rFonts w:ascii="Calibri" w:eastAsia="Times New Roman" w:hAnsi="Calibri" w:cs="Calibri"/>
          <w:b/>
          <w:szCs w:val="24"/>
          <w:lang w:val="sr-Latn-ME" w:eastAsia="en-GB"/>
        </w:rPr>
      </w:pPr>
      <w:r w:rsidRPr="00DF6DAB">
        <w:rPr>
          <w:rFonts w:ascii="Calibri" w:eastAsia="Times New Roman" w:hAnsi="Calibri" w:cs="Calibri"/>
          <w:b/>
          <w:szCs w:val="24"/>
          <w:lang w:val="sr-Latn-ME" w:eastAsia="en-GB"/>
        </w:rPr>
        <w:t>X IZVJEŠTAJ O RADU UPRAVE ZA NEKRETNINE</w:t>
      </w:r>
    </w:p>
    <w:p w:rsidR="00DF6DAB" w:rsidRDefault="00DF6DAB" w:rsidP="00DF6DAB">
      <w:pPr>
        <w:spacing w:before="0" w:after="0"/>
        <w:rPr>
          <w:rFonts w:ascii="Calibri" w:hAnsi="Calibri" w:cs="Calibri"/>
          <w:b/>
        </w:rPr>
      </w:pPr>
      <w:bookmarkStart w:id="125" w:name="_Toc473552727"/>
      <w:bookmarkStart w:id="126" w:name="_Toc71288821"/>
      <w:bookmarkStart w:id="127" w:name="_Toc172082030"/>
    </w:p>
    <w:p w:rsidR="00DF6DAB" w:rsidRPr="00DF6DAB" w:rsidRDefault="00DF6DAB" w:rsidP="00DF6DAB">
      <w:pPr>
        <w:spacing w:before="0" w:after="0"/>
        <w:rPr>
          <w:rFonts w:ascii="Calibri" w:hAnsi="Calibri" w:cs="Calibri"/>
          <w:b/>
        </w:rPr>
      </w:pPr>
      <w:r>
        <w:rPr>
          <w:rFonts w:ascii="Calibri" w:hAnsi="Calibri" w:cs="Calibri"/>
          <w:b/>
        </w:rPr>
        <w:t>I</w:t>
      </w:r>
      <w:r w:rsidRPr="0007703A">
        <w:rPr>
          <w:rFonts w:ascii="Calibri" w:hAnsi="Calibri" w:cs="Calibri"/>
          <w:b/>
        </w:rPr>
        <w:t xml:space="preserve"> </w:t>
      </w:r>
      <w:bookmarkEnd w:id="125"/>
      <w:r w:rsidRPr="0007703A">
        <w:rPr>
          <w:rFonts w:ascii="Calibri" w:hAnsi="Calibri" w:cs="Calibri"/>
          <w:b/>
        </w:rPr>
        <w:t>PREGLED REALIZOVANIH AKTIVNOSTI U 2020. GODINI</w:t>
      </w:r>
      <w:bookmarkEnd w:id="126"/>
    </w:p>
    <w:p w:rsidR="00DF6DAB" w:rsidRPr="0007703A" w:rsidRDefault="00DF6DAB" w:rsidP="00DF6DAB">
      <w:pPr>
        <w:spacing w:before="0" w:after="0"/>
        <w:ind w:firstLine="720"/>
        <w:rPr>
          <w:rFonts w:ascii="Calibri" w:hAnsi="Calibri" w:cs="Calibri"/>
        </w:rPr>
      </w:pPr>
      <w:r w:rsidRPr="0007703A">
        <w:rPr>
          <w:rFonts w:ascii="Calibri" w:hAnsi="Calibri" w:cs="Calibri"/>
        </w:rPr>
        <w:t>Odredbom člana 4 stav 3 Zakona o državnom premjeru i katastru nepokretnosti (“Sl.list RCG” br. 29/07 i “Sl.list CG” br. 32/11, 73/10, 40/11, 43/15, 37/17 i 17/18),  (u daljem tekstu: Zakon), propisano je da se poslovi državnog premjera, izrade i održavanje katastra nepokretnosti vrše na osnovu Godišnjeg plana radova.</w:t>
      </w:r>
    </w:p>
    <w:p w:rsidR="00DF6DAB" w:rsidRPr="00DF6DAB" w:rsidRDefault="00DF6DAB" w:rsidP="00DF6DAB">
      <w:pPr>
        <w:spacing w:before="0" w:after="0"/>
        <w:ind w:firstLine="720"/>
        <w:rPr>
          <w:rFonts w:ascii="Calibri" w:hAnsi="Calibri" w:cs="Calibri"/>
        </w:rPr>
      </w:pPr>
      <w:r w:rsidRPr="0007703A">
        <w:rPr>
          <w:rFonts w:ascii="Calibri" w:hAnsi="Calibri" w:cs="Calibri"/>
        </w:rPr>
        <w:t>Uprava je u periodu od 01.01.2020 do 31.12.2020. godine tokom izvještajnog perioda ostvarila dobre rezultate u poslovima održavanja državnog premjera, stvaranje novog katastra neporketnosti kao i na poslovima prvostepenog upravnog postupka, uz velike kadrovske probleme koji su je pratili, rezultati o</w:t>
      </w:r>
      <w:r>
        <w:rPr>
          <w:rFonts w:ascii="Calibri" w:hAnsi="Calibri" w:cs="Calibri"/>
        </w:rPr>
        <w:t>ve Uprave su na zavidnom nivou.</w:t>
      </w:r>
    </w:p>
    <w:p w:rsidR="00DF6DAB" w:rsidRPr="0007703A" w:rsidRDefault="00DF6DAB" w:rsidP="00DF6DAB">
      <w:pPr>
        <w:rPr>
          <w:rFonts w:ascii="Calibri" w:hAnsi="Calibri" w:cs="Calibri"/>
          <w:b/>
        </w:rPr>
      </w:pPr>
      <w:r w:rsidRPr="0007703A">
        <w:rPr>
          <w:rFonts w:ascii="Calibri" w:hAnsi="Calibri" w:cs="Calibri"/>
          <w:b/>
        </w:rPr>
        <w:t>- UPRAVNI POSTUPAK</w:t>
      </w:r>
    </w:p>
    <w:p w:rsidR="00DF6DAB" w:rsidRPr="0007703A" w:rsidRDefault="00DF6DAB" w:rsidP="00DF6DAB">
      <w:pPr>
        <w:ind w:firstLine="720"/>
        <w:rPr>
          <w:rFonts w:ascii="Calibri" w:hAnsi="Calibri" w:cs="Calibri"/>
          <w:b/>
          <w:color w:val="FF0000"/>
        </w:rPr>
      </w:pPr>
      <w:r w:rsidRPr="0007703A">
        <w:rPr>
          <w:rFonts w:ascii="Calibri" w:hAnsi="Calibri" w:cs="Calibri"/>
          <w:b/>
          <w:color w:val="FF0000"/>
        </w:rPr>
        <w:t>U</w:t>
      </w:r>
      <w:r w:rsidR="00B87EBF">
        <w:rPr>
          <w:rFonts w:ascii="Calibri" w:hAnsi="Calibri" w:cs="Calibri"/>
          <w:b/>
          <w:color w:val="FF0000"/>
        </w:rPr>
        <w:t xml:space="preserve"> 2020. godine u radu je bilo 62.</w:t>
      </w:r>
      <w:r w:rsidRPr="0007703A">
        <w:rPr>
          <w:rFonts w:ascii="Calibri" w:hAnsi="Calibri" w:cs="Calibri"/>
          <w:b/>
          <w:color w:val="FF0000"/>
        </w:rPr>
        <w:t>933 predmeta</w:t>
      </w:r>
    </w:p>
    <w:p w:rsidR="00DF6DAB" w:rsidRPr="0007703A" w:rsidRDefault="00DF6DAB" w:rsidP="00DF6DAB">
      <w:pPr>
        <w:ind w:firstLine="720"/>
        <w:rPr>
          <w:rFonts w:ascii="Calibri" w:hAnsi="Calibri" w:cs="Calibri"/>
        </w:rPr>
      </w:pPr>
      <w:r w:rsidRPr="0007703A">
        <w:rPr>
          <w:rFonts w:ascii="Calibri" w:hAnsi="Calibri" w:cs="Calibri"/>
        </w:rPr>
        <w:t>U izvještajnom periodu od ukupnog broja predmeta rij</w:t>
      </w:r>
      <w:r w:rsidR="00B87EBF">
        <w:rPr>
          <w:rFonts w:ascii="Calibri" w:hAnsi="Calibri" w:cs="Calibri"/>
        </w:rPr>
        <w:t>ešeno je 59.</w:t>
      </w:r>
      <w:r w:rsidRPr="0007703A">
        <w:rPr>
          <w:rFonts w:ascii="Calibri" w:hAnsi="Calibri" w:cs="Calibri"/>
        </w:rPr>
        <w:t xml:space="preserve">536 predmeta. </w:t>
      </w:r>
    </w:p>
    <w:p w:rsidR="00DF6DAB" w:rsidRPr="00DF6DAB" w:rsidRDefault="00DF6DAB" w:rsidP="00DF6DAB">
      <w:pPr>
        <w:ind w:firstLine="720"/>
        <w:rPr>
          <w:rFonts w:ascii="Calibri" w:hAnsi="Calibri" w:cs="Calibri"/>
        </w:rPr>
      </w:pPr>
      <w:r w:rsidRPr="0007703A">
        <w:rPr>
          <w:rFonts w:ascii="Calibri" w:hAnsi="Calibri" w:cs="Calibri"/>
        </w:rPr>
        <w:t>U radu je ostalo 2.628 predmeta, što predstavlja 5.39 % od ukupnog broja predmeta u radu, uz napomenu da većina predmeta je još uvijek u roku, odnosno isti su primljeni tok</w:t>
      </w:r>
      <w:r>
        <w:rPr>
          <w:rFonts w:ascii="Calibri" w:hAnsi="Calibri" w:cs="Calibri"/>
        </w:rPr>
        <w:t>om decembra izvještajne godine.</w:t>
      </w:r>
    </w:p>
    <w:tbl>
      <w:tblPr>
        <w:tblW w:w="9101" w:type="dxa"/>
        <w:tblInd w:w="108" w:type="dxa"/>
        <w:tblLook w:val="0000" w:firstRow="0" w:lastRow="0" w:firstColumn="0" w:lastColumn="0" w:noHBand="0" w:noVBand="0"/>
      </w:tblPr>
      <w:tblGrid>
        <w:gridCol w:w="1440"/>
        <w:gridCol w:w="1710"/>
        <w:gridCol w:w="1980"/>
        <w:gridCol w:w="2340"/>
        <w:gridCol w:w="1631"/>
      </w:tblGrid>
      <w:tr w:rsidR="00DF6DAB" w:rsidRPr="0007703A" w:rsidTr="00DF6DAB">
        <w:trPr>
          <w:trHeight w:val="330"/>
        </w:trPr>
        <w:tc>
          <w:tcPr>
            <w:tcW w:w="9101" w:type="dxa"/>
            <w:gridSpan w:val="5"/>
            <w:tcBorders>
              <w:top w:val="nil"/>
              <w:left w:val="nil"/>
              <w:bottom w:val="nil"/>
              <w:right w:val="nil"/>
            </w:tcBorders>
            <w:shd w:val="clear" w:color="auto" w:fill="auto"/>
            <w:noWrap/>
            <w:vAlign w:val="bottom"/>
          </w:tcPr>
          <w:p w:rsidR="00DF6DAB" w:rsidRPr="0007703A" w:rsidRDefault="00DF6DAB" w:rsidP="00DF6DAB">
            <w:pPr>
              <w:rPr>
                <w:rFonts w:ascii="Calibri" w:hAnsi="Calibri" w:cs="Calibri"/>
                <w:b/>
              </w:rPr>
            </w:pPr>
            <w:r>
              <w:rPr>
                <w:rFonts w:ascii="Calibri" w:hAnsi="Calibri" w:cs="Calibri"/>
                <w:b/>
              </w:rPr>
              <w:t xml:space="preserve">UPOREDNI PODACI U PREDMETIMA </w:t>
            </w:r>
            <w:r w:rsidRPr="0007703A">
              <w:rPr>
                <w:rFonts w:ascii="Calibri" w:hAnsi="Calibri" w:cs="Calibri"/>
                <w:b/>
              </w:rPr>
              <w:t>UPRAVNOG POSTUPKA PERIOD 2015-2020</w:t>
            </w:r>
          </w:p>
        </w:tc>
      </w:tr>
      <w:tr w:rsidR="00DF6DAB" w:rsidRPr="00326E6F" w:rsidTr="00DF6DAB">
        <w:trPr>
          <w:trHeight w:val="315"/>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F6DAB" w:rsidRPr="0007703A" w:rsidRDefault="00DF6DAB" w:rsidP="00DF6DAB">
            <w:pPr>
              <w:rPr>
                <w:rFonts w:ascii="Calibri" w:hAnsi="Calibri" w:cs="Calibri"/>
              </w:rPr>
            </w:pPr>
            <w:r w:rsidRPr="0007703A">
              <w:rPr>
                <w:rFonts w:ascii="Calibri" w:hAnsi="Calibri" w:cs="Calibri"/>
              </w:rPr>
              <w:t>godina</w:t>
            </w:r>
          </w:p>
        </w:tc>
        <w:tc>
          <w:tcPr>
            <w:tcW w:w="1710" w:type="dxa"/>
            <w:tcBorders>
              <w:top w:val="single" w:sz="4" w:space="0" w:color="auto"/>
              <w:left w:val="nil"/>
              <w:bottom w:val="single" w:sz="4" w:space="0" w:color="auto"/>
              <w:right w:val="single" w:sz="4" w:space="0" w:color="auto"/>
            </w:tcBorders>
            <w:shd w:val="clear" w:color="auto" w:fill="auto"/>
            <w:noWrap/>
            <w:vAlign w:val="center"/>
          </w:tcPr>
          <w:p w:rsidR="00DF6DAB" w:rsidRPr="0007703A" w:rsidRDefault="00DF6DAB" w:rsidP="00DF6DAB">
            <w:pPr>
              <w:rPr>
                <w:rFonts w:ascii="Calibri" w:hAnsi="Calibri" w:cs="Calibri"/>
              </w:rPr>
            </w:pPr>
            <w:r w:rsidRPr="0007703A">
              <w:rPr>
                <w:rFonts w:ascii="Calibri" w:hAnsi="Calibri" w:cs="Calibri"/>
              </w:rPr>
              <w:t>predmeti u radu</w:t>
            </w:r>
          </w:p>
        </w:tc>
        <w:tc>
          <w:tcPr>
            <w:tcW w:w="1980" w:type="dxa"/>
            <w:tcBorders>
              <w:top w:val="single" w:sz="4" w:space="0" w:color="auto"/>
              <w:left w:val="nil"/>
              <w:bottom w:val="single" w:sz="4" w:space="0" w:color="auto"/>
              <w:right w:val="single" w:sz="4" w:space="0" w:color="auto"/>
            </w:tcBorders>
            <w:shd w:val="clear" w:color="auto" w:fill="auto"/>
            <w:noWrap/>
            <w:vAlign w:val="center"/>
          </w:tcPr>
          <w:p w:rsidR="00DF6DAB" w:rsidRPr="0007703A" w:rsidRDefault="00DF6DAB" w:rsidP="00DF6DAB">
            <w:pPr>
              <w:rPr>
                <w:rFonts w:ascii="Calibri" w:hAnsi="Calibri" w:cs="Calibri"/>
              </w:rPr>
            </w:pPr>
            <w:r w:rsidRPr="0007703A">
              <w:rPr>
                <w:rFonts w:ascii="Calibri" w:hAnsi="Calibri" w:cs="Calibri"/>
              </w:rPr>
              <w:t>riješeni predmeti</w:t>
            </w:r>
          </w:p>
        </w:tc>
        <w:tc>
          <w:tcPr>
            <w:tcW w:w="2340" w:type="dxa"/>
            <w:tcBorders>
              <w:top w:val="single" w:sz="4" w:space="0" w:color="auto"/>
              <w:left w:val="nil"/>
              <w:bottom w:val="single" w:sz="4" w:space="0" w:color="auto"/>
              <w:right w:val="single" w:sz="4" w:space="0" w:color="auto"/>
            </w:tcBorders>
            <w:shd w:val="clear" w:color="auto" w:fill="auto"/>
            <w:noWrap/>
            <w:vAlign w:val="center"/>
          </w:tcPr>
          <w:p w:rsidR="00DF6DAB" w:rsidRPr="0007703A" w:rsidRDefault="00DF6DAB" w:rsidP="00DF6DAB">
            <w:pPr>
              <w:rPr>
                <w:rFonts w:ascii="Calibri" w:hAnsi="Calibri" w:cs="Calibri"/>
              </w:rPr>
            </w:pPr>
            <w:r w:rsidRPr="0007703A">
              <w:rPr>
                <w:rFonts w:ascii="Calibri" w:hAnsi="Calibri" w:cs="Calibri"/>
              </w:rPr>
              <w:t>neriješeni predmeti</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DF6DAB" w:rsidRPr="0007703A" w:rsidRDefault="00DF6DAB" w:rsidP="00DF6DAB">
            <w:pPr>
              <w:rPr>
                <w:rFonts w:ascii="Calibri" w:hAnsi="Calibri" w:cs="Calibri"/>
              </w:rPr>
            </w:pPr>
            <w:r w:rsidRPr="0007703A">
              <w:rPr>
                <w:rFonts w:ascii="Calibri" w:hAnsi="Calibri" w:cs="Calibri"/>
              </w:rPr>
              <w:t>procenat neriješenih predmeta</w:t>
            </w:r>
          </w:p>
        </w:tc>
      </w:tr>
      <w:tr w:rsidR="00DF6DAB" w:rsidRPr="00326E6F" w:rsidTr="00DF6DAB">
        <w:trPr>
          <w:trHeight w:val="315"/>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F6DAB" w:rsidRPr="0007703A" w:rsidRDefault="00DF6DAB" w:rsidP="00DF6DAB">
            <w:pPr>
              <w:rPr>
                <w:rFonts w:ascii="Calibri" w:hAnsi="Calibri" w:cs="Calibri"/>
              </w:rPr>
            </w:pPr>
            <w:r w:rsidRPr="0007703A">
              <w:rPr>
                <w:rFonts w:ascii="Calibri" w:hAnsi="Calibri" w:cs="Calibri"/>
              </w:rPr>
              <w:t>2016</w:t>
            </w:r>
          </w:p>
        </w:tc>
        <w:tc>
          <w:tcPr>
            <w:tcW w:w="1710" w:type="dxa"/>
            <w:tcBorders>
              <w:top w:val="single" w:sz="4" w:space="0" w:color="auto"/>
              <w:left w:val="nil"/>
              <w:bottom w:val="single" w:sz="4" w:space="0" w:color="auto"/>
              <w:right w:val="single" w:sz="4" w:space="0" w:color="auto"/>
            </w:tcBorders>
            <w:shd w:val="clear" w:color="auto" w:fill="auto"/>
            <w:noWrap/>
            <w:vAlign w:val="center"/>
          </w:tcPr>
          <w:p w:rsidR="00DF6DAB" w:rsidRPr="0007703A" w:rsidRDefault="00DF6DAB" w:rsidP="00DF6DAB">
            <w:pPr>
              <w:rPr>
                <w:rFonts w:ascii="Calibri" w:hAnsi="Calibri" w:cs="Calibri"/>
              </w:rPr>
            </w:pPr>
            <w:r w:rsidRPr="0007703A">
              <w:rPr>
                <w:rFonts w:ascii="Calibri" w:hAnsi="Calibri" w:cs="Calibri"/>
              </w:rPr>
              <w:t>60.018</w:t>
            </w:r>
          </w:p>
        </w:tc>
        <w:tc>
          <w:tcPr>
            <w:tcW w:w="1980" w:type="dxa"/>
            <w:tcBorders>
              <w:top w:val="single" w:sz="4" w:space="0" w:color="auto"/>
              <w:left w:val="nil"/>
              <w:bottom w:val="single" w:sz="4" w:space="0" w:color="auto"/>
              <w:right w:val="single" w:sz="4" w:space="0" w:color="auto"/>
            </w:tcBorders>
            <w:shd w:val="clear" w:color="auto" w:fill="auto"/>
            <w:noWrap/>
            <w:vAlign w:val="center"/>
          </w:tcPr>
          <w:p w:rsidR="00DF6DAB" w:rsidRPr="0007703A" w:rsidRDefault="00DF6DAB" w:rsidP="00DF6DAB">
            <w:pPr>
              <w:rPr>
                <w:rFonts w:ascii="Calibri" w:hAnsi="Calibri" w:cs="Calibri"/>
              </w:rPr>
            </w:pPr>
            <w:r w:rsidRPr="0007703A">
              <w:rPr>
                <w:rFonts w:ascii="Calibri" w:hAnsi="Calibri" w:cs="Calibri"/>
              </w:rPr>
              <w:t>57.573</w:t>
            </w:r>
          </w:p>
        </w:tc>
        <w:tc>
          <w:tcPr>
            <w:tcW w:w="2340" w:type="dxa"/>
            <w:tcBorders>
              <w:top w:val="single" w:sz="4" w:space="0" w:color="auto"/>
              <w:left w:val="nil"/>
              <w:bottom w:val="single" w:sz="4" w:space="0" w:color="auto"/>
              <w:right w:val="single" w:sz="4" w:space="0" w:color="auto"/>
            </w:tcBorders>
            <w:shd w:val="clear" w:color="auto" w:fill="auto"/>
            <w:noWrap/>
            <w:vAlign w:val="center"/>
          </w:tcPr>
          <w:p w:rsidR="00DF6DAB" w:rsidRPr="0007703A" w:rsidRDefault="00DF6DAB" w:rsidP="00DF6DAB">
            <w:pPr>
              <w:rPr>
                <w:rFonts w:ascii="Calibri" w:hAnsi="Calibri" w:cs="Calibri"/>
              </w:rPr>
            </w:pPr>
            <w:r w:rsidRPr="0007703A">
              <w:rPr>
                <w:rFonts w:ascii="Calibri" w:hAnsi="Calibri" w:cs="Calibri"/>
              </w:rPr>
              <w:t>2.445</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DF6DAB" w:rsidRPr="0007703A" w:rsidRDefault="00DF6DAB" w:rsidP="00DF6DAB">
            <w:pPr>
              <w:rPr>
                <w:rFonts w:ascii="Calibri" w:hAnsi="Calibri" w:cs="Calibri"/>
              </w:rPr>
            </w:pPr>
            <w:r w:rsidRPr="0007703A">
              <w:rPr>
                <w:rFonts w:ascii="Calibri" w:hAnsi="Calibri" w:cs="Calibri"/>
              </w:rPr>
              <w:t>4.07%</w:t>
            </w:r>
          </w:p>
        </w:tc>
      </w:tr>
      <w:tr w:rsidR="00DF6DAB" w:rsidRPr="00326E6F" w:rsidTr="00DF6DAB">
        <w:trPr>
          <w:trHeight w:val="315"/>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F6DAB" w:rsidRPr="0007703A" w:rsidRDefault="00DF6DAB" w:rsidP="00DF6DAB">
            <w:pPr>
              <w:rPr>
                <w:rFonts w:ascii="Calibri" w:hAnsi="Calibri" w:cs="Calibri"/>
              </w:rPr>
            </w:pPr>
            <w:r w:rsidRPr="0007703A">
              <w:rPr>
                <w:rFonts w:ascii="Calibri" w:hAnsi="Calibri" w:cs="Calibri"/>
              </w:rPr>
              <w:t>2017</w:t>
            </w:r>
          </w:p>
        </w:tc>
        <w:tc>
          <w:tcPr>
            <w:tcW w:w="1710" w:type="dxa"/>
            <w:tcBorders>
              <w:top w:val="single" w:sz="4" w:space="0" w:color="auto"/>
              <w:left w:val="nil"/>
              <w:bottom w:val="single" w:sz="4" w:space="0" w:color="auto"/>
              <w:right w:val="single" w:sz="4" w:space="0" w:color="auto"/>
            </w:tcBorders>
            <w:shd w:val="clear" w:color="auto" w:fill="auto"/>
            <w:noWrap/>
            <w:vAlign w:val="center"/>
          </w:tcPr>
          <w:p w:rsidR="00DF6DAB" w:rsidRPr="0007703A" w:rsidRDefault="00DF6DAB" w:rsidP="00DF6DAB">
            <w:pPr>
              <w:rPr>
                <w:rFonts w:ascii="Calibri" w:hAnsi="Calibri" w:cs="Calibri"/>
              </w:rPr>
            </w:pPr>
            <w:r w:rsidRPr="0007703A">
              <w:rPr>
                <w:rFonts w:ascii="Calibri" w:hAnsi="Calibri" w:cs="Calibri"/>
              </w:rPr>
              <w:t>63.318</w:t>
            </w:r>
          </w:p>
        </w:tc>
        <w:tc>
          <w:tcPr>
            <w:tcW w:w="1980" w:type="dxa"/>
            <w:tcBorders>
              <w:top w:val="single" w:sz="4" w:space="0" w:color="auto"/>
              <w:left w:val="nil"/>
              <w:bottom w:val="single" w:sz="4" w:space="0" w:color="auto"/>
              <w:right w:val="single" w:sz="4" w:space="0" w:color="auto"/>
            </w:tcBorders>
            <w:shd w:val="clear" w:color="auto" w:fill="auto"/>
            <w:noWrap/>
            <w:vAlign w:val="center"/>
          </w:tcPr>
          <w:p w:rsidR="00DF6DAB" w:rsidRPr="0007703A" w:rsidRDefault="00DF6DAB" w:rsidP="00DF6DAB">
            <w:pPr>
              <w:rPr>
                <w:rFonts w:ascii="Calibri" w:hAnsi="Calibri" w:cs="Calibri"/>
              </w:rPr>
            </w:pPr>
            <w:r w:rsidRPr="0007703A">
              <w:rPr>
                <w:rFonts w:ascii="Calibri" w:hAnsi="Calibri" w:cs="Calibri"/>
              </w:rPr>
              <w:t>61.046</w:t>
            </w:r>
          </w:p>
        </w:tc>
        <w:tc>
          <w:tcPr>
            <w:tcW w:w="2340" w:type="dxa"/>
            <w:tcBorders>
              <w:top w:val="single" w:sz="4" w:space="0" w:color="auto"/>
              <w:left w:val="nil"/>
              <w:bottom w:val="single" w:sz="4" w:space="0" w:color="auto"/>
              <w:right w:val="single" w:sz="4" w:space="0" w:color="auto"/>
            </w:tcBorders>
            <w:shd w:val="clear" w:color="auto" w:fill="auto"/>
            <w:noWrap/>
            <w:vAlign w:val="center"/>
          </w:tcPr>
          <w:p w:rsidR="00DF6DAB" w:rsidRPr="0007703A" w:rsidRDefault="00DF6DAB" w:rsidP="00DF6DAB">
            <w:pPr>
              <w:rPr>
                <w:rFonts w:ascii="Calibri" w:hAnsi="Calibri" w:cs="Calibri"/>
              </w:rPr>
            </w:pPr>
            <w:r w:rsidRPr="0007703A">
              <w:rPr>
                <w:rFonts w:ascii="Calibri" w:hAnsi="Calibri" w:cs="Calibri"/>
              </w:rPr>
              <w:t>2.272</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DF6DAB" w:rsidRPr="0007703A" w:rsidRDefault="00DF6DAB" w:rsidP="00DF6DAB">
            <w:pPr>
              <w:rPr>
                <w:rFonts w:ascii="Calibri" w:hAnsi="Calibri" w:cs="Calibri"/>
              </w:rPr>
            </w:pPr>
            <w:r w:rsidRPr="0007703A">
              <w:rPr>
                <w:rFonts w:ascii="Calibri" w:hAnsi="Calibri" w:cs="Calibri"/>
              </w:rPr>
              <w:t>3.60%</w:t>
            </w:r>
          </w:p>
        </w:tc>
      </w:tr>
      <w:tr w:rsidR="00DF6DAB" w:rsidRPr="00326E6F" w:rsidTr="00DF6DAB">
        <w:trPr>
          <w:trHeight w:val="315"/>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F6DAB" w:rsidRPr="0007703A" w:rsidRDefault="00DF6DAB" w:rsidP="00DF6DAB">
            <w:pPr>
              <w:rPr>
                <w:rFonts w:ascii="Calibri" w:hAnsi="Calibri" w:cs="Calibri"/>
              </w:rPr>
            </w:pPr>
            <w:r w:rsidRPr="0007703A">
              <w:rPr>
                <w:rFonts w:ascii="Calibri" w:hAnsi="Calibri" w:cs="Calibri"/>
              </w:rPr>
              <w:t>2018</w:t>
            </w:r>
          </w:p>
        </w:tc>
        <w:tc>
          <w:tcPr>
            <w:tcW w:w="1710" w:type="dxa"/>
            <w:tcBorders>
              <w:top w:val="single" w:sz="4" w:space="0" w:color="auto"/>
              <w:left w:val="nil"/>
              <w:bottom w:val="single" w:sz="4" w:space="0" w:color="auto"/>
              <w:right w:val="single" w:sz="4" w:space="0" w:color="auto"/>
            </w:tcBorders>
            <w:shd w:val="clear" w:color="auto" w:fill="auto"/>
            <w:noWrap/>
            <w:vAlign w:val="center"/>
          </w:tcPr>
          <w:p w:rsidR="00DF6DAB" w:rsidRPr="0007703A" w:rsidRDefault="00DF6DAB" w:rsidP="00DF6DAB">
            <w:pPr>
              <w:rPr>
                <w:rFonts w:ascii="Calibri" w:hAnsi="Calibri" w:cs="Calibri"/>
              </w:rPr>
            </w:pPr>
            <w:r w:rsidRPr="0007703A">
              <w:rPr>
                <w:rFonts w:ascii="Calibri" w:hAnsi="Calibri" w:cs="Calibri"/>
              </w:rPr>
              <w:t>86.127</w:t>
            </w:r>
          </w:p>
        </w:tc>
        <w:tc>
          <w:tcPr>
            <w:tcW w:w="1980" w:type="dxa"/>
            <w:tcBorders>
              <w:top w:val="single" w:sz="4" w:space="0" w:color="auto"/>
              <w:left w:val="nil"/>
              <w:bottom w:val="single" w:sz="4" w:space="0" w:color="auto"/>
              <w:right w:val="single" w:sz="4" w:space="0" w:color="auto"/>
            </w:tcBorders>
            <w:shd w:val="clear" w:color="auto" w:fill="auto"/>
            <w:noWrap/>
            <w:vAlign w:val="center"/>
          </w:tcPr>
          <w:p w:rsidR="00DF6DAB" w:rsidRPr="0007703A" w:rsidRDefault="00DF6DAB" w:rsidP="00DF6DAB">
            <w:pPr>
              <w:rPr>
                <w:rFonts w:ascii="Calibri" w:hAnsi="Calibri" w:cs="Calibri"/>
              </w:rPr>
            </w:pPr>
            <w:r w:rsidRPr="0007703A">
              <w:rPr>
                <w:rFonts w:ascii="Calibri" w:hAnsi="Calibri" w:cs="Calibri"/>
              </w:rPr>
              <w:t>80.507</w:t>
            </w:r>
          </w:p>
        </w:tc>
        <w:tc>
          <w:tcPr>
            <w:tcW w:w="2340" w:type="dxa"/>
            <w:tcBorders>
              <w:top w:val="single" w:sz="4" w:space="0" w:color="auto"/>
              <w:left w:val="nil"/>
              <w:bottom w:val="single" w:sz="4" w:space="0" w:color="auto"/>
              <w:right w:val="single" w:sz="4" w:space="0" w:color="auto"/>
            </w:tcBorders>
            <w:shd w:val="clear" w:color="auto" w:fill="auto"/>
            <w:noWrap/>
            <w:vAlign w:val="center"/>
          </w:tcPr>
          <w:p w:rsidR="00DF6DAB" w:rsidRPr="0007703A" w:rsidRDefault="00DF6DAB" w:rsidP="00DF6DAB">
            <w:pPr>
              <w:rPr>
                <w:rFonts w:ascii="Calibri" w:hAnsi="Calibri" w:cs="Calibri"/>
              </w:rPr>
            </w:pPr>
            <w:r w:rsidRPr="0007703A">
              <w:rPr>
                <w:rFonts w:ascii="Calibri" w:hAnsi="Calibri" w:cs="Calibri"/>
              </w:rPr>
              <w:t>5.091</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DF6DAB" w:rsidRPr="0007703A" w:rsidRDefault="00DF6DAB" w:rsidP="00DF6DAB">
            <w:pPr>
              <w:rPr>
                <w:rFonts w:ascii="Calibri" w:hAnsi="Calibri" w:cs="Calibri"/>
              </w:rPr>
            </w:pPr>
            <w:r w:rsidRPr="0007703A">
              <w:rPr>
                <w:rFonts w:ascii="Calibri" w:hAnsi="Calibri" w:cs="Calibri"/>
              </w:rPr>
              <w:t>5.90%</w:t>
            </w:r>
          </w:p>
        </w:tc>
      </w:tr>
      <w:tr w:rsidR="00DF6DAB" w:rsidRPr="00326E6F" w:rsidTr="00DF6DAB">
        <w:trPr>
          <w:trHeight w:val="315"/>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F6DAB" w:rsidRPr="0007703A" w:rsidRDefault="00DF6DAB" w:rsidP="00DF6DAB">
            <w:pPr>
              <w:rPr>
                <w:rFonts w:ascii="Calibri" w:hAnsi="Calibri" w:cs="Calibri"/>
              </w:rPr>
            </w:pPr>
            <w:r w:rsidRPr="0007703A">
              <w:rPr>
                <w:rFonts w:ascii="Calibri" w:hAnsi="Calibri" w:cs="Calibri"/>
              </w:rPr>
              <w:t>2019</w:t>
            </w:r>
          </w:p>
        </w:tc>
        <w:tc>
          <w:tcPr>
            <w:tcW w:w="1710" w:type="dxa"/>
            <w:tcBorders>
              <w:top w:val="single" w:sz="4" w:space="0" w:color="auto"/>
              <w:left w:val="nil"/>
              <w:bottom w:val="single" w:sz="4" w:space="0" w:color="auto"/>
              <w:right w:val="single" w:sz="4" w:space="0" w:color="auto"/>
            </w:tcBorders>
            <w:shd w:val="clear" w:color="auto" w:fill="auto"/>
            <w:noWrap/>
            <w:vAlign w:val="center"/>
          </w:tcPr>
          <w:p w:rsidR="00DF6DAB" w:rsidRPr="0007703A" w:rsidRDefault="00DF6DAB" w:rsidP="00DF6DAB">
            <w:pPr>
              <w:rPr>
                <w:rFonts w:ascii="Calibri" w:hAnsi="Calibri" w:cs="Calibri"/>
              </w:rPr>
            </w:pPr>
            <w:r w:rsidRPr="0007703A">
              <w:rPr>
                <w:rFonts w:ascii="Calibri" w:hAnsi="Calibri" w:cs="Calibri"/>
              </w:rPr>
              <w:t>78.287</w:t>
            </w:r>
          </w:p>
        </w:tc>
        <w:tc>
          <w:tcPr>
            <w:tcW w:w="1980" w:type="dxa"/>
            <w:tcBorders>
              <w:top w:val="single" w:sz="4" w:space="0" w:color="auto"/>
              <w:left w:val="nil"/>
              <w:bottom w:val="single" w:sz="4" w:space="0" w:color="auto"/>
              <w:right w:val="single" w:sz="4" w:space="0" w:color="auto"/>
            </w:tcBorders>
            <w:shd w:val="clear" w:color="auto" w:fill="auto"/>
            <w:noWrap/>
            <w:vAlign w:val="center"/>
          </w:tcPr>
          <w:p w:rsidR="00DF6DAB" w:rsidRPr="0007703A" w:rsidRDefault="00DF6DAB" w:rsidP="00DF6DAB">
            <w:pPr>
              <w:rPr>
                <w:rFonts w:ascii="Calibri" w:hAnsi="Calibri" w:cs="Calibri"/>
              </w:rPr>
            </w:pPr>
            <w:r w:rsidRPr="0007703A">
              <w:rPr>
                <w:rFonts w:ascii="Calibri" w:hAnsi="Calibri" w:cs="Calibri"/>
              </w:rPr>
              <w:t>74.047</w:t>
            </w:r>
          </w:p>
        </w:tc>
        <w:tc>
          <w:tcPr>
            <w:tcW w:w="2340" w:type="dxa"/>
            <w:tcBorders>
              <w:top w:val="single" w:sz="4" w:space="0" w:color="auto"/>
              <w:left w:val="nil"/>
              <w:bottom w:val="single" w:sz="4" w:space="0" w:color="auto"/>
              <w:right w:val="single" w:sz="4" w:space="0" w:color="auto"/>
            </w:tcBorders>
            <w:shd w:val="clear" w:color="auto" w:fill="auto"/>
            <w:noWrap/>
            <w:vAlign w:val="center"/>
          </w:tcPr>
          <w:p w:rsidR="00DF6DAB" w:rsidRPr="0007703A" w:rsidRDefault="00DF6DAB" w:rsidP="00DF6DAB">
            <w:pPr>
              <w:rPr>
                <w:rFonts w:ascii="Calibri" w:hAnsi="Calibri" w:cs="Calibri"/>
              </w:rPr>
            </w:pPr>
            <w:r w:rsidRPr="0007703A">
              <w:rPr>
                <w:rFonts w:ascii="Calibri" w:hAnsi="Calibri" w:cs="Calibri"/>
              </w:rPr>
              <w:t>4.240</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DF6DAB" w:rsidRPr="0007703A" w:rsidRDefault="00DF6DAB" w:rsidP="00DF6DAB">
            <w:pPr>
              <w:rPr>
                <w:rFonts w:ascii="Calibri" w:hAnsi="Calibri" w:cs="Calibri"/>
              </w:rPr>
            </w:pPr>
            <w:r w:rsidRPr="0007703A">
              <w:rPr>
                <w:rFonts w:ascii="Calibri" w:hAnsi="Calibri" w:cs="Calibri"/>
              </w:rPr>
              <w:t>5.42%</w:t>
            </w:r>
          </w:p>
        </w:tc>
      </w:tr>
      <w:tr w:rsidR="00DF6DAB" w:rsidRPr="00326E6F" w:rsidTr="00DF6DAB">
        <w:trPr>
          <w:trHeight w:val="315"/>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F6DAB" w:rsidRPr="0007703A" w:rsidRDefault="00DF6DAB" w:rsidP="00DF6DAB">
            <w:pPr>
              <w:rPr>
                <w:rFonts w:ascii="Calibri" w:hAnsi="Calibri" w:cs="Calibri"/>
              </w:rPr>
            </w:pPr>
            <w:r w:rsidRPr="0007703A">
              <w:rPr>
                <w:rFonts w:ascii="Calibri" w:hAnsi="Calibri" w:cs="Calibri"/>
              </w:rPr>
              <w:t>2020</w:t>
            </w:r>
          </w:p>
        </w:tc>
        <w:tc>
          <w:tcPr>
            <w:tcW w:w="1710" w:type="dxa"/>
            <w:tcBorders>
              <w:top w:val="single" w:sz="4" w:space="0" w:color="auto"/>
              <w:left w:val="nil"/>
              <w:bottom w:val="single" w:sz="4" w:space="0" w:color="auto"/>
              <w:right w:val="single" w:sz="4" w:space="0" w:color="auto"/>
            </w:tcBorders>
            <w:shd w:val="clear" w:color="auto" w:fill="auto"/>
            <w:noWrap/>
            <w:vAlign w:val="center"/>
          </w:tcPr>
          <w:p w:rsidR="00DF6DAB" w:rsidRPr="0007703A" w:rsidRDefault="00DF6DAB" w:rsidP="00DF6DAB">
            <w:pPr>
              <w:rPr>
                <w:rFonts w:ascii="Calibri" w:hAnsi="Calibri" w:cs="Calibri"/>
              </w:rPr>
            </w:pPr>
            <w:r w:rsidRPr="0007703A">
              <w:rPr>
                <w:rFonts w:ascii="Calibri" w:hAnsi="Calibri" w:cs="Calibri"/>
              </w:rPr>
              <w:t>62.933</w:t>
            </w:r>
          </w:p>
        </w:tc>
        <w:tc>
          <w:tcPr>
            <w:tcW w:w="1980" w:type="dxa"/>
            <w:tcBorders>
              <w:top w:val="single" w:sz="4" w:space="0" w:color="auto"/>
              <w:left w:val="nil"/>
              <w:bottom w:val="single" w:sz="4" w:space="0" w:color="auto"/>
              <w:right w:val="single" w:sz="4" w:space="0" w:color="auto"/>
            </w:tcBorders>
            <w:shd w:val="clear" w:color="auto" w:fill="auto"/>
            <w:noWrap/>
            <w:vAlign w:val="center"/>
          </w:tcPr>
          <w:p w:rsidR="00DF6DAB" w:rsidRPr="0007703A" w:rsidRDefault="00DF6DAB" w:rsidP="00DF6DAB">
            <w:pPr>
              <w:rPr>
                <w:rFonts w:ascii="Calibri" w:hAnsi="Calibri" w:cs="Calibri"/>
              </w:rPr>
            </w:pPr>
            <w:r w:rsidRPr="0007703A">
              <w:rPr>
                <w:rFonts w:ascii="Calibri" w:hAnsi="Calibri" w:cs="Calibri"/>
              </w:rPr>
              <w:t>59.536</w:t>
            </w:r>
          </w:p>
        </w:tc>
        <w:tc>
          <w:tcPr>
            <w:tcW w:w="2340" w:type="dxa"/>
            <w:tcBorders>
              <w:top w:val="single" w:sz="4" w:space="0" w:color="auto"/>
              <w:left w:val="nil"/>
              <w:bottom w:val="single" w:sz="4" w:space="0" w:color="auto"/>
              <w:right w:val="single" w:sz="4" w:space="0" w:color="auto"/>
            </w:tcBorders>
            <w:shd w:val="clear" w:color="auto" w:fill="auto"/>
            <w:noWrap/>
            <w:vAlign w:val="center"/>
          </w:tcPr>
          <w:p w:rsidR="00DF6DAB" w:rsidRPr="0007703A" w:rsidRDefault="00DF6DAB" w:rsidP="00DF6DAB">
            <w:pPr>
              <w:rPr>
                <w:rFonts w:ascii="Calibri" w:hAnsi="Calibri" w:cs="Calibri"/>
              </w:rPr>
            </w:pPr>
            <w:r w:rsidRPr="0007703A">
              <w:rPr>
                <w:rFonts w:ascii="Calibri" w:hAnsi="Calibri" w:cs="Calibri"/>
              </w:rPr>
              <w:t>3.397</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DF6DAB" w:rsidRPr="0007703A" w:rsidRDefault="00DF6DAB" w:rsidP="00DF6DAB">
            <w:pPr>
              <w:rPr>
                <w:rFonts w:ascii="Calibri" w:hAnsi="Calibri" w:cs="Calibri"/>
              </w:rPr>
            </w:pPr>
            <w:r w:rsidRPr="0007703A">
              <w:rPr>
                <w:rFonts w:ascii="Calibri" w:hAnsi="Calibri" w:cs="Calibri"/>
              </w:rPr>
              <w:t>5.39%</w:t>
            </w:r>
          </w:p>
        </w:tc>
      </w:tr>
    </w:tbl>
    <w:p w:rsidR="00DF6DAB" w:rsidRPr="00326E6F" w:rsidRDefault="00DF6DAB" w:rsidP="00DF6DAB">
      <w:pPr>
        <w:rPr>
          <w:rFonts w:ascii="Arial" w:hAnsi="Arial" w:cs="Arial"/>
          <w:highlight w:val="yellow"/>
        </w:rPr>
      </w:pPr>
    </w:p>
    <w:p w:rsidR="00DF6DAB" w:rsidRPr="00326E6F" w:rsidRDefault="00DF6DAB" w:rsidP="00DF6DAB">
      <w:pPr>
        <w:jc w:val="center"/>
        <w:rPr>
          <w:rFonts w:ascii="Arial" w:hAnsi="Arial" w:cs="Arial"/>
          <w:highlight w:val="yellow"/>
        </w:rPr>
      </w:pPr>
      <w:r w:rsidRPr="00326E6F">
        <w:rPr>
          <w:rFonts w:ascii="Arial" w:hAnsi="Arial" w:cs="Arial"/>
          <w:noProof/>
          <w:lang w:val="sr-Latn-RS" w:eastAsia="sr-Latn-RS"/>
        </w:rPr>
        <w:drawing>
          <wp:inline distT="0" distB="0" distL="0" distR="0" wp14:anchorId="0BADDD29" wp14:editId="280A1D7A">
            <wp:extent cx="4422775" cy="2675255"/>
            <wp:effectExtent l="0" t="0" r="15875" b="10795"/>
            <wp:docPr id="33" name="Chart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F6DAB" w:rsidRPr="00326E6F" w:rsidRDefault="00DF6DAB" w:rsidP="00DF6DAB">
      <w:pPr>
        <w:rPr>
          <w:rFonts w:ascii="Arial" w:hAnsi="Arial" w:cs="Arial"/>
        </w:rPr>
      </w:pPr>
    </w:p>
    <w:p w:rsidR="00DF6DAB" w:rsidRPr="00DF6DAB" w:rsidRDefault="00DF6DAB" w:rsidP="00DF6DAB">
      <w:pPr>
        <w:ind w:firstLine="720"/>
        <w:rPr>
          <w:rFonts w:ascii="Calibri" w:hAnsi="Calibri" w:cs="Calibri"/>
        </w:rPr>
      </w:pPr>
      <w:r w:rsidRPr="0007703A">
        <w:rPr>
          <w:rFonts w:ascii="Calibri" w:hAnsi="Calibri" w:cs="Calibri"/>
        </w:rPr>
        <w:t xml:space="preserve">Uz angažovanje svih kapaciteta Uprave i uz prekovremen rad Uprava je broj nezavršenih predmeta dovela na minimum uz napomenu da je jedan broj predmeta podnešen u decembru 2020. godine, i da </w:t>
      </w:r>
      <w:r>
        <w:rPr>
          <w:rFonts w:ascii="Calibri" w:hAnsi="Calibri" w:cs="Calibri"/>
        </w:rPr>
        <w:t>zakonski rokovi nijesu istekli.</w:t>
      </w:r>
    </w:p>
    <w:p w:rsidR="00DF6DAB" w:rsidRPr="00326E6F" w:rsidRDefault="00DF6DAB" w:rsidP="00DF6DAB">
      <w:pPr>
        <w:rPr>
          <w:rFonts w:ascii="Arial" w:hAnsi="Arial" w:cs="Arial"/>
          <w:highlight w:val="yellow"/>
        </w:rPr>
      </w:pPr>
    </w:p>
    <w:p w:rsidR="00DF6DAB" w:rsidRPr="00326E6F" w:rsidRDefault="00DF6DAB" w:rsidP="00DF6DAB">
      <w:pPr>
        <w:jc w:val="center"/>
        <w:rPr>
          <w:rFonts w:ascii="Arial" w:hAnsi="Arial" w:cs="Arial"/>
          <w:highlight w:val="yellow"/>
        </w:rPr>
      </w:pPr>
      <w:r w:rsidRPr="00326E6F">
        <w:rPr>
          <w:rFonts w:ascii="Arial" w:hAnsi="Arial" w:cs="Arial"/>
          <w:noProof/>
          <w:lang w:val="sr-Latn-RS" w:eastAsia="sr-Latn-RS"/>
        </w:rPr>
        <w:drawing>
          <wp:inline distT="0" distB="0" distL="0" distR="0" wp14:anchorId="271991E9" wp14:editId="1AFF6127">
            <wp:extent cx="4724400" cy="2807970"/>
            <wp:effectExtent l="0" t="0" r="0" b="11430"/>
            <wp:docPr id="32" name="Chart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DF6DAB" w:rsidRPr="00326E6F" w:rsidRDefault="00DF6DAB" w:rsidP="00DF6DAB">
      <w:pPr>
        <w:rPr>
          <w:rFonts w:ascii="Arial" w:hAnsi="Arial" w:cs="Arial"/>
          <w:highlight w:val="yellow"/>
        </w:rPr>
      </w:pPr>
    </w:p>
    <w:p w:rsidR="00DF6DAB" w:rsidRPr="00DF6DAB" w:rsidRDefault="00DF6DAB" w:rsidP="00DF6DAB">
      <w:pPr>
        <w:rPr>
          <w:rFonts w:ascii="Calibri" w:hAnsi="Calibri" w:cs="Calibri"/>
          <w:b/>
        </w:rPr>
      </w:pPr>
      <w:r w:rsidRPr="0007703A">
        <w:rPr>
          <w:rFonts w:ascii="Calibri" w:hAnsi="Calibri" w:cs="Calibri"/>
          <w:b/>
        </w:rPr>
        <w:t>ŽALBE NA RJEŠENJA U PRVOSTEP</w:t>
      </w:r>
      <w:r>
        <w:rPr>
          <w:rFonts w:ascii="Calibri" w:hAnsi="Calibri" w:cs="Calibri"/>
          <w:b/>
        </w:rPr>
        <w:t>ENOM POSTUPKU</w:t>
      </w:r>
    </w:p>
    <w:p w:rsidR="00DF6DAB" w:rsidRPr="0007703A" w:rsidRDefault="00DF6DAB" w:rsidP="00DF6DAB">
      <w:pPr>
        <w:spacing w:before="0" w:after="0"/>
        <w:ind w:firstLine="720"/>
        <w:rPr>
          <w:rFonts w:ascii="Calibri" w:hAnsi="Calibri" w:cs="Calibri"/>
        </w:rPr>
      </w:pPr>
      <w:r w:rsidRPr="0007703A">
        <w:rPr>
          <w:rFonts w:ascii="Calibri" w:hAnsi="Calibri" w:cs="Calibri"/>
        </w:rPr>
        <w:t>Ukupan broj podnešenih žalbi je 2.414 žalbe na ukupan broj riješenih predmeta 59.536 odnosno 4.05%.</w:t>
      </w:r>
    </w:p>
    <w:p w:rsidR="00DF6DAB" w:rsidRPr="0007703A" w:rsidRDefault="00DF6DAB" w:rsidP="00DF6DAB">
      <w:pPr>
        <w:spacing w:before="0" w:after="0"/>
        <w:ind w:firstLine="720"/>
        <w:rPr>
          <w:rFonts w:ascii="Calibri" w:hAnsi="Calibri" w:cs="Calibri"/>
        </w:rPr>
      </w:pPr>
      <w:r w:rsidRPr="0007703A">
        <w:rPr>
          <w:rFonts w:ascii="Calibri" w:hAnsi="Calibri" w:cs="Calibri"/>
        </w:rPr>
        <w:t>Uprava u ovim predmetima postupa u skladu sa datim sugestijama.</w:t>
      </w:r>
    </w:p>
    <w:p w:rsidR="00DF6DAB" w:rsidRPr="00326E6F" w:rsidRDefault="00DF6DAB" w:rsidP="00DF6DAB">
      <w:pPr>
        <w:rPr>
          <w:rFonts w:ascii="Arial" w:hAnsi="Arial" w:cs="Arial"/>
          <w:highlight w:val="yellow"/>
        </w:rPr>
      </w:pPr>
    </w:p>
    <w:p w:rsidR="00DF6DAB" w:rsidRPr="00326E6F" w:rsidRDefault="00DF6DAB" w:rsidP="00DF6DAB">
      <w:pPr>
        <w:rPr>
          <w:rFonts w:ascii="Arial" w:hAnsi="Arial" w:cs="Arial"/>
          <w:highlight w:val="yellow"/>
        </w:rPr>
      </w:pPr>
    </w:p>
    <w:p w:rsidR="00DF6DAB" w:rsidRPr="00326E6F" w:rsidRDefault="00DF6DAB" w:rsidP="00DF6DAB">
      <w:pPr>
        <w:jc w:val="center"/>
        <w:rPr>
          <w:rFonts w:ascii="Arial" w:hAnsi="Arial" w:cs="Arial"/>
          <w:highlight w:val="yellow"/>
        </w:rPr>
      </w:pPr>
      <w:r w:rsidRPr="00326E6F">
        <w:rPr>
          <w:rFonts w:ascii="Arial" w:hAnsi="Arial" w:cs="Arial"/>
          <w:noProof/>
          <w:lang w:val="sr-Latn-RS" w:eastAsia="sr-Latn-RS"/>
        </w:rPr>
        <w:lastRenderedPageBreak/>
        <w:drawing>
          <wp:inline distT="0" distB="0" distL="0" distR="0" wp14:anchorId="523ECFE9" wp14:editId="4EBB0711">
            <wp:extent cx="4724400" cy="2807970"/>
            <wp:effectExtent l="0" t="0" r="0" b="11430"/>
            <wp:docPr id="31" name="Chart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DF6DAB" w:rsidRPr="00326E6F" w:rsidRDefault="00DF6DAB" w:rsidP="00DF6DAB">
      <w:pPr>
        <w:spacing w:before="0" w:after="0"/>
        <w:rPr>
          <w:rFonts w:ascii="Arial" w:hAnsi="Arial" w:cs="Arial"/>
          <w:highlight w:val="yellow"/>
        </w:rPr>
      </w:pPr>
    </w:p>
    <w:p w:rsidR="00DF6DAB" w:rsidRPr="0007703A" w:rsidRDefault="00DF6DAB" w:rsidP="00DF6DAB">
      <w:pPr>
        <w:spacing w:before="0"/>
        <w:rPr>
          <w:rFonts w:ascii="Calibri" w:hAnsi="Calibri" w:cs="Calibri"/>
          <w:b/>
        </w:rPr>
      </w:pPr>
      <w:r w:rsidRPr="0007703A">
        <w:rPr>
          <w:rFonts w:ascii="Calibri" w:hAnsi="Calibri" w:cs="Calibri"/>
          <w:b/>
        </w:rPr>
        <w:t>PROJEKAT LEGALIZACIJE BESPRAVNO SAGRAĐENIH OBJEKATA</w:t>
      </w:r>
    </w:p>
    <w:p w:rsidR="00DF6DAB" w:rsidRPr="0007703A" w:rsidRDefault="00DF6DAB" w:rsidP="00DF6DAB">
      <w:pPr>
        <w:spacing w:before="0" w:after="0" w:line="240" w:lineRule="auto"/>
        <w:ind w:firstLine="720"/>
        <w:rPr>
          <w:rFonts w:ascii="Calibri" w:hAnsi="Calibri" w:cs="Calibri"/>
        </w:rPr>
      </w:pPr>
      <w:r w:rsidRPr="0007703A">
        <w:rPr>
          <w:rFonts w:ascii="Calibri" w:hAnsi="Calibri" w:cs="Calibri"/>
        </w:rPr>
        <w:t>Shodno projektu legalizacije bespravno sagrađenih objekata Uprava za nekretnine je i u 2020</w:t>
      </w:r>
      <w:r w:rsidR="00DF4520">
        <w:rPr>
          <w:rFonts w:ascii="Calibri" w:hAnsi="Calibri" w:cs="Calibri"/>
        </w:rPr>
        <w:t>.</w:t>
      </w:r>
      <w:r w:rsidRPr="0007703A">
        <w:rPr>
          <w:rFonts w:ascii="Calibri" w:hAnsi="Calibri" w:cs="Calibri"/>
        </w:rPr>
        <w:t xml:space="preserve"> godini imala povećan obim poslova na postupcima ovjere elaborate, izdavanje koorinata tačaka, izdavanje kopija planova, izdavanje uvjerenja o posjedovanju nepokretnosti na teritorije države.</w:t>
      </w:r>
    </w:p>
    <w:p w:rsidR="00DF6DAB" w:rsidRPr="0007703A" w:rsidRDefault="00DF6DAB" w:rsidP="00DF6DAB">
      <w:pPr>
        <w:spacing w:before="0" w:after="0" w:line="240" w:lineRule="auto"/>
        <w:ind w:firstLine="720"/>
        <w:rPr>
          <w:rFonts w:ascii="Calibri" w:hAnsi="Calibri" w:cs="Calibri"/>
        </w:rPr>
      </w:pPr>
      <w:r w:rsidRPr="0007703A">
        <w:rPr>
          <w:rFonts w:ascii="Calibri" w:hAnsi="Calibri" w:cs="Calibri"/>
        </w:rPr>
        <w:t xml:space="preserve">Navedeno povećanje tokom izvještajnog perioda je proizvod nekompletirane dokumentacije podnešene lokalnim samoupravama, u čijim postupcima su stranke u obavezi da kompletiraju dokumetnaciju.  </w:t>
      </w:r>
    </w:p>
    <w:p w:rsidR="00DF6DAB" w:rsidRPr="0007703A" w:rsidRDefault="00DF6DAB" w:rsidP="00DF6DAB">
      <w:pPr>
        <w:spacing w:before="0" w:after="0" w:line="240" w:lineRule="auto"/>
        <w:ind w:firstLine="720"/>
        <w:rPr>
          <w:rFonts w:ascii="Calibri" w:hAnsi="Calibri" w:cs="Calibri"/>
        </w:rPr>
      </w:pPr>
      <w:r w:rsidRPr="0007703A">
        <w:rPr>
          <w:rFonts w:ascii="Calibri" w:hAnsi="Calibri" w:cs="Calibri"/>
        </w:rPr>
        <w:t>Uprava za nekretnine shodno projektu legalizacije, organizovala je dopunski rad, ispomoć Područnim jedinicama Bar, Herceg Novi, Tivat, Žabljak, kao i ispomoć Odsjeka za državni premjer, Područnoj jedinici Podgorica. Sa veoma malim brojem službenika geodetske struke, Uprava je postigla veoma dobre rezultate, s obzirom da broj lica geodetske struke, najčešće prelazi u privatnu praksu, čime se ovoj Upravi stvaraju kadrovski problemi odnosno deficit lica geodetske struke.</w:t>
      </w:r>
    </w:p>
    <w:p w:rsidR="00DF6DAB" w:rsidRPr="0007703A" w:rsidRDefault="00DF6DAB" w:rsidP="00DF6DAB">
      <w:pPr>
        <w:spacing w:before="0" w:after="0" w:line="240" w:lineRule="auto"/>
        <w:ind w:firstLine="720"/>
        <w:rPr>
          <w:rFonts w:ascii="Calibri" w:hAnsi="Calibri" w:cs="Calibri"/>
        </w:rPr>
      </w:pPr>
      <w:r w:rsidRPr="0007703A">
        <w:rPr>
          <w:rFonts w:ascii="Calibri" w:hAnsi="Calibri" w:cs="Calibri"/>
        </w:rPr>
        <w:t>U toku izvještajnog period nastavljen je rad na projektima osnivanja katastra nepokretnosti za nepremjereni dio teritorije Opštine Nikšić i Opštine Bijelo Polje, koji predstavljaju veoma važne projekte za ovaj državni organ koji će stvaranjem katastra nepokretnosti za ove teritorije doprinijeti vežoj sigurnosti vlasništva, boljoj naplati poreza kao i sve druge benefite koji se ostvaruju ovakvim podacima.</w:t>
      </w:r>
    </w:p>
    <w:p w:rsidR="00DF6DAB" w:rsidRPr="0007703A" w:rsidRDefault="00DF6DAB" w:rsidP="00DF6DAB">
      <w:pPr>
        <w:spacing w:before="0" w:after="0" w:line="240" w:lineRule="auto"/>
        <w:rPr>
          <w:rFonts w:ascii="Calibri" w:hAnsi="Calibri" w:cs="Calibri"/>
          <w:highlight w:val="yellow"/>
        </w:rPr>
      </w:pPr>
    </w:p>
    <w:p w:rsidR="00DF6DAB" w:rsidRPr="00DF6DAB" w:rsidRDefault="00DF6DAB" w:rsidP="00DF6DAB">
      <w:pPr>
        <w:spacing w:before="0" w:line="240" w:lineRule="auto"/>
        <w:rPr>
          <w:rFonts w:ascii="Calibri" w:hAnsi="Calibri" w:cs="Calibri"/>
        </w:rPr>
      </w:pPr>
      <w:r w:rsidRPr="00DF6DAB">
        <w:rPr>
          <w:rFonts w:ascii="Calibri" w:hAnsi="Calibri" w:cs="Calibri"/>
        </w:rPr>
        <w:t>PRIHODI UPRAVE ZA NEKRETNINE</w:t>
      </w:r>
    </w:p>
    <w:p w:rsidR="00DF6DAB" w:rsidRPr="0007703A" w:rsidRDefault="00DF6DAB" w:rsidP="00DF6DAB">
      <w:pPr>
        <w:spacing w:before="0" w:after="0" w:line="240" w:lineRule="auto"/>
        <w:ind w:firstLine="720"/>
        <w:rPr>
          <w:rFonts w:ascii="Calibri" w:hAnsi="Calibri" w:cs="Calibri"/>
        </w:rPr>
      </w:pPr>
      <w:r w:rsidRPr="0007703A">
        <w:rPr>
          <w:rFonts w:ascii="Calibri" w:hAnsi="Calibri" w:cs="Calibri"/>
        </w:rPr>
        <w:t xml:space="preserve">U toku 2020. godine ukupno ostvareni prihod je 1.588.026,00 € </w:t>
      </w:r>
    </w:p>
    <w:p w:rsidR="00DF6DAB" w:rsidRPr="0007703A" w:rsidRDefault="00DF6DAB" w:rsidP="00DF6DAB">
      <w:pPr>
        <w:spacing w:before="0" w:after="0" w:line="240" w:lineRule="auto"/>
        <w:ind w:firstLine="720"/>
        <w:rPr>
          <w:rFonts w:ascii="Calibri" w:hAnsi="Calibri" w:cs="Calibri"/>
        </w:rPr>
      </w:pPr>
      <w:r w:rsidRPr="0007703A">
        <w:rPr>
          <w:rFonts w:ascii="Calibri" w:hAnsi="Calibri" w:cs="Calibri"/>
        </w:rPr>
        <w:t xml:space="preserve">Uredba o visini naknada za korišćenje podataka katastra nepokretnosti donešena je 2012. godine i naknade iz Uredbe su najniže u regionu. </w:t>
      </w:r>
    </w:p>
    <w:p w:rsidR="00DF6DAB" w:rsidRPr="0007703A" w:rsidRDefault="00DF6DAB" w:rsidP="00DF6DAB">
      <w:pPr>
        <w:spacing w:before="0" w:after="0" w:line="240" w:lineRule="auto"/>
        <w:ind w:firstLine="720"/>
        <w:rPr>
          <w:rFonts w:ascii="Calibri" w:hAnsi="Calibri" w:cs="Calibri"/>
        </w:rPr>
      </w:pPr>
      <w:r w:rsidRPr="0007703A">
        <w:rPr>
          <w:rFonts w:ascii="Calibri" w:hAnsi="Calibri" w:cs="Calibri"/>
        </w:rPr>
        <w:t xml:space="preserve">Pokrenuta je procedura usvajanja Uredbe i istom planirani prihodi nakon usvajanja iste na godišnjem niovu iznosi li mnogo više nego već ostvareni. </w:t>
      </w:r>
    </w:p>
    <w:p w:rsidR="00DF6DAB" w:rsidRPr="0007703A" w:rsidRDefault="00DF6DAB" w:rsidP="00DF6DAB">
      <w:pPr>
        <w:spacing w:before="0" w:after="0" w:line="240" w:lineRule="auto"/>
        <w:ind w:firstLine="720"/>
        <w:rPr>
          <w:rFonts w:ascii="Calibri" w:hAnsi="Calibri" w:cs="Calibri"/>
        </w:rPr>
      </w:pPr>
      <w:r w:rsidRPr="0007703A">
        <w:rPr>
          <w:rFonts w:ascii="Calibri" w:hAnsi="Calibri" w:cs="Calibri"/>
        </w:rPr>
        <w:t>Za potrebe državnih organa, organa lokalne samouprave i javnih preduzeća, podaci se dostavljaju bez naknada.</w:t>
      </w:r>
    </w:p>
    <w:p w:rsidR="00DF6DAB" w:rsidRPr="0007703A" w:rsidRDefault="00DF6DAB" w:rsidP="00DF6DAB">
      <w:pPr>
        <w:spacing w:before="0" w:after="0" w:line="240" w:lineRule="auto"/>
        <w:ind w:firstLine="720"/>
        <w:rPr>
          <w:rFonts w:ascii="Calibri" w:hAnsi="Calibri" w:cs="Calibri"/>
        </w:rPr>
      </w:pPr>
      <w:r w:rsidRPr="0007703A">
        <w:rPr>
          <w:rFonts w:ascii="Calibri" w:hAnsi="Calibri" w:cs="Calibri"/>
        </w:rPr>
        <w:t>Pored toga nemoguće je prikazati sve one dnevne, dodatne poslove koji se obavljaju (razni uvidi, provjere podataka, objašnjenja, prijemi stranaka, vještačenja za sudove, dostavljanje hronologije upisa i sl.), a koji čine oko 50% radnih obaveza.</w:t>
      </w:r>
    </w:p>
    <w:p w:rsidR="00DF6DAB" w:rsidRPr="0007703A" w:rsidRDefault="00DF6DAB" w:rsidP="00DF6DAB">
      <w:pPr>
        <w:spacing w:before="0" w:after="0" w:line="240" w:lineRule="auto"/>
        <w:ind w:firstLine="720"/>
        <w:rPr>
          <w:rFonts w:ascii="Calibri" w:hAnsi="Calibri" w:cs="Calibri"/>
        </w:rPr>
      </w:pPr>
      <w:r w:rsidRPr="0007703A">
        <w:rPr>
          <w:rFonts w:ascii="Calibri" w:hAnsi="Calibri" w:cs="Calibri"/>
        </w:rPr>
        <w:lastRenderedPageBreak/>
        <w:t>Važno je napomenuti da je u Upravi smanjen broj predstavki od strane građana iz razloga bržeg i efikasnijeg rješavanja predmeta u upravnom postupku.</w:t>
      </w:r>
    </w:p>
    <w:p w:rsidR="00DF6DAB" w:rsidRPr="0007703A" w:rsidRDefault="00DF6DAB" w:rsidP="00DF6DAB">
      <w:pPr>
        <w:spacing w:before="0" w:after="0" w:line="240" w:lineRule="auto"/>
        <w:ind w:firstLine="720"/>
        <w:rPr>
          <w:rFonts w:ascii="Calibri" w:hAnsi="Calibri" w:cs="Calibri"/>
        </w:rPr>
      </w:pPr>
      <w:r w:rsidRPr="0007703A">
        <w:rPr>
          <w:rFonts w:ascii="Calibri" w:hAnsi="Calibri" w:cs="Calibri"/>
        </w:rPr>
        <w:t>Za ovaj izvještajni period nastavlja se sa aktivnostima rješavanja upisa hipoteka u roku od 24 h od prijema zahtjeva.</w:t>
      </w:r>
    </w:p>
    <w:p w:rsidR="00DF6DAB" w:rsidRPr="0007703A" w:rsidRDefault="00DF6DAB" w:rsidP="00DF6DAB">
      <w:pPr>
        <w:spacing w:before="0" w:after="0" w:line="240" w:lineRule="auto"/>
        <w:ind w:firstLine="720"/>
        <w:rPr>
          <w:rFonts w:ascii="Calibri" w:hAnsi="Calibri" w:cs="Calibri"/>
        </w:rPr>
      </w:pPr>
      <w:r w:rsidRPr="0007703A">
        <w:rPr>
          <w:rFonts w:ascii="Calibri" w:hAnsi="Calibri" w:cs="Calibri"/>
        </w:rPr>
        <w:t xml:space="preserve">Takođe, važno je napomenuti da je vrijeme završetka predmeta, a shodno Izmjenama i dopunama Zakona o državnom premjeru i katastru nepokretnosti, smanjeno na osnovu upisa po skraćenom postupku. Međutim, važna činjenica je i da se ubrzanjem postupka vršenja promjena, pojavila potreba i za većim brojem zaposlenih sa opisom radnih mjesta za sprovođenje promjena kroz bazu podataka. </w:t>
      </w:r>
    </w:p>
    <w:p w:rsidR="00DF6DAB" w:rsidRPr="0007703A" w:rsidRDefault="00DF6DAB" w:rsidP="00DF6DAB">
      <w:pPr>
        <w:spacing w:before="0" w:after="0" w:line="240" w:lineRule="auto"/>
        <w:ind w:firstLine="720"/>
        <w:rPr>
          <w:rFonts w:ascii="Calibri" w:hAnsi="Calibri" w:cs="Calibri"/>
        </w:rPr>
      </w:pPr>
      <w:r w:rsidRPr="0007703A">
        <w:rPr>
          <w:rFonts w:ascii="Calibri" w:hAnsi="Calibri" w:cs="Calibri"/>
        </w:rPr>
        <w:t>Uprava i dalje na ovim poslovima radi sa smanjenim kapacitetima, jer jedan dio Samostalnih savjetnika, dipl. pravnika angažovano je na poslovima u Komisijama za izlaganje podataka o nepokretnostima na javni uvid na teritorijama Opština Podgorice, Andrijevica, Berane, Nikšić, Petnjica, Plav, Rožaje i Šavnik.</w:t>
      </w:r>
    </w:p>
    <w:p w:rsidR="00DF6DAB" w:rsidRPr="0007703A" w:rsidRDefault="00DF6DAB" w:rsidP="00DF6DAB">
      <w:pPr>
        <w:spacing w:before="0" w:after="0" w:line="240" w:lineRule="auto"/>
        <w:ind w:firstLine="720"/>
        <w:rPr>
          <w:rFonts w:ascii="Calibri" w:hAnsi="Calibri" w:cs="Calibri"/>
        </w:rPr>
      </w:pPr>
      <w:r w:rsidRPr="0007703A">
        <w:rPr>
          <w:rFonts w:ascii="Calibri" w:hAnsi="Calibri" w:cs="Calibri"/>
        </w:rPr>
        <w:t xml:space="preserve">U toku ovog izvještajnog perioda i dalje su nastavljene aktivnosti na prioritetnim predmetima eksproprijacija na državnom i lokalnom nivou i isti zahtijevaju uključivanje svih kapaciteta Uprave, radi  realizacije kapitalnih projekata koji su veoma značajni za Državu iz oblasti saobraćaja, energetike i turizma, a naročito poslovi na auto putu Bar - Boljari, dalekovod primorje - Pljevlja, optički kabal „Terna”, put Berane - Lubnica - Kolašin, kao i izrada elaborata eksproprijacije i sprovođenje  upravnog postupka eksproprijacije za sve infrastrukturalne projekte u Crnoj Gori u Područnim jedinicama Podgorici, Cetinju, Beranama, Bijelom Polju, Kolašinu, Kotoru, Šavnik, Žabljak, Pljevlja i Nikšiću kao i u drugim Opštinama gdje su kapitalne projekte sprovodile lokalne samouprave. </w:t>
      </w:r>
    </w:p>
    <w:p w:rsidR="00DF6DAB" w:rsidRPr="0007703A" w:rsidRDefault="00DF6DAB" w:rsidP="00DF6DAB">
      <w:pPr>
        <w:spacing w:before="0" w:after="0" w:line="240" w:lineRule="auto"/>
        <w:ind w:firstLine="720"/>
        <w:rPr>
          <w:rFonts w:ascii="Calibri" w:hAnsi="Calibri" w:cs="Calibri"/>
        </w:rPr>
      </w:pPr>
      <w:r w:rsidRPr="0007703A">
        <w:rPr>
          <w:rFonts w:ascii="Calibri" w:hAnsi="Calibri" w:cs="Calibri"/>
        </w:rPr>
        <w:t xml:space="preserve">U toku je nastavak izlaganje podataka novog premjera koje Uprava u kontinuitetu radi od 2008. godine. </w:t>
      </w:r>
    </w:p>
    <w:p w:rsidR="00DF6DAB" w:rsidRDefault="00DF6DAB" w:rsidP="00DF6DAB">
      <w:pPr>
        <w:spacing w:before="0" w:after="0" w:line="240" w:lineRule="auto"/>
        <w:ind w:firstLine="720"/>
        <w:rPr>
          <w:rFonts w:ascii="Calibri" w:hAnsi="Calibri" w:cs="Calibri"/>
        </w:rPr>
      </w:pPr>
      <w:r w:rsidRPr="0007703A">
        <w:rPr>
          <w:rFonts w:ascii="Calibri" w:hAnsi="Calibri" w:cs="Calibri"/>
        </w:rPr>
        <w:t>U toku 2020. godine potvrđena je baza podataka evidencije katastra nepokretnosti za 28 katastarskih opšt</w:t>
      </w:r>
      <w:r>
        <w:rPr>
          <w:rFonts w:ascii="Calibri" w:hAnsi="Calibri" w:cs="Calibri"/>
        </w:rPr>
        <w:t>ina, ukupne površine 53,990 ha.</w:t>
      </w:r>
    </w:p>
    <w:p w:rsidR="00DF6DAB" w:rsidRPr="0007703A" w:rsidRDefault="00DF6DAB" w:rsidP="00DF6DAB">
      <w:pPr>
        <w:spacing w:before="0" w:after="0" w:line="240" w:lineRule="auto"/>
        <w:ind w:firstLine="720"/>
        <w:rPr>
          <w:rFonts w:ascii="Calibri" w:hAnsi="Calibri" w:cs="Calibri"/>
        </w:rPr>
      </w:pPr>
    </w:p>
    <w:p w:rsidR="00DF6DAB" w:rsidRPr="00DF6DAB" w:rsidRDefault="00DF6DAB" w:rsidP="00DF6DAB">
      <w:pPr>
        <w:spacing w:before="0" w:after="0"/>
        <w:rPr>
          <w:rFonts w:ascii="Calibri" w:hAnsi="Calibri" w:cs="Calibri"/>
        </w:rPr>
      </w:pPr>
      <w:r w:rsidRPr="00DF6DAB">
        <w:rPr>
          <w:rFonts w:ascii="Calibri" w:hAnsi="Calibri" w:cs="Calibri"/>
        </w:rPr>
        <w:t>PROCJENA NEPOKRETNOSTI</w:t>
      </w:r>
    </w:p>
    <w:p w:rsidR="00DF6DAB" w:rsidRPr="0007703A" w:rsidRDefault="00DF6DAB" w:rsidP="00DF6DAB">
      <w:pPr>
        <w:spacing w:after="0" w:line="240" w:lineRule="auto"/>
        <w:ind w:firstLine="720"/>
        <w:rPr>
          <w:rFonts w:ascii="Calibri" w:hAnsi="Calibri" w:cs="Calibri"/>
        </w:rPr>
      </w:pPr>
      <w:r w:rsidRPr="0007703A">
        <w:rPr>
          <w:rFonts w:ascii="Calibri" w:hAnsi="Calibri" w:cs="Calibri"/>
        </w:rPr>
        <w:t xml:space="preserve">Shodno Zakonu o ekspoprijaciji („Sl.ist RCG”, br.  55/00, 12/02, 28/06, i Sl. CG br. 21/08, 30/17 i 75/18) čl. 22 stav 3 i 5 definisano da Komisiju obrazuje nadležan organ za poslove upisa na nepokretnostima, koja ima pet članova od kojih najmanje tri člana moraju biti sudski vještaci odgovarajuće struke </w:t>
      </w:r>
    </w:p>
    <w:p w:rsidR="00DF6DAB" w:rsidRPr="0007703A" w:rsidRDefault="00DF6DAB" w:rsidP="00DF6DAB">
      <w:pPr>
        <w:spacing w:before="0" w:after="0" w:line="240" w:lineRule="auto"/>
        <w:ind w:firstLine="720"/>
        <w:rPr>
          <w:rFonts w:ascii="Calibri" w:hAnsi="Calibri" w:cs="Calibri"/>
        </w:rPr>
      </w:pPr>
      <w:r w:rsidRPr="0007703A">
        <w:rPr>
          <w:rFonts w:ascii="Calibri" w:hAnsi="Calibri" w:cs="Calibri"/>
        </w:rPr>
        <w:t>Direktor Uprave je formirao Komisiju za procjenu vrijednosti nepokretnosti u postupcima eksproprijacija za teritoriju svih opština.</w:t>
      </w:r>
    </w:p>
    <w:p w:rsidR="00DF6DAB" w:rsidRPr="0007703A" w:rsidRDefault="00DF6DAB" w:rsidP="00DF6DAB">
      <w:pPr>
        <w:spacing w:before="0" w:after="0" w:line="240" w:lineRule="auto"/>
        <w:ind w:firstLine="720"/>
        <w:rPr>
          <w:rFonts w:ascii="Calibri" w:hAnsi="Calibri" w:cs="Calibri"/>
        </w:rPr>
      </w:pPr>
      <w:r w:rsidRPr="0007703A">
        <w:rPr>
          <w:rFonts w:ascii="Calibri" w:hAnsi="Calibri" w:cs="Calibri"/>
        </w:rPr>
        <w:t xml:space="preserve">Komisije rade na poslovima procjena za potrebe realizacije najznačajnijih projekata za Državni i loklanu samoupravu. </w:t>
      </w:r>
    </w:p>
    <w:p w:rsidR="00DF6DAB" w:rsidRPr="0007703A" w:rsidRDefault="00DF6DAB" w:rsidP="00DF6DAB">
      <w:pPr>
        <w:spacing w:before="0" w:after="0" w:line="240" w:lineRule="auto"/>
        <w:ind w:firstLine="720"/>
        <w:rPr>
          <w:rFonts w:ascii="Calibri" w:hAnsi="Calibri" w:cs="Calibri"/>
        </w:rPr>
      </w:pPr>
      <w:r w:rsidRPr="0007703A">
        <w:rPr>
          <w:rFonts w:ascii="Calibri" w:hAnsi="Calibri" w:cs="Calibri"/>
        </w:rPr>
        <w:t>Najznačajniji i najveći obim poslova je za potrebe Ministarstva saobraćaja i pomorstva, Upravu za saobraćaj, Crnogorski elektrodistributivni sistem, Crnogorski elektroprenosni sistem, Glavni grad i dr.</w:t>
      </w:r>
    </w:p>
    <w:p w:rsidR="00DF6DAB" w:rsidRPr="0007703A" w:rsidRDefault="00DF6DAB" w:rsidP="00DF6DAB">
      <w:pPr>
        <w:spacing w:before="0" w:after="0" w:line="240" w:lineRule="auto"/>
        <w:ind w:firstLine="720"/>
        <w:rPr>
          <w:rFonts w:ascii="Calibri" w:hAnsi="Calibri" w:cs="Calibri"/>
        </w:rPr>
      </w:pPr>
      <w:r w:rsidRPr="0007703A">
        <w:rPr>
          <w:rFonts w:ascii="Calibri" w:hAnsi="Calibri" w:cs="Calibri"/>
        </w:rPr>
        <w:t>Poslovi procjena su vršeni su skladu sa Pravilnikom o metologiji procjene vrijednosti imovine.</w:t>
      </w:r>
    </w:p>
    <w:p w:rsidR="00DF6DAB" w:rsidRPr="0007703A" w:rsidRDefault="00DF6DAB" w:rsidP="00DF6DAB">
      <w:pPr>
        <w:spacing w:before="0" w:after="0" w:line="240" w:lineRule="auto"/>
        <w:ind w:firstLine="720"/>
        <w:rPr>
          <w:rFonts w:ascii="Calibri" w:hAnsi="Calibri" w:cs="Calibri"/>
        </w:rPr>
      </w:pPr>
      <w:r w:rsidRPr="0007703A">
        <w:rPr>
          <w:rFonts w:ascii="Calibri" w:hAnsi="Calibri" w:cs="Calibri"/>
        </w:rPr>
        <w:t>Poslovi procjena su odrađeni profesionalno i rokovima.</w:t>
      </w:r>
    </w:p>
    <w:p w:rsidR="00DF6DAB" w:rsidRPr="0007703A" w:rsidRDefault="00DF6DAB" w:rsidP="00DF6DAB">
      <w:pPr>
        <w:spacing w:before="0" w:after="0" w:line="240" w:lineRule="auto"/>
        <w:rPr>
          <w:rFonts w:ascii="Calibri" w:hAnsi="Calibri" w:cs="Calibri"/>
        </w:rPr>
      </w:pPr>
    </w:p>
    <w:p w:rsidR="00DF6DAB" w:rsidRPr="0007703A" w:rsidRDefault="00DF6DAB" w:rsidP="00DF6DAB">
      <w:pPr>
        <w:spacing w:before="0" w:after="0" w:line="240" w:lineRule="auto"/>
        <w:rPr>
          <w:rFonts w:ascii="Calibri" w:hAnsi="Calibri" w:cs="Calibri"/>
        </w:rPr>
      </w:pPr>
      <w:r w:rsidRPr="0007703A">
        <w:rPr>
          <w:rFonts w:ascii="Calibri" w:hAnsi="Calibri" w:cs="Calibri"/>
        </w:rPr>
        <w:t>POSLOVI IZDAVANJA OVLAŠĆENJA I LICENCI ZA IZVOĐENJE GEODETSKIH RADOVA</w:t>
      </w:r>
    </w:p>
    <w:p w:rsidR="00DF6DAB" w:rsidRPr="0007703A" w:rsidRDefault="00DF6DAB" w:rsidP="00DF6DAB">
      <w:pPr>
        <w:spacing w:after="0" w:line="240" w:lineRule="auto"/>
        <w:ind w:firstLine="720"/>
        <w:rPr>
          <w:rFonts w:ascii="Calibri" w:hAnsi="Calibri" w:cs="Calibri"/>
        </w:rPr>
      </w:pPr>
      <w:r w:rsidRPr="0007703A">
        <w:rPr>
          <w:rFonts w:ascii="Calibri" w:hAnsi="Calibri" w:cs="Calibri"/>
        </w:rPr>
        <w:t>U Upravi za nekretnine pokrenut je postupak donošenja novog Pravilnika o polaganju stručnog ispita za sticanje ovlašćenja za izradu tehničke dokumentacije i načinu dobijanja licence za rad geodetske organizacije, koji je usvojen i objavljen u "Sl. list CG" br. 11/19.</w:t>
      </w:r>
    </w:p>
    <w:p w:rsidR="009C3C48" w:rsidRPr="0007703A" w:rsidRDefault="00DF6DAB" w:rsidP="00DF6DAB">
      <w:pPr>
        <w:spacing w:before="0" w:after="0" w:line="240" w:lineRule="auto"/>
        <w:rPr>
          <w:rFonts w:ascii="Calibri" w:hAnsi="Calibri" w:cs="Calibri"/>
        </w:rPr>
      </w:pPr>
      <w:r w:rsidRPr="0007703A">
        <w:rPr>
          <w:rFonts w:ascii="Calibri" w:hAnsi="Calibri" w:cs="Calibri"/>
        </w:rPr>
        <w:t>Postupajući po novim odredbama Pravilnika Uprava za nekretnine za izvještajni period izdala je 61 ovlašćenja i licenci za izvođenje geodetskih radova.</w:t>
      </w:r>
    </w:p>
    <w:p w:rsidR="00DF6DAB" w:rsidRPr="0007703A" w:rsidRDefault="00DF6DAB" w:rsidP="00DF6DAB">
      <w:pPr>
        <w:spacing w:before="0" w:after="0" w:line="240" w:lineRule="auto"/>
        <w:rPr>
          <w:rFonts w:ascii="Calibri" w:hAnsi="Calibri" w:cs="Calibri"/>
          <w:highlight w:val="yellow"/>
        </w:rPr>
      </w:pPr>
    </w:p>
    <w:p w:rsidR="009C3C48" w:rsidRDefault="00DF6DAB" w:rsidP="00DF6DAB">
      <w:pPr>
        <w:spacing w:before="0" w:after="0" w:line="240" w:lineRule="auto"/>
        <w:rPr>
          <w:rFonts w:ascii="Calibri" w:hAnsi="Calibri" w:cs="Calibri"/>
          <w:b/>
        </w:rPr>
      </w:pPr>
      <w:bookmarkStart w:id="128" w:name="_Toc71288822"/>
      <w:r w:rsidRPr="00FD62B4">
        <w:rPr>
          <w:rFonts w:ascii="Calibri" w:hAnsi="Calibri" w:cs="Calibri"/>
          <w:b/>
        </w:rPr>
        <w:t>II OCJENA STANJA I PREDLOG MJERA ZA UNAPREĐENJE</w:t>
      </w:r>
      <w:bookmarkEnd w:id="128"/>
    </w:p>
    <w:p w:rsidR="00DF6DAB" w:rsidRPr="00FD62B4" w:rsidRDefault="00DF6DAB" w:rsidP="00DF6DAB">
      <w:pPr>
        <w:spacing w:before="0" w:after="0" w:line="240" w:lineRule="auto"/>
        <w:rPr>
          <w:rFonts w:ascii="Calibri" w:hAnsi="Calibri" w:cs="Calibri"/>
          <w:b/>
        </w:rPr>
      </w:pPr>
      <w:r w:rsidRPr="00FD62B4">
        <w:rPr>
          <w:rFonts w:ascii="Calibri" w:hAnsi="Calibri" w:cs="Calibri"/>
          <w:b/>
        </w:rPr>
        <w:t xml:space="preserve"> </w:t>
      </w:r>
    </w:p>
    <w:p w:rsidR="00DF6DAB" w:rsidRPr="0007703A" w:rsidRDefault="00DF6DAB" w:rsidP="00DF6DAB">
      <w:pPr>
        <w:spacing w:before="0" w:after="0" w:line="240" w:lineRule="auto"/>
        <w:ind w:firstLine="720"/>
        <w:rPr>
          <w:rFonts w:ascii="Calibri" w:hAnsi="Calibri" w:cs="Calibri"/>
        </w:rPr>
      </w:pPr>
      <w:r w:rsidRPr="0007703A">
        <w:rPr>
          <w:rFonts w:ascii="Calibri" w:hAnsi="Calibri" w:cs="Calibri"/>
        </w:rPr>
        <w:t xml:space="preserve">Cilj Uprave za nekretnine je dnevno ažurni katastar i moguće ga je uspješno izvesti samo sa sposobnim i stručnim kadrovima, geodetske, pravne i informatičke struke, uz dobru zakonsku regulativu koja prati ovu oblast. Tokom izvještajnog perioda kao i prethodnih godina pratili su nas problemi kadrovske prirode. </w:t>
      </w:r>
    </w:p>
    <w:p w:rsidR="00DF6DAB" w:rsidRPr="0007703A" w:rsidRDefault="00DF6DAB" w:rsidP="00DF6DAB">
      <w:pPr>
        <w:spacing w:before="0" w:after="0" w:line="240" w:lineRule="auto"/>
        <w:ind w:firstLine="720"/>
        <w:rPr>
          <w:rFonts w:ascii="Calibri" w:hAnsi="Calibri" w:cs="Calibri"/>
        </w:rPr>
      </w:pPr>
      <w:r w:rsidRPr="0007703A">
        <w:rPr>
          <w:rFonts w:ascii="Calibri" w:hAnsi="Calibri" w:cs="Calibri"/>
        </w:rPr>
        <w:t xml:space="preserve">Pored svih tih problema uspjeli smo da pored kvaniteta ostvarili smo i maksimalan kvalitet rada što pokazuje činjenica o broju žalbi i to 2.69 % na ukupan broj riješenih predmeta upravnog postupka.  </w:t>
      </w:r>
    </w:p>
    <w:p w:rsidR="00DF6DAB" w:rsidRPr="0007703A" w:rsidRDefault="00DF6DAB" w:rsidP="009C3C48">
      <w:pPr>
        <w:spacing w:before="0" w:after="0" w:line="240" w:lineRule="auto"/>
        <w:rPr>
          <w:rFonts w:ascii="Calibri" w:hAnsi="Calibri" w:cs="Calibri"/>
        </w:rPr>
      </w:pPr>
    </w:p>
    <w:p w:rsidR="00DF6DAB" w:rsidRPr="0007703A" w:rsidRDefault="00DF6DAB" w:rsidP="009C3C48">
      <w:pPr>
        <w:spacing w:before="0" w:after="0" w:line="240" w:lineRule="auto"/>
        <w:rPr>
          <w:rFonts w:ascii="Calibri" w:hAnsi="Calibri" w:cs="Calibri"/>
          <w:b/>
        </w:rPr>
      </w:pPr>
      <w:bookmarkStart w:id="129" w:name="_Toc71288823"/>
      <w:r w:rsidRPr="0007703A">
        <w:rPr>
          <w:rFonts w:ascii="Calibri" w:hAnsi="Calibri" w:cs="Calibri"/>
          <w:b/>
        </w:rPr>
        <w:t>I</w:t>
      </w:r>
      <w:r>
        <w:rPr>
          <w:rFonts w:ascii="Calibri" w:hAnsi="Calibri" w:cs="Calibri"/>
          <w:b/>
        </w:rPr>
        <w:t>II</w:t>
      </w:r>
      <w:r w:rsidRPr="0007703A">
        <w:rPr>
          <w:rFonts w:ascii="Calibri" w:hAnsi="Calibri" w:cs="Calibri"/>
          <w:b/>
        </w:rPr>
        <w:t xml:space="preserve"> DETALJAN IZVJEŠTAJ O RADU UPRAVE ZA NEKRETNINE ZA 2020. GODINU</w:t>
      </w:r>
      <w:bookmarkEnd w:id="129"/>
      <w:r w:rsidRPr="0007703A">
        <w:rPr>
          <w:rFonts w:ascii="Calibri" w:hAnsi="Calibri" w:cs="Calibri"/>
          <w:b/>
        </w:rPr>
        <w:t xml:space="preserve"> </w:t>
      </w:r>
    </w:p>
    <w:p w:rsidR="00DF6DAB" w:rsidRPr="0007703A" w:rsidRDefault="00DF6DAB" w:rsidP="009C3C48">
      <w:pPr>
        <w:spacing w:after="0" w:line="240" w:lineRule="auto"/>
        <w:rPr>
          <w:rFonts w:ascii="Calibri" w:hAnsi="Calibri" w:cs="Calibri"/>
          <w:b/>
        </w:rPr>
      </w:pPr>
      <w:bookmarkStart w:id="130" w:name="_Toc71288824"/>
      <w:r w:rsidRPr="0007703A">
        <w:rPr>
          <w:rFonts w:ascii="Calibri" w:hAnsi="Calibri" w:cs="Calibri"/>
          <w:b/>
        </w:rPr>
        <w:t>1. OSNOVNI GEODETSKI RADOVI</w:t>
      </w:r>
      <w:bookmarkEnd w:id="130"/>
    </w:p>
    <w:p w:rsidR="00DF6DAB" w:rsidRPr="0007703A" w:rsidRDefault="00DF6DAB" w:rsidP="009C3C48">
      <w:pPr>
        <w:spacing w:after="0" w:line="240" w:lineRule="auto"/>
        <w:ind w:firstLine="720"/>
        <w:rPr>
          <w:rFonts w:ascii="Calibri" w:hAnsi="Calibri" w:cs="Calibri"/>
        </w:rPr>
      </w:pPr>
      <w:r w:rsidRPr="0007703A">
        <w:rPr>
          <w:rFonts w:ascii="Calibri" w:hAnsi="Calibri" w:cs="Calibri"/>
        </w:rPr>
        <w:t>U toku 2020. godine, vršeno je praćenje kvaliteta i funkcionalnosti MONTEPOS sistema, kao i administrativni poslovi vezani za korisničke naloge.</w:t>
      </w:r>
    </w:p>
    <w:p w:rsidR="00DF6DAB" w:rsidRPr="0007703A" w:rsidRDefault="00DF6DAB" w:rsidP="009C3C48">
      <w:pPr>
        <w:spacing w:before="0" w:after="0" w:line="240" w:lineRule="auto"/>
        <w:ind w:firstLine="720"/>
        <w:rPr>
          <w:rFonts w:ascii="Calibri" w:hAnsi="Calibri" w:cs="Calibri"/>
        </w:rPr>
      </w:pPr>
      <w:r w:rsidRPr="0007703A">
        <w:rPr>
          <w:rFonts w:ascii="Calibri" w:hAnsi="Calibri" w:cs="Calibri"/>
        </w:rPr>
        <w:t>Ukupan broj korisnika MONTEPOS mreže je 105.</w:t>
      </w:r>
    </w:p>
    <w:p w:rsidR="00DF6DAB" w:rsidRPr="0007703A" w:rsidRDefault="00DF6DAB" w:rsidP="009C3C48">
      <w:pPr>
        <w:spacing w:before="240" w:after="0" w:line="240" w:lineRule="auto"/>
        <w:rPr>
          <w:rFonts w:ascii="Calibri" w:hAnsi="Calibri" w:cs="Calibri"/>
          <w:b/>
        </w:rPr>
      </w:pPr>
      <w:bookmarkStart w:id="131" w:name="_Toc71288825"/>
      <w:r w:rsidRPr="0007703A">
        <w:rPr>
          <w:rFonts w:ascii="Calibri" w:hAnsi="Calibri" w:cs="Calibri"/>
          <w:b/>
        </w:rPr>
        <w:t>2</w:t>
      </w:r>
      <w:r>
        <w:rPr>
          <w:rFonts w:ascii="Calibri" w:hAnsi="Calibri" w:cs="Calibri"/>
          <w:b/>
        </w:rPr>
        <w:t>. RADOVI</w:t>
      </w:r>
      <w:r w:rsidRPr="0007703A">
        <w:rPr>
          <w:rFonts w:ascii="Calibri" w:hAnsi="Calibri" w:cs="Calibri"/>
          <w:b/>
        </w:rPr>
        <w:t xml:space="preserve"> NA OSNIVANJU KATASTRA NEPOKRETNOSTI</w:t>
      </w:r>
      <w:bookmarkEnd w:id="131"/>
    </w:p>
    <w:p w:rsidR="00DF6DAB" w:rsidRPr="0007703A" w:rsidRDefault="00DF6DAB" w:rsidP="009C3C48">
      <w:pPr>
        <w:spacing w:after="0" w:line="240" w:lineRule="auto"/>
        <w:ind w:firstLine="720"/>
        <w:rPr>
          <w:rFonts w:ascii="Calibri" w:hAnsi="Calibri" w:cs="Calibri"/>
        </w:rPr>
      </w:pPr>
      <w:r w:rsidRPr="0007703A">
        <w:rPr>
          <w:rFonts w:ascii="Calibri" w:hAnsi="Calibri" w:cs="Calibri"/>
        </w:rPr>
        <w:t xml:space="preserve">Osnivanjem katastra nepokretnosti obezbjeđuju se podaci o nepokretnostima i pravima na njima. Istovremeno </w:t>
      </w:r>
      <w:r>
        <w:rPr>
          <w:rFonts w:ascii="Calibri" w:hAnsi="Calibri" w:cs="Calibri"/>
        </w:rPr>
        <w:t>izrađuju</w:t>
      </w:r>
      <w:r w:rsidRPr="0007703A">
        <w:rPr>
          <w:rFonts w:ascii="Calibri" w:hAnsi="Calibri" w:cs="Calibri"/>
        </w:rPr>
        <w:t xml:space="preserve"> se digitalni katastarski planovi sa visinskom predstavom terena i digitalni ortofoto planovi neophodni kao osnovna geometrijska podloga za izradu tehničke dokumentacije kod planiranja prostora.</w:t>
      </w:r>
    </w:p>
    <w:p w:rsidR="00DF6DAB" w:rsidRPr="0007703A" w:rsidRDefault="00DF6DAB" w:rsidP="009C3C48">
      <w:pPr>
        <w:spacing w:before="0" w:after="0" w:line="240" w:lineRule="auto"/>
        <w:ind w:firstLine="720"/>
        <w:rPr>
          <w:rFonts w:ascii="Calibri" w:hAnsi="Calibri" w:cs="Calibri"/>
        </w:rPr>
      </w:pPr>
      <w:r w:rsidRPr="0007703A">
        <w:rPr>
          <w:rFonts w:ascii="Calibri" w:hAnsi="Calibri" w:cs="Calibri"/>
        </w:rPr>
        <w:t>U toku 2020. godine, u cilju osnivanja katastra nepokretnosti na nepremjerenom dijelu teritorije Crne Gore obavljani su poslovi opisani u ovom poglavlju.</w:t>
      </w:r>
    </w:p>
    <w:p w:rsidR="00DF6DAB" w:rsidRPr="0007703A" w:rsidRDefault="00DF6DAB" w:rsidP="009C3C48">
      <w:pPr>
        <w:spacing w:before="0" w:after="0" w:line="240" w:lineRule="auto"/>
        <w:ind w:firstLine="720"/>
        <w:rPr>
          <w:rFonts w:ascii="Calibri" w:hAnsi="Calibri" w:cs="Calibri"/>
        </w:rPr>
      </w:pPr>
      <w:r w:rsidRPr="0007703A">
        <w:rPr>
          <w:rFonts w:ascii="Calibri" w:hAnsi="Calibri" w:cs="Calibri"/>
        </w:rPr>
        <w:t>Za potrebe izlaganja na javni uvid podataka o nepokretnostima i pravima na njima (u daljem tekstu Izlaganje podataka), u toku 2020. godine angažovano je 13 Komisija izlaganja na javni uvid podataka o nepokretnostima i pravima na njima (u daljem tekstu Komisija).</w:t>
      </w:r>
    </w:p>
    <w:p w:rsidR="00DF6DAB" w:rsidRPr="0007703A" w:rsidRDefault="00DF6DAB" w:rsidP="009C3C48">
      <w:pPr>
        <w:spacing w:before="0" w:after="0" w:line="240" w:lineRule="auto"/>
        <w:ind w:firstLine="720"/>
        <w:rPr>
          <w:rFonts w:ascii="Calibri" w:hAnsi="Calibri" w:cs="Calibri"/>
        </w:rPr>
      </w:pPr>
      <w:r w:rsidRPr="0007703A">
        <w:rPr>
          <w:rFonts w:ascii="Calibri" w:hAnsi="Calibri" w:cs="Calibri"/>
        </w:rPr>
        <w:t>U toku 2020. godine u okviru prethodno započetih projekata rađeni su poslovi koji se odnose na pripremu podataka za izlaganje na javni uvid podataka premjera, nastavak postupka izlaganja, kao i početak izlaganja za katastarsk</w:t>
      </w:r>
      <w:r>
        <w:rPr>
          <w:rFonts w:ascii="Calibri" w:hAnsi="Calibri" w:cs="Calibri"/>
        </w:rPr>
        <w:t xml:space="preserve">e opštine (u daljem tekstu KO) </w:t>
      </w:r>
      <w:r w:rsidRPr="0007703A">
        <w:rPr>
          <w:rFonts w:ascii="Calibri" w:hAnsi="Calibri" w:cs="Calibri"/>
        </w:rPr>
        <w:t>sa teritorije Glavnog grada Podgorice i Opština: Andrijevica, Berane, Bijelo Polje, Gusinje, Nikšić, Petnjica, Plav, Pljevlja, Rožaje i Šavnik.</w:t>
      </w:r>
    </w:p>
    <w:p w:rsidR="00DF6DAB" w:rsidRPr="0007703A" w:rsidRDefault="00DF6DAB" w:rsidP="009C3C48">
      <w:pPr>
        <w:spacing w:before="0" w:after="0" w:line="240" w:lineRule="auto"/>
        <w:ind w:firstLine="720"/>
        <w:rPr>
          <w:rFonts w:ascii="Calibri" w:hAnsi="Calibri" w:cs="Calibri"/>
        </w:rPr>
      </w:pPr>
      <w:r w:rsidRPr="0007703A">
        <w:rPr>
          <w:rFonts w:ascii="Calibri" w:hAnsi="Calibri" w:cs="Calibri"/>
        </w:rPr>
        <w:t xml:space="preserve">Nakon završenog postupka izlaganja podataka premjera na javni uvid i izvršene kontrole potvrđena je baza podataka katastra nepokretnosti za: 2 katastarske opštine na teritoriji Glavnog grada Podgorica, </w:t>
      </w:r>
      <w:bookmarkStart w:id="132" w:name="OLE_LINK12"/>
      <w:bookmarkStart w:id="133" w:name="OLE_LINK13"/>
      <w:r w:rsidRPr="0007703A">
        <w:rPr>
          <w:rFonts w:ascii="Calibri" w:hAnsi="Calibri" w:cs="Calibri"/>
        </w:rPr>
        <w:t xml:space="preserve">1 KO sa teritorije opštine Andrijevica, 1 KO sa teritorije opštine Berane, 2 KO sa teritorije opštine Bijelo Polje, </w:t>
      </w:r>
      <w:bookmarkEnd w:id="132"/>
      <w:bookmarkEnd w:id="133"/>
      <w:r w:rsidRPr="0007703A">
        <w:rPr>
          <w:rFonts w:ascii="Calibri" w:hAnsi="Calibri" w:cs="Calibri"/>
        </w:rPr>
        <w:t xml:space="preserve">1 KO sa teritorije opštine Gusinje, 1 KO sa teritorije opštine Nikšić, 1 KO sa teritorije opštine Pljevlja, </w:t>
      </w:r>
      <w:bookmarkStart w:id="134" w:name="OLE_LINK1"/>
      <w:bookmarkStart w:id="135" w:name="OLE_LINK14"/>
      <w:bookmarkStart w:id="136" w:name="OLE_LINK15"/>
      <w:r w:rsidRPr="0007703A">
        <w:rPr>
          <w:rFonts w:ascii="Calibri" w:hAnsi="Calibri" w:cs="Calibri"/>
        </w:rPr>
        <w:t xml:space="preserve">1 KO sa teritorije opštine Rožaje i 1 KO sa teritorije opštine </w:t>
      </w:r>
      <w:bookmarkEnd w:id="134"/>
      <w:r w:rsidRPr="0007703A">
        <w:rPr>
          <w:rFonts w:ascii="Calibri" w:hAnsi="Calibri" w:cs="Calibri"/>
        </w:rPr>
        <w:t>Šavnik</w:t>
      </w:r>
      <w:bookmarkEnd w:id="135"/>
      <w:bookmarkEnd w:id="136"/>
      <w:r w:rsidRPr="0007703A">
        <w:rPr>
          <w:rFonts w:ascii="Calibri" w:hAnsi="Calibri" w:cs="Calibri"/>
        </w:rPr>
        <w:t>.</w:t>
      </w:r>
    </w:p>
    <w:p w:rsidR="00DF6DAB" w:rsidRDefault="00DF6DAB" w:rsidP="009C3C48">
      <w:pPr>
        <w:spacing w:before="0" w:after="0" w:line="240" w:lineRule="auto"/>
        <w:ind w:firstLine="720"/>
        <w:rPr>
          <w:rFonts w:ascii="Calibri" w:hAnsi="Calibri" w:cs="Calibri"/>
        </w:rPr>
      </w:pPr>
      <w:r w:rsidRPr="0007703A">
        <w:rPr>
          <w:rFonts w:ascii="Calibri" w:hAnsi="Calibri" w:cs="Calibri"/>
        </w:rPr>
        <w:t>Izlaganje podataka na javni uvid u toku 2020. godine započelo je za: 1 KO sa teritorije opštine Gusinje, 3 KO sa teritorije opštine Nikšić, 3 KO sa teritorije opštine Plav i 2 KO sa teritorije opštine Rožaje.</w:t>
      </w:r>
    </w:p>
    <w:p w:rsidR="009C3C48" w:rsidRDefault="009C3C48" w:rsidP="009C3C48">
      <w:pPr>
        <w:spacing w:before="0" w:after="0" w:line="240" w:lineRule="auto"/>
        <w:ind w:firstLine="720"/>
        <w:rPr>
          <w:rFonts w:ascii="Calibri" w:hAnsi="Calibri" w:cs="Calibri"/>
        </w:rPr>
      </w:pPr>
    </w:p>
    <w:p w:rsidR="009C3C48" w:rsidRDefault="009C3C48" w:rsidP="009C3C48">
      <w:pPr>
        <w:spacing w:before="0" w:after="0" w:line="240" w:lineRule="auto"/>
        <w:ind w:firstLine="720"/>
        <w:rPr>
          <w:rFonts w:ascii="Calibri" w:hAnsi="Calibri" w:cs="Calibri"/>
        </w:rPr>
      </w:pPr>
    </w:p>
    <w:p w:rsidR="009C3C48" w:rsidRDefault="009C3C48" w:rsidP="009C3C48">
      <w:pPr>
        <w:spacing w:before="0" w:after="0" w:line="240" w:lineRule="auto"/>
        <w:ind w:firstLine="720"/>
        <w:rPr>
          <w:rFonts w:ascii="Calibri" w:hAnsi="Calibri" w:cs="Calibri"/>
        </w:rPr>
      </w:pPr>
    </w:p>
    <w:p w:rsidR="009C3C48" w:rsidRDefault="009C3C48" w:rsidP="009C3C48">
      <w:pPr>
        <w:spacing w:before="0" w:after="0" w:line="240" w:lineRule="auto"/>
        <w:ind w:firstLine="720"/>
        <w:rPr>
          <w:rFonts w:ascii="Calibri" w:hAnsi="Calibri" w:cs="Calibri"/>
        </w:rPr>
      </w:pPr>
    </w:p>
    <w:p w:rsidR="009C3C48" w:rsidRDefault="009C3C48" w:rsidP="009C3C48">
      <w:pPr>
        <w:spacing w:before="0" w:after="0" w:line="240" w:lineRule="auto"/>
        <w:ind w:firstLine="720"/>
        <w:rPr>
          <w:rFonts w:ascii="Calibri" w:hAnsi="Calibri" w:cs="Calibri"/>
        </w:rPr>
      </w:pPr>
    </w:p>
    <w:p w:rsidR="009C3C48" w:rsidRDefault="009C3C48" w:rsidP="009C3C48">
      <w:pPr>
        <w:spacing w:before="0" w:after="0" w:line="240" w:lineRule="auto"/>
        <w:ind w:firstLine="720"/>
        <w:rPr>
          <w:rFonts w:ascii="Calibri" w:hAnsi="Calibri" w:cs="Calibri"/>
        </w:rPr>
      </w:pPr>
    </w:p>
    <w:p w:rsidR="009C3C48" w:rsidRDefault="009C3C48" w:rsidP="009C3C48">
      <w:pPr>
        <w:spacing w:before="0" w:after="0" w:line="240" w:lineRule="auto"/>
        <w:ind w:firstLine="720"/>
        <w:rPr>
          <w:rFonts w:ascii="Calibri" w:hAnsi="Calibri" w:cs="Calibri"/>
        </w:rPr>
      </w:pPr>
    </w:p>
    <w:p w:rsidR="009C3C48" w:rsidRDefault="009C3C48" w:rsidP="009C3C48">
      <w:pPr>
        <w:spacing w:before="0" w:after="0" w:line="240" w:lineRule="auto"/>
        <w:ind w:firstLine="720"/>
        <w:rPr>
          <w:rFonts w:ascii="Calibri" w:hAnsi="Calibri" w:cs="Calibri"/>
        </w:rPr>
      </w:pPr>
    </w:p>
    <w:p w:rsidR="00DF6DAB" w:rsidRPr="00326E6F" w:rsidRDefault="00DF6DAB" w:rsidP="00DF6DAB">
      <w:pPr>
        <w:rPr>
          <w:rFonts w:ascii="Arial" w:hAnsi="Arial" w:cs="Arial"/>
          <w:highlight w:val="yellow"/>
        </w:rPr>
      </w:pPr>
    </w:p>
    <w:p w:rsidR="00DF6DAB" w:rsidRDefault="00DF6DAB" w:rsidP="00DF6DAB">
      <w:pPr>
        <w:rPr>
          <w:rFonts w:cstheme="minorHAnsi"/>
        </w:rPr>
      </w:pPr>
      <w:r w:rsidRPr="002641C1">
        <w:rPr>
          <w:rFonts w:cstheme="minorHAnsi"/>
        </w:rPr>
        <w:t>Tabelarni prikaz realizacije:</w:t>
      </w:r>
    </w:p>
    <w:p w:rsidR="009C3C48" w:rsidRPr="002641C1" w:rsidRDefault="009C3C48" w:rsidP="00DF6DAB">
      <w:pPr>
        <w:rPr>
          <w:rFonts w:cstheme="minorHAnsi"/>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951"/>
        <w:gridCol w:w="2578"/>
        <w:gridCol w:w="2656"/>
        <w:gridCol w:w="2126"/>
      </w:tblGrid>
      <w:tr w:rsidR="00DF6DAB" w:rsidRPr="00326E6F" w:rsidTr="00DF6DAB">
        <w:trPr>
          <w:jc w:val="center"/>
        </w:trPr>
        <w:tc>
          <w:tcPr>
            <w:tcW w:w="1951" w:type="dxa"/>
            <w:tcBorders>
              <w:top w:val="single" w:sz="12" w:space="0" w:color="auto"/>
              <w:left w:val="single" w:sz="12" w:space="0" w:color="auto"/>
              <w:bottom w:val="single" w:sz="12" w:space="0" w:color="auto"/>
              <w:right w:val="single" w:sz="12" w:space="0" w:color="auto"/>
            </w:tcBorders>
            <w:vAlign w:val="center"/>
            <w:hideMark/>
          </w:tcPr>
          <w:p w:rsidR="00DF6DAB" w:rsidRPr="002641C1" w:rsidRDefault="00DF6DAB" w:rsidP="00DF6DAB">
            <w:pPr>
              <w:rPr>
                <w:rFonts w:cstheme="minorHAnsi"/>
                <w:szCs w:val="24"/>
              </w:rPr>
            </w:pPr>
            <w:r w:rsidRPr="002641C1">
              <w:rPr>
                <w:rFonts w:cstheme="minorHAnsi"/>
                <w:szCs w:val="24"/>
              </w:rPr>
              <w:t>Opština</w:t>
            </w:r>
          </w:p>
        </w:tc>
        <w:tc>
          <w:tcPr>
            <w:tcW w:w="2578" w:type="dxa"/>
            <w:tcBorders>
              <w:top w:val="single" w:sz="12" w:space="0" w:color="auto"/>
              <w:left w:val="single" w:sz="12" w:space="0" w:color="auto"/>
              <w:bottom w:val="single" w:sz="12" w:space="0" w:color="auto"/>
              <w:right w:val="single" w:sz="6" w:space="0" w:color="auto"/>
            </w:tcBorders>
            <w:vAlign w:val="center"/>
            <w:hideMark/>
          </w:tcPr>
          <w:p w:rsidR="00DF6DAB" w:rsidRPr="002641C1" w:rsidRDefault="00DF6DAB" w:rsidP="00DF6DAB">
            <w:pPr>
              <w:jc w:val="left"/>
              <w:rPr>
                <w:rFonts w:cstheme="minorHAnsi"/>
                <w:szCs w:val="24"/>
              </w:rPr>
            </w:pPr>
            <w:r w:rsidRPr="002641C1">
              <w:rPr>
                <w:rFonts w:cstheme="minorHAnsi"/>
                <w:szCs w:val="24"/>
              </w:rPr>
              <w:t>Nastavak izlaganja podataka na javni uvid</w:t>
            </w:r>
          </w:p>
        </w:tc>
        <w:tc>
          <w:tcPr>
            <w:tcW w:w="2656" w:type="dxa"/>
            <w:tcBorders>
              <w:top w:val="single" w:sz="12" w:space="0" w:color="auto"/>
              <w:left w:val="single" w:sz="6" w:space="0" w:color="auto"/>
              <w:bottom w:val="single" w:sz="12" w:space="0" w:color="auto"/>
              <w:right w:val="single" w:sz="6" w:space="0" w:color="auto"/>
            </w:tcBorders>
            <w:vAlign w:val="center"/>
            <w:hideMark/>
          </w:tcPr>
          <w:p w:rsidR="00DF6DAB" w:rsidRPr="002641C1" w:rsidRDefault="00DF6DAB" w:rsidP="00DF6DAB">
            <w:pPr>
              <w:jc w:val="left"/>
              <w:rPr>
                <w:rFonts w:cstheme="minorHAnsi"/>
                <w:szCs w:val="24"/>
              </w:rPr>
            </w:pPr>
            <w:r w:rsidRPr="002641C1">
              <w:rPr>
                <w:rFonts w:cstheme="minorHAnsi"/>
                <w:szCs w:val="24"/>
              </w:rPr>
              <w:t>Započeto izlaganje podataka na javni uvid</w:t>
            </w:r>
          </w:p>
        </w:tc>
        <w:tc>
          <w:tcPr>
            <w:tcW w:w="2126" w:type="dxa"/>
            <w:tcBorders>
              <w:top w:val="single" w:sz="12" w:space="0" w:color="auto"/>
              <w:left w:val="single" w:sz="6" w:space="0" w:color="auto"/>
              <w:bottom w:val="single" w:sz="12" w:space="0" w:color="auto"/>
              <w:right w:val="single" w:sz="12" w:space="0" w:color="auto"/>
            </w:tcBorders>
            <w:vAlign w:val="center"/>
            <w:hideMark/>
          </w:tcPr>
          <w:p w:rsidR="00DF6DAB" w:rsidRPr="002641C1" w:rsidRDefault="00DF6DAB" w:rsidP="00DF6DAB">
            <w:pPr>
              <w:jc w:val="left"/>
              <w:rPr>
                <w:rFonts w:cstheme="minorHAnsi"/>
                <w:szCs w:val="24"/>
              </w:rPr>
            </w:pPr>
            <w:r w:rsidRPr="002641C1">
              <w:rPr>
                <w:rFonts w:cstheme="minorHAnsi"/>
                <w:szCs w:val="24"/>
              </w:rPr>
              <w:t>Potvrđena baza podataka katastra nepokretnosti</w:t>
            </w:r>
          </w:p>
        </w:tc>
      </w:tr>
      <w:tr w:rsidR="00DF6DAB" w:rsidRPr="00326E6F" w:rsidTr="00DF6DAB">
        <w:trPr>
          <w:jc w:val="center"/>
        </w:trPr>
        <w:tc>
          <w:tcPr>
            <w:tcW w:w="1951" w:type="dxa"/>
            <w:tcBorders>
              <w:top w:val="single" w:sz="12" w:space="0" w:color="auto"/>
              <w:left w:val="single" w:sz="12" w:space="0" w:color="auto"/>
              <w:bottom w:val="single" w:sz="6" w:space="0" w:color="auto"/>
              <w:right w:val="single" w:sz="12" w:space="0" w:color="auto"/>
            </w:tcBorders>
            <w:vAlign w:val="center"/>
            <w:hideMark/>
          </w:tcPr>
          <w:p w:rsidR="00DF6DAB" w:rsidRPr="002641C1" w:rsidRDefault="00DF6DAB" w:rsidP="00DF6DAB">
            <w:pPr>
              <w:rPr>
                <w:rFonts w:cstheme="minorHAnsi"/>
                <w:szCs w:val="24"/>
              </w:rPr>
            </w:pPr>
            <w:bookmarkStart w:id="137" w:name="_Hlk504768420"/>
            <w:r w:rsidRPr="002641C1">
              <w:rPr>
                <w:rFonts w:cstheme="minorHAnsi"/>
                <w:szCs w:val="24"/>
              </w:rPr>
              <w:t>Podgorica</w:t>
            </w:r>
          </w:p>
        </w:tc>
        <w:tc>
          <w:tcPr>
            <w:tcW w:w="2578" w:type="dxa"/>
            <w:tcBorders>
              <w:top w:val="single" w:sz="12" w:space="0" w:color="auto"/>
              <w:left w:val="single" w:sz="12" w:space="0" w:color="auto"/>
              <w:bottom w:val="single" w:sz="6" w:space="0" w:color="auto"/>
              <w:right w:val="single" w:sz="6" w:space="0" w:color="auto"/>
            </w:tcBorders>
            <w:vAlign w:val="center"/>
          </w:tcPr>
          <w:p w:rsidR="00DF6DAB" w:rsidRPr="002641C1" w:rsidRDefault="00DF6DAB" w:rsidP="00DF6DAB">
            <w:pPr>
              <w:jc w:val="center"/>
              <w:rPr>
                <w:rFonts w:cstheme="minorHAnsi"/>
                <w:szCs w:val="24"/>
              </w:rPr>
            </w:pPr>
          </w:p>
        </w:tc>
        <w:tc>
          <w:tcPr>
            <w:tcW w:w="2656" w:type="dxa"/>
            <w:tcBorders>
              <w:top w:val="single" w:sz="12" w:space="0" w:color="auto"/>
              <w:left w:val="single" w:sz="6" w:space="0" w:color="auto"/>
              <w:bottom w:val="single" w:sz="6" w:space="0" w:color="auto"/>
              <w:right w:val="single" w:sz="6" w:space="0" w:color="auto"/>
            </w:tcBorders>
            <w:vAlign w:val="center"/>
          </w:tcPr>
          <w:p w:rsidR="00DF6DAB" w:rsidRPr="002641C1" w:rsidRDefault="00DF6DAB" w:rsidP="00DF6DAB">
            <w:pPr>
              <w:jc w:val="center"/>
              <w:rPr>
                <w:rFonts w:cstheme="minorHAnsi"/>
                <w:szCs w:val="24"/>
              </w:rPr>
            </w:pPr>
          </w:p>
        </w:tc>
        <w:tc>
          <w:tcPr>
            <w:tcW w:w="2126" w:type="dxa"/>
            <w:tcBorders>
              <w:top w:val="single" w:sz="12" w:space="0" w:color="auto"/>
              <w:left w:val="single" w:sz="6" w:space="0" w:color="auto"/>
              <w:bottom w:val="single" w:sz="6" w:space="0" w:color="auto"/>
              <w:right w:val="single" w:sz="12" w:space="0" w:color="auto"/>
            </w:tcBorders>
            <w:vAlign w:val="center"/>
          </w:tcPr>
          <w:p w:rsidR="00DF6DAB" w:rsidRPr="002641C1" w:rsidRDefault="00DF6DAB" w:rsidP="00DF6DAB">
            <w:pPr>
              <w:jc w:val="center"/>
              <w:rPr>
                <w:rFonts w:cstheme="minorHAnsi"/>
                <w:szCs w:val="24"/>
              </w:rPr>
            </w:pPr>
            <w:r w:rsidRPr="002641C1">
              <w:rPr>
                <w:rFonts w:cstheme="minorHAnsi"/>
                <w:szCs w:val="24"/>
              </w:rPr>
              <w:t>2</w:t>
            </w:r>
          </w:p>
        </w:tc>
      </w:tr>
      <w:tr w:rsidR="00DF6DAB" w:rsidRPr="00326E6F" w:rsidTr="00DF6DAB">
        <w:trPr>
          <w:jc w:val="center"/>
        </w:trPr>
        <w:tc>
          <w:tcPr>
            <w:tcW w:w="1951" w:type="dxa"/>
            <w:tcBorders>
              <w:top w:val="single" w:sz="6" w:space="0" w:color="auto"/>
              <w:left w:val="single" w:sz="12" w:space="0" w:color="auto"/>
              <w:bottom w:val="single" w:sz="6" w:space="0" w:color="auto"/>
              <w:right w:val="single" w:sz="12" w:space="0" w:color="auto"/>
            </w:tcBorders>
            <w:vAlign w:val="center"/>
            <w:hideMark/>
          </w:tcPr>
          <w:p w:rsidR="00DF6DAB" w:rsidRPr="002641C1" w:rsidRDefault="00DF6DAB" w:rsidP="00DF6DAB">
            <w:pPr>
              <w:rPr>
                <w:rFonts w:cstheme="minorHAnsi"/>
                <w:szCs w:val="24"/>
              </w:rPr>
            </w:pPr>
            <w:r w:rsidRPr="002641C1">
              <w:rPr>
                <w:rFonts w:cstheme="minorHAnsi"/>
                <w:szCs w:val="24"/>
              </w:rPr>
              <w:t>Andrijevica</w:t>
            </w:r>
          </w:p>
        </w:tc>
        <w:tc>
          <w:tcPr>
            <w:tcW w:w="2578" w:type="dxa"/>
            <w:tcBorders>
              <w:top w:val="single" w:sz="6" w:space="0" w:color="auto"/>
              <w:left w:val="single" w:sz="12" w:space="0" w:color="auto"/>
              <w:bottom w:val="single" w:sz="6" w:space="0" w:color="auto"/>
              <w:right w:val="single" w:sz="6" w:space="0" w:color="auto"/>
            </w:tcBorders>
            <w:vAlign w:val="center"/>
          </w:tcPr>
          <w:p w:rsidR="00DF6DAB" w:rsidRPr="002641C1" w:rsidRDefault="00DF6DAB" w:rsidP="00DF6DAB">
            <w:pPr>
              <w:jc w:val="center"/>
              <w:rPr>
                <w:rFonts w:cstheme="minorHAnsi"/>
                <w:szCs w:val="24"/>
              </w:rPr>
            </w:pPr>
            <w:r w:rsidRPr="002641C1">
              <w:rPr>
                <w:rFonts w:cstheme="minorHAnsi"/>
                <w:szCs w:val="24"/>
              </w:rPr>
              <w:t>3</w:t>
            </w:r>
          </w:p>
        </w:tc>
        <w:tc>
          <w:tcPr>
            <w:tcW w:w="2656" w:type="dxa"/>
            <w:tcBorders>
              <w:top w:val="single" w:sz="6" w:space="0" w:color="auto"/>
              <w:left w:val="single" w:sz="6" w:space="0" w:color="auto"/>
              <w:bottom w:val="single" w:sz="6" w:space="0" w:color="auto"/>
              <w:right w:val="single" w:sz="6" w:space="0" w:color="auto"/>
            </w:tcBorders>
            <w:vAlign w:val="center"/>
          </w:tcPr>
          <w:p w:rsidR="00DF6DAB" w:rsidRPr="002641C1" w:rsidRDefault="00DF6DAB" w:rsidP="00DF6DAB">
            <w:pPr>
              <w:jc w:val="center"/>
              <w:rPr>
                <w:rFonts w:cstheme="minorHAnsi"/>
                <w:szCs w:val="24"/>
              </w:rPr>
            </w:pPr>
          </w:p>
        </w:tc>
        <w:tc>
          <w:tcPr>
            <w:tcW w:w="2126" w:type="dxa"/>
            <w:tcBorders>
              <w:top w:val="single" w:sz="6" w:space="0" w:color="auto"/>
              <w:left w:val="single" w:sz="6" w:space="0" w:color="auto"/>
              <w:bottom w:val="single" w:sz="6" w:space="0" w:color="auto"/>
              <w:right w:val="single" w:sz="12" w:space="0" w:color="auto"/>
            </w:tcBorders>
            <w:vAlign w:val="center"/>
          </w:tcPr>
          <w:p w:rsidR="00DF6DAB" w:rsidRPr="002641C1" w:rsidRDefault="00DF6DAB" w:rsidP="00DF6DAB">
            <w:pPr>
              <w:jc w:val="center"/>
              <w:rPr>
                <w:rFonts w:cstheme="minorHAnsi"/>
                <w:szCs w:val="24"/>
              </w:rPr>
            </w:pPr>
            <w:r w:rsidRPr="002641C1">
              <w:rPr>
                <w:rFonts w:cstheme="minorHAnsi"/>
                <w:szCs w:val="24"/>
              </w:rPr>
              <w:t>1</w:t>
            </w:r>
          </w:p>
        </w:tc>
      </w:tr>
      <w:tr w:rsidR="00DF6DAB" w:rsidRPr="00326E6F" w:rsidTr="00DF6DAB">
        <w:trPr>
          <w:jc w:val="center"/>
        </w:trPr>
        <w:tc>
          <w:tcPr>
            <w:tcW w:w="1951" w:type="dxa"/>
            <w:tcBorders>
              <w:top w:val="single" w:sz="6" w:space="0" w:color="auto"/>
              <w:left w:val="single" w:sz="12" w:space="0" w:color="auto"/>
              <w:bottom w:val="single" w:sz="6" w:space="0" w:color="auto"/>
              <w:right w:val="single" w:sz="12" w:space="0" w:color="auto"/>
            </w:tcBorders>
            <w:vAlign w:val="center"/>
            <w:hideMark/>
          </w:tcPr>
          <w:p w:rsidR="00DF6DAB" w:rsidRPr="002641C1" w:rsidRDefault="00DF6DAB" w:rsidP="00DF6DAB">
            <w:pPr>
              <w:rPr>
                <w:rFonts w:cstheme="minorHAnsi"/>
                <w:szCs w:val="24"/>
              </w:rPr>
            </w:pPr>
            <w:r w:rsidRPr="002641C1">
              <w:rPr>
                <w:rFonts w:cstheme="minorHAnsi"/>
                <w:szCs w:val="24"/>
              </w:rPr>
              <w:t>Berane</w:t>
            </w:r>
          </w:p>
        </w:tc>
        <w:tc>
          <w:tcPr>
            <w:tcW w:w="2578" w:type="dxa"/>
            <w:tcBorders>
              <w:top w:val="single" w:sz="6" w:space="0" w:color="auto"/>
              <w:left w:val="single" w:sz="12" w:space="0" w:color="auto"/>
              <w:bottom w:val="single" w:sz="6" w:space="0" w:color="auto"/>
              <w:right w:val="single" w:sz="6" w:space="0" w:color="auto"/>
            </w:tcBorders>
            <w:vAlign w:val="center"/>
          </w:tcPr>
          <w:p w:rsidR="00DF6DAB" w:rsidRPr="002641C1" w:rsidRDefault="00DF6DAB" w:rsidP="00DF6DAB">
            <w:pPr>
              <w:jc w:val="center"/>
              <w:rPr>
                <w:rFonts w:cstheme="minorHAnsi"/>
                <w:szCs w:val="24"/>
              </w:rPr>
            </w:pPr>
            <w:r w:rsidRPr="002641C1">
              <w:rPr>
                <w:rFonts w:cstheme="minorHAnsi"/>
                <w:szCs w:val="24"/>
              </w:rPr>
              <w:t>1</w:t>
            </w:r>
          </w:p>
        </w:tc>
        <w:tc>
          <w:tcPr>
            <w:tcW w:w="2656" w:type="dxa"/>
            <w:tcBorders>
              <w:top w:val="single" w:sz="6" w:space="0" w:color="auto"/>
              <w:left w:val="single" w:sz="6" w:space="0" w:color="auto"/>
              <w:bottom w:val="single" w:sz="6" w:space="0" w:color="auto"/>
              <w:right w:val="single" w:sz="6" w:space="0" w:color="auto"/>
            </w:tcBorders>
            <w:vAlign w:val="center"/>
          </w:tcPr>
          <w:p w:rsidR="00DF6DAB" w:rsidRPr="002641C1" w:rsidRDefault="00DF6DAB" w:rsidP="00DF6DAB">
            <w:pPr>
              <w:jc w:val="center"/>
              <w:rPr>
                <w:rFonts w:cstheme="minorHAnsi"/>
                <w:szCs w:val="24"/>
              </w:rPr>
            </w:pPr>
          </w:p>
        </w:tc>
        <w:tc>
          <w:tcPr>
            <w:tcW w:w="2126" w:type="dxa"/>
            <w:tcBorders>
              <w:top w:val="single" w:sz="6" w:space="0" w:color="auto"/>
              <w:left w:val="single" w:sz="6" w:space="0" w:color="auto"/>
              <w:bottom w:val="single" w:sz="6" w:space="0" w:color="auto"/>
              <w:right w:val="single" w:sz="12" w:space="0" w:color="auto"/>
            </w:tcBorders>
            <w:vAlign w:val="center"/>
          </w:tcPr>
          <w:p w:rsidR="00DF6DAB" w:rsidRPr="002641C1" w:rsidRDefault="00DF6DAB" w:rsidP="00DF6DAB">
            <w:pPr>
              <w:jc w:val="center"/>
              <w:rPr>
                <w:rFonts w:cstheme="minorHAnsi"/>
                <w:szCs w:val="24"/>
              </w:rPr>
            </w:pPr>
            <w:r w:rsidRPr="002641C1">
              <w:rPr>
                <w:rFonts w:cstheme="minorHAnsi"/>
                <w:szCs w:val="24"/>
              </w:rPr>
              <w:t>1</w:t>
            </w:r>
          </w:p>
        </w:tc>
      </w:tr>
      <w:tr w:rsidR="00DF6DAB" w:rsidRPr="00326E6F" w:rsidTr="00DF6DAB">
        <w:trPr>
          <w:jc w:val="center"/>
        </w:trPr>
        <w:tc>
          <w:tcPr>
            <w:tcW w:w="1951" w:type="dxa"/>
            <w:tcBorders>
              <w:top w:val="single" w:sz="6" w:space="0" w:color="auto"/>
              <w:left w:val="single" w:sz="12" w:space="0" w:color="auto"/>
              <w:bottom w:val="single" w:sz="6" w:space="0" w:color="auto"/>
              <w:right w:val="single" w:sz="12" w:space="0" w:color="auto"/>
            </w:tcBorders>
            <w:vAlign w:val="center"/>
            <w:hideMark/>
          </w:tcPr>
          <w:p w:rsidR="00DF6DAB" w:rsidRPr="002641C1" w:rsidRDefault="00DF6DAB" w:rsidP="00DF6DAB">
            <w:pPr>
              <w:rPr>
                <w:rFonts w:cstheme="minorHAnsi"/>
                <w:szCs w:val="24"/>
              </w:rPr>
            </w:pPr>
            <w:r w:rsidRPr="002641C1">
              <w:rPr>
                <w:rFonts w:cstheme="minorHAnsi"/>
                <w:szCs w:val="24"/>
              </w:rPr>
              <w:t>Bijelo Polje</w:t>
            </w:r>
          </w:p>
        </w:tc>
        <w:tc>
          <w:tcPr>
            <w:tcW w:w="2578" w:type="dxa"/>
            <w:tcBorders>
              <w:top w:val="single" w:sz="6" w:space="0" w:color="auto"/>
              <w:left w:val="single" w:sz="12" w:space="0" w:color="auto"/>
              <w:bottom w:val="single" w:sz="6" w:space="0" w:color="auto"/>
              <w:right w:val="single" w:sz="6" w:space="0" w:color="auto"/>
            </w:tcBorders>
            <w:vAlign w:val="center"/>
          </w:tcPr>
          <w:p w:rsidR="00DF6DAB" w:rsidRPr="002641C1" w:rsidRDefault="00DF6DAB" w:rsidP="00DF6DAB">
            <w:pPr>
              <w:jc w:val="center"/>
              <w:rPr>
                <w:rFonts w:cstheme="minorHAnsi"/>
                <w:szCs w:val="24"/>
              </w:rPr>
            </w:pPr>
          </w:p>
        </w:tc>
        <w:tc>
          <w:tcPr>
            <w:tcW w:w="2656" w:type="dxa"/>
            <w:tcBorders>
              <w:top w:val="single" w:sz="6" w:space="0" w:color="auto"/>
              <w:left w:val="single" w:sz="6" w:space="0" w:color="auto"/>
              <w:bottom w:val="single" w:sz="6" w:space="0" w:color="auto"/>
              <w:right w:val="single" w:sz="6" w:space="0" w:color="auto"/>
            </w:tcBorders>
            <w:vAlign w:val="center"/>
          </w:tcPr>
          <w:p w:rsidR="00DF6DAB" w:rsidRPr="002641C1" w:rsidRDefault="00DF6DAB" w:rsidP="00DF6DAB">
            <w:pPr>
              <w:jc w:val="center"/>
              <w:rPr>
                <w:rFonts w:cstheme="minorHAnsi"/>
                <w:szCs w:val="24"/>
              </w:rPr>
            </w:pPr>
          </w:p>
        </w:tc>
        <w:tc>
          <w:tcPr>
            <w:tcW w:w="2126" w:type="dxa"/>
            <w:tcBorders>
              <w:top w:val="single" w:sz="6" w:space="0" w:color="auto"/>
              <w:left w:val="single" w:sz="6" w:space="0" w:color="auto"/>
              <w:bottom w:val="single" w:sz="6" w:space="0" w:color="auto"/>
              <w:right w:val="single" w:sz="12" w:space="0" w:color="auto"/>
            </w:tcBorders>
            <w:vAlign w:val="center"/>
          </w:tcPr>
          <w:p w:rsidR="00DF6DAB" w:rsidRPr="002641C1" w:rsidRDefault="00DF6DAB" w:rsidP="00DF6DAB">
            <w:pPr>
              <w:jc w:val="center"/>
              <w:rPr>
                <w:rFonts w:cstheme="minorHAnsi"/>
                <w:szCs w:val="24"/>
              </w:rPr>
            </w:pPr>
            <w:r w:rsidRPr="002641C1">
              <w:rPr>
                <w:rFonts w:cstheme="minorHAnsi"/>
                <w:szCs w:val="24"/>
              </w:rPr>
              <w:t>2</w:t>
            </w:r>
          </w:p>
        </w:tc>
      </w:tr>
      <w:tr w:rsidR="00DF6DAB" w:rsidRPr="00326E6F" w:rsidTr="00DF6DAB">
        <w:trPr>
          <w:jc w:val="center"/>
        </w:trPr>
        <w:tc>
          <w:tcPr>
            <w:tcW w:w="1951" w:type="dxa"/>
            <w:tcBorders>
              <w:top w:val="single" w:sz="6" w:space="0" w:color="auto"/>
              <w:left w:val="single" w:sz="12" w:space="0" w:color="auto"/>
              <w:bottom w:val="single" w:sz="6" w:space="0" w:color="auto"/>
              <w:right w:val="single" w:sz="12" w:space="0" w:color="auto"/>
            </w:tcBorders>
            <w:vAlign w:val="center"/>
            <w:hideMark/>
          </w:tcPr>
          <w:p w:rsidR="00DF6DAB" w:rsidRPr="002641C1" w:rsidRDefault="00DF6DAB" w:rsidP="00DF6DAB">
            <w:pPr>
              <w:rPr>
                <w:rFonts w:cstheme="minorHAnsi"/>
                <w:szCs w:val="24"/>
              </w:rPr>
            </w:pPr>
            <w:r w:rsidRPr="002641C1">
              <w:rPr>
                <w:rFonts w:cstheme="minorHAnsi"/>
                <w:szCs w:val="24"/>
              </w:rPr>
              <w:t>Gusinje</w:t>
            </w:r>
          </w:p>
        </w:tc>
        <w:tc>
          <w:tcPr>
            <w:tcW w:w="2578" w:type="dxa"/>
            <w:tcBorders>
              <w:top w:val="single" w:sz="6" w:space="0" w:color="auto"/>
              <w:left w:val="single" w:sz="12" w:space="0" w:color="auto"/>
              <w:bottom w:val="single" w:sz="6" w:space="0" w:color="auto"/>
              <w:right w:val="single" w:sz="6" w:space="0" w:color="auto"/>
            </w:tcBorders>
            <w:vAlign w:val="center"/>
          </w:tcPr>
          <w:p w:rsidR="00DF6DAB" w:rsidRPr="002641C1" w:rsidRDefault="00DF6DAB" w:rsidP="00DF6DAB">
            <w:pPr>
              <w:jc w:val="center"/>
              <w:rPr>
                <w:rFonts w:cstheme="minorHAnsi"/>
                <w:szCs w:val="24"/>
              </w:rPr>
            </w:pPr>
            <w:r w:rsidRPr="002641C1">
              <w:rPr>
                <w:rFonts w:cstheme="minorHAnsi"/>
                <w:szCs w:val="24"/>
              </w:rPr>
              <w:t>1</w:t>
            </w:r>
          </w:p>
        </w:tc>
        <w:tc>
          <w:tcPr>
            <w:tcW w:w="2656" w:type="dxa"/>
            <w:tcBorders>
              <w:top w:val="single" w:sz="6" w:space="0" w:color="auto"/>
              <w:left w:val="single" w:sz="6" w:space="0" w:color="auto"/>
              <w:bottom w:val="single" w:sz="6" w:space="0" w:color="auto"/>
              <w:right w:val="single" w:sz="6" w:space="0" w:color="auto"/>
            </w:tcBorders>
            <w:vAlign w:val="center"/>
          </w:tcPr>
          <w:p w:rsidR="00DF6DAB" w:rsidRPr="002641C1" w:rsidRDefault="00DF6DAB" w:rsidP="00DF6DAB">
            <w:pPr>
              <w:jc w:val="center"/>
              <w:rPr>
                <w:rFonts w:cstheme="minorHAnsi"/>
                <w:szCs w:val="24"/>
              </w:rPr>
            </w:pPr>
            <w:r w:rsidRPr="002641C1">
              <w:rPr>
                <w:rFonts w:cstheme="minorHAnsi"/>
                <w:szCs w:val="24"/>
              </w:rPr>
              <w:t>1</w:t>
            </w:r>
          </w:p>
        </w:tc>
        <w:tc>
          <w:tcPr>
            <w:tcW w:w="2126" w:type="dxa"/>
            <w:tcBorders>
              <w:top w:val="single" w:sz="6" w:space="0" w:color="auto"/>
              <w:left w:val="single" w:sz="6" w:space="0" w:color="auto"/>
              <w:bottom w:val="single" w:sz="6" w:space="0" w:color="auto"/>
              <w:right w:val="single" w:sz="12" w:space="0" w:color="auto"/>
            </w:tcBorders>
            <w:vAlign w:val="center"/>
          </w:tcPr>
          <w:p w:rsidR="00DF6DAB" w:rsidRPr="002641C1" w:rsidRDefault="00DF6DAB" w:rsidP="00DF6DAB">
            <w:pPr>
              <w:jc w:val="center"/>
              <w:rPr>
                <w:rFonts w:cstheme="minorHAnsi"/>
                <w:szCs w:val="24"/>
              </w:rPr>
            </w:pPr>
            <w:r w:rsidRPr="002641C1">
              <w:rPr>
                <w:rFonts w:cstheme="minorHAnsi"/>
                <w:szCs w:val="24"/>
              </w:rPr>
              <w:t>1</w:t>
            </w:r>
          </w:p>
        </w:tc>
      </w:tr>
      <w:bookmarkEnd w:id="137"/>
      <w:tr w:rsidR="00DF6DAB" w:rsidRPr="00326E6F" w:rsidTr="00DF6DAB">
        <w:trPr>
          <w:jc w:val="center"/>
        </w:trPr>
        <w:tc>
          <w:tcPr>
            <w:tcW w:w="1951" w:type="dxa"/>
            <w:tcBorders>
              <w:top w:val="single" w:sz="6" w:space="0" w:color="auto"/>
              <w:left w:val="single" w:sz="12" w:space="0" w:color="auto"/>
              <w:bottom w:val="single" w:sz="6" w:space="0" w:color="auto"/>
              <w:right w:val="single" w:sz="12" w:space="0" w:color="auto"/>
            </w:tcBorders>
            <w:vAlign w:val="center"/>
          </w:tcPr>
          <w:p w:rsidR="00DF6DAB" w:rsidRPr="002641C1" w:rsidRDefault="00DF6DAB" w:rsidP="00DF6DAB">
            <w:pPr>
              <w:rPr>
                <w:rFonts w:cstheme="minorHAnsi"/>
                <w:szCs w:val="24"/>
              </w:rPr>
            </w:pPr>
            <w:r w:rsidRPr="002641C1">
              <w:rPr>
                <w:rFonts w:cstheme="minorHAnsi"/>
                <w:szCs w:val="24"/>
              </w:rPr>
              <w:t>Nikšić</w:t>
            </w:r>
          </w:p>
        </w:tc>
        <w:tc>
          <w:tcPr>
            <w:tcW w:w="2578" w:type="dxa"/>
            <w:tcBorders>
              <w:top w:val="single" w:sz="6" w:space="0" w:color="auto"/>
              <w:left w:val="single" w:sz="12" w:space="0" w:color="auto"/>
              <w:bottom w:val="single" w:sz="6" w:space="0" w:color="auto"/>
              <w:right w:val="single" w:sz="6" w:space="0" w:color="auto"/>
            </w:tcBorders>
            <w:vAlign w:val="center"/>
          </w:tcPr>
          <w:p w:rsidR="00DF6DAB" w:rsidRPr="002641C1" w:rsidRDefault="00DF6DAB" w:rsidP="00DF6DAB">
            <w:pPr>
              <w:jc w:val="center"/>
              <w:rPr>
                <w:rFonts w:cstheme="minorHAnsi"/>
                <w:szCs w:val="24"/>
              </w:rPr>
            </w:pPr>
            <w:r w:rsidRPr="002641C1">
              <w:rPr>
                <w:rFonts w:cstheme="minorHAnsi"/>
                <w:szCs w:val="24"/>
              </w:rPr>
              <w:t>1</w:t>
            </w:r>
          </w:p>
        </w:tc>
        <w:tc>
          <w:tcPr>
            <w:tcW w:w="2656" w:type="dxa"/>
            <w:tcBorders>
              <w:top w:val="single" w:sz="6" w:space="0" w:color="auto"/>
              <w:left w:val="single" w:sz="6" w:space="0" w:color="auto"/>
              <w:bottom w:val="single" w:sz="6" w:space="0" w:color="auto"/>
              <w:right w:val="single" w:sz="6" w:space="0" w:color="auto"/>
            </w:tcBorders>
            <w:vAlign w:val="center"/>
          </w:tcPr>
          <w:p w:rsidR="00DF6DAB" w:rsidRPr="002641C1" w:rsidRDefault="00DF6DAB" w:rsidP="00DF6DAB">
            <w:pPr>
              <w:jc w:val="center"/>
              <w:rPr>
                <w:rFonts w:cstheme="minorHAnsi"/>
                <w:szCs w:val="24"/>
              </w:rPr>
            </w:pPr>
            <w:r w:rsidRPr="002641C1">
              <w:rPr>
                <w:rFonts w:cstheme="minorHAnsi"/>
                <w:szCs w:val="24"/>
              </w:rPr>
              <w:t>3</w:t>
            </w:r>
          </w:p>
        </w:tc>
        <w:tc>
          <w:tcPr>
            <w:tcW w:w="2126" w:type="dxa"/>
            <w:tcBorders>
              <w:top w:val="single" w:sz="6" w:space="0" w:color="auto"/>
              <w:left w:val="single" w:sz="6" w:space="0" w:color="auto"/>
              <w:bottom w:val="single" w:sz="6" w:space="0" w:color="auto"/>
              <w:right w:val="single" w:sz="12" w:space="0" w:color="auto"/>
            </w:tcBorders>
            <w:vAlign w:val="center"/>
          </w:tcPr>
          <w:p w:rsidR="00DF6DAB" w:rsidRPr="002641C1" w:rsidRDefault="00DF6DAB" w:rsidP="00DF6DAB">
            <w:pPr>
              <w:jc w:val="center"/>
              <w:rPr>
                <w:rFonts w:cstheme="minorHAnsi"/>
                <w:szCs w:val="24"/>
              </w:rPr>
            </w:pPr>
            <w:r w:rsidRPr="002641C1">
              <w:rPr>
                <w:rFonts w:cstheme="minorHAnsi"/>
                <w:szCs w:val="24"/>
              </w:rPr>
              <w:t>1</w:t>
            </w:r>
          </w:p>
        </w:tc>
      </w:tr>
      <w:tr w:rsidR="00DF6DAB" w:rsidRPr="00326E6F" w:rsidTr="00DF6DAB">
        <w:trPr>
          <w:jc w:val="center"/>
        </w:trPr>
        <w:tc>
          <w:tcPr>
            <w:tcW w:w="1951" w:type="dxa"/>
            <w:tcBorders>
              <w:top w:val="single" w:sz="6" w:space="0" w:color="auto"/>
              <w:left w:val="single" w:sz="12" w:space="0" w:color="auto"/>
              <w:bottom w:val="single" w:sz="6" w:space="0" w:color="auto"/>
              <w:right w:val="single" w:sz="12" w:space="0" w:color="auto"/>
            </w:tcBorders>
            <w:vAlign w:val="center"/>
          </w:tcPr>
          <w:p w:rsidR="00DF6DAB" w:rsidRPr="002641C1" w:rsidRDefault="00DF6DAB" w:rsidP="00DF6DAB">
            <w:pPr>
              <w:rPr>
                <w:rFonts w:cstheme="minorHAnsi"/>
                <w:szCs w:val="24"/>
              </w:rPr>
            </w:pPr>
            <w:r w:rsidRPr="002641C1">
              <w:rPr>
                <w:rFonts w:cstheme="minorHAnsi"/>
                <w:szCs w:val="24"/>
              </w:rPr>
              <w:t>Petnjica</w:t>
            </w:r>
          </w:p>
        </w:tc>
        <w:tc>
          <w:tcPr>
            <w:tcW w:w="2578" w:type="dxa"/>
            <w:tcBorders>
              <w:top w:val="single" w:sz="6" w:space="0" w:color="auto"/>
              <w:left w:val="single" w:sz="12" w:space="0" w:color="auto"/>
              <w:bottom w:val="single" w:sz="6" w:space="0" w:color="auto"/>
              <w:right w:val="single" w:sz="6" w:space="0" w:color="auto"/>
            </w:tcBorders>
            <w:vAlign w:val="center"/>
          </w:tcPr>
          <w:p w:rsidR="00DF6DAB" w:rsidRPr="002641C1" w:rsidRDefault="00DF6DAB" w:rsidP="00DF6DAB">
            <w:pPr>
              <w:jc w:val="center"/>
              <w:rPr>
                <w:rFonts w:cstheme="minorHAnsi"/>
                <w:szCs w:val="24"/>
              </w:rPr>
            </w:pPr>
            <w:r w:rsidRPr="002641C1">
              <w:rPr>
                <w:rFonts w:cstheme="minorHAnsi"/>
                <w:szCs w:val="24"/>
              </w:rPr>
              <w:t>2</w:t>
            </w:r>
          </w:p>
        </w:tc>
        <w:tc>
          <w:tcPr>
            <w:tcW w:w="2656" w:type="dxa"/>
            <w:tcBorders>
              <w:top w:val="single" w:sz="6" w:space="0" w:color="auto"/>
              <w:left w:val="single" w:sz="6" w:space="0" w:color="auto"/>
              <w:bottom w:val="single" w:sz="6" w:space="0" w:color="auto"/>
              <w:right w:val="single" w:sz="6" w:space="0" w:color="auto"/>
            </w:tcBorders>
            <w:vAlign w:val="center"/>
          </w:tcPr>
          <w:p w:rsidR="00DF6DAB" w:rsidRPr="002641C1" w:rsidRDefault="00DF6DAB" w:rsidP="00DF6DAB">
            <w:pPr>
              <w:jc w:val="center"/>
              <w:rPr>
                <w:rFonts w:cstheme="minorHAnsi"/>
                <w:szCs w:val="24"/>
              </w:rPr>
            </w:pPr>
          </w:p>
        </w:tc>
        <w:tc>
          <w:tcPr>
            <w:tcW w:w="2126" w:type="dxa"/>
            <w:tcBorders>
              <w:top w:val="single" w:sz="6" w:space="0" w:color="auto"/>
              <w:left w:val="single" w:sz="6" w:space="0" w:color="auto"/>
              <w:bottom w:val="single" w:sz="6" w:space="0" w:color="auto"/>
              <w:right w:val="single" w:sz="12" w:space="0" w:color="auto"/>
            </w:tcBorders>
            <w:vAlign w:val="center"/>
          </w:tcPr>
          <w:p w:rsidR="00DF6DAB" w:rsidRPr="002641C1" w:rsidRDefault="00DF6DAB" w:rsidP="00DF6DAB">
            <w:pPr>
              <w:jc w:val="center"/>
              <w:rPr>
                <w:rFonts w:cstheme="minorHAnsi"/>
                <w:szCs w:val="24"/>
              </w:rPr>
            </w:pPr>
          </w:p>
        </w:tc>
      </w:tr>
      <w:tr w:rsidR="00DF6DAB" w:rsidRPr="00326E6F" w:rsidTr="00DF6DAB">
        <w:trPr>
          <w:jc w:val="center"/>
        </w:trPr>
        <w:tc>
          <w:tcPr>
            <w:tcW w:w="1951" w:type="dxa"/>
            <w:tcBorders>
              <w:top w:val="single" w:sz="6" w:space="0" w:color="auto"/>
              <w:left w:val="single" w:sz="12" w:space="0" w:color="auto"/>
              <w:bottom w:val="single" w:sz="6" w:space="0" w:color="auto"/>
              <w:right w:val="single" w:sz="12" w:space="0" w:color="auto"/>
            </w:tcBorders>
            <w:vAlign w:val="center"/>
          </w:tcPr>
          <w:p w:rsidR="00DF6DAB" w:rsidRPr="002641C1" w:rsidRDefault="00DF6DAB" w:rsidP="00DF6DAB">
            <w:pPr>
              <w:rPr>
                <w:rFonts w:cstheme="minorHAnsi"/>
                <w:szCs w:val="24"/>
              </w:rPr>
            </w:pPr>
            <w:r w:rsidRPr="002641C1">
              <w:rPr>
                <w:rFonts w:cstheme="minorHAnsi"/>
                <w:szCs w:val="24"/>
              </w:rPr>
              <w:t>Plav</w:t>
            </w:r>
          </w:p>
        </w:tc>
        <w:tc>
          <w:tcPr>
            <w:tcW w:w="2578" w:type="dxa"/>
            <w:tcBorders>
              <w:top w:val="single" w:sz="6" w:space="0" w:color="auto"/>
              <w:left w:val="single" w:sz="12" w:space="0" w:color="auto"/>
              <w:bottom w:val="single" w:sz="6" w:space="0" w:color="auto"/>
              <w:right w:val="single" w:sz="6" w:space="0" w:color="auto"/>
            </w:tcBorders>
            <w:vAlign w:val="center"/>
          </w:tcPr>
          <w:p w:rsidR="00DF6DAB" w:rsidRPr="002641C1" w:rsidRDefault="00DF6DAB" w:rsidP="00DF6DAB">
            <w:pPr>
              <w:jc w:val="center"/>
              <w:rPr>
                <w:rFonts w:cstheme="minorHAnsi"/>
                <w:szCs w:val="24"/>
              </w:rPr>
            </w:pPr>
            <w:r w:rsidRPr="002641C1">
              <w:rPr>
                <w:rFonts w:cstheme="minorHAnsi"/>
                <w:szCs w:val="24"/>
              </w:rPr>
              <w:t>2</w:t>
            </w:r>
          </w:p>
        </w:tc>
        <w:tc>
          <w:tcPr>
            <w:tcW w:w="2656" w:type="dxa"/>
            <w:tcBorders>
              <w:top w:val="single" w:sz="6" w:space="0" w:color="auto"/>
              <w:left w:val="single" w:sz="6" w:space="0" w:color="auto"/>
              <w:bottom w:val="single" w:sz="6" w:space="0" w:color="auto"/>
              <w:right w:val="single" w:sz="6" w:space="0" w:color="auto"/>
            </w:tcBorders>
            <w:vAlign w:val="center"/>
          </w:tcPr>
          <w:p w:rsidR="00DF6DAB" w:rsidRPr="002641C1" w:rsidRDefault="00DF6DAB" w:rsidP="00DF6DAB">
            <w:pPr>
              <w:jc w:val="center"/>
              <w:rPr>
                <w:rFonts w:cstheme="minorHAnsi"/>
                <w:szCs w:val="24"/>
              </w:rPr>
            </w:pPr>
            <w:r w:rsidRPr="002641C1">
              <w:rPr>
                <w:rFonts w:cstheme="minorHAnsi"/>
                <w:szCs w:val="24"/>
              </w:rPr>
              <w:t>3</w:t>
            </w:r>
          </w:p>
        </w:tc>
        <w:tc>
          <w:tcPr>
            <w:tcW w:w="2126" w:type="dxa"/>
            <w:tcBorders>
              <w:top w:val="single" w:sz="6" w:space="0" w:color="auto"/>
              <w:left w:val="single" w:sz="6" w:space="0" w:color="auto"/>
              <w:bottom w:val="single" w:sz="6" w:space="0" w:color="auto"/>
              <w:right w:val="single" w:sz="12" w:space="0" w:color="auto"/>
            </w:tcBorders>
            <w:vAlign w:val="center"/>
          </w:tcPr>
          <w:p w:rsidR="00DF6DAB" w:rsidRPr="002641C1" w:rsidRDefault="00DF6DAB" w:rsidP="00DF6DAB">
            <w:pPr>
              <w:jc w:val="center"/>
              <w:rPr>
                <w:rFonts w:cstheme="minorHAnsi"/>
                <w:szCs w:val="24"/>
              </w:rPr>
            </w:pPr>
          </w:p>
        </w:tc>
      </w:tr>
      <w:tr w:rsidR="00DF6DAB" w:rsidRPr="00326E6F" w:rsidTr="00DF6DAB">
        <w:trPr>
          <w:jc w:val="center"/>
        </w:trPr>
        <w:tc>
          <w:tcPr>
            <w:tcW w:w="1951" w:type="dxa"/>
            <w:tcBorders>
              <w:top w:val="single" w:sz="6" w:space="0" w:color="auto"/>
              <w:left w:val="single" w:sz="12" w:space="0" w:color="auto"/>
              <w:bottom w:val="single" w:sz="6" w:space="0" w:color="auto"/>
              <w:right w:val="single" w:sz="12" w:space="0" w:color="auto"/>
            </w:tcBorders>
            <w:vAlign w:val="center"/>
            <w:hideMark/>
          </w:tcPr>
          <w:p w:rsidR="00DF6DAB" w:rsidRPr="002641C1" w:rsidRDefault="00DF6DAB" w:rsidP="00DF6DAB">
            <w:pPr>
              <w:rPr>
                <w:rFonts w:cstheme="minorHAnsi"/>
                <w:szCs w:val="24"/>
              </w:rPr>
            </w:pPr>
            <w:r w:rsidRPr="002641C1">
              <w:rPr>
                <w:rFonts w:cstheme="minorHAnsi"/>
                <w:szCs w:val="24"/>
              </w:rPr>
              <w:t>Pljevlja</w:t>
            </w:r>
          </w:p>
        </w:tc>
        <w:tc>
          <w:tcPr>
            <w:tcW w:w="2578" w:type="dxa"/>
            <w:tcBorders>
              <w:top w:val="single" w:sz="6" w:space="0" w:color="auto"/>
              <w:left w:val="single" w:sz="12" w:space="0" w:color="auto"/>
              <w:bottom w:val="single" w:sz="6" w:space="0" w:color="auto"/>
              <w:right w:val="single" w:sz="6" w:space="0" w:color="auto"/>
            </w:tcBorders>
            <w:vAlign w:val="center"/>
          </w:tcPr>
          <w:p w:rsidR="00DF6DAB" w:rsidRPr="002641C1" w:rsidRDefault="00DF6DAB" w:rsidP="00DF6DAB">
            <w:pPr>
              <w:jc w:val="center"/>
              <w:rPr>
                <w:rFonts w:cstheme="minorHAnsi"/>
                <w:szCs w:val="24"/>
              </w:rPr>
            </w:pPr>
          </w:p>
        </w:tc>
        <w:tc>
          <w:tcPr>
            <w:tcW w:w="2656" w:type="dxa"/>
            <w:tcBorders>
              <w:top w:val="single" w:sz="6" w:space="0" w:color="auto"/>
              <w:left w:val="single" w:sz="6" w:space="0" w:color="auto"/>
              <w:bottom w:val="single" w:sz="6" w:space="0" w:color="auto"/>
              <w:right w:val="single" w:sz="6" w:space="0" w:color="auto"/>
            </w:tcBorders>
            <w:vAlign w:val="center"/>
          </w:tcPr>
          <w:p w:rsidR="00DF6DAB" w:rsidRPr="002641C1" w:rsidRDefault="00DF6DAB" w:rsidP="00DF6DAB">
            <w:pPr>
              <w:jc w:val="center"/>
              <w:rPr>
                <w:rFonts w:cstheme="minorHAnsi"/>
                <w:szCs w:val="24"/>
              </w:rPr>
            </w:pPr>
          </w:p>
        </w:tc>
        <w:tc>
          <w:tcPr>
            <w:tcW w:w="2126" w:type="dxa"/>
            <w:tcBorders>
              <w:top w:val="single" w:sz="6" w:space="0" w:color="auto"/>
              <w:left w:val="single" w:sz="6" w:space="0" w:color="auto"/>
              <w:bottom w:val="single" w:sz="6" w:space="0" w:color="auto"/>
              <w:right w:val="single" w:sz="12" w:space="0" w:color="auto"/>
            </w:tcBorders>
            <w:vAlign w:val="center"/>
          </w:tcPr>
          <w:p w:rsidR="00DF6DAB" w:rsidRPr="002641C1" w:rsidRDefault="00DF6DAB" w:rsidP="00DF6DAB">
            <w:pPr>
              <w:jc w:val="center"/>
              <w:rPr>
                <w:rFonts w:cstheme="minorHAnsi"/>
                <w:szCs w:val="24"/>
              </w:rPr>
            </w:pPr>
            <w:r w:rsidRPr="002641C1">
              <w:rPr>
                <w:rFonts w:cstheme="minorHAnsi"/>
                <w:szCs w:val="24"/>
              </w:rPr>
              <w:t>1</w:t>
            </w:r>
          </w:p>
        </w:tc>
      </w:tr>
      <w:tr w:rsidR="00DF6DAB" w:rsidRPr="00326E6F" w:rsidTr="00DF6DAB">
        <w:trPr>
          <w:jc w:val="center"/>
        </w:trPr>
        <w:tc>
          <w:tcPr>
            <w:tcW w:w="1951" w:type="dxa"/>
            <w:tcBorders>
              <w:top w:val="single" w:sz="6" w:space="0" w:color="auto"/>
              <w:left w:val="single" w:sz="12" w:space="0" w:color="auto"/>
              <w:bottom w:val="single" w:sz="6" w:space="0" w:color="auto"/>
              <w:right w:val="single" w:sz="12" w:space="0" w:color="auto"/>
            </w:tcBorders>
            <w:vAlign w:val="center"/>
            <w:hideMark/>
          </w:tcPr>
          <w:p w:rsidR="00DF6DAB" w:rsidRPr="002641C1" w:rsidRDefault="00DF6DAB" w:rsidP="00DF6DAB">
            <w:pPr>
              <w:rPr>
                <w:rFonts w:cstheme="minorHAnsi"/>
                <w:szCs w:val="24"/>
              </w:rPr>
            </w:pPr>
            <w:r w:rsidRPr="002641C1">
              <w:rPr>
                <w:rFonts w:cstheme="minorHAnsi"/>
                <w:szCs w:val="24"/>
              </w:rPr>
              <w:t>Rožaje</w:t>
            </w:r>
          </w:p>
        </w:tc>
        <w:tc>
          <w:tcPr>
            <w:tcW w:w="2578" w:type="dxa"/>
            <w:tcBorders>
              <w:top w:val="single" w:sz="6" w:space="0" w:color="auto"/>
              <w:left w:val="single" w:sz="12" w:space="0" w:color="auto"/>
              <w:bottom w:val="single" w:sz="6" w:space="0" w:color="auto"/>
              <w:right w:val="single" w:sz="6" w:space="0" w:color="auto"/>
            </w:tcBorders>
            <w:vAlign w:val="center"/>
          </w:tcPr>
          <w:p w:rsidR="00DF6DAB" w:rsidRPr="002641C1" w:rsidRDefault="00DF6DAB" w:rsidP="00DF6DAB">
            <w:pPr>
              <w:jc w:val="center"/>
              <w:rPr>
                <w:rFonts w:cstheme="minorHAnsi"/>
                <w:szCs w:val="24"/>
              </w:rPr>
            </w:pPr>
            <w:r w:rsidRPr="002641C1">
              <w:rPr>
                <w:rFonts w:cstheme="minorHAnsi"/>
                <w:szCs w:val="24"/>
              </w:rPr>
              <w:t>2</w:t>
            </w:r>
          </w:p>
        </w:tc>
        <w:tc>
          <w:tcPr>
            <w:tcW w:w="2656" w:type="dxa"/>
            <w:tcBorders>
              <w:top w:val="single" w:sz="6" w:space="0" w:color="auto"/>
              <w:left w:val="single" w:sz="6" w:space="0" w:color="auto"/>
              <w:bottom w:val="single" w:sz="6" w:space="0" w:color="auto"/>
              <w:right w:val="single" w:sz="6" w:space="0" w:color="auto"/>
            </w:tcBorders>
            <w:vAlign w:val="center"/>
          </w:tcPr>
          <w:p w:rsidR="00DF6DAB" w:rsidRPr="002641C1" w:rsidRDefault="00DF6DAB" w:rsidP="00DF6DAB">
            <w:pPr>
              <w:jc w:val="center"/>
              <w:rPr>
                <w:rFonts w:cstheme="minorHAnsi"/>
                <w:szCs w:val="24"/>
              </w:rPr>
            </w:pPr>
            <w:r w:rsidRPr="002641C1">
              <w:rPr>
                <w:rFonts w:cstheme="minorHAnsi"/>
                <w:szCs w:val="24"/>
              </w:rPr>
              <w:t>2</w:t>
            </w:r>
          </w:p>
        </w:tc>
        <w:tc>
          <w:tcPr>
            <w:tcW w:w="2126" w:type="dxa"/>
            <w:tcBorders>
              <w:top w:val="single" w:sz="6" w:space="0" w:color="auto"/>
              <w:left w:val="single" w:sz="6" w:space="0" w:color="auto"/>
              <w:bottom w:val="single" w:sz="6" w:space="0" w:color="auto"/>
              <w:right w:val="single" w:sz="12" w:space="0" w:color="auto"/>
            </w:tcBorders>
            <w:vAlign w:val="center"/>
          </w:tcPr>
          <w:p w:rsidR="00DF6DAB" w:rsidRPr="002641C1" w:rsidRDefault="00DF6DAB" w:rsidP="00DF6DAB">
            <w:pPr>
              <w:jc w:val="center"/>
              <w:rPr>
                <w:rFonts w:cstheme="minorHAnsi"/>
                <w:szCs w:val="24"/>
              </w:rPr>
            </w:pPr>
            <w:r w:rsidRPr="002641C1">
              <w:rPr>
                <w:rFonts w:cstheme="minorHAnsi"/>
                <w:szCs w:val="24"/>
              </w:rPr>
              <w:t>1</w:t>
            </w:r>
          </w:p>
        </w:tc>
      </w:tr>
      <w:tr w:rsidR="00DF6DAB" w:rsidRPr="00326E6F" w:rsidTr="00DF6DAB">
        <w:trPr>
          <w:jc w:val="center"/>
        </w:trPr>
        <w:tc>
          <w:tcPr>
            <w:tcW w:w="1951" w:type="dxa"/>
            <w:tcBorders>
              <w:top w:val="single" w:sz="6" w:space="0" w:color="auto"/>
              <w:left w:val="single" w:sz="12" w:space="0" w:color="auto"/>
              <w:bottom w:val="single" w:sz="6" w:space="0" w:color="auto"/>
              <w:right w:val="single" w:sz="12" w:space="0" w:color="auto"/>
            </w:tcBorders>
            <w:vAlign w:val="center"/>
            <w:hideMark/>
          </w:tcPr>
          <w:p w:rsidR="00DF6DAB" w:rsidRPr="002641C1" w:rsidRDefault="00DF6DAB" w:rsidP="00DF6DAB">
            <w:pPr>
              <w:rPr>
                <w:rFonts w:cstheme="minorHAnsi"/>
                <w:szCs w:val="24"/>
              </w:rPr>
            </w:pPr>
            <w:r w:rsidRPr="002641C1">
              <w:rPr>
                <w:rFonts w:cstheme="minorHAnsi"/>
                <w:szCs w:val="24"/>
              </w:rPr>
              <w:t>Šavnik</w:t>
            </w:r>
          </w:p>
        </w:tc>
        <w:tc>
          <w:tcPr>
            <w:tcW w:w="2578" w:type="dxa"/>
            <w:tcBorders>
              <w:top w:val="single" w:sz="6" w:space="0" w:color="auto"/>
              <w:left w:val="single" w:sz="12" w:space="0" w:color="auto"/>
              <w:bottom w:val="single" w:sz="6" w:space="0" w:color="auto"/>
              <w:right w:val="single" w:sz="6" w:space="0" w:color="auto"/>
            </w:tcBorders>
            <w:vAlign w:val="center"/>
          </w:tcPr>
          <w:p w:rsidR="00DF6DAB" w:rsidRPr="002641C1" w:rsidRDefault="00DF6DAB" w:rsidP="00DF6DAB">
            <w:pPr>
              <w:jc w:val="center"/>
              <w:rPr>
                <w:rFonts w:cstheme="minorHAnsi"/>
                <w:szCs w:val="24"/>
              </w:rPr>
            </w:pPr>
            <w:r w:rsidRPr="002641C1">
              <w:rPr>
                <w:rFonts w:cstheme="minorHAnsi"/>
                <w:szCs w:val="24"/>
              </w:rPr>
              <w:t>3</w:t>
            </w:r>
          </w:p>
        </w:tc>
        <w:tc>
          <w:tcPr>
            <w:tcW w:w="2656" w:type="dxa"/>
            <w:tcBorders>
              <w:top w:val="single" w:sz="6" w:space="0" w:color="auto"/>
              <w:left w:val="single" w:sz="6" w:space="0" w:color="auto"/>
              <w:bottom w:val="single" w:sz="6" w:space="0" w:color="auto"/>
              <w:right w:val="single" w:sz="6" w:space="0" w:color="auto"/>
            </w:tcBorders>
            <w:vAlign w:val="center"/>
          </w:tcPr>
          <w:p w:rsidR="00DF6DAB" w:rsidRPr="002641C1" w:rsidRDefault="00DF6DAB" w:rsidP="00DF6DAB">
            <w:pPr>
              <w:jc w:val="center"/>
              <w:rPr>
                <w:rFonts w:cstheme="minorHAnsi"/>
                <w:szCs w:val="24"/>
              </w:rPr>
            </w:pPr>
          </w:p>
        </w:tc>
        <w:tc>
          <w:tcPr>
            <w:tcW w:w="2126" w:type="dxa"/>
            <w:tcBorders>
              <w:top w:val="single" w:sz="6" w:space="0" w:color="auto"/>
              <w:left w:val="single" w:sz="6" w:space="0" w:color="auto"/>
              <w:bottom w:val="single" w:sz="6" w:space="0" w:color="auto"/>
              <w:right w:val="single" w:sz="12" w:space="0" w:color="auto"/>
            </w:tcBorders>
            <w:vAlign w:val="center"/>
          </w:tcPr>
          <w:p w:rsidR="00DF6DAB" w:rsidRPr="002641C1" w:rsidRDefault="00DF6DAB" w:rsidP="00DF6DAB">
            <w:pPr>
              <w:jc w:val="center"/>
              <w:rPr>
                <w:rFonts w:cstheme="minorHAnsi"/>
                <w:szCs w:val="24"/>
              </w:rPr>
            </w:pPr>
            <w:r w:rsidRPr="002641C1">
              <w:rPr>
                <w:rFonts w:cstheme="minorHAnsi"/>
                <w:szCs w:val="24"/>
              </w:rPr>
              <w:t>1</w:t>
            </w:r>
          </w:p>
        </w:tc>
      </w:tr>
      <w:tr w:rsidR="00DF6DAB" w:rsidRPr="00326E6F" w:rsidTr="00DF6DAB">
        <w:trPr>
          <w:jc w:val="center"/>
        </w:trPr>
        <w:tc>
          <w:tcPr>
            <w:tcW w:w="1951" w:type="dxa"/>
            <w:tcBorders>
              <w:top w:val="single" w:sz="12" w:space="0" w:color="auto"/>
              <w:left w:val="single" w:sz="12" w:space="0" w:color="auto"/>
              <w:bottom w:val="single" w:sz="12" w:space="0" w:color="auto"/>
              <w:right w:val="single" w:sz="12" w:space="0" w:color="auto"/>
            </w:tcBorders>
            <w:vAlign w:val="center"/>
            <w:hideMark/>
          </w:tcPr>
          <w:p w:rsidR="00DF6DAB" w:rsidRPr="002641C1" w:rsidRDefault="00DF6DAB" w:rsidP="00DF6DAB">
            <w:pPr>
              <w:rPr>
                <w:rFonts w:cstheme="minorHAnsi"/>
                <w:szCs w:val="24"/>
              </w:rPr>
            </w:pPr>
            <w:r w:rsidRPr="002641C1">
              <w:rPr>
                <w:rFonts w:cstheme="minorHAnsi"/>
                <w:szCs w:val="24"/>
              </w:rPr>
              <w:t>Ukupno</w:t>
            </w:r>
          </w:p>
        </w:tc>
        <w:tc>
          <w:tcPr>
            <w:tcW w:w="2578" w:type="dxa"/>
            <w:tcBorders>
              <w:top w:val="single" w:sz="12" w:space="0" w:color="auto"/>
              <w:left w:val="single" w:sz="12" w:space="0" w:color="auto"/>
              <w:bottom w:val="single" w:sz="12" w:space="0" w:color="auto"/>
              <w:right w:val="single" w:sz="6" w:space="0" w:color="auto"/>
            </w:tcBorders>
            <w:vAlign w:val="center"/>
            <w:hideMark/>
          </w:tcPr>
          <w:p w:rsidR="00DF6DAB" w:rsidRPr="002641C1" w:rsidRDefault="00DF6DAB" w:rsidP="00DF6DAB">
            <w:pPr>
              <w:jc w:val="center"/>
              <w:rPr>
                <w:rFonts w:cstheme="minorHAnsi"/>
                <w:szCs w:val="24"/>
              </w:rPr>
            </w:pPr>
            <w:r w:rsidRPr="002641C1">
              <w:rPr>
                <w:rFonts w:cstheme="minorHAnsi"/>
                <w:szCs w:val="24"/>
              </w:rPr>
              <w:t>15</w:t>
            </w:r>
          </w:p>
        </w:tc>
        <w:tc>
          <w:tcPr>
            <w:tcW w:w="2656" w:type="dxa"/>
            <w:tcBorders>
              <w:top w:val="single" w:sz="12" w:space="0" w:color="auto"/>
              <w:left w:val="single" w:sz="6" w:space="0" w:color="auto"/>
              <w:bottom w:val="single" w:sz="12" w:space="0" w:color="auto"/>
              <w:right w:val="single" w:sz="6" w:space="0" w:color="auto"/>
            </w:tcBorders>
            <w:vAlign w:val="center"/>
            <w:hideMark/>
          </w:tcPr>
          <w:p w:rsidR="00DF6DAB" w:rsidRPr="002641C1" w:rsidRDefault="00DF6DAB" w:rsidP="00DF6DAB">
            <w:pPr>
              <w:jc w:val="center"/>
              <w:rPr>
                <w:rFonts w:cstheme="minorHAnsi"/>
                <w:szCs w:val="24"/>
              </w:rPr>
            </w:pPr>
            <w:r w:rsidRPr="002641C1">
              <w:rPr>
                <w:rFonts w:cstheme="minorHAnsi"/>
                <w:szCs w:val="24"/>
              </w:rPr>
              <w:t>9</w:t>
            </w:r>
          </w:p>
        </w:tc>
        <w:tc>
          <w:tcPr>
            <w:tcW w:w="2126" w:type="dxa"/>
            <w:tcBorders>
              <w:top w:val="single" w:sz="12" w:space="0" w:color="auto"/>
              <w:left w:val="single" w:sz="6" w:space="0" w:color="auto"/>
              <w:bottom w:val="single" w:sz="12" w:space="0" w:color="auto"/>
              <w:right w:val="single" w:sz="12" w:space="0" w:color="auto"/>
            </w:tcBorders>
            <w:vAlign w:val="center"/>
            <w:hideMark/>
          </w:tcPr>
          <w:p w:rsidR="00DF6DAB" w:rsidRPr="002641C1" w:rsidRDefault="00DF6DAB" w:rsidP="00DF6DAB">
            <w:pPr>
              <w:jc w:val="center"/>
              <w:rPr>
                <w:rFonts w:cstheme="minorHAnsi"/>
                <w:szCs w:val="24"/>
              </w:rPr>
            </w:pPr>
            <w:r w:rsidRPr="002641C1">
              <w:rPr>
                <w:rFonts w:cstheme="minorHAnsi"/>
                <w:szCs w:val="24"/>
              </w:rPr>
              <w:t>11</w:t>
            </w:r>
          </w:p>
        </w:tc>
      </w:tr>
    </w:tbl>
    <w:p w:rsidR="00DF6DAB" w:rsidRPr="00326E6F" w:rsidRDefault="00DF6DAB" w:rsidP="00DF6DAB">
      <w:pPr>
        <w:rPr>
          <w:rFonts w:ascii="Arial" w:hAnsi="Arial" w:cs="Arial"/>
        </w:rPr>
      </w:pPr>
    </w:p>
    <w:p w:rsidR="00DF6DAB" w:rsidRDefault="00DF6DAB" w:rsidP="00DF6DAB">
      <w:pPr>
        <w:rPr>
          <w:rFonts w:ascii="Arial" w:hAnsi="Arial" w:cs="Arial"/>
        </w:rPr>
      </w:pPr>
    </w:p>
    <w:p w:rsidR="00DF6DAB" w:rsidRDefault="00DF6DAB" w:rsidP="00DF6DAB">
      <w:pPr>
        <w:rPr>
          <w:rFonts w:ascii="Arial" w:hAnsi="Arial" w:cs="Arial"/>
        </w:rPr>
      </w:pPr>
    </w:p>
    <w:p w:rsidR="00DF6DAB" w:rsidRDefault="00DF6DAB" w:rsidP="00DF6DAB">
      <w:pPr>
        <w:rPr>
          <w:rFonts w:ascii="Arial" w:hAnsi="Arial" w:cs="Arial"/>
        </w:rPr>
      </w:pPr>
    </w:p>
    <w:p w:rsidR="00DF6DAB" w:rsidRDefault="00DF6DAB" w:rsidP="00DF6DAB">
      <w:pPr>
        <w:rPr>
          <w:rFonts w:ascii="Arial" w:hAnsi="Arial" w:cs="Arial"/>
        </w:rPr>
      </w:pPr>
    </w:p>
    <w:p w:rsidR="00DF6DAB" w:rsidRDefault="00DF6DAB" w:rsidP="00DF6DAB">
      <w:pPr>
        <w:rPr>
          <w:rFonts w:ascii="Arial" w:hAnsi="Arial" w:cs="Arial"/>
        </w:rPr>
      </w:pPr>
    </w:p>
    <w:p w:rsidR="00DF6DAB" w:rsidRDefault="00DF6DAB" w:rsidP="00DF6DAB">
      <w:pPr>
        <w:rPr>
          <w:rFonts w:ascii="Arial" w:hAnsi="Arial" w:cs="Arial"/>
        </w:rPr>
      </w:pPr>
    </w:p>
    <w:p w:rsidR="00DF6DAB" w:rsidRDefault="00DF6DAB" w:rsidP="00DF6DAB">
      <w:pPr>
        <w:rPr>
          <w:rFonts w:ascii="Arial" w:hAnsi="Arial" w:cs="Arial"/>
        </w:rPr>
      </w:pPr>
    </w:p>
    <w:p w:rsidR="00DF6DAB" w:rsidRDefault="00DF6DAB" w:rsidP="00DF6DAB">
      <w:pPr>
        <w:rPr>
          <w:rFonts w:ascii="Arial" w:hAnsi="Arial" w:cs="Arial"/>
        </w:rPr>
      </w:pPr>
    </w:p>
    <w:p w:rsidR="00DF6DAB" w:rsidRDefault="00DF6DAB" w:rsidP="00DF6DAB">
      <w:pPr>
        <w:rPr>
          <w:rFonts w:ascii="Arial" w:hAnsi="Arial" w:cs="Arial"/>
        </w:rPr>
      </w:pPr>
    </w:p>
    <w:p w:rsidR="00DF6DAB" w:rsidRDefault="00DF6DAB" w:rsidP="00DF6DAB">
      <w:pPr>
        <w:rPr>
          <w:rFonts w:ascii="Arial" w:hAnsi="Arial" w:cs="Arial"/>
        </w:rPr>
      </w:pPr>
    </w:p>
    <w:p w:rsidR="009C3C48" w:rsidRDefault="009C3C48" w:rsidP="00DF6DAB">
      <w:pPr>
        <w:rPr>
          <w:rFonts w:ascii="Arial" w:hAnsi="Arial" w:cs="Arial"/>
        </w:rPr>
      </w:pPr>
    </w:p>
    <w:p w:rsidR="00DF6DAB" w:rsidRPr="009C3C48" w:rsidRDefault="00DF6DAB" w:rsidP="00DF6DAB">
      <w:pPr>
        <w:rPr>
          <w:rFonts w:cstheme="minorHAnsi"/>
        </w:rPr>
      </w:pPr>
      <w:r w:rsidRPr="003755A8">
        <w:rPr>
          <w:rFonts w:cstheme="minorHAnsi"/>
        </w:rPr>
        <w:t>Pregled katastarskih evidencija na teritoriji Crne Go</w:t>
      </w:r>
      <w:r w:rsidR="009C3C48">
        <w:rPr>
          <w:rFonts w:cstheme="minorHAnsi"/>
        </w:rPr>
        <w:t>re na datum 31.12. 2020. godine</w:t>
      </w:r>
    </w:p>
    <w:p w:rsidR="00DF6DAB" w:rsidRPr="00326E6F" w:rsidRDefault="00DF6DAB" w:rsidP="00DF6DAB">
      <w:pPr>
        <w:rPr>
          <w:rFonts w:ascii="Arial" w:hAnsi="Arial" w:cs="Arial"/>
        </w:rPr>
      </w:pPr>
      <w:r w:rsidRPr="00326E6F">
        <w:rPr>
          <w:rFonts w:ascii="Arial" w:hAnsi="Arial" w:cs="Arial"/>
          <w:noProof/>
          <w:lang w:val="sr-Latn-RS" w:eastAsia="sr-Latn-RS"/>
        </w:rPr>
        <w:drawing>
          <wp:inline distT="0" distB="0" distL="0" distR="0" wp14:anchorId="780B06D1" wp14:editId="5A11727D">
            <wp:extent cx="6088380" cy="6941820"/>
            <wp:effectExtent l="19050" t="19050" r="26670" b="1143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l="25221" t="15794" r="37801" b="9291"/>
                    <a:stretch>
                      <a:fillRect/>
                    </a:stretch>
                  </pic:blipFill>
                  <pic:spPr bwMode="auto">
                    <a:xfrm>
                      <a:off x="0" y="0"/>
                      <a:ext cx="6088380" cy="6941820"/>
                    </a:xfrm>
                    <a:prstGeom prst="rect">
                      <a:avLst/>
                    </a:prstGeom>
                    <a:noFill/>
                    <a:ln w="9525" cmpd="sng">
                      <a:solidFill>
                        <a:srgbClr val="FF0000"/>
                      </a:solidFill>
                      <a:miter lim="800000"/>
                      <a:headEnd/>
                      <a:tailEnd/>
                    </a:ln>
                    <a:effectLst/>
                  </pic:spPr>
                </pic:pic>
              </a:graphicData>
            </a:graphic>
          </wp:inline>
        </w:drawing>
      </w:r>
    </w:p>
    <w:p w:rsidR="00DF6DAB" w:rsidRPr="00326E6F" w:rsidRDefault="00DF6DAB" w:rsidP="00DF6DAB">
      <w:pPr>
        <w:rPr>
          <w:rFonts w:ascii="Arial" w:hAnsi="Arial" w:cs="Arial"/>
        </w:rPr>
      </w:pPr>
    </w:p>
    <w:p w:rsidR="00DF6DAB" w:rsidRPr="003755A8" w:rsidRDefault="00DF6DAB" w:rsidP="009C3C48">
      <w:pPr>
        <w:spacing w:before="0" w:after="0" w:line="240" w:lineRule="auto"/>
        <w:rPr>
          <w:rFonts w:cstheme="minorHAnsi"/>
          <w:b/>
        </w:rPr>
      </w:pPr>
      <w:bookmarkStart w:id="138" w:name="_Toc71288826"/>
      <w:r w:rsidRPr="003755A8">
        <w:rPr>
          <w:rFonts w:cstheme="minorHAnsi"/>
          <w:b/>
        </w:rPr>
        <w:t>2.1. NASTAVAK REALIZACIJE PROJEKATA OSNIVANJA KATASTRA NEPOKRETNOSTI NA NEPREMJERENOM DIJELU TERITORIJE CRNE GORE</w:t>
      </w:r>
      <w:bookmarkEnd w:id="138"/>
    </w:p>
    <w:p w:rsidR="00DF6DAB" w:rsidRPr="003755A8" w:rsidRDefault="00DF6DAB" w:rsidP="009C3C48">
      <w:pPr>
        <w:spacing w:before="0" w:after="0" w:line="240" w:lineRule="auto"/>
        <w:ind w:firstLine="720"/>
        <w:rPr>
          <w:rFonts w:cstheme="minorHAnsi"/>
        </w:rPr>
      </w:pPr>
      <w:r w:rsidRPr="003755A8">
        <w:rPr>
          <w:rFonts w:cstheme="minorHAnsi"/>
        </w:rPr>
        <w:t>U prethodnom periodu, kao prioritetni poslovi realizovali su se Projekti osnivanja katastra nepokretnosti na nepremjerenom dijelu teritorije Crne Gore, Glavnog grada Podgorica, Prijestonice Cetinje i Opština: Andrijevica, Berane, Bijelo Polje, Nikšić, Mojkovac, Plav, Pljevlja, Rožaje, Šavnik i Žabljak.</w:t>
      </w:r>
    </w:p>
    <w:p w:rsidR="00DF6DAB" w:rsidRPr="003755A8" w:rsidRDefault="00DF6DAB" w:rsidP="009C3C48">
      <w:pPr>
        <w:spacing w:before="0" w:after="0" w:line="240" w:lineRule="auto"/>
        <w:ind w:firstLine="720"/>
        <w:rPr>
          <w:rFonts w:cstheme="minorHAnsi"/>
        </w:rPr>
      </w:pPr>
      <w:r w:rsidRPr="003755A8">
        <w:rPr>
          <w:rFonts w:cstheme="minorHAnsi"/>
        </w:rPr>
        <w:t>Aktivnosti realizovane u toku 2020. godine obuhvatile su</w:t>
      </w:r>
      <w:r>
        <w:rPr>
          <w:rFonts w:cstheme="minorHAnsi"/>
        </w:rPr>
        <w:t xml:space="preserve"> </w:t>
      </w:r>
      <w:r w:rsidRPr="003755A8">
        <w:rPr>
          <w:rFonts w:cstheme="minorHAnsi"/>
        </w:rPr>
        <w:t>sljedeće poslove:</w:t>
      </w:r>
    </w:p>
    <w:p w:rsidR="00DF6DAB" w:rsidRPr="003755A8" w:rsidRDefault="00DF6DAB" w:rsidP="009C3C48">
      <w:pPr>
        <w:spacing w:before="0" w:after="0" w:line="240" w:lineRule="auto"/>
        <w:rPr>
          <w:rFonts w:cstheme="minorHAnsi"/>
        </w:rPr>
      </w:pPr>
      <w:bookmarkStart w:id="139" w:name="OLE_LINK92"/>
      <w:bookmarkStart w:id="140" w:name="OLE_LINK93"/>
      <w:r>
        <w:rPr>
          <w:rFonts w:cstheme="minorHAnsi"/>
        </w:rPr>
        <w:lastRenderedPageBreak/>
        <w:t xml:space="preserve"> </w:t>
      </w:r>
      <w:r w:rsidRPr="003755A8">
        <w:rPr>
          <w:rFonts w:cstheme="minorHAnsi"/>
        </w:rPr>
        <w:t>-</w:t>
      </w:r>
      <w:r>
        <w:rPr>
          <w:rFonts w:cstheme="minorHAnsi"/>
        </w:rPr>
        <w:t xml:space="preserve"> </w:t>
      </w:r>
      <w:r w:rsidRPr="003755A8">
        <w:rPr>
          <w:rFonts w:cstheme="minorHAnsi"/>
        </w:rPr>
        <w:t xml:space="preserve">katastarsko klasiranje; </w:t>
      </w:r>
    </w:p>
    <w:p w:rsidR="00DF6DAB" w:rsidRPr="003755A8" w:rsidRDefault="00DF6DAB" w:rsidP="009C3C48">
      <w:pPr>
        <w:spacing w:before="0" w:after="0" w:line="240" w:lineRule="auto"/>
        <w:rPr>
          <w:rFonts w:cstheme="minorHAnsi"/>
        </w:rPr>
      </w:pPr>
      <w:r>
        <w:rPr>
          <w:rFonts w:cstheme="minorHAnsi"/>
        </w:rPr>
        <w:t xml:space="preserve"> - </w:t>
      </w:r>
      <w:r w:rsidRPr="003755A8">
        <w:rPr>
          <w:rFonts w:cstheme="minorHAnsi"/>
        </w:rPr>
        <w:t>obrada prikupljenih podataka i izrada privremene baze podataka;</w:t>
      </w:r>
    </w:p>
    <w:bookmarkEnd w:id="139"/>
    <w:bookmarkEnd w:id="140"/>
    <w:p w:rsidR="00DF6DAB" w:rsidRPr="003755A8" w:rsidRDefault="00DF6DAB" w:rsidP="009C3C48">
      <w:pPr>
        <w:spacing w:before="0" w:after="0" w:line="240" w:lineRule="auto"/>
        <w:rPr>
          <w:rFonts w:cstheme="minorHAnsi"/>
        </w:rPr>
      </w:pPr>
      <w:r>
        <w:rPr>
          <w:rFonts w:cstheme="minorHAnsi"/>
        </w:rPr>
        <w:t xml:space="preserve"> - </w:t>
      </w:r>
      <w:r w:rsidRPr="003755A8">
        <w:rPr>
          <w:rFonts w:cstheme="minorHAnsi"/>
        </w:rPr>
        <w:t>izlaganje na javni uvid podataka o nepokretnostima i pravima na njima koje obuhvata osim upravnog postupka i terenski rad za potrebe rješavanja prigovora (u daljem tekstu izlaganje podataka);</w:t>
      </w:r>
    </w:p>
    <w:p w:rsidR="00DF6DAB" w:rsidRPr="003755A8" w:rsidRDefault="00DF6DAB" w:rsidP="009C3C48">
      <w:pPr>
        <w:spacing w:before="0" w:after="0" w:line="240" w:lineRule="auto"/>
        <w:rPr>
          <w:rFonts w:cstheme="minorHAnsi"/>
        </w:rPr>
      </w:pPr>
      <w:r>
        <w:rPr>
          <w:rFonts w:cstheme="minorHAnsi"/>
        </w:rPr>
        <w:t xml:space="preserve"> - </w:t>
      </w:r>
      <w:r w:rsidRPr="003755A8">
        <w:rPr>
          <w:rFonts w:cstheme="minorHAnsi"/>
        </w:rPr>
        <w:t xml:space="preserve">potvrđivanje baze podataka. </w:t>
      </w:r>
    </w:p>
    <w:p w:rsidR="00DF6DAB" w:rsidRDefault="00DF6DAB" w:rsidP="009C3C48">
      <w:pPr>
        <w:spacing w:before="0" w:after="0" w:line="240" w:lineRule="auto"/>
        <w:ind w:firstLine="720"/>
        <w:rPr>
          <w:rFonts w:cstheme="minorHAnsi"/>
        </w:rPr>
      </w:pPr>
      <w:r w:rsidRPr="003755A8">
        <w:rPr>
          <w:rFonts w:cstheme="minorHAnsi"/>
        </w:rPr>
        <w:t>Za dio katastarskih opština završeno je izlaganje podataka na javni uvid, ali zbog poštovanja zakonske regulative i vremenskog roka isteka pravosnažnosti, još nije zvanično potvrđena baza katastra nepokretnosti.</w:t>
      </w:r>
    </w:p>
    <w:p w:rsidR="00DF6DAB" w:rsidRPr="003755A8" w:rsidRDefault="00DF6DAB" w:rsidP="009C3C48">
      <w:pPr>
        <w:spacing w:before="0" w:after="0" w:line="240" w:lineRule="auto"/>
        <w:ind w:firstLine="720"/>
        <w:rPr>
          <w:rFonts w:cstheme="minorHAnsi"/>
        </w:rPr>
      </w:pPr>
      <w:r w:rsidRPr="003755A8">
        <w:rPr>
          <w:rFonts w:cstheme="minorHAnsi"/>
        </w:rPr>
        <w:t>Za potrebe završetka postupka na terenu su rađeni i kancelarijski obrađeno prigovori evidentirani u procesu izlaganja podataka na javni uvid.</w:t>
      </w:r>
    </w:p>
    <w:p w:rsidR="00DF6DAB" w:rsidRPr="003755A8" w:rsidRDefault="00DF6DAB" w:rsidP="009C3C48">
      <w:pPr>
        <w:spacing w:before="0" w:after="0" w:line="240" w:lineRule="auto"/>
        <w:rPr>
          <w:rFonts w:cstheme="minorHAnsi"/>
        </w:rPr>
      </w:pPr>
    </w:p>
    <w:p w:rsidR="00DF6DAB" w:rsidRPr="009C3C48" w:rsidRDefault="00DF6DAB" w:rsidP="009C3C48">
      <w:pPr>
        <w:spacing w:before="0" w:after="0" w:line="240" w:lineRule="auto"/>
        <w:rPr>
          <w:rFonts w:cstheme="minorHAnsi"/>
          <w:u w:val="single"/>
        </w:rPr>
      </w:pPr>
      <w:r w:rsidRPr="009C3C48">
        <w:rPr>
          <w:rFonts w:cstheme="minorHAnsi"/>
          <w:u w:val="single"/>
        </w:rPr>
        <w:t>Glavni grad Podgorica</w:t>
      </w:r>
    </w:p>
    <w:p w:rsidR="00DF6DAB" w:rsidRPr="003755A8" w:rsidRDefault="00DF6DAB" w:rsidP="007D0034">
      <w:pPr>
        <w:spacing w:after="0" w:line="240" w:lineRule="auto"/>
        <w:ind w:firstLine="720"/>
        <w:rPr>
          <w:rFonts w:cstheme="minorHAnsi"/>
        </w:rPr>
      </w:pPr>
      <w:bookmarkStart w:id="141" w:name="OLE_LINK68"/>
      <w:bookmarkStart w:id="142" w:name="OLE_LINK69"/>
      <w:r w:rsidRPr="003755A8">
        <w:rPr>
          <w:rFonts w:cstheme="minorHAnsi"/>
        </w:rPr>
        <w:t>Na teritoriji Glavnog grada Podgorica, u okviru nastavka realizacije Projekta osnivanja evidencije katastra nepokretnosti, rađeni su sljedeći poslovi:</w:t>
      </w:r>
    </w:p>
    <w:p w:rsidR="00DF6DAB" w:rsidRPr="003755A8" w:rsidRDefault="00DF6DAB" w:rsidP="009C3C48">
      <w:pPr>
        <w:spacing w:before="0" w:after="0" w:line="240" w:lineRule="auto"/>
        <w:rPr>
          <w:rFonts w:cstheme="minorHAnsi"/>
        </w:rPr>
      </w:pPr>
      <w:r>
        <w:rPr>
          <w:rFonts w:cstheme="minorHAnsi"/>
        </w:rPr>
        <w:t xml:space="preserve"> - </w:t>
      </w:r>
      <w:r w:rsidRPr="003755A8">
        <w:rPr>
          <w:rFonts w:cstheme="minorHAnsi"/>
        </w:rPr>
        <w:t>izrada privremene baze podataka;</w:t>
      </w:r>
    </w:p>
    <w:p w:rsidR="00DF6DAB" w:rsidRPr="003755A8" w:rsidRDefault="00DF6DAB" w:rsidP="009C3C48">
      <w:pPr>
        <w:spacing w:before="0" w:after="0" w:line="240" w:lineRule="auto"/>
        <w:rPr>
          <w:rFonts w:cstheme="minorHAnsi"/>
        </w:rPr>
      </w:pPr>
      <w:r>
        <w:rPr>
          <w:rFonts w:cstheme="minorHAnsi"/>
        </w:rPr>
        <w:t xml:space="preserve"> - </w:t>
      </w:r>
      <w:r w:rsidRPr="003755A8">
        <w:rPr>
          <w:rFonts w:cstheme="minorHAnsi"/>
        </w:rPr>
        <w:t>izlaganje podataka;</w:t>
      </w:r>
    </w:p>
    <w:p w:rsidR="00DF6DAB" w:rsidRPr="003755A8" w:rsidRDefault="00DF6DAB" w:rsidP="009C3C48">
      <w:pPr>
        <w:spacing w:before="0" w:after="0" w:line="240" w:lineRule="auto"/>
        <w:rPr>
          <w:rFonts w:cstheme="minorHAnsi"/>
        </w:rPr>
      </w:pPr>
      <w:r>
        <w:rPr>
          <w:rFonts w:cstheme="minorHAnsi"/>
        </w:rPr>
        <w:t xml:space="preserve"> - </w:t>
      </w:r>
      <w:r w:rsidRPr="003755A8">
        <w:rPr>
          <w:rFonts w:cstheme="minorHAnsi"/>
        </w:rPr>
        <w:t>potvrđivanje baze podataka.</w:t>
      </w:r>
    </w:p>
    <w:p w:rsidR="00DF6DAB" w:rsidRDefault="00DF6DAB" w:rsidP="009C3C48">
      <w:pPr>
        <w:spacing w:before="0" w:after="0" w:line="240" w:lineRule="auto"/>
        <w:ind w:firstLine="720"/>
        <w:rPr>
          <w:rFonts w:cstheme="minorHAnsi"/>
        </w:rPr>
      </w:pPr>
      <w:r w:rsidRPr="003755A8">
        <w:rPr>
          <w:rFonts w:cstheme="minorHAnsi"/>
        </w:rPr>
        <w:t>Za potrebe Izlaganja podataka za navedene katastarske opštine na teritoriji Glavnog grada Podgorica</w:t>
      </w:r>
      <w:r w:rsidR="009C3C48">
        <w:rPr>
          <w:rFonts w:cstheme="minorHAnsi"/>
        </w:rPr>
        <w:t>, angažovane su dvije Komisije.</w:t>
      </w:r>
    </w:p>
    <w:p w:rsidR="009C3C48" w:rsidRPr="003755A8" w:rsidRDefault="009C3C48" w:rsidP="009C3C48">
      <w:pPr>
        <w:spacing w:before="0" w:after="0" w:line="240" w:lineRule="auto"/>
        <w:ind w:firstLine="720"/>
        <w:rPr>
          <w:rFonts w:cstheme="minorHAnsi"/>
        </w:rPr>
      </w:pPr>
    </w:p>
    <w:p w:rsidR="00DF6DAB" w:rsidRPr="009C3C48" w:rsidRDefault="00DF6DAB" w:rsidP="009C3C48">
      <w:pPr>
        <w:spacing w:before="0" w:after="0"/>
        <w:jc w:val="center"/>
        <w:rPr>
          <w:rFonts w:cstheme="minorHAnsi"/>
        </w:rPr>
      </w:pPr>
      <w:bookmarkStart w:id="143" w:name="OLE_LINK59"/>
      <w:bookmarkStart w:id="144" w:name="OLE_LINK60"/>
      <w:bookmarkEnd w:id="141"/>
      <w:bookmarkEnd w:id="142"/>
      <w:r w:rsidRPr="003755A8">
        <w:rPr>
          <w:rFonts w:cstheme="minorHAnsi"/>
        </w:rPr>
        <w:t xml:space="preserve">Tabela 2.1. Pregled </w:t>
      </w:r>
      <w:bookmarkStart w:id="145" w:name="OLE_LINK73"/>
      <w:bookmarkStart w:id="146" w:name="OLE_LINK74"/>
      <w:r w:rsidRPr="003755A8">
        <w:rPr>
          <w:rFonts w:cstheme="minorHAnsi"/>
        </w:rPr>
        <w:t>izvršenih radova na</w:t>
      </w:r>
      <w:bookmarkEnd w:id="145"/>
      <w:bookmarkEnd w:id="146"/>
      <w:r w:rsidRPr="003755A8">
        <w:rPr>
          <w:rFonts w:cstheme="minorHAnsi"/>
        </w:rPr>
        <w:t xml:space="preserve"> osnivanju evidencije katastra nepokretnosti u okviru pr</w:t>
      </w:r>
      <w:r w:rsidR="009C3C48">
        <w:rPr>
          <w:rFonts w:cstheme="minorHAnsi"/>
        </w:rPr>
        <w:t>ojekta za Glavni grad Podgorica</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firstRow="1" w:lastRow="0" w:firstColumn="1" w:lastColumn="0" w:noHBand="0" w:noVBand="1"/>
      </w:tblPr>
      <w:tblGrid>
        <w:gridCol w:w="2267"/>
        <w:gridCol w:w="1530"/>
        <w:gridCol w:w="1661"/>
        <w:gridCol w:w="1474"/>
        <w:gridCol w:w="1679"/>
      </w:tblGrid>
      <w:tr w:rsidR="00DF6DAB" w:rsidRPr="003755A8" w:rsidTr="00DF6DAB">
        <w:trPr>
          <w:trHeight w:val="431"/>
          <w:jc w:val="center"/>
        </w:trPr>
        <w:tc>
          <w:tcPr>
            <w:tcW w:w="8611" w:type="dxa"/>
            <w:gridSpan w:val="5"/>
            <w:tcBorders>
              <w:top w:val="single" w:sz="12" w:space="0" w:color="auto"/>
              <w:bottom w:val="single" w:sz="12" w:space="0" w:color="auto"/>
            </w:tcBorders>
            <w:shd w:val="clear" w:color="auto" w:fill="auto"/>
            <w:vAlign w:val="center"/>
          </w:tcPr>
          <w:p w:rsidR="00DF6DAB" w:rsidRPr="003755A8" w:rsidRDefault="00DF6DAB" w:rsidP="009C3C48">
            <w:pPr>
              <w:spacing w:before="0" w:after="0"/>
              <w:rPr>
                <w:rFonts w:cstheme="minorHAnsi"/>
              </w:rPr>
            </w:pPr>
            <w:r w:rsidRPr="003755A8">
              <w:rPr>
                <w:rFonts w:cstheme="minorHAnsi"/>
              </w:rPr>
              <w:t>PODGORICA</w:t>
            </w:r>
          </w:p>
        </w:tc>
      </w:tr>
      <w:tr w:rsidR="00DF6DAB" w:rsidRPr="003755A8" w:rsidTr="00DF6DAB">
        <w:trPr>
          <w:jc w:val="center"/>
        </w:trPr>
        <w:tc>
          <w:tcPr>
            <w:tcW w:w="2267" w:type="dxa"/>
            <w:tcBorders>
              <w:top w:val="single" w:sz="12" w:space="0" w:color="auto"/>
              <w:bottom w:val="single" w:sz="12" w:space="0" w:color="auto"/>
            </w:tcBorders>
            <w:shd w:val="clear" w:color="auto" w:fill="auto"/>
            <w:vAlign w:val="center"/>
          </w:tcPr>
          <w:p w:rsidR="00DF6DAB" w:rsidRPr="003755A8" w:rsidRDefault="00DF6DAB" w:rsidP="009C3C48">
            <w:pPr>
              <w:spacing w:before="0" w:after="0"/>
              <w:jc w:val="left"/>
              <w:rPr>
                <w:rFonts w:cstheme="minorHAnsi"/>
              </w:rPr>
            </w:pPr>
            <w:r w:rsidRPr="003755A8">
              <w:rPr>
                <w:rFonts w:cstheme="minorHAnsi"/>
              </w:rPr>
              <w:t>Naziv KO</w:t>
            </w:r>
          </w:p>
        </w:tc>
        <w:tc>
          <w:tcPr>
            <w:tcW w:w="1530" w:type="dxa"/>
            <w:tcBorders>
              <w:top w:val="single" w:sz="12" w:space="0" w:color="auto"/>
              <w:bottom w:val="single" w:sz="12" w:space="0" w:color="auto"/>
            </w:tcBorders>
            <w:shd w:val="clear" w:color="auto" w:fill="auto"/>
            <w:vAlign w:val="center"/>
          </w:tcPr>
          <w:p w:rsidR="00DF6DAB" w:rsidRPr="003755A8" w:rsidRDefault="00DF6DAB" w:rsidP="009C3C48">
            <w:pPr>
              <w:spacing w:before="0" w:after="0"/>
              <w:jc w:val="left"/>
              <w:rPr>
                <w:rFonts w:cstheme="minorHAnsi"/>
              </w:rPr>
            </w:pPr>
            <w:r w:rsidRPr="003755A8">
              <w:rPr>
                <w:rFonts w:cstheme="minorHAnsi"/>
              </w:rPr>
              <w:t>Prikupljanje podataka</w:t>
            </w:r>
          </w:p>
        </w:tc>
        <w:tc>
          <w:tcPr>
            <w:tcW w:w="1661" w:type="dxa"/>
            <w:tcBorders>
              <w:top w:val="single" w:sz="12" w:space="0" w:color="auto"/>
              <w:bottom w:val="single" w:sz="12" w:space="0" w:color="auto"/>
            </w:tcBorders>
            <w:shd w:val="clear" w:color="auto" w:fill="auto"/>
            <w:vAlign w:val="center"/>
          </w:tcPr>
          <w:p w:rsidR="00DF6DAB" w:rsidRPr="003755A8" w:rsidRDefault="00DF6DAB" w:rsidP="009C3C48">
            <w:pPr>
              <w:spacing w:before="0" w:after="0"/>
              <w:jc w:val="left"/>
              <w:rPr>
                <w:rFonts w:cstheme="minorHAnsi"/>
              </w:rPr>
            </w:pPr>
            <w:r w:rsidRPr="003755A8">
              <w:rPr>
                <w:rFonts w:cstheme="minorHAnsi"/>
              </w:rPr>
              <w:t>Izrada privremene baze podataka</w:t>
            </w:r>
          </w:p>
        </w:tc>
        <w:tc>
          <w:tcPr>
            <w:tcW w:w="1474" w:type="dxa"/>
            <w:tcBorders>
              <w:top w:val="single" w:sz="12" w:space="0" w:color="auto"/>
              <w:bottom w:val="single" w:sz="12" w:space="0" w:color="auto"/>
            </w:tcBorders>
            <w:shd w:val="clear" w:color="auto" w:fill="auto"/>
            <w:vAlign w:val="center"/>
          </w:tcPr>
          <w:p w:rsidR="00DF6DAB" w:rsidRPr="003755A8" w:rsidRDefault="00DF6DAB" w:rsidP="009C3C48">
            <w:pPr>
              <w:spacing w:before="0" w:after="0"/>
              <w:jc w:val="left"/>
              <w:rPr>
                <w:rFonts w:cstheme="minorHAnsi"/>
              </w:rPr>
            </w:pPr>
            <w:r w:rsidRPr="003755A8">
              <w:rPr>
                <w:rFonts w:cstheme="minorHAnsi"/>
              </w:rPr>
              <w:t>Izlaganje podataka</w:t>
            </w:r>
          </w:p>
        </w:tc>
        <w:tc>
          <w:tcPr>
            <w:tcW w:w="1679" w:type="dxa"/>
            <w:tcBorders>
              <w:top w:val="single" w:sz="12" w:space="0" w:color="auto"/>
              <w:bottom w:val="single" w:sz="12" w:space="0" w:color="auto"/>
            </w:tcBorders>
            <w:shd w:val="clear" w:color="auto" w:fill="auto"/>
            <w:vAlign w:val="center"/>
          </w:tcPr>
          <w:p w:rsidR="00DF6DAB" w:rsidRPr="003755A8" w:rsidRDefault="00DF6DAB" w:rsidP="009C3C48">
            <w:pPr>
              <w:spacing w:before="0" w:after="0"/>
              <w:jc w:val="left"/>
              <w:rPr>
                <w:rFonts w:cstheme="minorHAnsi"/>
              </w:rPr>
            </w:pPr>
            <w:r w:rsidRPr="003755A8">
              <w:rPr>
                <w:rFonts w:cstheme="minorHAnsi"/>
              </w:rPr>
              <w:t>Potvrđivanje baze podataka</w:t>
            </w:r>
          </w:p>
        </w:tc>
      </w:tr>
      <w:tr w:rsidR="00DF6DAB" w:rsidRPr="003755A8" w:rsidTr="00DF6DAB">
        <w:trPr>
          <w:jc w:val="center"/>
        </w:trPr>
        <w:tc>
          <w:tcPr>
            <w:tcW w:w="2267" w:type="dxa"/>
            <w:tcBorders>
              <w:top w:val="single" w:sz="12" w:space="0" w:color="auto"/>
            </w:tcBorders>
            <w:shd w:val="clear" w:color="auto" w:fill="auto"/>
            <w:vAlign w:val="bottom"/>
          </w:tcPr>
          <w:p w:rsidR="00DF6DAB" w:rsidRPr="003755A8" w:rsidRDefault="00DF6DAB" w:rsidP="009C3C48">
            <w:pPr>
              <w:spacing w:before="0" w:after="0"/>
              <w:rPr>
                <w:rFonts w:cstheme="minorHAnsi"/>
              </w:rPr>
            </w:pPr>
            <w:r w:rsidRPr="003755A8">
              <w:rPr>
                <w:rFonts w:cstheme="minorHAnsi"/>
              </w:rPr>
              <w:t>TRMANJE</w:t>
            </w:r>
          </w:p>
        </w:tc>
        <w:tc>
          <w:tcPr>
            <w:tcW w:w="1530" w:type="dxa"/>
            <w:tcBorders>
              <w:top w:val="single" w:sz="12" w:space="0" w:color="auto"/>
              <w:bottom w:val="single" w:sz="6" w:space="0" w:color="auto"/>
              <w:right w:val="single" w:sz="6" w:space="0" w:color="auto"/>
            </w:tcBorders>
            <w:shd w:val="clear" w:color="auto" w:fill="FFFFFF"/>
            <w:vAlign w:val="center"/>
          </w:tcPr>
          <w:p w:rsidR="00DF6DAB" w:rsidRPr="003755A8" w:rsidRDefault="00DF6DAB" w:rsidP="009C3C48">
            <w:pPr>
              <w:spacing w:before="0" w:after="0"/>
              <w:rPr>
                <w:rFonts w:cstheme="minorHAnsi"/>
                <w:highlight w:val="lightGray"/>
              </w:rPr>
            </w:pPr>
            <w:r w:rsidRPr="003755A8">
              <w:rPr>
                <w:rFonts w:cstheme="minorHAnsi"/>
                <w:highlight w:val="lightGray"/>
              </w:rPr>
              <w:t>x</w:t>
            </w:r>
          </w:p>
        </w:tc>
        <w:tc>
          <w:tcPr>
            <w:tcW w:w="1661" w:type="dxa"/>
            <w:tcBorders>
              <w:top w:val="single" w:sz="12" w:space="0" w:color="auto"/>
              <w:left w:val="single" w:sz="6" w:space="0" w:color="auto"/>
              <w:bottom w:val="single" w:sz="6" w:space="0" w:color="auto"/>
              <w:right w:val="single" w:sz="6" w:space="0" w:color="auto"/>
            </w:tcBorders>
            <w:shd w:val="clear" w:color="auto" w:fill="FFFFFF"/>
            <w:vAlign w:val="center"/>
          </w:tcPr>
          <w:p w:rsidR="00DF6DAB" w:rsidRPr="003755A8" w:rsidRDefault="00DF6DAB" w:rsidP="009C3C48">
            <w:pPr>
              <w:spacing w:before="0" w:after="0"/>
              <w:rPr>
                <w:rFonts w:cstheme="minorHAnsi"/>
                <w:highlight w:val="lightGray"/>
              </w:rPr>
            </w:pPr>
            <w:r w:rsidRPr="003755A8">
              <w:rPr>
                <w:rFonts w:cstheme="minorHAnsi"/>
                <w:highlight w:val="lightGray"/>
              </w:rPr>
              <w:t>x</w:t>
            </w:r>
          </w:p>
        </w:tc>
        <w:tc>
          <w:tcPr>
            <w:tcW w:w="1474" w:type="dxa"/>
            <w:tcBorders>
              <w:top w:val="single" w:sz="12" w:space="0" w:color="auto"/>
              <w:left w:val="single" w:sz="6" w:space="0" w:color="auto"/>
              <w:bottom w:val="single" w:sz="6" w:space="0" w:color="auto"/>
              <w:right w:val="single" w:sz="6" w:space="0" w:color="auto"/>
            </w:tcBorders>
            <w:shd w:val="clear" w:color="auto" w:fill="FFFFFF"/>
            <w:vAlign w:val="center"/>
          </w:tcPr>
          <w:p w:rsidR="00DF6DAB" w:rsidRPr="003755A8" w:rsidRDefault="00DF6DAB" w:rsidP="009C3C48">
            <w:pPr>
              <w:spacing w:before="0" w:after="0"/>
              <w:rPr>
                <w:rFonts w:cstheme="minorHAnsi"/>
                <w:highlight w:val="yellow"/>
              </w:rPr>
            </w:pPr>
            <w:r w:rsidRPr="003755A8">
              <w:rPr>
                <w:rFonts w:cstheme="minorHAnsi"/>
                <w:highlight w:val="yellow"/>
              </w:rPr>
              <w:t>x</w:t>
            </w:r>
          </w:p>
        </w:tc>
        <w:tc>
          <w:tcPr>
            <w:tcW w:w="1679" w:type="dxa"/>
            <w:tcBorders>
              <w:top w:val="single" w:sz="12" w:space="0" w:color="auto"/>
              <w:left w:val="single" w:sz="6" w:space="0" w:color="auto"/>
              <w:bottom w:val="single" w:sz="6" w:space="0" w:color="auto"/>
            </w:tcBorders>
            <w:shd w:val="clear" w:color="auto" w:fill="auto"/>
          </w:tcPr>
          <w:p w:rsidR="00DF6DAB" w:rsidRPr="003755A8" w:rsidRDefault="00DF6DAB" w:rsidP="009C3C48">
            <w:pPr>
              <w:spacing w:before="0" w:after="0"/>
              <w:rPr>
                <w:rFonts w:cstheme="minorHAnsi"/>
                <w:highlight w:val="magenta"/>
              </w:rPr>
            </w:pPr>
            <w:r w:rsidRPr="003755A8">
              <w:rPr>
                <w:rFonts w:cstheme="minorHAnsi"/>
                <w:highlight w:val="magenta"/>
              </w:rPr>
              <w:t>x</w:t>
            </w:r>
          </w:p>
        </w:tc>
      </w:tr>
      <w:tr w:rsidR="00DF6DAB" w:rsidRPr="003755A8" w:rsidTr="00DF6DAB">
        <w:trPr>
          <w:jc w:val="center"/>
        </w:trPr>
        <w:tc>
          <w:tcPr>
            <w:tcW w:w="2267" w:type="dxa"/>
            <w:shd w:val="clear" w:color="auto" w:fill="auto"/>
            <w:vAlign w:val="bottom"/>
          </w:tcPr>
          <w:p w:rsidR="00DF6DAB" w:rsidRPr="003755A8" w:rsidRDefault="00DF6DAB" w:rsidP="009C3C48">
            <w:pPr>
              <w:spacing w:before="0" w:after="0"/>
              <w:rPr>
                <w:rFonts w:cstheme="minorHAnsi"/>
              </w:rPr>
            </w:pPr>
            <w:r w:rsidRPr="003755A8">
              <w:rPr>
                <w:rFonts w:cstheme="minorHAnsi"/>
              </w:rPr>
              <w:t>GORNJE STRAVČE</w:t>
            </w:r>
          </w:p>
        </w:tc>
        <w:tc>
          <w:tcPr>
            <w:tcW w:w="1530" w:type="dxa"/>
            <w:tcBorders>
              <w:top w:val="single" w:sz="6" w:space="0" w:color="auto"/>
              <w:bottom w:val="single" w:sz="6" w:space="0" w:color="auto"/>
              <w:right w:val="single" w:sz="6" w:space="0" w:color="auto"/>
            </w:tcBorders>
            <w:shd w:val="clear" w:color="auto" w:fill="FFFFFF"/>
            <w:vAlign w:val="center"/>
          </w:tcPr>
          <w:p w:rsidR="00DF6DAB" w:rsidRPr="003755A8" w:rsidRDefault="00DF6DAB" w:rsidP="009C3C48">
            <w:pPr>
              <w:spacing w:before="0" w:after="0"/>
              <w:rPr>
                <w:rFonts w:cstheme="minorHAnsi"/>
                <w:highlight w:val="lightGray"/>
              </w:rPr>
            </w:pPr>
            <w:r w:rsidRPr="003755A8">
              <w:rPr>
                <w:rFonts w:cstheme="minorHAnsi"/>
                <w:highlight w:val="lightGray"/>
              </w:rPr>
              <w:t>x</w:t>
            </w:r>
          </w:p>
        </w:tc>
        <w:tc>
          <w:tcPr>
            <w:tcW w:w="1661" w:type="dxa"/>
            <w:tcBorders>
              <w:top w:val="single" w:sz="6" w:space="0" w:color="auto"/>
              <w:left w:val="single" w:sz="6" w:space="0" w:color="auto"/>
              <w:bottom w:val="single" w:sz="6" w:space="0" w:color="auto"/>
              <w:right w:val="single" w:sz="6" w:space="0" w:color="auto"/>
            </w:tcBorders>
            <w:shd w:val="clear" w:color="auto" w:fill="FFFFFF"/>
            <w:vAlign w:val="center"/>
          </w:tcPr>
          <w:p w:rsidR="00DF6DAB" w:rsidRPr="003755A8" w:rsidRDefault="00DF6DAB" w:rsidP="009C3C48">
            <w:pPr>
              <w:spacing w:before="0" w:after="0"/>
              <w:rPr>
                <w:rFonts w:cstheme="minorHAnsi"/>
                <w:highlight w:val="lightGray"/>
              </w:rPr>
            </w:pPr>
            <w:r w:rsidRPr="003755A8">
              <w:rPr>
                <w:rFonts w:cstheme="minorHAnsi"/>
                <w:highlight w:val="lightGray"/>
              </w:rPr>
              <w:t>x</w:t>
            </w:r>
          </w:p>
        </w:tc>
        <w:tc>
          <w:tcPr>
            <w:tcW w:w="1474" w:type="dxa"/>
            <w:tcBorders>
              <w:top w:val="single" w:sz="6" w:space="0" w:color="auto"/>
              <w:left w:val="single" w:sz="6" w:space="0" w:color="auto"/>
              <w:bottom w:val="single" w:sz="6" w:space="0" w:color="auto"/>
              <w:right w:val="single" w:sz="6" w:space="0" w:color="auto"/>
            </w:tcBorders>
            <w:shd w:val="clear" w:color="auto" w:fill="FFFFFF"/>
            <w:vAlign w:val="center"/>
          </w:tcPr>
          <w:p w:rsidR="00DF6DAB" w:rsidRPr="003755A8" w:rsidRDefault="00DF6DAB" w:rsidP="009C3C48">
            <w:pPr>
              <w:spacing w:before="0" w:after="0"/>
              <w:rPr>
                <w:rFonts w:cstheme="minorHAnsi"/>
                <w:highlight w:val="yellow"/>
              </w:rPr>
            </w:pPr>
            <w:r w:rsidRPr="003755A8">
              <w:rPr>
                <w:rFonts w:cstheme="minorHAnsi"/>
                <w:highlight w:val="yellow"/>
              </w:rPr>
              <w:t>x</w:t>
            </w:r>
          </w:p>
        </w:tc>
        <w:tc>
          <w:tcPr>
            <w:tcW w:w="1679" w:type="dxa"/>
            <w:tcBorders>
              <w:top w:val="single" w:sz="6" w:space="0" w:color="auto"/>
              <w:left w:val="single" w:sz="6" w:space="0" w:color="auto"/>
              <w:bottom w:val="single" w:sz="6" w:space="0" w:color="auto"/>
            </w:tcBorders>
            <w:shd w:val="clear" w:color="auto" w:fill="auto"/>
            <w:vAlign w:val="center"/>
          </w:tcPr>
          <w:p w:rsidR="00DF6DAB" w:rsidRPr="003755A8" w:rsidRDefault="00DF6DAB" w:rsidP="009C3C48">
            <w:pPr>
              <w:spacing w:before="0" w:after="0"/>
              <w:rPr>
                <w:rFonts w:cstheme="minorHAnsi"/>
                <w:highlight w:val="magenta"/>
              </w:rPr>
            </w:pPr>
            <w:r w:rsidRPr="003755A8">
              <w:rPr>
                <w:rFonts w:cstheme="minorHAnsi"/>
                <w:highlight w:val="magenta"/>
              </w:rPr>
              <w:t>x</w:t>
            </w:r>
          </w:p>
        </w:tc>
      </w:tr>
      <w:tr w:rsidR="00DF6DAB" w:rsidRPr="003755A8" w:rsidTr="00DF6DAB">
        <w:trPr>
          <w:jc w:val="center"/>
        </w:trPr>
        <w:tc>
          <w:tcPr>
            <w:tcW w:w="2267" w:type="dxa"/>
            <w:tcBorders>
              <w:top w:val="single" w:sz="6" w:space="0" w:color="auto"/>
            </w:tcBorders>
            <w:shd w:val="clear" w:color="auto" w:fill="auto"/>
            <w:vAlign w:val="bottom"/>
          </w:tcPr>
          <w:p w:rsidR="00DF6DAB" w:rsidRPr="003755A8" w:rsidRDefault="00DF6DAB" w:rsidP="009C3C48">
            <w:pPr>
              <w:spacing w:before="0" w:after="0"/>
              <w:rPr>
                <w:rFonts w:cstheme="minorHAnsi"/>
              </w:rPr>
            </w:pPr>
            <w:r w:rsidRPr="003755A8">
              <w:rPr>
                <w:rFonts w:cstheme="minorHAnsi"/>
              </w:rPr>
              <w:t>TUZI</w:t>
            </w:r>
          </w:p>
        </w:tc>
        <w:tc>
          <w:tcPr>
            <w:tcW w:w="1530" w:type="dxa"/>
            <w:tcBorders>
              <w:top w:val="single" w:sz="6" w:space="0" w:color="auto"/>
              <w:bottom w:val="single" w:sz="12" w:space="0" w:color="auto"/>
              <w:right w:val="single" w:sz="6" w:space="0" w:color="auto"/>
            </w:tcBorders>
            <w:shd w:val="clear" w:color="auto" w:fill="FFFFFF"/>
            <w:vAlign w:val="center"/>
          </w:tcPr>
          <w:p w:rsidR="00DF6DAB" w:rsidRPr="003755A8" w:rsidRDefault="00DF6DAB" w:rsidP="009C3C48">
            <w:pPr>
              <w:spacing w:before="0" w:after="0"/>
              <w:rPr>
                <w:rFonts w:cstheme="minorHAnsi"/>
                <w:highlight w:val="lightGray"/>
              </w:rPr>
            </w:pPr>
            <w:r w:rsidRPr="003755A8">
              <w:rPr>
                <w:rFonts w:cstheme="minorHAnsi"/>
                <w:highlight w:val="lightGray"/>
              </w:rPr>
              <w:t>x</w:t>
            </w:r>
          </w:p>
        </w:tc>
        <w:tc>
          <w:tcPr>
            <w:tcW w:w="1661" w:type="dxa"/>
            <w:tcBorders>
              <w:top w:val="single" w:sz="6" w:space="0" w:color="auto"/>
              <w:left w:val="single" w:sz="6" w:space="0" w:color="auto"/>
              <w:bottom w:val="single" w:sz="12" w:space="0" w:color="auto"/>
              <w:right w:val="single" w:sz="6" w:space="0" w:color="auto"/>
            </w:tcBorders>
            <w:shd w:val="clear" w:color="auto" w:fill="FFFFFF"/>
            <w:vAlign w:val="center"/>
          </w:tcPr>
          <w:p w:rsidR="00DF6DAB" w:rsidRPr="003755A8" w:rsidRDefault="00DF6DAB" w:rsidP="009C3C48">
            <w:pPr>
              <w:spacing w:before="0" w:after="0"/>
              <w:rPr>
                <w:rFonts w:cstheme="minorHAnsi"/>
                <w:highlight w:val="lightGray"/>
              </w:rPr>
            </w:pPr>
            <w:r w:rsidRPr="003755A8">
              <w:rPr>
                <w:rFonts w:cstheme="minorHAnsi"/>
                <w:highlight w:val="yellow"/>
              </w:rPr>
              <w:t>x</w:t>
            </w:r>
          </w:p>
        </w:tc>
        <w:tc>
          <w:tcPr>
            <w:tcW w:w="1474" w:type="dxa"/>
            <w:tcBorders>
              <w:top w:val="single" w:sz="6" w:space="0" w:color="auto"/>
              <w:left w:val="single" w:sz="6" w:space="0" w:color="auto"/>
              <w:bottom w:val="single" w:sz="12" w:space="0" w:color="auto"/>
              <w:right w:val="single" w:sz="6" w:space="0" w:color="auto"/>
            </w:tcBorders>
            <w:shd w:val="clear" w:color="auto" w:fill="FFFFFF"/>
            <w:vAlign w:val="center"/>
          </w:tcPr>
          <w:p w:rsidR="00DF6DAB" w:rsidRPr="003755A8" w:rsidRDefault="00DF6DAB" w:rsidP="009C3C48">
            <w:pPr>
              <w:spacing w:before="0" w:after="0"/>
              <w:rPr>
                <w:rFonts w:cstheme="minorHAnsi"/>
              </w:rPr>
            </w:pPr>
            <w:r w:rsidRPr="003755A8">
              <w:rPr>
                <w:rFonts w:cstheme="minorHAnsi"/>
              </w:rPr>
              <w:t>x</w:t>
            </w:r>
          </w:p>
        </w:tc>
        <w:tc>
          <w:tcPr>
            <w:tcW w:w="1679" w:type="dxa"/>
            <w:tcBorders>
              <w:top w:val="single" w:sz="6" w:space="0" w:color="auto"/>
              <w:left w:val="single" w:sz="6" w:space="0" w:color="auto"/>
              <w:bottom w:val="single" w:sz="12" w:space="0" w:color="auto"/>
            </w:tcBorders>
            <w:shd w:val="clear" w:color="auto" w:fill="auto"/>
            <w:vAlign w:val="center"/>
          </w:tcPr>
          <w:p w:rsidR="00DF6DAB" w:rsidRPr="003755A8" w:rsidRDefault="00DF6DAB" w:rsidP="009C3C48">
            <w:pPr>
              <w:spacing w:before="0" w:after="0"/>
              <w:rPr>
                <w:rFonts w:cstheme="minorHAnsi"/>
              </w:rPr>
            </w:pPr>
            <w:r w:rsidRPr="003755A8">
              <w:rPr>
                <w:rFonts w:cstheme="minorHAnsi"/>
              </w:rPr>
              <w:t>x</w:t>
            </w:r>
          </w:p>
        </w:tc>
      </w:tr>
    </w:tbl>
    <w:bookmarkEnd w:id="143"/>
    <w:bookmarkEnd w:id="144"/>
    <w:p w:rsidR="00DF6DAB" w:rsidRPr="003755A8" w:rsidRDefault="00DF6DAB" w:rsidP="009C3C48">
      <w:pPr>
        <w:spacing w:before="0" w:after="0"/>
        <w:rPr>
          <w:rFonts w:cstheme="minorHAnsi"/>
        </w:rPr>
      </w:pPr>
      <w:r w:rsidRPr="003755A8">
        <w:rPr>
          <w:rFonts w:cstheme="minorHAnsi"/>
        </w:rPr>
        <w:t xml:space="preserve">  Legenda:</w:t>
      </w:r>
    </w:p>
    <w:p w:rsidR="00DF6DAB" w:rsidRPr="003755A8" w:rsidRDefault="00DF6DAB" w:rsidP="009C3C48">
      <w:pPr>
        <w:spacing w:before="0" w:after="0"/>
        <w:rPr>
          <w:rFonts w:cstheme="minorHAnsi"/>
        </w:rPr>
      </w:pPr>
      <w:r w:rsidRPr="003755A8">
        <w:rPr>
          <w:rFonts w:cstheme="minorHAnsi"/>
        </w:rPr>
        <w:t xml:space="preserve">   </w:t>
      </w:r>
      <w:r w:rsidRPr="003755A8">
        <w:rPr>
          <w:rFonts w:cstheme="minorHAnsi"/>
          <w:highlight w:val="lightGray"/>
        </w:rPr>
        <w:t>x</w:t>
      </w:r>
      <w:r w:rsidRPr="003755A8">
        <w:rPr>
          <w:rFonts w:cstheme="minorHAnsi"/>
        </w:rPr>
        <w:t xml:space="preserve">  Završeno u prethodnom periodu </w:t>
      </w:r>
    </w:p>
    <w:p w:rsidR="00DF6DAB" w:rsidRPr="003755A8" w:rsidRDefault="00DF6DAB" w:rsidP="009C3C48">
      <w:pPr>
        <w:spacing w:before="0" w:after="0"/>
        <w:rPr>
          <w:rFonts w:cstheme="minorHAnsi"/>
        </w:rPr>
      </w:pPr>
      <w:r w:rsidRPr="003755A8">
        <w:rPr>
          <w:rFonts w:cstheme="minorHAnsi"/>
        </w:rPr>
        <w:t xml:space="preserve">   </w:t>
      </w:r>
      <w:r w:rsidRPr="003755A8">
        <w:rPr>
          <w:rFonts w:cstheme="minorHAnsi"/>
          <w:highlight w:val="yellow"/>
        </w:rPr>
        <w:t>x</w:t>
      </w:r>
      <w:r w:rsidRPr="003755A8">
        <w:rPr>
          <w:rFonts w:cstheme="minorHAnsi"/>
        </w:rPr>
        <w:t xml:space="preserve">  Nastavak aktivnosti iz prethodnog perioda</w:t>
      </w:r>
    </w:p>
    <w:p w:rsidR="00DF6DAB" w:rsidRPr="003755A8" w:rsidRDefault="00DF6DAB" w:rsidP="009C3C48">
      <w:pPr>
        <w:spacing w:before="0" w:after="0"/>
        <w:rPr>
          <w:rFonts w:cstheme="minorHAnsi"/>
        </w:rPr>
      </w:pPr>
      <w:r w:rsidRPr="003755A8">
        <w:rPr>
          <w:rFonts w:cstheme="minorHAnsi"/>
        </w:rPr>
        <w:t xml:space="preserve">   </w:t>
      </w:r>
      <w:r w:rsidRPr="003755A8">
        <w:rPr>
          <w:rFonts w:cstheme="minorHAnsi"/>
          <w:highlight w:val="green"/>
        </w:rPr>
        <w:t>x</w:t>
      </w:r>
      <w:r w:rsidRPr="003755A8">
        <w:rPr>
          <w:rFonts w:cstheme="minorHAnsi"/>
        </w:rPr>
        <w:t xml:space="preserve">  Započete aktivnosti u toku 2020. godine</w:t>
      </w:r>
    </w:p>
    <w:p w:rsidR="00DF6DAB" w:rsidRPr="003755A8" w:rsidRDefault="00DF6DAB" w:rsidP="009C3C48">
      <w:pPr>
        <w:spacing w:before="0" w:after="0"/>
        <w:rPr>
          <w:rFonts w:cstheme="minorHAnsi"/>
        </w:rPr>
      </w:pPr>
      <w:r w:rsidRPr="003755A8">
        <w:rPr>
          <w:rFonts w:cstheme="minorHAnsi"/>
        </w:rPr>
        <w:t xml:space="preserve">   </w:t>
      </w:r>
      <w:r w:rsidRPr="003755A8">
        <w:rPr>
          <w:rFonts w:cstheme="minorHAnsi"/>
          <w:highlight w:val="magenta"/>
        </w:rPr>
        <w:t>x</w:t>
      </w:r>
      <w:r w:rsidRPr="003755A8">
        <w:rPr>
          <w:rFonts w:cstheme="minorHAnsi"/>
        </w:rPr>
        <w:t xml:space="preserve">  Završene aktivnosti u toku 2020. godine</w:t>
      </w:r>
    </w:p>
    <w:p w:rsidR="00DF6DAB" w:rsidRDefault="009C3C48" w:rsidP="009C3C48">
      <w:pPr>
        <w:spacing w:before="0" w:after="0"/>
        <w:rPr>
          <w:rFonts w:cstheme="minorHAnsi"/>
        </w:rPr>
      </w:pPr>
      <w:r>
        <w:rPr>
          <w:rFonts w:cstheme="minorHAnsi"/>
        </w:rPr>
        <w:t xml:space="preserve">   x  Planirane aktivnosti</w:t>
      </w:r>
    </w:p>
    <w:p w:rsidR="009C3C48" w:rsidRPr="009C3C48" w:rsidRDefault="009C3C48" w:rsidP="009C3C48">
      <w:pPr>
        <w:spacing w:before="0" w:after="0" w:line="240" w:lineRule="auto"/>
        <w:rPr>
          <w:rFonts w:cstheme="minorHAnsi"/>
        </w:rPr>
      </w:pPr>
    </w:p>
    <w:p w:rsidR="00DF6DAB" w:rsidRPr="009C3C48" w:rsidRDefault="00DF6DAB" w:rsidP="00DF6DAB">
      <w:pPr>
        <w:rPr>
          <w:rFonts w:cstheme="minorHAnsi"/>
          <w:u w:val="single"/>
        </w:rPr>
      </w:pPr>
      <w:r w:rsidRPr="009C3C48">
        <w:rPr>
          <w:rFonts w:cstheme="minorHAnsi"/>
          <w:u w:val="single"/>
        </w:rPr>
        <w:t>Opština Andrijevica</w:t>
      </w:r>
    </w:p>
    <w:p w:rsidR="00DF6DAB" w:rsidRPr="003755A8" w:rsidRDefault="00DF6DAB" w:rsidP="009C3C48">
      <w:pPr>
        <w:spacing w:before="0" w:after="0" w:line="240" w:lineRule="auto"/>
        <w:ind w:firstLine="720"/>
        <w:rPr>
          <w:rFonts w:cstheme="minorHAnsi"/>
        </w:rPr>
      </w:pPr>
      <w:bookmarkStart w:id="147" w:name="OLE_LINK88"/>
      <w:bookmarkStart w:id="148" w:name="OLE_LINK89"/>
      <w:r w:rsidRPr="003755A8">
        <w:rPr>
          <w:rFonts w:cstheme="minorHAnsi"/>
        </w:rPr>
        <w:t>Na teritoriji Opštine Andrijevica, u okviru nastavka realizacije Projekta osnivanja evidencije katastra nepokretnosti, rađeni su sljedeći poslovi:</w:t>
      </w:r>
    </w:p>
    <w:p w:rsidR="00DF6DAB" w:rsidRPr="003755A8" w:rsidRDefault="00DF6DAB" w:rsidP="009C3C48">
      <w:pPr>
        <w:spacing w:before="0" w:after="0" w:line="240" w:lineRule="auto"/>
        <w:rPr>
          <w:rFonts w:cstheme="minorHAnsi"/>
        </w:rPr>
      </w:pPr>
      <w:r>
        <w:rPr>
          <w:rFonts w:cstheme="minorHAnsi"/>
        </w:rPr>
        <w:t xml:space="preserve"> - </w:t>
      </w:r>
      <w:r w:rsidRPr="003755A8">
        <w:rPr>
          <w:rFonts w:cstheme="minorHAnsi"/>
        </w:rPr>
        <w:t>izrada privremene baze podataka;</w:t>
      </w:r>
    </w:p>
    <w:p w:rsidR="00DF6DAB" w:rsidRPr="003755A8" w:rsidRDefault="00DF6DAB" w:rsidP="009C3C48">
      <w:pPr>
        <w:spacing w:before="0" w:after="0" w:line="240" w:lineRule="auto"/>
        <w:rPr>
          <w:rFonts w:cstheme="minorHAnsi"/>
        </w:rPr>
      </w:pPr>
      <w:r>
        <w:rPr>
          <w:rFonts w:cstheme="minorHAnsi"/>
        </w:rPr>
        <w:t xml:space="preserve"> - </w:t>
      </w:r>
      <w:r w:rsidRPr="003755A8">
        <w:rPr>
          <w:rFonts w:cstheme="minorHAnsi"/>
        </w:rPr>
        <w:t>izlaganje podataka;</w:t>
      </w:r>
    </w:p>
    <w:p w:rsidR="00DF6DAB" w:rsidRPr="003755A8" w:rsidRDefault="00DF6DAB" w:rsidP="009C3C48">
      <w:pPr>
        <w:spacing w:before="0" w:after="0" w:line="240" w:lineRule="auto"/>
        <w:rPr>
          <w:rFonts w:cstheme="minorHAnsi"/>
        </w:rPr>
      </w:pPr>
      <w:r>
        <w:rPr>
          <w:rFonts w:cstheme="minorHAnsi"/>
        </w:rPr>
        <w:t xml:space="preserve"> - </w:t>
      </w:r>
      <w:r w:rsidRPr="003755A8">
        <w:rPr>
          <w:rFonts w:cstheme="minorHAnsi"/>
        </w:rPr>
        <w:t>potvrđivanje baze podataka.</w:t>
      </w:r>
    </w:p>
    <w:p w:rsidR="00DF6DAB" w:rsidRPr="003755A8" w:rsidRDefault="00DF6DAB" w:rsidP="009C3C48">
      <w:pPr>
        <w:spacing w:before="0" w:after="0" w:line="240" w:lineRule="auto"/>
        <w:ind w:firstLine="720"/>
        <w:rPr>
          <w:rFonts w:cstheme="minorHAnsi"/>
        </w:rPr>
      </w:pPr>
      <w:r w:rsidRPr="003755A8">
        <w:rPr>
          <w:rFonts w:cstheme="minorHAnsi"/>
        </w:rPr>
        <w:t>Za potrebe Izlaganja podataka za navedene katastarske opštine na teritoriji Opštine Andrijevica, angažovane su dvije Komisije.</w:t>
      </w:r>
    </w:p>
    <w:bookmarkEnd w:id="147"/>
    <w:bookmarkEnd w:id="148"/>
    <w:p w:rsidR="00DF6DAB" w:rsidRPr="003755A8" w:rsidRDefault="00DF6DAB" w:rsidP="009C3C48">
      <w:pPr>
        <w:spacing w:before="0" w:after="0" w:line="240" w:lineRule="auto"/>
        <w:rPr>
          <w:rFonts w:cstheme="minorHAnsi"/>
        </w:rPr>
      </w:pPr>
    </w:p>
    <w:p w:rsidR="00DF6DAB" w:rsidRPr="003755A8" w:rsidRDefault="00DF6DAB" w:rsidP="009C3C48">
      <w:pPr>
        <w:spacing w:before="0" w:after="0" w:line="240" w:lineRule="auto"/>
        <w:jc w:val="center"/>
        <w:rPr>
          <w:rFonts w:cstheme="minorHAnsi"/>
        </w:rPr>
      </w:pPr>
      <w:r w:rsidRPr="003755A8">
        <w:rPr>
          <w:rFonts w:cstheme="minorHAnsi"/>
        </w:rPr>
        <w:t xml:space="preserve">Tabela 2.2. Pregled izvršenih radova na osnivanju evidencije katastra nepokretnosti u okviru </w:t>
      </w:r>
      <w:r>
        <w:rPr>
          <w:rFonts w:cstheme="minorHAnsi"/>
        </w:rPr>
        <w:t>projekta za Opštinu Andrijevica</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firstRow="1" w:lastRow="0" w:firstColumn="1" w:lastColumn="0" w:noHBand="0" w:noVBand="1"/>
      </w:tblPr>
      <w:tblGrid>
        <w:gridCol w:w="1595"/>
        <w:gridCol w:w="1595"/>
        <w:gridCol w:w="1595"/>
        <w:gridCol w:w="1595"/>
        <w:gridCol w:w="1595"/>
      </w:tblGrid>
      <w:tr w:rsidR="00DF6DAB" w:rsidRPr="003755A8" w:rsidTr="00DF6DAB">
        <w:trPr>
          <w:trHeight w:val="404"/>
          <w:jc w:val="center"/>
        </w:trPr>
        <w:tc>
          <w:tcPr>
            <w:tcW w:w="7975" w:type="dxa"/>
            <w:gridSpan w:val="5"/>
            <w:tcBorders>
              <w:top w:val="single" w:sz="12" w:space="0" w:color="auto"/>
              <w:bottom w:val="single" w:sz="12" w:space="0" w:color="auto"/>
            </w:tcBorders>
            <w:shd w:val="clear" w:color="auto" w:fill="auto"/>
            <w:vAlign w:val="center"/>
          </w:tcPr>
          <w:p w:rsidR="00DF6DAB" w:rsidRPr="003755A8" w:rsidRDefault="00DF6DAB" w:rsidP="009C3C48">
            <w:pPr>
              <w:spacing w:before="0" w:after="0" w:line="240" w:lineRule="auto"/>
              <w:rPr>
                <w:rFonts w:cstheme="minorHAnsi"/>
              </w:rPr>
            </w:pPr>
            <w:r w:rsidRPr="003755A8">
              <w:rPr>
                <w:rFonts w:cstheme="minorHAnsi"/>
              </w:rPr>
              <w:t>ANDRIJEVICA</w:t>
            </w:r>
          </w:p>
        </w:tc>
      </w:tr>
      <w:tr w:rsidR="00DF6DAB" w:rsidRPr="003755A8" w:rsidTr="00DF6DAB">
        <w:trPr>
          <w:jc w:val="center"/>
        </w:trPr>
        <w:tc>
          <w:tcPr>
            <w:tcW w:w="1595" w:type="dxa"/>
            <w:tcBorders>
              <w:top w:val="single" w:sz="12" w:space="0" w:color="auto"/>
              <w:bottom w:val="single" w:sz="12" w:space="0" w:color="auto"/>
            </w:tcBorders>
            <w:shd w:val="clear" w:color="auto" w:fill="auto"/>
            <w:vAlign w:val="center"/>
          </w:tcPr>
          <w:p w:rsidR="00DF6DAB" w:rsidRPr="003755A8" w:rsidRDefault="00DF6DAB" w:rsidP="009C3C48">
            <w:pPr>
              <w:spacing w:before="0" w:after="0" w:line="240" w:lineRule="auto"/>
              <w:rPr>
                <w:rFonts w:cstheme="minorHAnsi"/>
              </w:rPr>
            </w:pPr>
            <w:r w:rsidRPr="003755A8">
              <w:rPr>
                <w:rFonts w:cstheme="minorHAnsi"/>
              </w:rPr>
              <w:t>Naziv KO</w:t>
            </w:r>
          </w:p>
        </w:tc>
        <w:tc>
          <w:tcPr>
            <w:tcW w:w="1595" w:type="dxa"/>
            <w:tcBorders>
              <w:top w:val="single" w:sz="12" w:space="0" w:color="auto"/>
              <w:bottom w:val="single" w:sz="12" w:space="0" w:color="auto"/>
            </w:tcBorders>
            <w:shd w:val="clear" w:color="auto" w:fill="auto"/>
            <w:vAlign w:val="center"/>
          </w:tcPr>
          <w:p w:rsidR="00DF6DAB" w:rsidRPr="003755A8" w:rsidRDefault="00DF6DAB" w:rsidP="009C3C48">
            <w:pPr>
              <w:spacing w:before="0" w:after="0" w:line="240" w:lineRule="auto"/>
              <w:rPr>
                <w:rFonts w:cstheme="minorHAnsi"/>
              </w:rPr>
            </w:pPr>
            <w:r w:rsidRPr="003755A8">
              <w:rPr>
                <w:rFonts w:cstheme="minorHAnsi"/>
              </w:rPr>
              <w:t>Prikupljanje podataka</w:t>
            </w:r>
          </w:p>
        </w:tc>
        <w:tc>
          <w:tcPr>
            <w:tcW w:w="1595" w:type="dxa"/>
            <w:tcBorders>
              <w:top w:val="single" w:sz="12" w:space="0" w:color="auto"/>
              <w:bottom w:val="single" w:sz="12" w:space="0" w:color="auto"/>
            </w:tcBorders>
            <w:shd w:val="clear" w:color="auto" w:fill="auto"/>
            <w:vAlign w:val="center"/>
          </w:tcPr>
          <w:p w:rsidR="00DF6DAB" w:rsidRPr="003755A8" w:rsidRDefault="00DF6DAB" w:rsidP="009C3C48">
            <w:pPr>
              <w:spacing w:before="0" w:after="0" w:line="240" w:lineRule="auto"/>
              <w:rPr>
                <w:rFonts w:cstheme="minorHAnsi"/>
              </w:rPr>
            </w:pPr>
            <w:r w:rsidRPr="003755A8">
              <w:rPr>
                <w:rFonts w:cstheme="minorHAnsi"/>
              </w:rPr>
              <w:t>Izrada privremene baze podataka</w:t>
            </w:r>
          </w:p>
        </w:tc>
        <w:tc>
          <w:tcPr>
            <w:tcW w:w="1595" w:type="dxa"/>
            <w:tcBorders>
              <w:top w:val="single" w:sz="12" w:space="0" w:color="auto"/>
              <w:bottom w:val="single" w:sz="12" w:space="0" w:color="auto"/>
            </w:tcBorders>
            <w:shd w:val="clear" w:color="auto" w:fill="auto"/>
            <w:vAlign w:val="center"/>
          </w:tcPr>
          <w:p w:rsidR="00DF6DAB" w:rsidRPr="003755A8" w:rsidRDefault="00DF6DAB" w:rsidP="009C3C48">
            <w:pPr>
              <w:spacing w:before="0" w:after="0" w:line="240" w:lineRule="auto"/>
              <w:rPr>
                <w:rFonts w:cstheme="minorHAnsi"/>
              </w:rPr>
            </w:pPr>
            <w:r w:rsidRPr="003755A8">
              <w:rPr>
                <w:rFonts w:cstheme="minorHAnsi"/>
              </w:rPr>
              <w:t>Izlaganje podataka</w:t>
            </w:r>
          </w:p>
        </w:tc>
        <w:tc>
          <w:tcPr>
            <w:tcW w:w="1595" w:type="dxa"/>
            <w:tcBorders>
              <w:top w:val="single" w:sz="12" w:space="0" w:color="auto"/>
              <w:bottom w:val="single" w:sz="12" w:space="0" w:color="auto"/>
            </w:tcBorders>
            <w:shd w:val="clear" w:color="auto" w:fill="auto"/>
            <w:vAlign w:val="center"/>
          </w:tcPr>
          <w:p w:rsidR="00DF6DAB" w:rsidRPr="003755A8" w:rsidRDefault="00DF6DAB" w:rsidP="009C3C48">
            <w:pPr>
              <w:spacing w:before="0" w:after="0" w:line="240" w:lineRule="auto"/>
              <w:rPr>
                <w:rFonts w:cstheme="minorHAnsi"/>
              </w:rPr>
            </w:pPr>
            <w:r w:rsidRPr="003755A8">
              <w:rPr>
                <w:rFonts w:cstheme="minorHAnsi"/>
              </w:rPr>
              <w:t>Potvrđivanje baze podataka</w:t>
            </w:r>
          </w:p>
        </w:tc>
      </w:tr>
      <w:tr w:rsidR="00DF6DAB" w:rsidRPr="003755A8" w:rsidTr="00DF6DAB">
        <w:trPr>
          <w:jc w:val="center"/>
        </w:trPr>
        <w:tc>
          <w:tcPr>
            <w:tcW w:w="1595" w:type="dxa"/>
            <w:tcBorders>
              <w:top w:val="single" w:sz="12" w:space="0" w:color="auto"/>
            </w:tcBorders>
            <w:shd w:val="clear" w:color="auto" w:fill="auto"/>
            <w:vAlign w:val="bottom"/>
          </w:tcPr>
          <w:p w:rsidR="00DF6DAB" w:rsidRPr="003755A8" w:rsidRDefault="00DF6DAB" w:rsidP="009C3C48">
            <w:pPr>
              <w:spacing w:before="0" w:after="0" w:line="240" w:lineRule="auto"/>
              <w:rPr>
                <w:rFonts w:cstheme="minorHAnsi"/>
              </w:rPr>
            </w:pPr>
            <w:bookmarkStart w:id="149" w:name="_Hlk504771357"/>
            <w:r w:rsidRPr="003755A8">
              <w:rPr>
                <w:rFonts w:cstheme="minorHAnsi"/>
              </w:rPr>
              <w:t>SEOCE</w:t>
            </w:r>
          </w:p>
        </w:tc>
        <w:tc>
          <w:tcPr>
            <w:tcW w:w="1595" w:type="dxa"/>
            <w:tcBorders>
              <w:top w:val="single" w:sz="12" w:space="0" w:color="auto"/>
              <w:bottom w:val="single" w:sz="6" w:space="0" w:color="auto"/>
              <w:right w:val="single" w:sz="6" w:space="0" w:color="auto"/>
            </w:tcBorders>
            <w:shd w:val="clear" w:color="auto" w:fill="auto"/>
            <w:vAlign w:val="center"/>
          </w:tcPr>
          <w:p w:rsidR="00DF6DAB" w:rsidRPr="003755A8" w:rsidRDefault="00DF6DAB" w:rsidP="009C3C48">
            <w:pPr>
              <w:spacing w:before="0" w:after="0" w:line="240" w:lineRule="auto"/>
              <w:rPr>
                <w:rFonts w:cstheme="minorHAnsi"/>
                <w:highlight w:val="lightGray"/>
              </w:rPr>
            </w:pPr>
            <w:r w:rsidRPr="003755A8">
              <w:rPr>
                <w:rFonts w:cstheme="minorHAnsi"/>
                <w:highlight w:val="lightGray"/>
              </w:rPr>
              <w:t>x</w:t>
            </w:r>
          </w:p>
        </w:tc>
        <w:tc>
          <w:tcPr>
            <w:tcW w:w="1595" w:type="dxa"/>
            <w:tcBorders>
              <w:top w:val="single" w:sz="12" w:space="0" w:color="auto"/>
              <w:left w:val="single" w:sz="6" w:space="0" w:color="auto"/>
              <w:bottom w:val="single" w:sz="6" w:space="0" w:color="auto"/>
              <w:right w:val="single" w:sz="6" w:space="0" w:color="auto"/>
            </w:tcBorders>
            <w:shd w:val="clear" w:color="auto" w:fill="auto"/>
            <w:vAlign w:val="center"/>
          </w:tcPr>
          <w:p w:rsidR="00DF6DAB" w:rsidRPr="003755A8" w:rsidRDefault="00DF6DAB" w:rsidP="009C3C48">
            <w:pPr>
              <w:spacing w:before="0" w:after="0" w:line="240" w:lineRule="auto"/>
              <w:rPr>
                <w:rFonts w:cstheme="minorHAnsi"/>
                <w:highlight w:val="lightGray"/>
              </w:rPr>
            </w:pPr>
            <w:r w:rsidRPr="003755A8">
              <w:rPr>
                <w:rFonts w:cstheme="minorHAnsi"/>
                <w:highlight w:val="lightGray"/>
              </w:rPr>
              <w:t>x</w:t>
            </w:r>
          </w:p>
        </w:tc>
        <w:tc>
          <w:tcPr>
            <w:tcW w:w="1595" w:type="dxa"/>
            <w:tcBorders>
              <w:top w:val="single" w:sz="12" w:space="0" w:color="auto"/>
              <w:left w:val="single" w:sz="6" w:space="0" w:color="auto"/>
              <w:bottom w:val="single" w:sz="6" w:space="0" w:color="auto"/>
              <w:right w:val="single" w:sz="6" w:space="0" w:color="auto"/>
            </w:tcBorders>
            <w:shd w:val="clear" w:color="auto" w:fill="auto"/>
            <w:vAlign w:val="center"/>
          </w:tcPr>
          <w:p w:rsidR="00DF6DAB" w:rsidRPr="003755A8" w:rsidRDefault="00DF6DAB" w:rsidP="009C3C48">
            <w:pPr>
              <w:spacing w:before="0" w:after="0" w:line="240" w:lineRule="auto"/>
              <w:rPr>
                <w:rFonts w:cstheme="minorHAnsi"/>
                <w:highlight w:val="lightGray"/>
              </w:rPr>
            </w:pPr>
            <w:r w:rsidRPr="003755A8">
              <w:rPr>
                <w:rFonts w:cstheme="minorHAnsi"/>
                <w:highlight w:val="yellow"/>
              </w:rPr>
              <w:t>x</w:t>
            </w:r>
          </w:p>
        </w:tc>
        <w:tc>
          <w:tcPr>
            <w:tcW w:w="1595" w:type="dxa"/>
            <w:tcBorders>
              <w:top w:val="single" w:sz="12" w:space="0" w:color="auto"/>
              <w:left w:val="single" w:sz="6" w:space="0" w:color="auto"/>
              <w:bottom w:val="single" w:sz="6" w:space="0" w:color="auto"/>
            </w:tcBorders>
            <w:shd w:val="clear" w:color="auto" w:fill="auto"/>
            <w:vAlign w:val="center"/>
          </w:tcPr>
          <w:p w:rsidR="00DF6DAB" w:rsidRPr="003755A8" w:rsidRDefault="00DF6DAB" w:rsidP="009C3C48">
            <w:pPr>
              <w:spacing w:before="0" w:after="0" w:line="240" w:lineRule="auto"/>
              <w:rPr>
                <w:rFonts w:cstheme="minorHAnsi"/>
              </w:rPr>
            </w:pPr>
            <w:r w:rsidRPr="003755A8">
              <w:rPr>
                <w:rFonts w:cstheme="minorHAnsi"/>
                <w:highlight w:val="magenta"/>
              </w:rPr>
              <w:t>x</w:t>
            </w:r>
          </w:p>
        </w:tc>
      </w:tr>
      <w:bookmarkEnd w:id="149"/>
      <w:tr w:rsidR="00DF6DAB" w:rsidRPr="003755A8" w:rsidTr="00DF6DAB">
        <w:trPr>
          <w:jc w:val="center"/>
        </w:trPr>
        <w:tc>
          <w:tcPr>
            <w:tcW w:w="1595" w:type="dxa"/>
            <w:shd w:val="clear" w:color="auto" w:fill="auto"/>
            <w:vAlign w:val="center"/>
          </w:tcPr>
          <w:p w:rsidR="00DF6DAB" w:rsidRPr="003755A8" w:rsidRDefault="00DF6DAB" w:rsidP="009C3C48">
            <w:pPr>
              <w:spacing w:before="0" w:after="0" w:line="240" w:lineRule="auto"/>
              <w:rPr>
                <w:rFonts w:cstheme="minorHAnsi"/>
              </w:rPr>
            </w:pPr>
            <w:r w:rsidRPr="003755A8">
              <w:rPr>
                <w:rFonts w:cstheme="minorHAnsi"/>
              </w:rPr>
              <w:t>GORNJE LUGE</w:t>
            </w:r>
          </w:p>
        </w:tc>
        <w:tc>
          <w:tcPr>
            <w:tcW w:w="1595" w:type="dxa"/>
            <w:tcBorders>
              <w:top w:val="single" w:sz="6" w:space="0" w:color="auto"/>
              <w:bottom w:val="single" w:sz="6" w:space="0" w:color="auto"/>
              <w:right w:val="single" w:sz="6" w:space="0" w:color="auto"/>
            </w:tcBorders>
            <w:shd w:val="clear" w:color="auto" w:fill="auto"/>
            <w:vAlign w:val="center"/>
          </w:tcPr>
          <w:p w:rsidR="00DF6DAB" w:rsidRPr="003755A8" w:rsidRDefault="00DF6DAB" w:rsidP="009C3C48">
            <w:pPr>
              <w:spacing w:before="0" w:after="0" w:line="240" w:lineRule="auto"/>
              <w:rPr>
                <w:rFonts w:cstheme="minorHAnsi"/>
                <w:highlight w:val="lightGray"/>
              </w:rPr>
            </w:pPr>
            <w:r w:rsidRPr="003755A8">
              <w:rPr>
                <w:rFonts w:cstheme="minorHAnsi"/>
                <w:highlight w:val="lightGray"/>
              </w:rPr>
              <w:t>x</w:t>
            </w:r>
          </w:p>
        </w:tc>
        <w:tc>
          <w:tcPr>
            <w:tcW w:w="1595" w:type="dxa"/>
            <w:tcBorders>
              <w:top w:val="single" w:sz="6" w:space="0" w:color="auto"/>
              <w:left w:val="single" w:sz="6" w:space="0" w:color="auto"/>
              <w:bottom w:val="single" w:sz="6" w:space="0" w:color="auto"/>
              <w:right w:val="single" w:sz="6" w:space="0" w:color="auto"/>
            </w:tcBorders>
            <w:shd w:val="clear" w:color="auto" w:fill="auto"/>
            <w:vAlign w:val="center"/>
          </w:tcPr>
          <w:p w:rsidR="00DF6DAB" w:rsidRPr="003755A8" w:rsidRDefault="00DF6DAB" w:rsidP="009C3C48">
            <w:pPr>
              <w:spacing w:before="0" w:after="0" w:line="240" w:lineRule="auto"/>
              <w:rPr>
                <w:rFonts w:cstheme="minorHAnsi"/>
                <w:highlight w:val="lightGray"/>
              </w:rPr>
            </w:pPr>
            <w:r w:rsidRPr="003755A8">
              <w:rPr>
                <w:rFonts w:cstheme="minorHAnsi"/>
                <w:highlight w:val="lightGray"/>
              </w:rPr>
              <w:t>x</w:t>
            </w:r>
          </w:p>
        </w:tc>
        <w:tc>
          <w:tcPr>
            <w:tcW w:w="1595" w:type="dxa"/>
            <w:tcBorders>
              <w:top w:val="single" w:sz="6" w:space="0" w:color="auto"/>
              <w:left w:val="single" w:sz="6" w:space="0" w:color="auto"/>
              <w:bottom w:val="single" w:sz="6" w:space="0" w:color="auto"/>
              <w:right w:val="single" w:sz="6" w:space="0" w:color="auto"/>
            </w:tcBorders>
            <w:shd w:val="clear" w:color="auto" w:fill="auto"/>
            <w:vAlign w:val="center"/>
          </w:tcPr>
          <w:p w:rsidR="00DF6DAB" w:rsidRPr="003755A8" w:rsidRDefault="00DF6DAB" w:rsidP="009C3C48">
            <w:pPr>
              <w:spacing w:before="0" w:after="0" w:line="240" w:lineRule="auto"/>
              <w:rPr>
                <w:rFonts w:cstheme="minorHAnsi"/>
              </w:rPr>
            </w:pPr>
            <w:r w:rsidRPr="003755A8">
              <w:rPr>
                <w:rFonts w:cstheme="minorHAnsi"/>
                <w:highlight w:val="yellow"/>
              </w:rPr>
              <w:t>x</w:t>
            </w:r>
          </w:p>
        </w:tc>
        <w:tc>
          <w:tcPr>
            <w:tcW w:w="1595" w:type="dxa"/>
            <w:tcBorders>
              <w:top w:val="single" w:sz="6" w:space="0" w:color="auto"/>
              <w:left w:val="single" w:sz="6" w:space="0" w:color="auto"/>
              <w:bottom w:val="single" w:sz="6" w:space="0" w:color="auto"/>
            </w:tcBorders>
            <w:shd w:val="clear" w:color="auto" w:fill="auto"/>
            <w:vAlign w:val="center"/>
          </w:tcPr>
          <w:p w:rsidR="00DF6DAB" w:rsidRPr="003755A8" w:rsidRDefault="00DF6DAB" w:rsidP="009C3C48">
            <w:pPr>
              <w:spacing w:before="0" w:after="0" w:line="240" w:lineRule="auto"/>
              <w:rPr>
                <w:rFonts w:cstheme="minorHAnsi"/>
              </w:rPr>
            </w:pPr>
            <w:r w:rsidRPr="003755A8">
              <w:rPr>
                <w:rFonts w:cstheme="minorHAnsi"/>
              </w:rPr>
              <w:t>x</w:t>
            </w:r>
          </w:p>
        </w:tc>
      </w:tr>
      <w:tr w:rsidR="00DF6DAB" w:rsidRPr="003755A8" w:rsidTr="00DF6DAB">
        <w:trPr>
          <w:jc w:val="center"/>
        </w:trPr>
        <w:tc>
          <w:tcPr>
            <w:tcW w:w="1595" w:type="dxa"/>
            <w:shd w:val="clear" w:color="auto" w:fill="auto"/>
            <w:vAlign w:val="center"/>
          </w:tcPr>
          <w:p w:rsidR="00DF6DAB" w:rsidRPr="003755A8" w:rsidRDefault="00DF6DAB" w:rsidP="009C3C48">
            <w:pPr>
              <w:spacing w:before="0" w:after="0" w:line="240" w:lineRule="auto"/>
              <w:rPr>
                <w:rFonts w:cstheme="minorHAnsi"/>
              </w:rPr>
            </w:pPr>
            <w:r w:rsidRPr="003755A8">
              <w:rPr>
                <w:rFonts w:cstheme="minorHAnsi"/>
              </w:rPr>
              <w:t>GRAČANICA</w:t>
            </w:r>
          </w:p>
        </w:tc>
        <w:tc>
          <w:tcPr>
            <w:tcW w:w="1595" w:type="dxa"/>
            <w:tcBorders>
              <w:top w:val="single" w:sz="6" w:space="0" w:color="auto"/>
              <w:bottom w:val="single" w:sz="6" w:space="0" w:color="auto"/>
              <w:right w:val="single" w:sz="6" w:space="0" w:color="auto"/>
            </w:tcBorders>
            <w:shd w:val="clear" w:color="auto" w:fill="auto"/>
            <w:vAlign w:val="center"/>
          </w:tcPr>
          <w:p w:rsidR="00DF6DAB" w:rsidRPr="003755A8" w:rsidRDefault="00DF6DAB" w:rsidP="009C3C48">
            <w:pPr>
              <w:spacing w:before="0" w:after="0" w:line="240" w:lineRule="auto"/>
              <w:rPr>
                <w:rFonts w:cstheme="minorHAnsi"/>
                <w:highlight w:val="lightGray"/>
              </w:rPr>
            </w:pPr>
            <w:r w:rsidRPr="003755A8">
              <w:rPr>
                <w:rFonts w:cstheme="minorHAnsi"/>
                <w:highlight w:val="lightGray"/>
              </w:rPr>
              <w:t>x</w:t>
            </w:r>
          </w:p>
        </w:tc>
        <w:tc>
          <w:tcPr>
            <w:tcW w:w="1595" w:type="dxa"/>
            <w:tcBorders>
              <w:top w:val="single" w:sz="6" w:space="0" w:color="auto"/>
              <w:left w:val="single" w:sz="6" w:space="0" w:color="auto"/>
              <w:bottom w:val="single" w:sz="6" w:space="0" w:color="auto"/>
              <w:right w:val="single" w:sz="6" w:space="0" w:color="auto"/>
            </w:tcBorders>
            <w:shd w:val="clear" w:color="auto" w:fill="auto"/>
            <w:vAlign w:val="center"/>
          </w:tcPr>
          <w:p w:rsidR="00DF6DAB" w:rsidRPr="003755A8" w:rsidRDefault="00DF6DAB" w:rsidP="009C3C48">
            <w:pPr>
              <w:spacing w:before="0" w:after="0" w:line="240" w:lineRule="auto"/>
              <w:rPr>
                <w:rFonts w:cstheme="minorHAnsi"/>
                <w:highlight w:val="lightGray"/>
              </w:rPr>
            </w:pPr>
            <w:r w:rsidRPr="003755A8">
              <w:rPr>
                <w:rFonts w:cstheme="minorHAnsi"/>
                <w:highlight w:val="lightGray"/>
              </w:rPr>
              <w:t>x</w:t>
            </w:r>
          </w:p>
        </w:tc>
        <w:tc>
          <w:tcPr>
            <w:tcW w:w="1595" w:type="dxa"/>
            <w:tcBorders>
              <w:top w:val="single" w:sz="6" w:space="0" w:color="auto"/>
              <w:left w:val="single" w:sz="6" w:space="0" w:color="auto"/>
              <w:bottom w:val="single" w:sz="6" w:space="0" w:color="auto"/>
              <w:right w:val="single" w:sz="6" w:space="0" w:color="auto"/>
            </w:tcBorders>
            <w:shd w:val="clear" w:color="auto" w:fill="auto"/>
            <w:vAlign w:val="center"/>
          </w:tcPr>
          <w:p w:rsidR="00DF6DAB" w:rsidRPr="003755A8" w:rsidRDefault="00DF6DAB" w:rsidP="009C3C48">
            <w:pPr>
              <w:spacing w:before="0" w:after="0" w:line="240" w:lineRule="auto"/>
              <w:rPr>
                <w:rFonts w:cstheme="minorHAnsi"/>
              </w:rPr>
            </w:pPr>
            <w:r w:rsidRPr="003755A8">
              <w:rPr>
                <w:rFonts w:cstheme="minorHAnsi"/>
                <w:highlight w:val="yellow"/>
              </w:rPr>
              <w:t>x</w:t>
            </w:r>
          </w:p>
        </w:tc>
        <w:tc>
          <w:tcPr>
            <w:tcW w:w="1595" w:type="dxa"/>
            <w:tcBorders>
              <w:top w:val="single" w:sz="6" w:space="0" w:color="auto"/>
              <w:left w:val="single" w:sz="6" w:space="0" w:color="auto"/>
              <w:bottom w:val="single" w:sz="6" w:space="0" w:color="auto"/>
            </w:tcBorders>
            <w:shd w:val="clear" w:color="auto" w:fill="auto"/>
            <w:vAlign w:val="center"/>
          </w:tcPr>
          <w:p w:rsidR="00DF6DAB" w:rsidRPr="003755A8" w:rsidRDefault="00DF6DAB" w:rsidP="009C3C48">
            <w:pPr>
              <w:spacing w:before="0" w:after="0" w:line="240" w:lineRule="auto"/>
              <w:rPr>
                <w:rFonts w:cstheme="minorHAnsi"/>
              </w:rPr>
            </w:pPr>
            <w:r w:rsidRPr="003755A8">
              <w:rPr>
                <w:rFonts w:cstheme="minorHAnsi"/>
              </w:rPr>
              <w:t>x</w:t>
            </w:r>
          </w:p>
        </w:tc>
      </w:tr>
      <w:tr w:rsidR="00DF6DAB" w:rsidRPr="003755A8" w:rsidTr="00DF6DAB">
        <w:trPr>
          <w:jc w:val="center"/>
        </w:trPr>
        <w:tc>
          <w:tcPr>
            <w:tcW w:w="1595" w:type="dxa"/>
            <w:shd w:val="clear" w:color="auto" w:fill="auto"/>
            <w:vAlign w:val="center"/>
          </w:tcPr>
          <w:p w:rsidR="00DF6DAB" w:rsidRPr="003755A8" w:rsidRDefault="00DF6DAB" w:rsidP="009C3C48">
            <w:pPr>
              <w:spacing w:before="0" w:after="0" w:line="240" w:lineRule="auto"/>
              <w:rPr>
                <w:rFonts w:cstheme="minorHAnsi"/>
              </w:rPr>
            </w:pPr>
            <w:r w:rsidRPr="003755A8">
              <w:rPr>
                <w:rFonts w:cstheme="minorHAnsi"/>
              </w:rPr>
              <w:t>TREŠNJEVO II</w:t>
            </w:r>
          </w:p>
        </w:tc>
        <w:tc>
          <w:tcPr>
            <w:tcW w:w="1595" w:type="dxa"/>
            <w:tcBorders>
              <w:top w:val="single" w:sz="6" w:space="0" w:color="auto"/>
              <w:bottom w:val="single" w:sz="12" w:space="0" w:color="auto"/>
              <w:right w:val="single" w:sz="6" w:space="0" w:color="auto"/>
            </w:tcBorders>
            <w:shd w:val="clear" w:color="auto" w:fill="auto"/>
            <w:vAlign w:val="center"/>
          </w:tcPr>
          <w:p w:rsidR="00DF6DAB" w:rsidRPr="003755A8" w:rsidRDefault="00DF6DAB" w:rsidP="009C3C48">
            <w:pPr>
              <w:spacing w:before="0" w:after="0" w:line="240" w:lineRule="auto"/>
              <w:rPr>
                <w:rFonts w:cstheme="minorHAnsi"/>
                <w:highlight w:val="lightGray"/>
              </w:rPr>
            </w:pPr>
            <w:r w:rsidRPr="003755A8">
              <w:rPr>
                <w:rFonts w:cstheme="minorHAnsi"/>
                <w:highlight w:val="lightGray"/>
              </w:rPr>
              <w:t>x</w:t>
            </w:r>
          </w:p>
        </w:tc>
        <w:tc>
          <w:tcPr>
            <w:tcW w:w="1595" w:type="dxa"/>
            <w:tcBorders>
              <w:top w:val="single" w:sz="6" w:space="0" w:color="auto"/>
              <w:left w:val="single" w:sz="6" w:space="0" w:color="auto"/>
              <w:bottom w:val="single" w:sz="12" w:space="0" w:color="auto"/>
              <w:right w:val="single" w:sz="6" w:space="0" w:color="auto"/>
            </w:tcBorders>
            <w:shd w:val="clear" w:color="auto" w:fill="auto"/>
            <w:vAlign w:val="center"/>
          </w:tcPr>
          <w:p w:rsidR="00DF6DAB" w:rsidRPr="003755A8" w:rsidRDefault="00DF6DAB" w:rsidP="009C3C48">
            <w:pPr>
              <w:spacing w:before="0" w:after="0" w:line="240" w:lineRule="auto"/>
              <w:rPr>
                <w:rFonts w:cstheme="minorHAnsi"/>
                <w:highlight w:val="lightGray"/>
              </w:rPr>
            </w:pPr>
            <w:r w:rsidRPr="003755A8">
              <w:rPr>
                <w:rFonts w:cstheme="minorHAnsi"/>
                <w:highlight w:val="lightGray"/>
              </w:rPr>
              <w:t>x</w:t>
            </w:r>
          </w:p>
        </w:tc>
        <w:tc>
          <w:tcPr>
            <w:tcW w:w="1595" w:type="dxa"/>
            <w:tcBorders>
              <w:top w:val="single" w:sz="6" w:space="0" w:color="auto"/>
              <w:left w:val="single" w:sz="6" w:space="0" w:color="auto"/>
              <w:bottom w:val="single" w:sz="12" w:space="0" w:color="auto"/>
              <w:right w:val="single" w:sz="6" w:space="0" w:color="auto"/>
            </w:tcBorders>
            <w:shd w:val="clear" w:color="auto" w:fill="auto"/>
            <w:vAlign w:val="center"/>
          </w:tcPr>
          <w:p w:rsidR="00DF6DAB" w:rsidRPr="003755A8" w:rsidRDefault="00DF6DAB" w:rsidP="009C3C48">
            <w:pPr>
              <w:spacing w:before="0" w:after="0" w:line="240" w:lineRule="auto"/>
              <w:rPr>
                <w:rFonts w:cstheme="minorHAnsi"/>
              </w:rPr>
            </w:pPr>
            <w:r w:rsidRPr="003755A8">
              <w:rPr>
                <w:rFonts w:cstheme="minorHAnsi"/>
                <w:highlight w:val="yellow"/>
              </w:rPr>
              <w:t>x</w:t>
            </w:r>
          </w:p>
        </w:tc>
        <w:tc>
          <w:tcPr>
            <w:tcW w:w="1595" w:type="dxa"/>
            <w:tcBorders>
              <w:top w:val="single" w:sz="6" w:space="0" w:color="auto"/>
              <w:left w:val="single" w:sz="6" w:space="0" w:color="auto"/>
              <w:bottom w:val="single" w:sz="12" w:space="0" w:color="auto"/>
            </w:tcBorders>
            <w:shd w:val="clear" w:color="auto" w:fill="auto"/>
            <w:vAlign w:val="center"/>
          </w:tcPr>
          <w:p w:rsidR="00DF6DAB" w:rsidRPr="003755A8" w:rsidRDefault="00DF6DAB" w:rsidP="009C3C48">
            <w:pPr>
              <w:spacing w:before="0" w:after="0" w:line="240" w:lineRule="auto"/>
              <w:rPr>
                <w:rFonts w:cstheme="minorHAnsi"/>
              </w:rPr>
            </w:pPr>
            <w:r w:rsidRPr="003755A8">
              <w:rPr>
                <w:rFonts w:cstheme="minorHAnsi"/>
              </w:rPr>
              <w:t>x</w:t>
            </w:r>
          </w:p>
        </w:tc>
      </w:tr>
    </w:tbl>
    <w:p w:rsidR="007D0034" w:rsidRDefault="00DF6DAB" w:rsidP="009C3C48">
      <w:pPr>
        <w:spacing w:before="0" w:after="0" w:line="240" w:lineRule="auto"/>
        <w:rPr>
          <w:rFonts w:cstheme="minorHAnsi"/>
        </w:rPr>
      </w:pPr>
      <w:r w:rsidRPr="003755A8">
        <w:rPr>
          <w:rFonts w:cstheme="minorHAnsi"/>
        </w:rPr>
        <w:t xml:space="preserve">  </w:t>
      </w:r>
    </w:p>
    <w:p w:rsidR="00DF6DAB" w:rsidRPr="003755A8" w:rsidRDefault="00DF6DAB" w:rsidP="009C3C48">
      <w:pPr>
        <w:spacing w:before="0" w:after="0" w:line="240" w:lineRule="auto"/>
        <w:rPr>
          <w:rFonts w:cstheme="minorHAnsi"/>
        </w:rPr>
      </w:pPr>
      <w:r w:rsidRPr="003755A8">
        <w:rPr>
          <w:rFonts w:cstheme="minorHAnsi"/>
        </w:rPr>
        <w:t>Legenda:</w:t>
      </w:r>
    </w:p>
    <w:p w:rsidR="00DF6DAB" w:rsidRPr="003755A8" w:rsidRDefault="00DF6DAB" w:rsidP="009C3C48">
      <w:pPr>
        <w:spacing w:before="0" w:after="0" w:line="240" w:lineRule="auto"/>
        <w:rPr>
          <w:rFonts w:cstheme="minorHAnsi"/>
        </w:rPr>
      </w:pPr>
      <w:r w:rsidRPr="003755A8">
        <w:rPr>
          <w:rFonts w:cstheme="minorHAnsi"/>
        </w:rPr>
        <w:t xml:space="preserve">   </w:t>
      </w:r>
      <w:r w:rsidRPr="003755A8">
        <w:rPr>
          <w:rFonts w:cstheme="minorHAnsi"/>
          <w:highlight w:val="lightGray"/>
        </w:rPr>
        <w:t>x</w:t>
      </w:r>
      <w:r w:rsidRPr="003755A8">
        <w:rPr>
          <w:rFonts w:cstheme="minorHAnsi"/>
        </w:rPr>
        <w:t xml:space="preserve">  Završeno u prethodnom periodu </w:t>
      </w:r>
    </w:p>
    <w:p w:rsidR="00DF6DAB" w:rsidRPr="003755A8" w:rsidRDefault="00DF6DAB" w:rsidP="009C3C48">
      <w:pPr>
        <w:spacing w:before="0" w:after="0" w:line="240" w:lineRule="auto"/>
        <w:rPr>
          <w:rFonts w:cstheme="minorHAnsi"/>
        </w:rPr>
      </w:pPr>
      <w:r w:rsidRPr="003755A8">
        <w:rPr>
          <w:rFonts w:cstheme="minorHAnsi"/>
        </w:rPr>
        <w:t xml:space="preserve">   </w:t>
      </w:r>
      <w:r w:rsidRPr="003755A8">
        <w:rPr>
          <w:rFonts w:cstheme="minorHAnsi"/>
          <w:highlight w:val="yellow"/>
        </w:rPr>
        <w:t>x</w:t>
      </w:r>
      <w:r w:rsidRPr="003755A8">
        <w:rPr>
          <w:rFonts w:cstheme="minorHAnsi"/>
        </w:rPr>
        <w:t xml:space="preserve">  Nastavak aktivnosti iz prethodnog perioda</w:t>
      </w:r>
    </w:p>
    <w:p w:rsidR="00DF6DAB" w:rsidRPr="003755A8" w:rsidRDefault="00DF6DAB" w:rsidP="009C3C48">
      <w:pPr>
        <w:spacing w:before="0" w:after="0" w:line="240" w:lineRule="auto"/>
        <w:rPr>
          <w:rFonts w:cstheme="minorHAnsi"/>
        </w:rPr>
      </w:pPr>
      <w:r w:rsidRPr="003755A8">
        <w:rPr>
          <w:rFonts w:cstheme="minorHAnsi"/>
        </w:rPr>
        <w:t xml:space="preserve">   </w:t>
      </w:r>
      <w:r w:rsidRPr="003755A8">
        <w:rPr>
          <w:rFonts w:cstheme="minorHAnsi"/>
          <w:highlight w:val="green"/>
        </w:rPr>
        <w:t>x</w:t>
      </w:r>
      <w:r w:rsidRPr="003755A8">
        <w:rPr>
          <w:rFonts w:cstheme="minorHAnsi"/>
        </w:rPr>
        <w:t xml:space="preserve">  Započete aktivnosti u toku 2020. godine</w:t>
      </w:r>
    </w:p>
    <w:p w:rsidR="00DF6DAB" w:rsidRPr="003755A8" w:rsidRDefault="00DF6DAB" w:rsidP="009C3C48">
      <w:pPr>
        <w:spacing w:before="0" w:after="0" w:line="240" w:lineRule="auto"/>
        <w:rPr>
          <w:rFonts w:cstheme="minorHAnsi"/>
        </w:rPr>
      </w:pPr>
      <w:r w:rsidRPr="003755A8">
        <w:rPr>
          <w:rFonts w:cstheme="minorHAnsi"/>
        </w:rPr>
        <w:t xml:space="preserve">   </w:t>
      </w:r>
      <w:r w:rsidRPr="003755A8">
        <w:rPr>
          <w:rFonts w:cstheme="minorHAnsi"/>
          <w:highlight w:val="magenta"/>
        </w:rPr>
        <w:t>x</w:t>
      </w:r>
      <w:r w:rsidRPr="003755A8">
        <w:rPr>
          <w:rFonts w:cstheme="minorHAnsi"/>
        </w:rPr>
        <w:t xml:space="preserve">  Završene aktivnosti u toku 2020. godine</w:t>
      </w:r>
    </w:p>
    <w:p w:rsidR="00DF6DAB" w:rsidRDefault="009C3C48" w:rsidP="009C3C48">
      <w:pPr>
        <w:spacing w:before="0" w:after="0" w:line="240" w:lineRule="auto"/>
        <w:rPr>
          <w:rFonts w:cstheme="minorHAnsi"/>
        </w:rPr>
      </w:pPr>
      <w:r>
        <w:rPr>
          <w:rFonts w:cstheme="minorHAnsi"/>
        </w:rPr>
        <w:t xml:space="preserve">   x  Planirane aktivnosti</w:t>
      </w:r>
    </w:p>
    <w:p w:rsidR="009C3C48" w:rsidRPr="009C3C48" w:rsidRDefault="009C3C48" w:rsidP="009C3C48">
      <w:pPr>
        <w:spacing w:before="0" w:after="0" w:line="240" w:lineRule="auto"/>
        <w:rPr>
          <w:rFonts w:cstheme="minorHAnsi"/>
        </w:rPr>
      </w:pPr>
    </w:p>
    <w:p w:rsidR="00DF6DAB" w:rsidRPr="009C3C48" w:rsidRDefault="00DF6DAB" w:rsidP="009C3C48">
      <w:pPr>
        <w:spacing w:before="0" w:after="0" w:line="240" w:lineRule="auto"/>
        <w:rPr>
          <w:rFonts w:cstheme="minorHAnsi"/>
          <w:szCs w:val="24"/>
          <w:u w:val="single"/>
        </w:rPr>
      </w:pPr>
      <w:r w:rsidRPr="009C3C48">
        <w:rPr>
          <w:rFonts w:cstheme="minorHAnsi"/>
          <w:szCs w:val="24"/>
          <w:u w:val="single"/>
        </w:rPr>
        <w:t xml:space="preserve">Opština Berane </w:t>
      </w:r>
    </w:p>
    <w:p w:rsidR="00DF6DAB" w:rsidRPr="003755A8" w:rsidRDefault="00DF6DAB" w:rsidP="007D0034">
      <w:pPr>
        <w:spacing w:after="0" w:line="240" w:lineRule="auto"/>
        <w:ind w:firstLine="720"/>
        <w:rPr>
          <w:rFonts w:cstheme="minorHAnsi"/>
          <w:szCs w:val="24"/>
        </w:rPr>
      </w:pPr>
      <w:bookmarkStart w:id="150" w:name="OLE_LINK103"/>
      <w:bookmarkStart w:id="151" w:name="OLE_LINK104"/>
      <w:bookmarkStart w:id="152" w:name="OLE_LINK109"/>
      <w:r w:rsidRPr="003755A8">
        <w:rPr>
          <w:rFonts w:cstheme="minorHAnsi"/>
          <w:szCs w:val="24"/>
        </w:rPr>
        <w:t>Na teritoriji Opština Berane, u okviru nastavka realizacije Projekta osnivanja evidencije katastra nepokretnosti, rađeni su sljedeći poslovi:</w:t>
      </w:r>
    </w:p>
    <w:p w:rsidR="00DF6DAB" w:rsidRPr="003755A8" w:rsidRDefault="00DF6DAB" w:rsidP="009C3C48">
      <w:pPr>
        <w:spacing w:before="0" w:after="0" w:line="240" w:lineRule="auto"/>
        <w:rPr>
          <w:rFonts w:cstheme="minorHAnsi"/>
          <w:szCs w:val="24"/>
        </w:rPr>
      </w:pPr>
      <w:r>
        <w:rPr>
          <w:rFonts w:cstheme="minorHAnsi"/>
        </w:rPr>
        <w:t xml:space="preserve"> - </w:t>
      </w:r>
      <w:r w:rsidRPr="003755A8">
        <w:rPr>
          <w:rFonts w:cstheme="minorHAnsi"/>
          <w:szCs w:val="24"/>
        </w:rPr>
        <w:t xml:space="preserve">katastarsko klasiranje; </w:t>
      </w:r>
    </w:p>
    <w:p w:rsidR="00DF6DAB" w:rsidRPr="003755A8" w:rsidRDefault="00DF6DAB" w:rsidP="009C3C48">
      <w:pPr>
        <w:spacing w:before="0" w:after="0" w:line="240" w:lineRule="auto"/>
        <w:rPr>
          <w:rFonts w:cstheme="minorHAnsi"/>
          <w:szCs w:val="24"/>
        </w:rPr>
      </w:pPr>
      <w:r>
        <w:rPr>
          <w:rFonts w:cstheme="minorHAnsi"/>
        </w:rPr>
        <w:t xml:space="preserve"> - </w:t>
      </w:r>
      <w:r w:rsidRPr="003755A8">
        <w:rPr>
          <w:rFonts w:cstheme="minorHAnsi"/>
          <w:szCs w:val="24"/>
        </w:rPr>
        <w:t>obrada prikupljenih podataka;</w:t>
      </w:r>
    </w:p>
    <w:p w:rsidR="00DF6DAB" w:rsidRPr="003755A8" w:rsidRDefault="00DF6DAB" w:rsidP="009C3C48">
      <w:pPr>
        <w:spacing w:before="0" w:after="0" w:line="240" w:lineRule="auto"/>
        <w:rPr>
          <w:rFonts w:cstheme="minorHAnsi"/>
          <w:szCs w:val="24"/>
        </w:rPr>
      </w:pPr>
      <w:r>
        <w:rPr>
          <w:rFonts w:cstheme="minorHAnsi"/>
        </w:rPr>
        <w:t xml:space="preserve"> - </w:t>
      </w:r>
      <w:r w:rsidRPr="003755A8">
        <w:rPr>
          <w:rFonts w:cstheme="minorHAnsi"/>
          <w:szCs w:val="24"/>
        </w:rPr>
        <w:t>izrada privremene baze podataka;</w:t>
      </w:r>
    </w:p>
    <w:p w:rsidR="00DF6DAB" w:rsidRPr="003755A8" w:rsidRDefault="00DF6DAB" w:rsidP="009C3C48">
      <w:pPr>
        <w:spacing w:before="0" w:after="0" w:line="240" w:lineRule="auto"/>
        <w:rPr>
          <w:rFonts w:cstheme="minorHAnsi"/>
          <w:szCs w:val="24"/>
        </w:rPr>
      </w:pPr>
      <w:r>
        <w:rPr>
          <w:rFonts w:cstheme="minorHAnsi"/>
        </w:rPr>
        <w:t xml:space="preserve"> - </w:t>
      </w:r>
      <w:r w:rsidRPr="003755A8">
        <w:rPr>
          <w:rFonts w:cstheme="minorHAnsi"/>
          <w:szCs w:val="24"/>
        </w:rPr>
        <w:t>izlaganje podataka;</w:t>
      </w:r>
    </w:p>
    <w:p w:rsidR="00DF6DAB" w:rsidRPr="003755A8" w:rsidRDefault="00DF6DAB" w:rsidP="009C3C48">
      <w:pPr>
        <w:spacing w:before="0" w:after="0" w:line="240" w:lineRule="auto"/>
        <w:rPr>
          <w:rFonts w:cstheme="minorHAnsi"/>
          <w:szCs w:val="24"/>
        </w:rPr>
      </w:pPr>
      <w:r>
        <w:rPr>
          <w:rFonts w:cstheme="minorHAnsi"/>
        </w:rPr>
        <w:t xml:space="preserve"> - </w:t>
      </w:r>
      <w:r w:rsidRPr="003755A8">
        <w:rPr>
          <w:rFonts w:cstheme="minorHAnsi"/>
          <w:szCs w:val="24"/>
        </w:rPr>
        <w:t>potvrđivanje baze podataka.</w:t>
      </w:r>
    </w:p>
    <w:p w:rsidR="00DF6DAB" w:rsidRPr="003755A8" w:rsidRDefault="00DF6DAB" w:rsidP="009C3C48">
      <w:pPr>
        <w:spacing w:before="0" w:after="0" w:line="240" w:lineRule="auto"/>
        <w:ind w:firstLine="720"/>
        <w:rPr>
          <w:rFonts w:cstheme="minorHAnsi"/>
          <w:szCs w:val="24"/>
        </w:rPr>
      </w:pPr>
      <w:r w:rsidRPr="003755A8">
        <w:rPr>
          <w:rFonts w:cstheme="minorHAnsi"/>
          <w:szCs w:val="24"/>
        </w:rPr>
        <w:t>Za potrebe Izlaganja podataka za navedene katastarske opštine na teritoriji Opštine Berane i Petnjice, angažovana jedna Komisije.</w:t>
      </w:r>
    </w:p>
    <w:bookmarkEnd w:id="150"/>
    <w:bookmarkEnd w:id="151"/>
    <w:bookmarkEnd w:id="152"/>
    <w:p w:rsidR="00DF6DAB" w:rsidRPr="003755A8" w:rsidRDefault="00DF6DAB" w:rsidP="009C3C48">
      <w:pPr>
        <w:spacing w:before="0" w:after="0" w:line="240" w:lineRule="auto"/>
        <w:rPr>
          <w:rFonts w:cstheme="minorHAnsi"/>
          <w:szCs w:val="24"/>
        </w:rPr>
      </w:pPr>
    </w:p>
    <w:p w:rsidR="00DF6DAB" w:rsidRPr="003755A8" w:rsidRDefault="00DF6DAB" w:rsidP="009C3C48">
      <w:pPr>
        <w:spacing w:before="0" w:after="0" w:line="240" w:lineRule="auto"/>
        <w:jc w:val="center"/>
        <w:rPr>
          <w:rFonts w:cstheme="minorHAnsi"/>
          <w:szCs w:val="24"/>
        </w:rPr>
      </w:pPr>
      <w:r w:rsidRPr="003755A8">
        <w:rPr>
          <w:rFonts w:cstheme="minorHAnsi"/>
          <w:szCs w:val="24"/>
        </w:rPr>
        <w:t>Tabela 2.3. Pregled izvršenih radova na osnivanju evidencije katastra nepokretnosti u okviru projekta za Opštinu Berane</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95"/>
        <w:gridCol w:w="1560"/>
        <w:gridCol w:w="1621"/>
        <w:gridCol w:w="1634"/>
        <w:gridCol w:w="1465"/>
        <w:gridCol w:w="10"/>
      </w:tblGrid>
      <w:tr w:rsidR="00DF6DAB" w:rsidRPr="003755A8" w:rsidTr="00DF6DAB">
        <w:trPr>
          <w:gridAfter w:val="1"/>
          <w:wAfter w:w="10" w:type="dxa"/>
          <w:trHeight w:val="404"/>
          <w:jc w:val="center"/>
        </w:trPr>
        <w:tc>
          <w:tcPr>
            <w:tcW w:w="7975" w:type="dxa"/>
            <w:gridSpan w:val="5"/>
            <w:tcBorders>
              <w:top w:val="single" w:sz="12" w:space="0" w:color="auto"/>
              <w:bottom w:val="single" w:sz="12" w:space="0" w:color="auto"/>
            </w:tcBorders>
            <w:shd w:val="clear" w:color="auto" w:fill="auto"/>
            <w:vAlign w:val="center"/>
          </w:tcPr>
          <w:p w:rsidR="00DF6DAB" w:rsidRPr="003755A8" w:rsidRDefault="00DF6DAB" w:rsidP="009C3C48">
            <w:pPr>
              <w:spacing w:before="0" w:after="0" w:line="240" w:lineRule="auto"/>
              <w:rPr>
                <w:rFonts w:cstheme="minorHAnsi"/>
                <w:szCs w:val="24"/>
              </w:rPr>
            </w:pPr>
            <w:r w:rsidRPr="009C3C48">
              <w:rPr>
                <w:rFonts w:cstheme="minorHAnsi"/>
                <w:szCs w:val="24"/>
              </w:rPr>
              <w:t>BERANE</w:t>
            </w:r>
          </w:p>
        </w:tc>
      </w:tr>
      <w:tr w:rsidR="00DF6DAB" w:rsidRPr="003755A8" w:rsidTr="00DF6DAB">
        <w:trPr>
          <w:jc w:val="center"/>
        </w:trPr>
        <w:tc>
          <w:tcPr>
            <w:tcW w:w="1695" w:type="dxa"/>
            <w:tcBorders>
              <w:top w:val="single" w:sz="12" w:space="0" w:color="auto"/>
              <w:bottom w:val="single" w:sz="12" w:space="0" w:color="auto"/>
            </w:tcBorders>
            <w:shd w:val="clear" w:color="auto" w:fill="auto"/>
            <w:vAlign w:val="center"/>
          </w:tcPr>
          <w:p w:rsidR="00DF6DAB" w:rsidRPr="003755A8" w:rsidRDefault="00DF6DAB" w:rsidP="009C3C48">
            <w:pPr>
              <w:spacing w:before="0" w:after="0" w:line="240" w:lineRule="auto"/>
              <w:rPr>
                <w:rFonts w:cstheme="minorHAnsi"/>
                <w:szCs w:val="24"/>
              </w:rPr>
            </w:pPr>
            <w:r w:rsidRPr="003755A8">
              <w:rPr>
                <w:rFonts w:cstheme="minorHAnsi"/>
                <w:szCs w:val="24"/>
              </w:rPr>
              <w:t>Naziv KO</w:t>
            </w:r>
          </w:p>
        </w:tc>
        <w:tc>
          <w:tcPr>
            <w:tcW w:w="1560" w:type="dxa"/>
            <w:tcBorders>
              <w:top w:val="single" w:sz="12" w:space="0" w:color="auto"/>
              <w:bottom w:val="single" w:sz="12" w:space="0" w:color="auto"/>
            </w:tcBorders>
            <w:shd w:val="clear" w:color="auto" w:fill="auto"/>
            <w:vAlign w:val="center"/>
          </w:tcPr>
          <w:p w:rsidR="00DF6DAB" w:rsidRPr="003755A8" w:rsidRDefault="00DF6DAB" w:rsidP="009C3C48">
            <w:pPr>
              <w:spacing w:before="0" w:after="0" w:line="240" w:lineRule="auto"/>
              <w:rPr>
                <w:rFonts w:cstheme="minorHAnsi"/>
                <w:szCs w:val="24"/>
              </w:rPr>
            </w:pPr>
            <w:r w:rsidRPr="003755A8">
              <w:rPr>
                <w:rFonts w:cstheme="minorHAnsi"/>
                <w:szCs w:val="24"/>
              </w:rPr>
              <w:t>Prikupljanje podataka</w:t>
            </w:r>
          </w:p>
        </w:tc>
        <w:tc>
          <w:tcPr>
            <w:tcW w:w="1621" w:type="dxa"/>
            <w:tcBorders>
              <w:top w:val="single" w:sz="12" w:space="0" w:color="auto"/>
              <w:bottom w:val="single" w:sz="12" w:space="0" w:color="auto"/>
            </w:tcBorders>
            <w:shd w:val="clear" w:color="auto" w:fill="auto"/>
            <w:vAlign w:val="center"/>
          </w:tcPr>
          <w:p w:rsidR="00DF6DAB" w:rsidRPr="003755A8" w:rsidRDefault="00DF6DAB" w:rsidP="009C3C48">
            <w:pPr>
              <w:spacing w:before="0" w:after="0" w:line="240" w:lineRule="auto"/>
              <w:rPr>
                <w:rFonts w:cstheme="minorHAnsi"/>
                <w:szCs w:val="24"/>
              </w:rPr>
            </w:pPr>
            <w:r w:rsidRPr="003755A8">
              <w:rPr>
                <w:rFonts w:cstheme="minorHAnsi"/>
                <w:szCs w:val="24"/>
              </w:rPr>
              <w:t>Izrada privremene baze podataka</w:t>
            </w:r>
          </w:p>
        </w:tc>
        <w:tc>
          <w:tcPr>
            <w:tcW w:w="1634" w:type="dxa"/>
            <w:tcBorders>
              <w:top w:val="single" w:sz="12" w:space="0" w:color="auto"/>
              <w:bottom w:val="single" w:sz="12" w:space="0" w:color="auto"/>
            </w:tcBorders>
            <w:shd w:val="clear" w:color="auto" w:fill="auto"/>
            <w:vAlign w:val="center"/>
          </w:tcPr>
          <w:p w:rsidR="00DF6DAB" w:rsidRPr="003755A8" w:rsidRDefault="00DF6DAB" w:rsidP="009C3C48">
            <w:pPr>
              <w:spacing w:before="0" w:after="0" w:line="240" w:lineRule="auto"/>
              <w:rPr>
                <w:rFonts w:cstheme="minorHAnsi"/>
                <w:szCs w:val="24"/>
              </w:rPr>
            </w:pPr>
            <w:r w:rsidRPr="003755A8">
              <w:rPr>
                <w:rFonts w:cstheme="minorHAnsi"/>
                <w:szCs w:val="24"/>
              </w:rPr>
              <w:t>Izlaganje podataka</w:t>
            </w:r>
          </w:p>
        </w:tc>
        <w:tc>
          <w:tcPr>
            <w:tcW w:w="1475" w:type="dxa"/>
            <w:gridSpan w:val="2"/>
            <w:tcBorders>
              <w:top w:val="single" w:sz="12" w:space="0" w:color="auto"/>
              <w:bottom w:val="single" w:sz="12" w:space="0" w:color="auto"/>
            </w:tcBorders>
            <w:shd w:val="clear" w:color="auto" w:fill="auto"/>
            <w:vAlign w:val="center"/>
          </w:tcPr>
          <w:p w:rsidR="00DF6DAB" w:rsidRPr="003755A8" w:rsidRDefault="00DF6DAB" w:rsidP="009C3C48">
            <w:pPr>
              <w:spacing w:before="0" w:after="0" w:line="240" w:lineRule="auto"/>
              <w:rPr>
                <w:rFonts w:cstheme="minorHAnsi"/>
                <w:szCs w:val="24"/>
              </w:rPr>
            </w:pPr>
            <w:r w:rsidRPr="003755A8">
              <w:rPr>
                <w:rFonts w:cstheme="minorHAnsi"/>
                <w:szCs w:val="24"/>
              </w:rPr>
              <w:t>Potvrđivanje baze podataka</w:t>
            </w:r>
          </w:p>
        </w:tc>
      </w:tr>
      <w:tr w:rsidR="00DF6DAB" w:rsidRPr="003755A8" w:rsidTr="00DF6DAB">
        <w:trPr>
          <w:jc w:val="center"/>
        </w:trPr>
        <w:tc>
          <w:tcPr>
            <w:tcW w:w="1695" w:type="dxa"/>
            <w:tcBorders>
              <w:top w:val="single" w:sz="6" w:space="0" w:color="auto"/>
              <w:bottom w:val="single" w:sz="6" w:space="0" w:color="auto"/>
              <w:right w:val="single" w:sz="12" w:space="0" w:color="auto"/>
            </w:tcBorders>
            <w:shd w:val="clear" w:color="auto" w:fill="auto"/>
            <w:vAlign w:val="bottom"/>
          </w:tcPr>
          <w:p w:rsidR="00DF6DAB" w:rsidRPr="003755A8" w:rsidRDefault="00DF6DAB" w:rsidP="009C3C48">
            <w:pPr>
              <w:spacing w:before="0" w:after="0" w:line="240" w:lineRule="auto"/>
              <w:rPr>
                <w:rFonts w:cstheme="minorHAnsi"/>
                <w:szCs w:val="24"/>
              </w:rPr>
            </w:pPr>
            <w:r w:rsidRPr="003755A8">
              <w:rPr>
                <w:rFonts w:cstheme="minorHAnsi"/>
                <w:szCs w:val="24"/>
              </w:rPr>
              <w:t>VUČA (BERANSKA)</w:t>
            </w:r>
          </w:p>
        </w:tc>
        <w:tc>
          <w:tcPr>
            <w:tcW w:w="1560" w:type="dxa"/>
            <w:tcBorders>
              <w:top w:val="single" w:sz="6" w:space="0" w:color="auto"/>
              <w:left w:val="single" w:sz="12" w:space="0" w:color="auto"/>
              <w:bottom w:val="single" w:sz="6" w:space="0" w:color="auto"/>
            </w:tcBorders>
            <w:shd w:val="clear" w:color="auto" w:fill="auto"/>
            <w:vAlign w:val="center"/>
          </w:tcPr>
          <w:p w:rsidR="00DF6DAB" w:rsidRPr="003755A8" w:rsidRDefault="00DF6DAB" w:rsidP="009C3C48">
            <w:pPr>
              <w:spacing w:before="0" w:after="0" w:line="240" w:lineRule="auto"/>
              <w:rPr>
                <w:rFonts w:cstheme="minorHAnsi"/>
                <w:szCs w:val="24"/>
              </w:rPr>
            </w:pPr>
            <w:r w:rsidRPr="003755A8">
              <w:rPr>
                <w:rFonts w:cstheme="minorHAnsi"/>
                <w:szCs w:val="24"/>
                <w:highlight w:val="lightGray"/>
              </w:rPr>
              <w:t>x</w:t>
            </w:r>
          </w:p>
        </w:tc>
        <w:tc>
          <w:tcPr>
            <w:tcW w:w="1621" w:type="dxa"/>
            <w:tcBorders>
              <w:top w:val="single" w:sz="6" w:space="0" w:color="auto"/>
              <w:bottom w:val="single" w:sz="6" w:space="0" w:color="auto"/>
            </w:tcBorders>
            <w:shd w:val="clear" w:color="auto" w:fill="auto"/>
            <w:vAlign w:val="center"/>
          </w:tcPr>
          <w:p w:rsidR="00DF6DAB" w:rsidRPr="003755A8" w:rsidRDefault="00DF6DAB" w:rsidP="009C3C48">
            <w:pPr>
              <w:spacing w:before="0" w:after="0" w:line="240" w:lineRule="auto"/>
              <w:rPr>
                <w:rFonts w:cstheme="minorHAnsi"/>
                <w:szCs w:val="24"/>
              </w:rPr>
            </w:pPr>
            <w:r w:rsidRPr="003755A8">
              <w:rPr>
                <w:rFonts w:cstheme="minorHAnsi"/>
                <w:szCs w:val="24"/>
                <w:highlight w:val="lightGray"/>
              </w:rPr>
              <w:t>x</w:t>
            </w:r>
          </w:p>
        </w:tc>
        <w:tc>
          <w:tcPr>
            <w:tcW w:w="1634" w:type="dxa"/>
            <w:tcBorders>
              <w:top w:val="single" w:sz="6" w:space="0" w:color="auto"/>
              <w:bottom w:val="single" w:sz="6" w:space="0" w:color="auto"/>
            </w:tcBorders>
            <w:shd w:val="clear" w:color="auto" w:fill="auto"/>
            <w:vAlign w:val="center"/>
          </w:tcPr>
          <w:p w:rsidR="00DF6DAB" w:rsidRPr="003755A8" w:rsidRDefault="00DF6DAB" w:rsidP="009C3C48">
            <w:pPr>
              <w:spacing w:before="0" w:after="0" w:line="240" w:lineRule="auto"/>
              <w:rPr>
                <w:rFonts w:cstheme="minorHAnsi"/>
                <w:szCs w:val="24"/>
              </w:rPr>
            </w:pPr>
            <w:r w:rsidRPr="003755A8">
              <w:rPr>
                <w:rFonts w:cstheme="minorHAnsi"/>
                <w:szCs w:val="24"/>
                <w:highlight w:val="yellow"/>
              </w:rPr>
              <w:t>x</w:t>
            </w:r>
          </w:p>
        </w:tc>
        <w:tc>
          <w:tcPr>
            <w:tcW w:w="1475" w:type="dxa"/>
            <w:gridSpan w:val="2"/>
            <w:tcBorders>
              <w:top w:val="single" w:sz="6" w:space="0" w:color="auto"/>
              <w:bottom w:val="single" w:sz="6" w:space="0" w:color="auto"/>
            </w:tcBorders>
            <w:shd w:val="clear" w:color="auto" w:fill="auto"/>
            <w:vAlign w:val="center"/>
          </w:tcPr>
          <w:p w:rsidR="00DF6DAB" w:rsidRPr="003755A8" w:rsidRDefault="00DF6DAB" w:rsidP="009C3C48">
            <w:pPr>
              <w:spacing w:before="0" w:after="0" w:line="240" w:lineRule="auto"/>
              <w:rPr>
                <w:rFonts w:cstheme="minorHAnsi"/>
                <w:szCs w:val="24"/>
              </w:rPr>
            </w:pPr>
            <w:r w:rsidRPr="003755A8">
              <w:rPr>
                <w:rFonts w:cstheme="minorHAnsi"/>
                <w:szCs w:val="24"/>
                <w:highlight w:val="magenta"/>
              </w:rPr>
              <w:t>x</w:t>
            </w:r>
          </w:p>
        </w:tc>
      </w:tr>
      <w:tr w:rsidR="00DF6DAB" w:rsidRPr="003755A8" w:rsidTr="00DF6DAB">
        <w:trPr>
          <w:jc w:val="center"/>
        </w:trPr>
        <w:tc>
          <w:tcPr>
            <w:tcW w:w="1695" w:type="dxa"/>
            <w:tcBorders>
              <w:top w:val="single" w:sz="6" w:space="0" w:color="auto"/>
              <w:bottom w:val="single" w:sz="6" w:space="0" w:color="auto"/>
              <w:right w:val="single" w:sz="12" w:space="0" w:color="auto"/>
            </w:tcBorders>
            <w:shd w:val="clear" w:color="auto" w:fill="auto"/>
            <w:vAlign w:val="bottom"/>
          </w:tcPr>
          <w:p w:rsidR="00DF6DAB" w:rsidRPr="003755A8" w:rsidRDefault="00DF6DAB" w:rsidP="009C3C48">
            <w:pPr>
              <w:spacing w:before="0" w:after="0" w:line="240" w:lineRule="auto"/>
              <w:rPr>
                <w:rFonts w:cstheme="minorHAnsi"/>
                <w:szCs w:val="24"/>
              </w:rPr>
            </w:pPr>
            <w:bookmarkStart w:id="153" w:name="_Hlk504772933"/>
            <w:r w:rsidRPr="003755A8">
              <w:rPr>
                <w:rFonts w:cstheme="minorHAnsi"/>
                <w:szCs w:val="24"/>
              </w:rPr>
              <w:t>DAPSIĆE II</w:t>
            </w:r>
          </w:p>
        </w:tc>
        <w:tc>
          <w:tcPr>
            <w:tcW w:w="1560" w:type="dxa"/>
            <w:tcBorders>
              <w:top w:val="single" w:sz="6" w:space="0" w:color="auto"/>
              <w:left w:val="single" w:sz="12" w:space="0" w:color="auto"/>
              <w:bottom w:val="single" w:sz="6" w:space="0" w:color="auto"/>
            </w:tcBorders>
            <w:shd w:val="clear" w:color="auto" w:fill="auto"/>
            <w:vAlign w:val="center"/>
          </w:tcPr>
          <w:p w:rsidR="00DF6DAB" w:rsidRPr="003755A8" w:rsidRDefault="00DF6DAB" w:rsidP="009C3C48">
            <w:pPr>
              <w:spacing w:before="0" w:after="0" w:line="240" w:lineRule="auto"/>
              <w:rPr>
                <w:rFonts w:cstheme="minorHAnsi"/>
                <w:szCs w:val="24"/>
              </w:rPr>
            </w:pPr>
            <w:r w:rsidRPr="003755A8">
              <w:rPr>
                <w:rFonts w:cstheme="minorHAnsi"/>
                <w:szCs w:val="24"/>
                <w:highlight w:val="lightGray"/>
              </w:rPr>
              <w:t>x</w:t>
            </w:r>
          </w:p>
        </w:tc>
        <w:tc>
          <w:tcPr>
            <w:tcW w:w="1621" w:type="dxa"/>
            <w:tcBorders>
              <w:top w:val="single" w:sz="6" w:space="0" w:color="auto"/>
              <w:bottom w:val="single" w:sz="6" w:space="0" w:color="auto"/>
            </w:tcBorders>
            <w:shd w:val="clear" w:color="auto" w:fill="auto"/>
            <w:vAlign w:val="center"/>
          </w:tcPr>
          <w:p w:rsidR="00DF6DAB" w:rsidRPr="003755A8" w:rsidRDefault="00DF6DAB" w:rsidP="009C3C48">
            <w:pPr>
              <w:spacing w:before="0" w:after="0" w:line="240" w:lineRule="auto"/>
              <w:rPr>
                <w:rFonts w:cstheme="minorHAnsi"/>
                <w:szCs w:val="24"/>
                <w:highlight w:val="yellow"/>
              </w:rPr>
            </w:pPr>
            <w:r w:rsidRPr="003755A8">
              <w:rPr>
                <w:rFonts w:cstheme="minorHAnsi"/>
                <w:szCs w:val="24"/>
              </w:rPr>
              <w:t>x</w:t>
            </w:r>
          </w:p>
        </w:tc>
        <w:tc>
          <w:tcPr>
            <w:tcW w:w="1634" w:type="dxa"/>
            <w:tcBorders>
              <w:top w:val="single" w:sz="6" w:space="0" w:color="auto"/>
              <w:bottom w:val="single" w:sz="6" w:space="0" w:color="auto"/>
            </w:tcBorders>
            <w:shd w:val="clear" w:color="auto" w:fill="auto"/>
            <w:vAlign w:val="center"/>
          </w:tcPr>
          <w:p w:rsidR="00DF6DAB" w:rsidRPr="003755A8" w:rsidRDefault="00DF6DAB" w:rsidP="009C3C48">
            <w:pPr>
              <w:spacing w:before="0" w:after="0" w:line="240" w:lineRule="auto"/>
              <w:rPr>
                <w:rFonts w:cstheme="minorHAnsi"/>
                <w:szCs w:val="24"/>
              </w:rPr>
            </w:pPr>
            <w:r w:rsidRPr="003755A8">
              <w:rPr>
                <w:rFonts w:cstheme="minorHAnsi"/>
                <w:szCs w:val="24"/>
              </w:rPr>
              <w:t>x</w:t>
            </w:r>
          </w:p>
        </w:tc>
        <w:tc>
          <w:tcPr>
            <w:tcW w:w="1475" w:type="dxa"/>
            <w:gridSpan w:val="2"/>
            <w:tcBorders>
              <w:top w:val="single" w:sz="6" w:space="0" w:color="auto"/>
              <w:bottom w:val="single" w:sz="6" w:space="0" w:color="auto"/>
            </w:tcBorders>
            <w:shd w:val="clear" w:color="auto" w:fill="auto"/>
            <w:vAlign w:val="center"/>
          </w:tcPr>
          <w:p w:rsidR="00DF6DAB" w:rsidRPr="003755A8" w:rsidRDefault="00DF6DAB" w:rsidP="009C3C48">
            <w:pPr>
              <w:spacing w:before="0" w:after="0" w:line="240" w:lineRule="auto"/>
              <w:rPr>
                <w:rFonts w:cstheme="minorHAnsi"/>
                <w:szCs w:val="24"/>
              </w:rPr>
            </w:pPr>
            <w:r w:rsidRPr="003755A8">
              <w:rPr>
                <w:rFonts w:cstheme="minorHAnsi"/>
                <w:szCs w:val="24"/>
              </w:rPr>
              <w:t>x</w:t>
            </w:r>
          </w:p>
        </w:tc>
      </w:tr>
      <w:tr w:rsidR="00DF6DAB" w:rsidRPr="003755A8" w:rsidTr="00DF6DAB">
        <w:trPr>
          <w:jc w:val="center"/>
        </w:trPr>
        <w:tc>
          <w:tcPr>
            <w:tcW w:w="1695" w:type="dxa"/>
            <w:tcBorders>
              <w:top w:val="single" w:sz="6" w:space="0" w:color="auto"/>
              <w:bottom w:val="single" w:sz="6" w:space="0" w:color="auto"/>
              <w:right w:val="single" w:sz="12" w:space="0" w:color="auto"/>
            </w:tcBorders>
            <w:shd w:val="clear" w:color="auto" w:fill="auto"/>
            <w:vAlign w:val="bottom"/>
          </w:tcPr>
          <w:p w:rsidR="00DF6DAB" w:rsidRPr="003755A8" w:rsidRDefault="00DF6DAB" w:rsidP="009C3C48">
            <w:pPr>
              <w:spacing w:before="0" w:after="0" w:line="240" w:lineRule="auto"/>
              <w:rPr>
                <w:rFonts w:cstheme="minorHAnsi"/>
                <w:szCs w:val="24"/>
              </w:rPr>
            </w:pPr>
            <w:r w:rsidRPr="003755A8">
              <w:rPr>
                <w:rFonts w:cstheme="minorHAnsi"/>
                <w:szCs w:val="24"/>
              </w:rPr>
              <w:t>KALUDRA</w:t>
            </w:r>
          </w:p>
        </w:tc>
        <w:tc>
          <w:tcPr>
            <w:tcW w:w="1560" w:type="dxa"/>
            <w:tcBorders>
              <w:top w:val="single" w:sz="6" w:space="0" w:color="auto"/>
              <w:left w:val="single" w:sz="12" w:space="0" w:color="auto"/>
              <w:bottom w:val="single" w:sz="6" w:space="0" w:color="auto"/>
            </w:tcBorders>
            <w:shd w:val="clear" w:color="auto" w:fill="auto"/>
            <w:vAlign w:val="center"/>
          </w:tcPr>
          <w:p w:rsidR="00DF6DAB" w:rsidRPr="003755A8" w:rsidRDefault="00DF6DAB" w:rsidP="009C3C48">
            <w:pPr>
              <w:spacing w:before="0" w:after="0" w:line="240" w:lineRule="auto"/>
              <w:rPr>
                <w:rFonts w:cstheme="minorHAnsi"/>
                <w:szCs w:val="24"/>
              </w:rPr>
            </w:pPr>
            <w:r w:rsidRPr="003755A8">
              <w:rPr>
                <w:rFonts w:cstheme="minorHAnsi"/>
                <w:szCs w:val="24"/>
                <w:highlight w:val="lightGray"/>
              </w:rPr>
              <w:t>x</w:t>
            </w:r>
          </w:p>
        </w:tc>
        <w:tc>
          <w:tcPr>
            <w:tcW w:w="1621" w:type="dxa"/>
            <w:tcBorders>
              <w:top w:val="single" w:sz="6" w:space="0" w:color="auto"/>
              <w:bottom w:val="single" w:sz="6" w:space="0" w:color="auto"/>
            </w:tcBorders>
            <w:shd w:val="clear" w:color="auto" w:fill="auto"/>
            <w:vAlign w:val="center"/>
          </w:tcPr>
          <w:p w:rsidR="00DF6DAB" w:rsidRPr="003755A8" w:rsidRDefault="00DF6DAB" w:rsidP="009C3C48">
            <w:pPr>
              <w:spacing w:before="0" w:after="0" w:line="240" w:lineRule="auto"/>
              <w:rPr>
                <w:rFonts w:cstheme="minorHAnsi"/>
                <w:szCs w:val="24"/>
                <w:highlight w:val="yellow"/>
              </w:rPr>
            </w:pPr>
            <w:r w:rsidRPr="003755A8">
              <w:rPr>
                <w:rFonts w:cstheme="minorHAnsi"/>
                <w:szCs w:val="24"/>
                <w:highlight w:val="yellow"/>
              </w:rPr>
              <w:t>x</w:t>
            </w:r>
          </w:p>
        </w:tc>
        <w:tc>
          <w:tcPr>
            <w:tcW w:w="1634" w:type="dxa"/>
            <w:tcBorders>
              <w:top w:val="single" w:sz="6" w:space="0" w:color="auto"/>
              <w:bottom w:val="single" w:sz="6" w:space="0" w:color="auto"/>
            </w:tcBorders>
            <w:shd w:val="clear" w:color="auto" w:fill="auto"/>
            <w:vAlign w:val="center"/>
          </w:tcPr>
          <w:p w:rsidR="00DF6DAB" w:rsidRPr="003755A8" w:rsidRDefault="00DF6DAB" w:rsidP="009C3C48">
            <w:pPr>
              <w:spacing w:before="0" w:after="0" w:line="240" w:lineRule="auto"/>
              <w:rPr>
                <w:rFonts w:cstheme="minorHAnsi"/>
                <w:szCs w:val="24"/>
              </w:rPr>
            </w:pPr>
            <w:r w:rsidRPr="003755A8">
              <w:rPr>
                <w:rFonts w:cstheme="minorHAnsi"/>
                <w:szCs w:val="24"/>
              </w:rPr>
              <w:t>x</w:t>
            </w:r>
          </w:p>
        </w:tc>
        <w:tc>
          <w:tcPr>
            <w:tcW w:w="1475" w:type="dxa"/>
            <w:gridSpan w:val="2"/>
            <w:tcBorders>
              <w:top w:val="single" w:sz="6" w:space="0" w:color="auto"/>
              <w:bottom w:val="single" w:sz="6" w:space="0" w:color="auto"/>
            </w:tcBorders>
            <w:shd w:val="clear" w:color="auto" w:fill="auto"/>
            <w:vAlign w:val="center"/>
          </w:tcPr>
          <w:p w:rsidR="00DF6DAB" w:rsidRPr="003755A8" w:rsidRDefault="00DF6DAB" w:rsidP="009C3C48">
            <w:pPr>
              <w:spacing w:before="0" w:after="0" w:line="240" w:lineRule="auto"/>
              <w:rPr>
                <w:rFonts w:cstheme="minorHAnsi"/>
                <w:szCs w:val="24"/>
              </w:rPr>
            </w:pPr>
            <w:r w:rsidRPr="003755A8">
              <w:rPr>
                <w:rFonts w:cstheme="minorHAnsi"/>
                <w:szCs w:val="24"/>
              </w:rPr>
              <w:t>x</w:t>
            </w:r>
          </w:p>
        </w:tc>
      </w:tr>
      <w:bookmarkEnd w:id="153"/>
      <w:tr w:rsidR="00DF6DAB" w:rsidRPr="003755A8" w:rsidTr="00DF6DAB">
        <w:trPr>
          <w:jc w:val="center"/>
        </w:trPr>
        <w:tc>
          <w:tcPr>
            <w:tcW w:w="1695" w:type="dxa"/>
            <w:tcBorders>
              <w:top w:val="single" w:sz="6" w:space="0" w:color="auto"/>
              <w:bottom w:val="single" w:sz="6" w:space="0" w:color="auto"/>
              <w:right w:val="single" w:sz="12" w:space="0" w:color="auto"/>
            </w:tcBorders>
            <w:shd w:val="clear" w:color="auto" w:fill="auto"/>
            <w:vAlign w:val="bottom"/>
          </w:tcPr>
          <w:p w:rsidR="00DF6DAB" w:rsidRPr="003755A8" w:rsidRDefault="00DF6DAB" w:rsidP="009C3C48">
            <w:pPr>
              <w:spacing w:before="0" w:after="0" w:line="240" w:lineRule="auto"/>
              <w:rPr>
                <w:rFonts w:cstheme="minorHAnsi"/>
                <w:szCs w:val="24"/>
              </w:rPr>
            </w:pPr>
            <w:r w:rsidRPr="003755A8">
              <w:rPr>
                <w:rFonts w:cstheme="minorHAnsi"/>
                <w:szCs w:val="24"/>
              </w:rPr>
              <w:t>PETNJIK II</w:t>
            </w:r>
          </w:p>
        </w:tc>
        <w:tc>
          <w:tcPr>
            <w:tcW w:w="1560" w:type="dxa"/>
            <w:tcBorders>
              <w:top w:val="single" w:sz="6" w:space="0" w:color="auto"/>
              <w:left w:val="single" w:sz="12" w:space="0" w:color="auto"/>
              <w:bottom w:val="single" w:sz="6" w:space="0" w:color="auto"/>
            </w:tcBorders>
            <w:shd w:val="clear" w:color="auto" w:fill="auto"/>
            <w:vAlign w:val="center"/>
          </w:tcPr>
          <w:p w:rsidR="00DF6DAB" w:rsidRPr="003755A8" w:rsidRDefault="00DF6DAB" w:rsidP="009C3C48">
            <w:pPr>
              <w:spacing w:before="0" w:after="0" w:line="240" w:lineRule="auto"/>
              <w:rPr>
                <w:rFonts w:cstheme="minorHAnsi"/>
                <w:szCs w:val="24"/>
              </w:rPr>
            </w:pPr>
            <w:r w:rsidRPr="003755A8">
              <w:rPr>
                <w:rFonts w:cstheme="minorHAnsi"/>
                <w:szCs w:val="24"/>
                <w:highlight w:val="lightGray"/>
              </w:rPr>
              <w:t>x</w:t>
            </w:r>
          </w:p>
        </w:tc>
        <w:tc>
          <w:tcPr>
            <w:tcW w:w="1621" w:type="dxa"/>
            <w:tcBorders>
              <w:top w:val="single" w:sz="6" w:space="0" w:color="auto"/>
              <w:bottom w:val="single" w:sz="6" w:space="0" w:color="auto"/>
            </w:tcBorders>
            <w:shd w:val="clear" w:color="auto" w:fill="auto"/>
            <w:vAlign w:val="center"/>
          </w:tcPr>
          <w:p w:rsidR="00DF6DAB" w:rsidRPr="003755A8" w:rsidRDefault="00DF6DAB" w:rsidP="009C3C48">
            <w:pPr>
              <w:spacing w:before="0" w:after="0" w:line="240" w:lineRule="auto"/>
              <w:rPr>
                <w:rFonts w:cstheme="minorHAnsi"/>
                <w:szCs w:val="24"/>
                <w:highlight w:val="yellow"/>
              </w:rPr>
            </w:pPr>
            <w:r w:rsidRPr="003755A8">
              <w:rPr>
                <w:rFonts w:cstheme="minorHAnsi"/>
                <w:szCs w:val="24"/>
                <w:highlight w:val="yellow"/>
              </w:rPr>
              <w:t>x</w:t>
            </w:r>
          </w:p>
        </w:tc>
        <w:tc>
          <w:tcPr>
            <w:tcW w:w="1634" w:type="dxa"/>
            <w:tcBorders>
              <w:top w:val="single" w:sz="6" w:space="0" w:color="auto"/>
              <w:bottom w:val="single" w:sz="6" w:space="0" w:color="auto"/>
            </w:tcBorders>
            <w:shd w:val="clear" w:color="auto" w:fill="auto"/>
            <w:vAlign w:val="center"/>
          </w:tcPr>
          <w:p w:rsidR="00DF6DAB" w:rsidRPr="003755A8" w:rsidRDefault="00DF6DAB" w:rsidP="009C3C48">
            <w:pPr>
              <w:spacing w:before="0" w:after="0" w:line="240" w:lineRule="auto"/>
              <w:rPr>
                <w:rFonts w:cstheme="minorHAnsi"/>
                <w:szCs w:val="24"/>
              </w:rPr>
            </w:pPr>
            <w:r w:rsidRPr="003755A8">
              <w:rPr>
                <w:rFonts w:cstheme="minorHAnsi"/>
                <w:szCs w:val="24"/>
              </w:rPr>
              <w:t>x</w:t>
            </w:r>
          </w:p>
        </w:tc>
        <w:tc>
          <w:tcPr>
            <w:tcW w:w="1475" w:type="dxa"/>
            <w:gridSpan w:val="2"/>
            <w:tcBorders>
              <w:top w:val="single" w:sz="6" w:space="0" w:color="auto"/>
              <w:bottom w:val="single" w:sz="6" w:space="0" w:color="auto"/>
            </w:tcBorders>
            <w:shd w:val="clear" w:color="auto" w:fill="auto"/>
            <w:vAlign w:val="center"/>
          </w:tcPr>
          <w:p w:rsidR="00DF6DAB" w:rsidRPr="003755A8" w:rsidRDefault="00DF6DAB" w:rsidP="009C3C48">
            <w:pPr>
              <w:spacing w:before="0" w:after="0" w:line="240" w:lineRule="auto"/>
              <w:rPr>
                <w:rFonts w:cstheme="minorHAnsi"/>
                <w:szCs w:val="24"/>
              </w:rPr>
            </w:pPr>
            <w:r w:rsidRPr="003755A8">
              <w:rPr>
                <w:rFonts w:cstheme="minorHAnsi"/>
                <w:szCs w:val="24"/>
              </w:rPr>
              <w:t>x</w:t>
            </w:r>
          </w:p>
        </w:tc>
      </w:tr>
      <w:tr w:rsidR="00DF6DAB" w:rsidRPr="003755A8" w:rsidTr="00DF6DAB">
        <w:trPr>
          <w:trHeight w:val="70"/>
          <w:jc w:val="center"/>
        </w:trPr>
        <w:tc>
          <w:tcPr>
            <w:tcW w:w="1695" w:type="dxa"/>
            <w:tcBorders>
              <w:top w:val="single" w:sz="6" w:space="0" w:color="auto"/>
              <w:bottom w:val="single" w:sz="6" w:space="0" w:color="auto"/>
              <w:right w:val="single" w:sz="12" w:space="0" w:color="auto"/>
            </w:tcBorders>
            <w:shd w:val="clear" w:color="auto" w:fill="auto"/>
            <w:vAlign w:val="bottom"/>
          </w:tcPr>
          <w:p w:rsidR="00DF6DAB" w:rsidRPr="003755A8" w:rsidRDefault="00DF6DAB" w:rsidP="009C3C48">
            <w:pPr>
              <w:spacing w:before="0" w:after="0" w:line="240" w:lineRule="auto"/>
              <w:rPr>
                <w:rFonts w:cstheme="minorHAnsi"/>
                <w:szCs w:val="24"/>
              </w:rPr>
            </w:pPr>
            <w:r w:rsidRPr="003755A8">
              <w:rPr>
                <w:rFonts w:cstheme="minorHAnsi"/>
                <w:szCs w:val="24"/>
              </w:rPr>
              <w:t>ROVCA</w:t>
            </w:r>
          </w:p>
        </w:tc>
        <w:tc>
          <w:tcPr>
            <w:tcW w:w="1560" w:type="dxa"/>
            <w:tcBorders>
              <w:top w:val="single" w:sz="6" w:space="0" w:color="auto"/>
              <w:left w:val="single" w:sz="12" w:space="0" w:color="auto"/>
              <w:bottom w:val="single" w:sz="6" w:space="0" w:color="auto"/>
            </w:tcBorders>
            <w:shd w:val="clear" w:color="auto" w:fill="auto"/>
            <w:vAlign w:val="center"/>
          </w:tcPr>
          <w:p w:rsidR="00DF6DAB" w:rsidRPr="003755A8" w:rsidRDefault="00DF6DAB" w:rsidP="009C3C48">
            <w:pPr>
              <w:spacing w:before="0" w:after="0" w:line="240" w:lineRule="auto"/>
              <w:rPr>
                <w:rFonts w:cstheme="minorHAnsi"/>
                <w:szCs w:val="24"/>
              </w:rPr>
            </w:pPr>
            <w:r w:rsidRPr="003755A8">
              <w:rPr>
                <w:rFonts w:cstheme="minorHAnsi"/>
                <w:szCs w:val="24"/>
                <w:highlight w:val="lightGray"/>
              </w:rPr>
              <w:t>x</w:t>
            </w:r>
          </w:p>
        </w:tc>
        <w:tc>
          <w:tcPr>
            <w:tcW w:w="1621" w:type="dxa"/>
            <w:tcBorders>
              <w:top w:val="single" w:sz="6" w:space="0" w:color="auto"/>
              <w:bottom w:val="single" w:sz="6" w:space="0" w:color="auto"/>
            </w:tcBorders>
            <w:shd w:val="clear" w:color="auto" w:fill="auto"/>
            <w:vAlign w:val="center"/>
          </w:tcPr>
          <w:p w:rsidR="00DF6DAB" w:rsidRPr="003755A8" w:rsidRDefault="00DF6DAB" w:rsidP="009C3C48">
            <w:pPr>
              <w:spacing w:before="0" w:after="0" w:line="240" w:lineRule="auto"/>
              <w:rPr>
                <w:rFonts w:cstheme="minorHAnsi"/>
                <w:szCs w:val="24"/>
                <w:highlight w:val="yellow"/>
              </w:rPr>
            </w:pPr>
            <w:r w:rsidRPr="003755A8">
              <w:rPr>
                <w:rFonts w:cstheme="minorHAnsi"/>
                <w:szCs w:val="24"/>
                <w:highlight w:val="magenta"/>
              </w:rPr>
              <w:t>x</w:t>
            </w:r>
          </w:p>
        </w:tc>
        <w:tc>
          <w:tcPr>
            <w:tcW w:w="1634" w:type="dxa"/>
            <w:tcBorders>
              <w:top w:val="single" w:sz="6" w:space="0" w:color="auto"/>
              <w:bottom w:val="single" w:sz="6" w:space="0" w:color="auto"/>
            </w:tcBorders>
            <w:shd w:val="clear" w:color="auto" w:fill="auto"/>
            <w:vAlign w:val="center"/>
          </w:tcPr>
          <w:p w:rsidR="00DF6DAB" w:rsidRPr="003755A8" w:rsidRDefault="00DF6DAB" w:rsidP="009C3C48">
            <w:pPr>
              <w:spacing w:before="0" w:after="0" w:line="240" w:lineRule="auto"/>
              <w:rPr>
                <w:rFonts w:cstheme="minorHAnsi"/>
                <w:szCs w:val="24"/>
              </w:rPr>
            </w:pPr>
            <w:r w:rsidRPr="003755A8">
              <w:rPr>
                <w:rFonts w:cstheme="minorHAnsi"/>
                <w:szCs w:val="24"/>
              </w:rPr>
              <w:t>x</w:t>
            </w:r>
          </w:p>
        </w:tc>
        <w:tc>
          <w:tcPr>
            <w:tcW w:w="1475" w:type="dxa"/>
            <w:gridSpan w:val="2"/>
            <w:tcBorders>
              <w:top w:val="single" w:sz="6" w:space="0" w:color="auto"/>
              <w:bottom w:val="single" w:sz="6" w:space="0" w:color="auto"/>
            </w:tcBorders>
            <w:shd w:val="clear" w:color="auto" w:fill="auto"/>
            <w:vAlign w:val="center"/>
          </w:tcPr>
          <w:p w:rsidR="00DF6DAB" w:rsidRPr="003755A8" w:rsidRDefault="00DF6DAB" w:rsidP="009C3C48">
            <w:pPr>
              <w:spacing w:before="0" w:after="0" w:line="240" w:lineRule="auto"/>
              <w:rPr>
                <w:rFonts w:cstheme="minorHAnsi"/>
                <w:szCs w:val="24"/>
              </w:rPr>
            </w:pPr>
            <w:r w:rsidRPr="003755A8">
              <w:rPr>
                <w:rFonts w:cstheme="minorHAnsi"/>
                <w:szCs w:val="24"/>
              </w:rPr>
              <w:t>x</w:t>
            </w:r>
          </w:p>
        </w:tc>
      </w:tr>
      <w:tr w:rsidR="00DF6DAB" w:rsidRPr="003755A8" w:rsidTr="00DF6DAB">
        <w:trPr>
          <w:jc w:val="center"/>
        </w:trPr>
        <w:tc>
          <w:tcPr>
            <w:tcW w:w="1695" w:type="dxa"/>
            <w:tcBorders>
              <w:top w:val="single" w:sz="6" w:space="0" w:color="auto"/>
              <w:bottom w:val="single" w:sz="12" w:space="0" w:color="auto"/>
              <w:right w:val="single" w:sz="12" w:space="0" w:color="auto"/>
            </w:tcBorders>
            <w:shd w:val="clear" w:color="auto" w:fill="auto"/>
            <w:vAlign w:val="bottom"/>
          </w:tcPr>
          <w:p w:rsidR="00DF6DAB" w:rsidRPr="003755A8" w:rsidRDefault="00DF6DAB" w:rsidP="009C3C48">
            <w:pPr>
              <w:spacing w:before="0" w:after="0" w:line="240" w:lineRule="auto"/>
              <w:rPr>
                <w:rFonts w:cstheme="minorHAnsi"/>
                <w:szCs w:val="24"/>
              </w:rPr>
            </w:pPr>
            <w:r w:rsidRPr="003755A8">
              <w:rPr>
                <w:rFonts w:cstheme="minorHAnsi"/>
                <w:szCs w:val="24"/>
              </w:rPr>
              <w:t>ŠEKULAR</w:t>
            </w:r>
          </w:p>
        </w:tc>
        <w:tc>
          <w:tcPr>
            <w:tcW w:w="1560" w:type="dxa"/>
            <w:tcBorders>
              <w:top w:val="single" w:sz="6" w:space="0" w:color="auto"/>
              <w:left w:val="single" w:sz="12" w:space="0" w:color="auto"/>
              <w:bottom w:val="single" w:sz="12" w:space="0" w:color="auto"/>
            </w:tcBorders>
            <w:shd w:val="clear" w:color="auto" w:fill="auto"/>
            <w:vAlign w:val="center"/>
          </w:tcPr>
          <w:p w:rsidR="00DF6DAB" w:rsidRPr="003755A8" w:rsidRDefault="00DF6DAB" w:rsidP="009C3C48">
            <w:pPr>
              <w:spacing w:before="0" w:after="0" w:line="240" w:lineRule="auto"/>
              <w:rPr>
                <w:rFonts w:cstheme="minorHAnsi"/>
                <w:szCs w:val="24"/>
              </w:rPr>
            </w:pPr>
            <w:r w:rsidRPr="003755A8">
              <w:rPr>
                <w:rFonts w:cstheme="minorHAnsi"/>
                <w:szCs w:val="24"/>
                <w:highlight w:val="lightGray"/>
              </w:rPr>
              <w:t>x</w:t>
            </w:r>
          </w:p>
        </w:tc>
        <w:tc>
          <w:tcPr>
            <w:tcW w:w="1621" w:type="dxa"/>
            <w:tcBorders>
              <w:top w:val="single" w:sz="6" w:space="0" w:color="auto"/>
              <w:bottom w:val="single" w:sz="12" w:space="0" w:color="auto"/>
            </w:tcBorders>
            <w:shd w:val="clear" w:color="auto" w:fill="auto"/>
            <w:vAlign w:val="center"/>
          </w:tcPr>
          <w:p w:rsidR="00DF6DAB" w:rsidRPr="003755A8" w:rsidRDefault="00DF6DAB" w:rsidP="009C3C48">
            <w:pPr>
              <w:spacing w:before="0" w:after="0" w:line="240" w:lineRule="auto"/>
              <w:rPr>
                <w:rFonts w:cstheme="minorHAnsi"/>
                <w:szCs w:val="24"/>
                <w:highlight w:val="yellow"/>
              </w:rPr>
            </w:pPr>
            <w:r w:rsidRPr="003755A8">
              <w:rPr>
                <w:rFonts w:cstheme="minorHAnsi"/>
                <w:szCs w:val="24"/>
                <w:highlight w:val="lightGray"/>
              </w:rPr>
              <w:t>x</w:t>
            </w:r>
          </w:p>
        </w:tc>
        <w:tc>
          <w:tcPr>
            <w:tcW w:w="1634" w:type="dxa"/>
            <w:tcBorders>
              <w:top w:val="single" w:sz="6" w:space="0" w:color="auto"/>
              <w:bottom w:val="single" w:sz="12" w:space="0" w:color="auto"/>
            </w:tcBorders>
            <w:shd w:val="clear" w:color="auto" w:fill="auto"/>
            <w:vAlign w:val="center"/>
          </w:tcPr>
          <w:p w:rsidR="00DF6DAB" w:rsidRPr="003755A8" w:rsidRDefault="00DF6DAB" w:rsidP="009C3C48">
            <w:pPr>
              <w:spacing w:before="0" w:after="0" w:line="240" w:lineRule="auto"/>
              <w:rPr>
                <w:rFonts w:cstheme="minorHAnsi"/>
                <w:szCs w:val="24"/>
              </w:rPr>
            </w:pPr>
            <w:r w:rsidRPr="003755A8">
              <w:rPr>
                <w:rFonts w:cstheme="minorHAnsi"/>
                <w:szCs w:val="24"/>
                <w:highlight w:val="yellow"/>
              </w:rPr>
              <w:t>x</w:t>
            </w:r>
          </w:p>
        </w:tc>
        <w:tc>
          <w:tcPr>
            <w:tcW w:w="1475" w:type="dxa"/>
            <w:gridSpan w:val="2"/>
            <w:tcBorders>
              <w:top w:val="single" w:sz="6" w:space="0" w:color="auto"/>
              <w:bottom w:val="single" w:sz="12" w:space="0" w:color="auto"/>
            </w:tcBorders>
            <w:shd w:val="clear" w:color="auto" w:fill="auto"/>
            <w:vAlign w:val="center"/>
          </w:tcPr>
          <w:p w:rsidR="00DF6DAB" w:rsidRPr="003755A8" w:rsidRDefault="00DF6DAB" w:rsidP="009C3C48">
            <w:pPr>
              <w:spacing w:before="0" w:after="0" w:line="240" w:lineRule="auto"/>
              <w:rPr>
                <w:rFonts w:cstheme="minorHAnsi"/>
                <w:szCs w:val="24"/>
              </w:rPr>
            </w:pPr>
            <w:r w:rsidRPr="003755A8">
              <w:rPr>
                <w:rFonts w:cstheme="minorHAnsi"/>
                <w:szCs w:val="24"/>
              </w:rPr>
              <w:t>x</w:t>
            </w:r>
          </w:p>
        </w:tc>
      </w:tr>
    </w:tbl>
    <w:p w:rsidR="007D0034" w:rsidRDefault="00DF6DAB" w:rsidP="009C3C48">
      <w:pPr>
        <w:spacing w:before="0" w:after="0" w:line="240" w:lineRule="auto"/>
        <w:rPr>
          <w:rFonts w:cstheme="minorHAnsi"/>
          <w:szCs w:val="24"/>
        </w:rPr>
      </w:pPr>
      <w:r w:rsidRPr="003755A8">
        <w:rPr>
          <w:rFonts w:cstheme="minorHAnsi"/>
          <w:szCs w:val="24"/>
        </w:rPr>
        <w:t xml:space="preserve"> </w:t>
      </w:r>
    </w:p>
    <w:p w:rsidR="00DF6DAB" w:rsidRPr="003755A8" w:rsidRDefault="00DF6DAB" w:rsidP="009C3C48">
      <w:pPr>
        <w:spacing w:before="0" w:after="0" w:line="240" w:lineRule="auto"/>
        <w:rPr>
          <w:rFonts w:cstheme="minorHAnsi"/>
          <w:szCs w:val="24"/>
        </w:rPr>
      </w:pPr>
      <w:r w:rsidRPr="003755A8">
        <w:rPr>
          <w:rFonts w:cstheme="minorHAnsi"/>
          <w:szCs w:val="24"/>
        </w:rPr>
        <w:t xml:space="preserve"> Legenda:</w:t>
      </w:r>
    </w:p>
    <w:p w:rsidR="00DF6DAB" w:rsidRPr="003755A8" w:rsidRDefault="00DF6DAB" w:rsidP="009C3C48">
      <w:pPr>
        <w:spacing w:before="0" w:after="0" w:line="240" w:lineRule="auto"/>
        <w:rPr>
          <w:rFonts w:cstheme="minorHAnsi"/>
          <w:szCs w:val="24"/>
        </w:rPr>
      </w:pPr>
      <w:r w:rsidRPr="003755A8">
        <w:rPr>
          <w:rFonts w:cstheme="minorHAnsi"/>
          <w:szCs w:val="24"/>
        </w:rPr>
        <w:lastRenderedPageBreak/>
        <w:t xml:space="preserve">   </w:t>
      </w:r>
      <w:r w:rsidRPr="003755A8">
        <w:rPr>
          <w:rFonts w:cstheme="minorHAnsi"/>
          <w:szCs w:val="24"/>
          <w:highlight w:val="lightGray"/>
        </w:rPr>
        <w:t>x</w:t>
      </w:r>
      <w:r w:rsidRPr="003755A8">
        <w:rPr>
          <w:rFonts w:cstheme="minorHAnsi"/>
          <w:szCs w:val="24"/>
        </w:rPr>
        <w:t xml:space="preserve">  Završeno u prethodnom periodu </w:t>
      </w:r>
    </w:p>
    <w:p w:rsidR="00DF6DAB" w:rsidRPr="003755A8" w:rsidRDefault="00DF6DAB" w:rsidP="009C3C48">
      <w:pPr>
        <w:spacing w:before="0" w:after="0" w:line="240" w:lineRule="auto"/>
        <w:rPr>
          <w:rFonts w:cstheme="minorHAnsi"/>
          <w:szCs w:val="24"/>
        </w:rPr>
      </w:pPr>
      <w:r w:rsidRPr="003755A8">
        <w:rPr>
          <w:rFonts w:cstheme="minorHAnsi"/>
          <w:szCs w:val="24"/>
        </w:rPr>
        <w:t xml:space="preserve">   </w:t>
      </w:r>
      <w:r w:rsidRPr="003755A8">
        <w:rPr>
          <w:rFonts w:cstheme="minorHAnsi"/>
          <w:szCs w:val="24"/>
          <w:highlight w:val="yellow"/>
        </w:rPr>
        <w:t>x</w:t>
      </w:r>
      <w:r w:rsidRPr="003755A8">
        <w:rPr>
          <w:rFonts w:cstheme="minorHAnsi"/>
          <w:szCs w:val="24"/>
        </w:rPr>
        <w:t xml:space="preserve">  Nastavak aktivnosti iz prethodnog perioda</w:t>
      </w:r>
    </w:p>
    <w:p w:rsidR="00DF6DAB" w:rsidRPr="003755A8" w:rsidRDefault="00DF6DAB" w:rsidP="009C3C48">
      <w:pPr>
        <w:spacing w:before="0" w:after="0" w:line="240" w:lineRule="auto"/>
        <w:rPr>
          <w:rFonts w:cstheme="minorHAnsi"/>
          <w:szCs w:val="24"/>
        </w:rPr>
      </w:pPr>
      <w:r w:rsidRPr="003755A8">
        <w:rPr>
          <w:rFonts w:cstheme="minorHAnsi"/>
          <w:szCs w:val="24"/>
        </w:rPr>
        <w:t xml:space="preserve">   </w:t>
      </w:r>
      <w:r w:rsidRPr="003755A8">
        <w:rPr>
          <w:rFonts w:cstheme="minorHAnsi"/>
          <w:szCs w:val="24"/>
          <w:highlight w:val="green"/>
        </w:rPr>
        <w:t>x</w:t>
      </w:r>
      <w:r w:rsidRPr="003755A8">
        <w:rPr>
          <w:rFonts w:cstheme="minorHAnsi"/>
          <w:szCs w:val="24"/>
        </w:rPr>
        <w:t xml:space="preserve">  Započete aktivnosti u toku 2020. godine</w:t>
      </w:r>
    </w:p>
    <w:p w:rsidR="00DF6DAB" w:rsidRPr="003755A8" w:rsidRDefault="00DF6DAB" w:rsidP="009C3C48">
      <w:pPr>
        <w:spacing w:before="0" w:after="0" w:line="240" w:lineRule="auto"/>
        <w:rPr>
          <w:rFonts w:cstheme="minorHAnsi"/>
          <w:szCs w:val="24"/>
        </w:rPr>
      </w:pPr>
      <w:r w:rsidRPr="003755A8">
        <w:rPr>
          <w:rFonts w:cstheme="minorHAnsi"/>
          <w:szCs w:val="24"/>
        </w:rPr>
        <w:t xml:space="preserve">   </w:t>
      </w:r>
      <w:r w:rsidRPr="003755A8">
        <w:rPr>
          <w:rFonts w:cstheme="minorHAnsi"/>
          <w:szCs w:val="24"/>
          <w:highlight w:val="magenta"/>
        </w:rPr>
        <w:t>x</w:t>
      </w:r>
      <w:r w:rsidRPr="003755A8">
        <w:rPr>
          <w:rFonts w:cstheme="minorHAnsi"/>
          <w:szCs w:val="24"/>
        </w:rPr>
        <w:t xml:space="preserve">  Završene aktivnosti u toku 2020. godine</w:t>
      </w:r>
    </w:p>
    <w:p w:rsidR="00DF6DAB" w:rsidRDefault="00D53D13" w:rsidP="00D53D13">
      <w:pPr>
        <w:spacing w:before="0" w:after="0" w:line="240" w:lineRule="auto"/>
        <w:rPr>
          <w:rFonts w:cstheme="minorHAnsi"/>
          <w:szCs w:val="24"/>
        </w:rPr>
      </w:pPr>
      <w:r>
        <w:rPr>
          <w:rFonts w:cstheme="minorHAnsi"/>
          <w:szCs w:val="24"/>
        </w:rPr>
        <w:t xml:space="preserve">   x  Planirane aktivnosti</w:t>
      </w:r>
    </w:p>
    <w:p w:rsidR="00D53D13" w:rsidRPr="00D53D13" w:rsidRDefault="00D53D13" w:rsidP="00D53D13">
      <w:pPr>
        <w:spacing w:before="0" w:after="0" w:line="240" w:lineRule="auto"/>
        <w:rPr>
          <w:rFonts w:cstheme="minorHAnsi"/>
          <w:szCs w:val="24"/>
        </w:rPr>
      </w:pPr>
    </w:p>
    <w:p w:rsidR="00DF6DAB" w:rsidRPr="001708B9" w:rsidRDefault="00DF6DAB" w:rsidP="00D53D13">
      <w:pPr>
        <w:spacing w:before="0" w:after="0" w:line="240" w:lineRule="auto"/>
        <w:rPr>
          <w:rFonts w:cstheme="minorHAnsi"/>
          <w:szCs w:val="24"/>
          <w:u w:val="single"/>
        </w:rPr>
      </w:pPr>
      <w:r w:rsidRPr="001708B9">
        <w:rPr>
          <w:rFonts w:cstheme="minorHAnsi"/>
          <w:szCs w:val="24"/>
          <w:u w:val="single"/>
        </w:rPr>
        <w:t>Opština Bijelo Polje</w:t>
      </w:r>
    </w:p>
    <w:p w:rsidR="00DF6DAB" w:rsidRPr="003755A8" w:rsidRDefault="00DF6DAB" w:rsidP="007D0034">
      <w:pPr>
        <w:spacing w:after="0" w:line="240" w:lineRule="auto"/>
        <w:ind w:firstLine="709"/>
        <w:rPr>
          <w:rFonts w:cstheme="minorHAnsi"/>
          <w:szCs w:val="24"/>
        </w:rPr>
      </w:pPr>
      <w:bookmarkStart w:id="154" w:name="OLE_LINK140"/>
      <w:bookmarkStart w:id="155" w:name="OLE_LINK141"/>
      <w:bookmarkStart w:id="156" w:name="OLE_LINK110"/>
      <w:bookmarkStart w:id="157" w:name="OLE_LINK111"/>
      <w:r w:rsidRPr="003755A8">
        <w:rPr>
          <w:rFonts w:cstheme="minorHAnsi"/>
          <w:szCs w:val="24"/>
        </w:rPr>
        <w:t>Na teritoriji Opštine Bijelo Polje, u okviru nastavka realizacije Projekta osnivanja evidencije katastra nepokretnosti, rađeni su sljedeći poslovi:</w:t>
      </w:r>
      <w:bookmarkEnd w:id="154"/>
      <w:bookmarkEnd w:id="155"/>
    </w:p>
    <w:p w:rsidR="00DF6DAB" w:rsidRPr="003755A8" w:rsidRDefault="001708B9" w:rsidP="00D53D13">
      <w:pPr>
        <w:spacing w:before="0" w:after="0" w:line="240" w:lineRule="auto"/>
        <w:rPr>
          <w:rFonts w:cstheme="minorHAnsi"/>
          <w:szCs w:val="24"/>
        </w:rPr>
      </w:pPr>
      <w:r>
        <w:rPr>
          <w:rFonts w:cstheme="minorHAnsi"/>
          <w:szCs w:val="24"/>
        </w:rPr>
        <w:t xml:space="preserve"> - </w:t>
      </w:r>
      <w:r w:rsidR="00DF6DAB" w:rsidRPr="003755A8">
        <w:rPr>
          <w:rFonts w:cstheme="minorHAnsi"/>
          <w:szCs w:val="24"/>
        </w:rPr>
        <w:t>izlaganje podataka;</w:t>
      </w:r>
    </w:p>
    <w:p w:rsidR="00DF6DAB" w:rsidRPr="003755A8" w:rsidRDefault="001708B9" w:rsidP="00D53D13">
      <w:pPr>
        <w:spacing w:before="0" w:after="0" w:line="240" w:lineRule="auto"/>
        <w:rPr>
          <w:rFonts w:cstheme="minorHAnsi"/>
          <w:szCs w:val="24"/>
        </w:rPr>
      </w:pPr>
      <w:r>
        <w:rPr>
          <w:rFonts w:cstheme="minorHAnsi"/>
          <w:szCs w:val="24"/>
        </w:rPr>
        <w:t xml:space="preserve"> - </w:t>
      </w:r>
      <w:r w:rsidR="00DF6DAB" w:rsidRPr="003755A8">
        <w:rPr>
          <w:rFonts w:cstheme="minorHAnsi"/>
          <w:szCs w:val="24"/>
        </w:rPr>
        <w:t>potvrđivanje baze podataka.</w:t>
      </w:r>
    </w:p>
    <w:p w:rsidR="00DF6DAB" w:rsidRPr="003755A8" w:rsidRDefault="00DF6DAB" w:rsidP="001708B9">
      <w:pPr>
        <w:spacing w:before="0" w:after="0" w:line="240" w:lineRule="auto"/>
        <w:ind w:firstLine="709"/>
        <w:rPr>
          <w:rFonts w:cstheme="minorHAnsi"/>
          <w:szCs w:val="24"/>
        </w:rPr>
      </w:pPr>
      <w:r w:rsidRPr="003755A8">
        <w:rPr>
          <w:rFonts w:cstheme="minorHAnsi"/>
          <w:szCs w:val="24"/>
        </w:rPr>
        <w:t>Za potrebe Izlaganja podataka za navedene katastarske opštine na teritoriji Opštine Bijelo Polje, angažovana jedna Komisija.</w:t>
      </w:r>
    </w:p>
    <w:bookmarkEnd w:id="156"/>
    <w:bookmarkEnd w:id="157"/>
    <w:p w:rsidR="00DF6DAB" w:rsidRPr="003755A8" w:rsidRDefault="00DF6DAB" w:rsidP="00D53D13">
      <w:pPr>
        <w:spacing w:before="0" w:after="0" w:line="240" w:lineRule="auto"/>
        <w:rPr>
          <w:rFonts w:cstheme="minorHAnsi"/>
          <w:szCs w:val="24"/>
        </w:rPr>
      </w:pPr>
    </w:p>
    <w:p w:rsidR="00DF6DAB" w:rsidRPr="003755A8" w:rsidRDefault="00DF6DAB" w:rsidP="001708B9">
      <w:pPr>
        <w:spacing w:before="0" w:after="0" w:line="240" w:lineRule="auto"/>
        <w:jc w:val="center"/>
        <w:rPr>
          <w:rFonts w:cstheme="minorHAnsi"/>
          <w:szCs w:val="24"/>
        </w:rPr>
      </w:pPr>
      <w:r w:rsidRPr="003755A8">
        <w:rPr>
          <w:rFonts w:cstheme="minorHAnsi"/>
          <w:szCs w:val="24"/>
        </w:rPr>
        <w:t>Tabela 2.4. Pregled izvršenih radova na osnivanju evidencije katastra nepokretnosti u okviru projekta za Opštinu Bijelo Polje</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firstRow="1" w:lastRow="0" w:firstColumn="1" w:lastColumn="0" w:noHBand="0" w:noVBand="1"/>
      </w:tblPr>
      <w:tblGrid>
        <w:gridCol w:w="1695"/>
        <w:gridCol w:w="1560"/>
        <w:gridCol w:w="1621"/>
        <w:gridCol w:w="1634"/>
        <w:gridCol w:w="1465"/>
        <w:gridCol w:w="10"/>
      </w:tblGrid>
      <w:tr w:rsidR="00DF6DAB" w:rsidRPr="003755A8" w:rsidTr="00DF6DAB">
        <w:trPr>
          <w:gridAfter w:val="1"/>
          <w:wAfter w:w="10" w:type="dxa"/>
          <w:trHeight w:val="404"/>
          <w:jc w:val="center"/>
        </w:trPr>
        <w:tc>
          <w:tcPr>
            <w:tcW w:w="7975" w:type="dxa"/>
            <w:gridSpan w:val="5"/>
            <w:tcBorders>
              <w:top w:val="single" w:sz="12" w:space="0" w:color="auto"/>
              <w:bottom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BIJELO POLJE</w:t>
            </w:r>
          </w:p>
        </w:tc>
      </w:tr>
      <w:tr w:rsidR="00DF6DAB" w:rsidRPr="003755A8" w:rsidTr="00DF6DAB">
        <w:trPr>
          <w:jc w:val="center"/>
        </w:trPr>
        <w:tc>
          <w:tcPr>
            <w:tcW w:w="1695" w:type="dxa"/>
            <w:tcBorders>
              <w:top w:val="single" w:sz="12" w:space="0" w:color="auto"/>
              <w:bottom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Naziv KO</w:t>
            </w:r>
          </w:p>
        </w:tc>
        <w:tc>
          <w:tcPr>
            <w:tcW w:w="1560" w:type="dxa"/>
            <w:tcBorders>
              <w:top w:val="single" w:sz="12" w:space="0" w:color="auto"/>
              <w:bottom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Prikupljanje podataka</w:t>
            </w:r>
          </w:p>
        </w:tc>
        <w:tc>
          <w:tcPr>
            <w:tcW w:w="1621" w:type="dxa"/>
            <w:tcBorders>
              <w:top w:val="single" w:sz="12" w:space="0" w:color="auto"/>
              <w:bottom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Izrada privremene baze podataka</w:t>
            </w:r>
          </w:p>
        </w:tc>
        <w:tc>
          <w:tcPr>
            <w:tcW w:w="1634" w:type="dxa"/>
            <w:tcBorders>
              <w:top w:val="single" w:sz="12" w:space="0" w:color="auto"/>
              <w:bottom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Izlaganje podataka</w:t>
            </w:r>
          </w:p>
        </w:tc>
        <w:tc>
          <w:tcPr>
            <w:tcW w:w="1475" w:type="dxa"/>
            <w:gridSpan w:val="2"/>
            <w:tcBorders>
              <w:top w:val="single" w:sz="12" w:space="0" w:color="auto"/>
              <w:bottom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Potvrđivanje baze podataka</w:t>
            </w:r>
          </w:p>
        </w:tc>
      </w:tr>
      <w:tr w:rsidR="00DF6DAB" w:rsidRPr="003755A8" w:rsidTr="00DF6DAB">
        <w:trPr>
          <w:jc w:val="center"/>
        </w:trPr>
        <w:tc>
          <w:tcPr>
            <w:tcW w:w="1695" w:type="dxa"/>
            <w:tcBorders>
              <w:top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BOLJANINA</w:t>
            </w:r>
          </w:p>
        </w:tc>
        <w:tc>
          <w:tcPr>
            <w:tcW w:w="1560" w:type="dxa"/>
            <w:tcBorders>
              <w:top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highlight w:val="lightGray"/>
              </w:rPr>
              <w:t>x</w:t>
            </w:r>
          </w:p>
        </w:tc>
        <w:tc>
          <w:tcPr>
            <w:tcW w:w="1621" w:type="dxa"/>
            <w:tcBorders>
              <w:top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highlight w:val="lightGray"/>
              </w:rPr>
              <w:t>x</w:t>
            </w:r>
          </w:p>
        </w:tc>
        <w:tc>
          <w:tcPr>
            <w:tcW w:w="1634" w:type="dxa"/>
            <w:tcBorders>
              <w:top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highlight w:val="yellow"/>
              </w:rPr>
            </w:pPr>
            <w:r w:rsidRPr="003755A8">
              <w:rPr>
                <w:rFonts w:cstheme="minorHAnsi"/>
                <w:szCs w:val="24"/>
                <w:highlight w:val="yellow"/>
              </w:rPr>
              <w:t>x</w:t>
            </w:r>
          </w:p>
        </w:tc>
        <w:tc>
          <w:tcPr>
            <w:tcW w:w="1475" w:type="dxa"/>
            <w:gridSpan w:val="2"/>
            <w:tcBorders>
              <w:top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highlight w:val="magenta"/>
              </w:rPr>
              <w:t>x</w:t>
            </w:r>
          </w:p>
        </w:tc>
      </w:tr>
      <w:tr w:rsidR="00DF6DAB" w:rsidRPr="003755A8" w:rsidTr="00DF6DAB">
        <w:trPr>
          <w:jc w:val="center"/>
        </w:trPr>
        <w:tc>
          <w:tcPr>
            <w:tcW w:w="1695" w:type="dxa"/>
            <w:shd w:val="clear" w:color="auto" w:fill="auto"/>
            <w:vAlign w:val="bottom"/>
          </w:tcPr>
          <w:p w:rsidR="00DF6DAB" w:rsidRPr="003755A8" w:rsidRDefault="00DF6DAB" w:rsidP="00D53D13">
            <w:pPr>
              <w:spacing w:before="0" w:after="0" w:line="240" w:lineRule="auto"/>
              <w:rPr>
                <w:rFonts w:cstheme="minorHAnsi"/>
                <w:szCs w:val="24"/>
              </w:rPr>
            </w:pPr>
            <w:r w:rsidRPr="003755A8">
              <w:rPr>
                <w:rFonts w:cstheme="minorHAnsi"/>
                <w:szCs w:val="24"/>
              </w:rPr>
              <w:t>KOSTENICA</w:t>
            </w:r>
          </w:p>
        </w:tc>
        <w:tc>
          <w:tcPr>
            <w:tcW w:w="1560" w:type="dxa"/>
            <w:tcBorders>
              <w:bottom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highlight w:val="lightGray"/>
              </w:rPr>
              <w:t>x</w:t>
            </w:r>
          </w:p>
        </w:tc>
        <w:tc>
          <w:tcPr>
            <w:tcW w:w="1621" w:type="dxa"/>
            <w:tcBorders>
              <w:bottom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highlight w:val="lightGray"/>
              </w:rPr>
              <w:t>x</w:t>
            </w:r>
          </w:p>
        </w:tc>
        <w:tc>
          <w:tcPr>
            <w:tcW w:w="1634" w:type="dxa"/>
            <w:tcBorders>
              <w:bottom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highlight w:val="yellow"/>
              </w:rPr>
            </w:pPr>
            <w:r w:rsidRPr="003755A8">
              <w:rPr>
                <w:rFonts w:cstheme="minorHAnsi"/>
                <w:szCs w:val="24"/>
                <w:highlight w:val="yellow"/>
              </w:rPr>
              <w:t>x</w:t>
            </w:r>
          </w:p>
        </w:tc>
        <w:tc>
          <w:tcPr>
            <w:tcW w:w="1475" w:type="dxa"/>
            <w:gridSpan w:val="2"/>
            <w:tcBorders>
              <w:bottom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highlight w:val="magenta"/>
              </w:rPr>
              <w:t>x</w:t>
            </w:r>
          </w:p>
        </w:tc>
      </w:tr>
    </w:tbl>
    <w:p w:rsidR="007D0034" w:rsidRDefault="001708B9" w:rsidP="00D53D13">
      <w:pPr>
        <w:spacing w:before="0" w:after="0" w:line="240" w:lineRule="auto"/>
        <w:rPr>
          <w:rFonts w:cstheme="minorHAnsi"/>
          <w:szCs w:val="24"/>
        </w:rPr>
      </w:pPr>
      <w:r>
        <w:rPr>
          <w:rFonts w:cstheme="minorHAnsi"/>
          <w:szCs w:val="24"/>
        </w:rPr>
        <w:t xml:space="preserve"> </w:t>
      </w:r>
    </w:p>
    <w:p w:rsidR="00DF6DAB" w:rsidRPr="003755A8" w:rsidRDefault="001708B9" w:rsidP="00D53D13">
      <w:pPr>
        <w:spacing w:before="0" w:after="0" w:line="240" w:lineRule="auto"/>
        <w:rPr>
          <w:rFonts w:cstheme="minorHAnsi"/>
          <w:szCs w:val="24"/>
        </w:rPr>
      </w:pPr>
      <w:r>
        <w:rPr>
          <w:rFonts w:cstheme="minorHAnsi"/>
          <w:szCs w:val="24"/>
        </w:rPr>
        <w:t xml:space="preserve"> </w:t>
      </w:r>
      <w:r w:rsidR="00DF6DAB" w:rsidRPr="003755A8">
        <w:rPr>
          <w:rFonts w:cstheme="minorHAnsi"/>
          <w:szCs w:val="24"/>
        </w:rPr>
        <w:t>Legenda:</w:t>
      </w:r>
    </w:p>
    <w:p w:rsidR="00DF6DAB" w:rsidRPr="003755A8" w:rsidRDefault="00DF6DAB" w:rsidP="00D53D13">
      <w:pPr>
        <w:spacing w:before="0" w:after="0" w:line="240" w:lineRule="auto"/>
        <w:rPr>
          <w:rFonts w:cstheme="minorHAnsi"/>
          <w:szCs w:val="24"/>
        </w:rPr>
      </w:pPr>
      <w:r w:rsidRPr="003755A8">
        <w:rPr>
          <w:rFonts w:cstheme="minorHAnsi"/>
          <w:szCs w:val="24"/>
        </w:rPr>
        <w:t xml:space="preserve">   </w:t>
      </w:r>
      <w:r w:rsidRPr="003755A8">
        <w:rPr>
          <w:rFonts w:cstheme="minorHAnsi"/>
          <w:szCs w:val="24"/>
          <w:highlight w:val="lightGray"/>
        </w:rPr>
        <w:t>x</w:t>
      </w:r>
      <w:r w:rsidRPr="003755A8">
        <w:rPr>
          <w:rFonts w:cstheme="minorHAnsi"/>
          <w:szCs w:val="24"/>
        </w:rPr>
        <w:t xml:space="preserve">  Završeno u prethodnom periodu </w:t>
      </w:r>
    </w:p>
    <w:p w:rsidR="00DF6DAB" w:rsidRPr="003755A8" w:rsidRDefault="00DF6DAB" w:rsidP="00D53D13">
      <w:pPr>
        <w:spacing w:before="0" w:after="0" w:line="240" w:lineRule="auto"/>
        <w:rPr>
          <w:rFonts w:cstheme="minorHAnsi"/>
          <w:szCs w:val="24"/>
        </w:rPr>
      </w:pPr>
      <w:r w:rsidRPr="003755A8">
        <w:rPr>
          <w:rFonts w:cstheme="minorHAnsi"/>
          <w:szCs w:val="24"/>
        </w:rPr>
        <w:t xml:space="preserve">   </w:t>
      </w:r>
      <w:r w:rsidRPr="003755A8">
        <w:rPr>
          <w:rFonts w:cstheme="minorHAnsi"/>
          <w:szCs w:val="24"/>
          <w:highlight w:val="yellow"/>
        </w:rPr>
        <w:t>x</w:t>
      </w:r>
      <w:r w:rsidRPr="003755A8">
        <w:rPr>
          <w:rFonts w:cstheme="minorHAnsi"/>
          <w:szCs w:val="24"/>
        </w:rPr>
        <w:t xml:space="preserve">  Nastavak aktivnosti iz prethodnog perioda</w:t>
      </w:r>
    </w:p>
    <w:p w:rsidR="00DF6DAB" w:rsidRPr="003755A8" w:rsidRDefault="00DF6DAB" w:rsidP="00D53D13">
      <w:pPr>
        <w:spacing w:before="0" w:after="0" w:line="240" w:lineRule="auto"/>
        <w:rPr>
          <w:rFonts w:cstheme="minorHAnsi"/>
          <w:szCs w:val="24"/>
        </w:rPr>
      </w:pPr>
      <w:r w:rsidRPr="003755A8">
        <w:rPr>
          <w:rFonts w:cstheme="minorHAnsi"/>
          <w:szCs w:val="24"/>
        </w:rPr>
        <w:t xml:space="preserve">   </w:t>
      </w:r>
      <w:r w:rsidRPr="003755A8">
        <w:rPr>
          <w:rFonts w:cstheme="minorHAnsi"/>
          <w:szCs w:val="24"/>
          <w:highlight w:val="green"/>
        </w:rPr>
        <w:t>x</w:t>
      </w:r>
      <w:r w:rsidRPr="003755A8">
        <w:rPr>
          <w:rFonts w:cstheme="minorHAnsi"/>
          <w:szCs w:val="24"/>
        </w:rPr>
        <w:t xml:space="preserve">  Započete aktivnosti u toku 2020. godine</w:t>
      </w:r>
    </w:p>
    <w:p w:rsidR="00DF6DAB" w:rsidRPr="003755A8" w:rsidRDefault="00DF6DAB" w:rsidP="00D53D13">
      <w:pPr>
        <w:spacing w:before="0" w:after="0" w:line="240" w:lineRule="auto"/>
        <w:rPr>
          <w:rFonts w:cstheme="minorHAnsi"/>
          <w:szCs w:val="24"/>
        </w:rPr>
      </w:pPr>
      <w:r w:rsidRPr="003755A8">
        <w:rPr>
          <w:rFonts w:cstheme="minorHAnsi"/>
          <w:szCs w:val="24"/>
        </w:rPr>
        <w:t xml:space="preserve">   </w:t>
      </w:r>
      <w:r w:rsidRPr="003755A8">
        <w:rPr>
          <w:rFonts w:cstheme="minorHAnsi"/>
          <w:szCs w:val="24"/>
          <w:highlight w:val="magenta"/>
        </w:rPr>
        <w:t>x</w:t>
      </w:r>
      <w:r w:rsidRPr="003755A8">
        <w:rPr>
          <w:rFonts w:cstheme="minorHAnsi"/>
          <w:szCs w:val="24"/>
        </w:rPr>
        <w:t xml:space="preserve">  Završene aktivnosti u toku 2020. godine</w:t>
      </w:r>
    </w:p>
    <w:p w:rsidR="00DF6DAB" w:rsidRPr="003755A8" w:rsidRDefault="00DF6DAB" w:rsidP="00D53D13">
      <w:pPr>
        <w:spacing w:before="0" w:after="0" w:line="240" w:lineRule="auto"/>
        <w:rPr>
          <w:rFonts w:cstheme="minorHAnsi"/>
          <w:szCs w:val="24"/>
        </w:rPr>
      </w:pPr>
      <w:r w:rsidRPr="003755A8">
        <w:rPr>
          <w:rFonts w:cstheme="minorHAnsi"/>
          <w:szCs w:val="24"/>
        </w:rPr>
        <w:t xml:space="preserve">   x  Planirane aktivnosti</w:t>
      </w:r>
    </w:p>
    <w:p w:rsidR="00DF6DAB" w:rsidRPr="003755A8" w:rsidRDefault="00DF6DAB" w:rsidP="00D53D13">
      <w:pPr>
        <w:spacing w:before="0" w:after="0" w:line="240" w:lineRule="auto"/>
        <w:rPr>
          <w:rFonts w:cstheme="minorHAnsi"/>
          <w:szCs w:val="24"/>
        </w:rPr>
      </w:pPr>
    </w:p>
    <w:p w:rsidR="00DF6DAB" w:rsidRPr="001708B9" w:rsidRDefault="00DF6DAB" w:rsidP="00D53D13">
      <w:pPr>
        <w:spacing w:before="0" w:after="0" w:line="240" w:lineRule="auto"/>
        <w:rPr>
          <w:rFonts w:cstheme="minorHAnsi"/>
          <w:szCs w:val="24"/>
          <w:u w:val="single"/>
        </w:rPr>
      </w:pPr>
      <w:r w:rsidRPr="001708B9">
        <w:rPr>
          <w:rFonts w:cstheme="minorHAnsi"/>
          <w:szCs w:val="24"/>
          <w:u w:val="single"/>
        </w:rPr>
        <w:t>Opština Nikšić</w:t>
      </w:r>
    </w:p>
    <w:p w:rsidR="00DF6DAB" w:rsidRPr="003755A8" w:rsidRDefault="00DF6DAB" w:rsidP="006A3C0E">
      <w:pPr>
        <w:spacing w:after="0" w:line="240" w:lineRule="auto"/>
        <w:ind w:firstLine="709"/>
        <w:rPr>
          <w:rFonts w:cstheme="minorHAnsi"/>
          <w:szCs w:val="24"/>
        </w:rPr>
      </w:pPr>
      <w:r w:rsidRPr="003755A8">
        <w:rPr>
          <w:rFonts w:cstheme="minorHAnsi"/>
          <w:szCs w:val="24"/>
        </w:rPr>
        <w:t>Na teritoriji Opštine Nikšić, u okviru nastavka realizacije Projekta osnivanja evidencije katastra nepokretnosti, rađeni su sljedeći poslovi:</w:t>
      </w:r>
    </w:p>
    <w:p w:rsidR="00DF6DAB" w:rsidRPr="003755A8" w:rsidRDefault="001708B9" w:rsidP="00D53D13">
      <w:pPr>
        <w:spacing w:before="0" w:after="0" w:line="240" w:lineRule="auto"/>
        <w:rPr>
          <w:rFonts w:cstheme="minorHAnsi"/>
          <w:szCs w:val="24"/>
        </w:rPr>
      </w:pPr>
      <w:r>
        <w:rPr>
          <w:rFonts w:cstheme="minorHAnsi"/>
          <w:szCs w:val="24"/>
        </w:rPr>
        <w:t xml:space="preserve"> - </w:t>
      </w:r>
      <w:r w:rsidR="00DF6DAB" w:rsidRPr="003755A8">
        <w:rPr>
          <w:rFonts w:cstheme="minorHAnsi"/>
          <w:szCs w:val="24"/>
        </w:rPr>
        <w:t>izlaganje podataka;</w:t>
      </w:r>
    </w:p>
    <w:p w:rsidR="00DF6DAB" w:rsidRPr="003755A8" w:rsidRDefault="001708B9" w:rsidP="00D53D13">
      <w:pPr>
        <w:spacing w:before="0" w:after="0" w:line="240" w:lineRule="auto"/>
        <w:rPr>
          <w:rFonts w:cstheme="minorHAnsi"/>
          <w:szCs w:val="24"/>
        </w:rPr>
      </w:pPr>
      <w:r>
        <w:rPr>
          <w:rFonts w:cstheme="minorHAnsi"/>
          <w:szCs w:val="24"/>
        </w:rPr>
        <w:t xml:space="preserve"> - </w:t>
      </w:r>
      <w:r w:rsidR="00DF6DAB" w:rsidRPr="003755A8">
        <w:rPr>
          <w:rFonts w:cstheme="minorHAnsi"/>
          <w:szCs w:val="24"/>
        </w:rPr>
        <w:t>potvrđivanje baze podataka.</w:t>
      </w:r>
    </w:p>
    <w:p w:rsidR="00DF6DAB" w:rsidRPr="003755A8" w:rsidRDefault="00DF6DAB" w:rsidP="001708B9">
      <w:pPr>
        <w:spacing w:before="0" w:after="0" w:line="240" w:lineRule="auto"/>
        <w:ind w:firstLine="709"/>
        <w:rPr>
          <w:rFonts w:cstheme="minorHAnsi"/>
          <w:szCs w:val="24"/>
        </w:rPr>
      </w:pPr>
      <w:r w:rsidRPr="003755A8">
        <w:rPr>
          <w:rFonts w:cstheme="minorHAnsi"/>
          <w:szCs w:val="24"/>
        </w:rPr>
        <w:t>Za potrebe Izlaganja podataka za navedene katastarske opštine na teritoriji Opštine Nikšić, angažovane dvije Komisije.</w:t>
      </w:r>
    </w:p>
    <w:p w:rsidR="00DF6DAB" w:rsidRPr="003755A8" w:rsidRDefault="00DF6DAB" w:rsidP="00D53D13">
      <w:pPr>
        <w:spacing w:before="0" w:after="0" w:line="240" w:lineRule="auto"/>
        <w:rPr>
          <w:rFonts w:cstheme="minorHAnsi"/>
          <w:szCs w:val="24"/>
        </w:rPr>
      </w:pPr>
    </w:p>
    <w:p w:rsidR="00DF6DAB" w:rsidRPr="003755A8" w:rsidRDefault="00DF6DAB" w:rsidP="001708B9">
      <w:pPr>
        <w:spacing w:before="0" w:after="0" w:line="240" w:lineRule="auto"/>
        <w:jc w:val="center"/>
        <w:rPr>
          <w:rFonts w:cstheme="minorHAnsi"/>
          <w:szCs w:val="24"/>
        </w:rPr>
      </w:pPr>
      <w:r w:rsidRPr="003755A8">
        <w:rPr>
          <w:rFonts w:cstheme="minorHAnsi"/>
          <w:szCs w:val="24"/>
        </w:rPr>
        <w:t>Tabela 2.6. Pregled izvršenih radova na osnivanju evidencije katastra nepokretnosti u okviru projekta za Opštinu Nikšić</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95"/>
        <w:gridCol w:w="1534"/>
        <w:gridCol w:w="1521"/>
        <w:gridCol w:w="1474"/>
        <w:gridCol w:w="1499"/>
      </w:tblGrid>
      <w:tr w:rsidR="00DF6DAB" w:rsidRPr="003755A8" w:rsidTr="00DF6DAB">
        <w:trPr>
          <w:trHeight w:val="404"/>
          <w:jc w:val="center"/>
        </w:trPr>
        <w:tc>
          <w:tcPr>
            <w:tcW w:w="8023" w:type="dxa"/>
            <w:gridSpan w:val="5"/>
            <w:tcBorders>
              <w:top w:val="single" w:sz="12" w:space="0" w:color="auto"/>
              <w:left w:val="single" w:sz="12" w:space="0" w:color="auto"/>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NIKŠIĆ</w:t>
            </w:r>
          </w:p>
        </w:tc>
      </w:tr>
      <w:tr w:rsidR="00DF6DAB" w:rsidRPr="003755A8" w:rsidTr="00DF6DAB">
        <w:trPr>
          <w:jc w:val="center"/>
        </w:trPr>
        <w:tc>
          <w:tcPr>
            <w:tcW w:w="1995" w:type="dxa"/>
            <w:tcBorders>
              <w:top w:val="single" w:sz="12" w:space="0" w:color="auto"/>
              <w:left w:val="single" w:sz="12" w:space="0" w:color="auto"/>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Naziv KO</w:t>
            </w:r>
          </w:p>
        </w:tc>
        <w:tc>
          <w:tcPr>
            <w:tcW w:w="1534" w:type="dxa"/>
            <w:tcBorders>
              <w:top w:val="single" w:sz="12" w:space="0" w:color="auto"/>
              <w:left w:val="single" w:sz="12" w:space="0" w:color="auto"/>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Prikupljanje podataka</w:t>
            </w:r>
          </w:p>
        </w:tc>
        <w:tc>
          <w:tcPr>
            <w:tcW w:w="1521" w:type="dxa"/>
            <w:tcBorders>
              <w:top w:val="single" w:sz="12" w:space="0" w:color="auto"/>
              <w:left w:val="single" w:sz="12" w:space="0" w:color="auto"/>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Izrada privremene baze podataka</w:t>
            </w:r>
          </w:p>
        </w:tc>
        <w:tc>
          <w:tcPr>
            <w:tcW w:w="1474" w:type="dxa"/>
            <w:tcBorders>
              <w:top w:val="single" w:sz="12" w:space="0" w:color="auto"/>
              <w:left w:val="single" w:sz="12" w:space="0" w:color="auto"/>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Izlaganje podataka</w:t>
            </w:r>
          </w:p>
        </w:tc>
        <w:tc>
          <w:tcPr>
            <w:tcW w:w="1499" w:type="dxa"/>
            <w:tcBorders>
              <w:top w:val="single" w:sz="12" w:space="0" w:color="auto"/>
              <w:left w:val="single" w:sz="12" w:space="0" w:color="auto"/>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Potvrđivanje baze podataka</w:t>
            </w:r>
          </w:p>
        </w:tc>
      </w:tr>
      <w:tr w:rsidR="00DF6DAB" w:rsidRPr="003755A8" w:rsidTr="00DF6DAB">
        <w:trPr>
          <w:jc w:val="center"/>
        </w:trPr>
        <w:tc>
          <w:tcPr>
            <w:tcW w:w="1995" w:type="dxa"/>
            <w:tcBorders>
              <w:left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GRAHOVO</w:t>
            </w:r>
          </w:p>
        </w:tc>
        <w:tc>
          <w:tcPr>
            <w:tcW w:w="1534" w:type="dxa"/>
            <w:tcBorders>
              <w:left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521" w:type="dxa"/>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474" w:type="dxa"/>
            <w:shd w:val="clear" w:color="auto" w:fill="FFFFFF"/>
            <w:vAlign w:val="center"/>
          </w:tcPr>
          <w:p w:rsidR="00DF6DAB" w:rsidRPr="003755A8" w:rsidRDefault="00DF6DAB" w:rsidP="00D53D13">
            <w:pPr>
              <w:spacing w:before="0" w:after="0" w:line="240" w:lineRule="auto"/>
              <w:rPr>
                <w:rFonts w:cstheme="minorHAnsi"/>
                <w:szCs w:val="24"/>
                <w:highlight w:val="yellow"/>
              </w:rPr>
            </w:pPr>
            <w:r w:rsidRPr="003755A8">
              <w:rPr>
                <w:rFonts w:cstheme="minorHAnsi"/>
                <w:szCs w:val="24"/>
                <w:highlight w:val="yellow"/>
              </w:rPr>
              <w:t>x</w:t>
            </w:r>
          </w:p>
        </w:tc>
        <w:tc>
          <w:tcPr>
            <w:tcW w:w="1499" w:type="dxa"/>
            <w:tcBorders>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highlight w:val="magenta"/>
              </w:rPr>
              <w:t>x</w:t>
            </w:r>
          </w:p>
        </w:tc>
      </w:tr>
    </w:tbl>
    <w:p w:rsidR="007D0034" w:rsidRDefault="001708B9" w:rsidP="00D53D13">
      <w:pPr>
        <w:spacing w:before="0" w:after="0" w:line="240" w:lineRule="auto"/>
        <w:rPr>
          <w:rFonts w:cstheme="minorHAnsi"/>
          <w:szCs w:val="24"/>
        </w:rPr>
      </w:pPr>
      <w:r>
        <w:rPr>
          <w:rFonts w:cstheme="minorHAnsi"/>
          <w:szCs w:val="24"/>
        </w:rPr>
        <w:lastRenderedPageBreak/>
        <w:t xml:space="preserve"> </w:t>
      </w:r>
    </w:p>
    <w:p w:rsidR="00DF6DAB" w:rsidRPr="003755A8" w:rsidRDefault="00DF6DAB" w:rsidP="00D53D13">
      <w:pPr>
        <w:spacing w:before="0" w:after="0" w:line="240" w:lineRule="auto"/>
        <w:rPr>
          <w:rFonts w:cstheme="minorHAnsi"/>
          <w:szCs w:val="24"/>
        </w:rPr>
      </w:pPr>
      <w:r w:rsidRPr="003755A8">
        <w:rPr>
          <w:rFonts w:cstheme="minorHAnsi"/>
          <w:szCs w:val="24"/>
        </w:rPr>
        <w:t>Legenda:</w:t>
      </w:r>
    </w:p>
    <w:p w:rsidR="00DF6DAB" w:rsidRPr="003755A8" w:rsidRDefault="00DF6DAB" w:rsidP="00D53D13">
      <w:pPr>
        <w:spacing w:before="0" w:after="0" w:line="240" w:lineRule="auto"/>
        <w:rPr>
          <w:rFonts w:cstheme="minorHAnsi"/>
          <w:szCs w:val="24"/>
        </w:rPr>
      </w:pPr>
      <w:r w:rsidRPr="003755A8">
        <w:rPr>
          <w:rFonts w:cstheme="minorHAnsi"/>
          <w:szCs w:val="24"/>
        </w:rPr>
        <w:t xml:space="preserve">   </w:t>
      </w:r>
      <w:r w:rsidRPr="003755A8">
        <w:rPr>
          <w:rFonts w:cstheme="minorHAnsi"/>
          <w:szCs w:val="24"/>
          <w:highlight w:val="lightGray"/>
        </w:rPr>
        <w:t>x</w:t>
      </w:r>
      <w:r w:rsidRPr="003755A8">
        <w:rPr>
          <w:rFonts w:cstheme="minorHAnsi"/>
          <w:szCs w:val="24"/>
        </w:rPr>
        <w:t xml:space="preserve">  Završeno u prethodnom periodu </w:t>
      </w:r>
    </w:p>
    <w:p w:rsidR="00DF6DAB" w:rsidRPr="003755A8" w:rsidRDefault="00DF6DAB" w:rsidP="00D53D13">
      <w:pPr>
        <w:spacing w:before="0" w:after="0" w:line="240" w:lineRule="auto"/>
        <w:rPr>
          <w:rFonts w:cstheme="minorHAnsi"/>
          <w:szCs w:val="24"/>
        </w:rPr>
      </w:pPr>
      <w:r w:rsidRPr="003755A8">
        <w:rPr>
          <w:rFonts w:cstheme="minorHAnsi"/>
          <w:szCs w:val="24"/>
        </w:rPr>
        <w:t xml:space="preserve">   </w:t>
      </w:r>
      <w:r w:rsidRPr="003755A8">
        <w:rPr>
          <w:rFonts w:cstheme="minorHAnsi"/>
          <w:szCs w:val="24"/>
          <w:highlight w:val="yellow"/>
        </w:rPr>
        <w:t>x</w:t>
      </w:r>
      <w:r w:rsidRPr="003755A8">
        <w:rPr>
          <w:rFonts w:cstheme="minorHAnsi"/>
          <w:szCs w:val="24"/>
        </w:rPr>
        <w:t xml:space="preserve">  Nastavak aktivnosti iz prethodnog perioda</w:t>
      </w:r>
    </w:p>
    <w:p w:rsidR="00DF6DAB" w:rsidRPr="003755A8" w:rsidRDefault="00DF6DAB" w:rsidP="00D53D13">
      <w:pPr>
        <w:spacing w:before="0" w:after="0" w:line="240" w:lineRule="auto"/>
        <w:rPr>
          <w:rFonts w:cstheme="minorHAnsi"/>
          <w:szCs w:val="24"/>
        </w:rPr>
      </w:pPr>
      <w:r w:rsidRPr="003755A8">
        <w:rPr>
          <w:rFonts w:cstheme="minorHAnsi"/>
          <w:szCs w:val="24"/>
        </w:rPr>
        <w:t xml:space="preserve">   </w:t>
      </w:r>
      <w:r w:rsidRPr="003755A8">
        <w:rPr>
          <w:rFonts w:cstheme="minorHAnsi"/>
          <w:szCs w:val="24"/>
          <w:highlight w:val="green"/>
        </w:rPr>
        <w:t>x</w:t>
      </w:r>
      <w:r w:rsidRPr="003755A8">
        <w:rPr>
          <w:rFonts w:cstheme="minorHAnsi"/>
          <w:szCs w:val="24"/>
        </w:rPr>
        <w:t xml:space="preserve">  Započete aktivnosti u toku 2020. godine</w:t>
      </w:r>
    </w:p>
    <w:p w:rsidR="00DF6DAB" w:rsidRPr="003755A8" w:rsidRDefault="00DF6DAB" w:rsidP="00D53D13">
      <w:pPr>
        <w:spacing w:before="0" w:after="0" w:line="240" w:lineRule="auto"/>
        <w:rPr>
          <w:rFonts w:cstheme="minorHAnsi"/>
          <w:szCs w:val="24"/>
        </w:rPr>
      </w:pPr>
      <w:r w:rsidRPr="003755A8">
        <w:rPr>
          <w:rFonts w:cstheme="minorHAnsi"/>
          <w:szCs w:val="24"/>
        </w:rPr>
        <w:t xml:space="preserve">   </w:t>
      </w:r>
      <w:r w:rsidRPr="003755A8">
        <w:rPr>
          <w:rFonts w:cstheme="minorHAnsi"/>
          <w:szCs w:val="24"/>
          <w:highlight w:val="magenta"/>
        </w:rPr>
        <w:t>x</w:t>
      </w:r>
      <w:r w:rsidRPr="003755A8">
        <w:rPr>
          <w:rFonts w:cstheme="minorHAnsi"/>
          <w:szCs w:val="24"/>
        </w:rPr>
        <w:t xml:space="preserve">  Završene aktivnosti u toku 2020. godine</w:t>
      </w:r>
    </w:p>
    <w:p w:rsidR="00DF6DAB" w:rsidRPr="003755A8" w:rsidRDefault="00DF6DAB" w:rsidP="00D53D13">
      <w:pPr>
        <w:spacing w:before="0" w:after="0" w:line="240" w:lineRule="auto"/>
        <w:rPr>
          <w:rFonts w:cstheme="minorHAnsi"/>
          <w:szCs w:val="24"/>
        </w:rPr>
      </w:pPr>
      <w:r w:rsidRPr="003755A8">
        <w:rPr>
          <w:rFonts w:cstheme="minorHAnsi"/>
          <w:szCs w:val="24"/>
        </w:rPr>
        <w:t xml:space="preserve">   x  Planirane aktivnosti</w:t>
      </w:r>
    </w:p>
    <w:p w:rsidR="00DF6DAB" w:rsidRPr="003755A8" w:rsidRDefault="00DF6DAB" w:rsidP="00D53D13">
      <w:pPr>
        <w:spacing w:before="0" w:after="0" w:line="240" w:lineRule="auto"/>
        <w:rPr>
          <w:rFonts w:cstheme="minorHAnsi"/>
          <w:szCs w:val="24"/>
        </w:rPr>
      </w:pPr>
    </w:p>
    <w:p w:rsidR="00DF6DAB" w:rsidRPr="001708B9" w:rsidRDefault="00DF6DAB" w:rsidP="00D53D13">
      <w:pPr>
        <w:spacing w:before="0" w:after="0" w:line="240" w:lineRule="auto"/>
        <w:rPr>
          <w:rFonts w:cstheme="minorHAnsi"/>
          <w:szCs w:val="24"/>
          <w:u w:val="single"/>
        </w:rPr>
      </w:pPr>
      <w:r w:rsidRPr="001708B9">
        <w:rPr>
          <w:rFonts w:cstheme="minorHAnsi"/>
          <w:szCs w:val="24"/>
          <w:u w:val="single"/>
        </w:rPr>
        <w:t>Opština Petnjica</w:t>
      </w:r>
    </w:p>
    <w:p w:rsidR="00DF6DAB" w:rsidRPr="003755A8" w:rsidRDefault="00DF6DAB" w:rsidP="006A3C0E">
      <w:pPr>
        <w:spacing w:after="0" w:line="240" w:lineRule="auto"/>
        <w:ind w:firstLine="709"/>
        <w:rPr>
          <w:rFonts w:cstheme="minorHAnsi"/>
          <w:szCs w:val="24"/>
        </w:rPr>
      </w:pPr>
      <w:r w:rsidRPr="003755A8">
        <w:rPr>
          <w:rFonts w:cstheme="minorHAnsi"/>
          <w:szCs w:val="24"/>
        </w:rPr>
        <w:t>Na teritoriji Opština Petnjica, u okviru nastavka realizacije Projekta osnivanja evidencije katastra nepokretnosti, rađeni su sljedeći poslovi:</w:t>
      </w:r>
    </w:p>
    <w:p w:rsidR="00DF6DAB" w:rsidRPr="003755A8" w:rsidRDefault="001708B9" w:rsidP="00D53D13">
      <w:pPr>
        <w:spacing w:before="0" w:after="0" w:line="240" w:lineRule="auto"/>
        <w:rPr>
          <w:rFonts w:cstheme="minorHAnsi"/>
          <w:szCs w:val="24"/>
        </w:rPr>
      </w:pPr>
      <w:r>
        <w:rPr>
          <w:rFonts w:cstheme="minorHAnsi"/>
          <w:szCs w:val="24"/>
        </w:rPr>
        <w:t xml:space="preserve"> - </w:t>
      </w:r>
      <w:r w:rsidR="00DF6DAB" w:rsidRPr="003755A8">
        <w:rPr>
          <w:rFonts w:cstheme="minorHAnsi"/>
          <w:szCs w:val="24"/>
        </w:rPr>
        <w:t>izrada privremene baze podataka;</w:t>
      </w:r>
    </w:p>
    <w:p w:rsidR="00DF6DAB" w:rsidRPr="003755A8" w:rsidRDefault="001708B9" w:rsidP="00D53D13">
      <w:pPr>
        <w:spacing w:before="0" w:after="0" w:line="240" w:lineRule="auto"/>
        <w:rPr>
          <w:rFonts w:cstheme="minorHAnsi"/>
          <w:szCs w:val="24"/>
        </w:rPr>
      </w:pPr>
      <w:r>
        <w:rPr>
          <w:rFonts w:cstheme="minorHAnsi"/>
          <w:szCs w:val="24"/>
        </w:rPr>
        <w:t xml:space="preserve"> - </w:t>
      </w:r>
      <w:r w:rsidR="00DF6DAB" w:rsidRPr="003755A8">
        <w:rPr>
          <w:rFonts w:cstheme="minorHAnsi"/>
          <w:szCs w:val="24"/>
        </w:rPr>
        <w:t>izlaganje podataka;</w:t>
      </w:r>
    </w:p>
    <w:p w:rsidR="00DF6DAB" w:rsidRPr="003755A8" w:rsidRDefault="001708B9" w:rsidP="00D53D13">
      <w:pPr>
        <w:spacing w:before="0" w:after="0" w:line="240" w:lineRule="auto"/>
        <w:rPr>
          <w:rFonts w:cstheme="minorHAnsi"/>
          <w:szCs w:val="24"/>
        </w:rPr>
      </w:pPr>
      <w:r>
        <w:rPr>
          <w:rFonts w:cstheme="minorHAnsi"/>
          <w:szCs w:val="24"/>
        </w:rPr>
        <w:t xml:space="preserve"> - </w:t>
      </w:r>
      <w:r w:rsidR="00DF6DAB" w:rsidRPr="003755A8">
        <w:rPr>
          <w:rFonts w:cstheme="minorHAnsi"/>
          <w:szCs w:val="24"/>
        </w:rPr>
        <w:t>potvrđivanje baze podataka.</w:t>
      </w:r>
    </w:p>
    <w:p w:rsidR="00DF6DAB" w:rsidRPr="003755A8" w:rsidRDefault="00DF6DAB" w:rsidP="001708B9">
      <w:pPr>
        <w:spacing w:before="0" w:after="0" w:line="240" w:lineRule="auto"/>
        <w:ind w:firstLine="709"/>
        <w:rPr>
          <w:rFonts w:cstheme="minorHAnsi"/>
          <w:szCs w:val="24"/>
        </w:rPr>
      </w:pPr>
      <w:r w:rsidRPr="003755A8">
        <w:rPr>
          <w:rFonts w:cstheme="minorHAnsi"/>
          <w:szCs w:val="24"/>
        </w:rPr>
        <w:t>Za potrebe Izlaganja podataka za navedene katastarske opštine na teritoriji Opštine Petnjice, bile su angažovana jedna Komisije.</w:t>
      </w:r>
    </w:p>
    <w:p w:rsidR="00DF6DAB" w:rsidRPr="003755A8" w:rsidRDefault="00DF6DAB" w:rsidP="00D53D13">
      <w:pPr>
        <w:spacing w:before="0" w:after="0" w:line="240" w:lineRule="auto"/>
        <w:rPr>
          <w:rFonts w:cstheme="minorHAnsi"/>
          <w:szCs w:val="24"/>
        </w:rPr>
      </w:pPr>
    </w:p>
    <w:p w:rsidR="00DF6DAB" w:rsidRPr="003755A8" w:rsidRDefault="00DF6DAB" w:rsidP="001708B9">
      <w:pPr>
        <w:spacing w:before="0" w:after="0" w:line="240" w:lineRule="auto"/>
        <w:jc w:val="center"/>
        <w:rPr>
          <w:rFonts w:cstheme="minorHAnsi"/>
          <w:szCs w:val="24"/>
        </w:rPr>
      </w:pPr>
      <w:r w:rsidRPr="003755A8">
        <w:rPr>
          <w:rFonts w:cstheme="minorHAnsi"/>
          <w:szCs w:val="24"/>
        </w:rPr>
        <w:t>Tabela 2.7. Pregled izvršenih radova na osnivanju evidencije katastra nepokretnosti u okviru projekta za Opštinu Petnjica</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95"/>
        <w:gridCol w:w="1534"/>
        <w:gridCol w:w="1521"/>
        <w:gridCol w:w="1474"/>
        <w:gridCol w:w="1453"/>
      </w:tblGrid>
      <w:tr w:rsidR="00DF6DAB" w:rsidRPr="003755A8" w:rsidTr="00DF6DAB">
        <w:trPr>
          <w:trHeight w:val="404"/>
          <w:jc w:val="center"/>
        </w:trPr>
        <w:tc>
          <w:tcPr>
            <w:tcW w:w="7941" w:type="dxa"/>
            <w:gridSpan w:val="5"/>
            <w:tcBorders>
              <w:top w:val="single" w:sz="12" w:space="0" w:color="auto"/>
              <w:left w:val="single" w:sz="12" w:space="0" w:color="auto"/>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PETNJICA</w:t>
            </w:r>
          </w:p>
        </w:tc>
      </w:tr>
      <w:tr w:rsidR="00DF6DAB" w:rsidRPr="003755A8" w:rsidTr="00DF6DAB">
        <w:trPr>
          <w:jc w:val="center"/>
        </w:trPr>
        <w:tc>
          <w:tcPr>
            <w:tcW w:w="1995" w:type="dxa"/>
            <w:tcBorders>
              <w:top w:val="single" w:sz="12" w:space="0" w:color="auto"/>
              <w:left w:val="single" w:sz="12" w:space="0" w:color="auto"/>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Naziv KO</w:t>
            </w:r>
          </w:p>
        </w:tc>
        <w:tc>
          <w:tcPr>
            <w:tcW w:w="1534" w:type="dxa"/>
            <w:tcBorders>
              <w:top w:val="single" w:sz="12" w:space="0" w:color="auto"/>
              <w:left w:val="single" w:sz="12" w:space="0" w:color="auto"/>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Prikupljanje podataka</w:t>
            </w:r>
          </w:p>
        </w:tc>
        <w:tc>
          <w:tcPr>
            <w:tcW w:w="1521" w:type="dxa"/>
            <w:tcBorders>
              <w:top w:val="single" w:sz="12" w:space="0" w:color="auto"/>
              <w:left w:val="single" w:sz="12" w:space="0" w:color="auto"/>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Izrada privremene baze podataka</w:t>
            </w:r>
          </w:p>
        </w:tc>
        <w:tc>
          <w:tcPr>
            <w:tcW w:w="1474" w:type="dxa"/>
            <w:tcBorders>
              <w:top w:val="single" w:sz="12" w:space="0" w:color="auto"/>
              <w:left w:val="single" w:sz="12" w:space="0" w:color="auto"/>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Izlaganje podataka</w:t>
            </w: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Potvrđivanje baze podataka</w:t>
            </w:r>
          </w:p>
        </w:tc>
      </w:tr>
      <w:tr w:rsidR="00DF6DAB" w:rsidRPr="003755A8" w:rsidTr="00DF6DAB">
        <w:trPr>
          <w:jc w:val="center"/>
        </w:trPr>
        <w:tc>
          <w:tcPr>
            <w:tcW w:w="1995" w:type="dxa"/>
            <w:tcBorders>
              <w:top w:val="single" w:sz="12" w:space="0" w:color="auto"/>
              <w:left w:val="single" w:sz="12" w:space="0" w:color="auto"/>
              <w:right w:val="single" w:sz="12" w:space="0" w:color="auto"/>
            </w:tcBorders>
            <w:shd w:val="clear" w:color="auto" w:fill="auto"/>
            <w:vAlign w:val="bottom"/>
          </w:tcPr>
          <w:p w:rsidR="00DF6DAB" w:rsidRPr="003755A8" w:rsidRDefault="00DF6DAB" w:rsidP="00D53D13">
            <w:pPr>
              <w:spacing w:before="0" w:after="0" w:line="240" w:lineRule="auto"/>
              <w:rPr>
                <w:rFonts w:cstheme="minorHAnsi"/>
                <w:szCs w:val="24"/>
              </w:rPr>
            </w:pPr>
            <w:r w:rsidRPr="003755A8">
              <w:rPr>
                <w:rFonts w:cstheme="minorHAnsi"/>
                <w:szCs w:val="24"/>
              </w:rPr>
              <w:t>TRPEZI</w:t>
            </w:r>
          </w:p>
        </w:tc>
        <w:tc>
          <w:tcPr>
            <w:tcW w:w="1534" w:type="dxa"/>
            <w:tcBorders>
              <w:top w:val="single" w:sz="12" w:space="0" w:color="auto"/>
              <w:left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521" w:type="dxa"/>
            <w:tcBorders>
              <w:top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474" w:type="dxa"/>
            <w:tcBorders>
              <w:top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yellow"/>
              </w:rPr>
              <w:t>x</w:t>
            </w:r>
          </w:p>
        </w:tc>
        <w:tc>
          <w:tcPr>
            <w:tcW w:w="1417" w:type="dxa"/>
            <w:tcBorders>
              <w:top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r>
      <w:tr w:rsidR="00DF6DAB" w:rsidRPr="003755A8" w:rsidTr="00DF6DAB">
        <w:trPr>
          <w:jc w:val="center"/>
        </w:trPr>
        <w:tc>
          <w:tcPr>
            <w:tcW w:w="1995" w:type="dxa"/>
            <w:tcBorders>
              <w:left w:val="single" w:sz="12" w:space="0" w:color="auto"/>
              <w:right w:val="single" w:sz="12" w:space="0" w:color="auto"/>
            </w:tcBorders>
            <w:shd w:val="clear" w:color="auto" w:fill="auto"/>
            <w:vAlign w:val="bottom"/>
          </w:tcPr>
          <w:p w:rsidR="00DF6DAB" w:rsidRPr="003755A8" w:rsidRDefault="00DF6DAB" w:rsidP="00D53D13">
            <w:pPr>
              <w:spacing w:before="0" w:after="0" w:line="240" w:lineRule="auto"/>
              <w:rPr>
                <w:rFonts w:cstheme="minorHAnsi"/>
                <w:szCs w:val="24"/>
              </w:rPr>
            </w:pPr>
            <w:r w:rsidRPr="003755A8">
              <w:rPr>
                <w:rFonts w:cstheme="minorHAnsi"/>
                <w:szCs w:val="24"/>
              </w:rPr>
              <w:t>JAVOROVO</w:t>
            </w:r>
          </w:p>
        </w:tc>
        <w:tc>
          <w:tcPr>
            <w:tcW w:w="1534" w:type="dxa"/>
            <w:tcBorders>
              <w:left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521" w:type="dxa"/>
            <w:shd w:val="clear" w:color="auto" w:fill="FFFFFF"/>
            <w:vAlign w:val="center"/>
          </w:tcPr>
          <w:p w:rsidR="00DF6DAB" w:rsidRPr="003755A8" w:rsidRDefault="00DF6DAB" w:rsidP="00D53D13">
            <w:pPr>
              <w:spacing w:before="0" w:after="0" w:line="240" w:lineRule="auto"/>
              <w:rPr>
                <w:rFonts w:cstheme="minorHAnsi"/>
                <w:szCs w:val="24"/>
                <w:highlight w:val="green"/>
              </w:rPr>
            </w:pPr>
            <w:r w:rsidRPr="003755A8">
              <w:rPr>
                <w:rFonts w:cstheme="minorHAnsi"/>
                <w:szCs w:val="24"/>
                <w:highlight w:val="yellow"/>
              </w:rPr>
              <w:t>x</w:t>
            </w:r>
          </w:p>
        </w:tc>
        <w:tc>
          <w:tcPr>
            <w:tcW w:w="1474" w:type="dxa"/>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highlight w:val="yellow"/>
              </w:rPr>
              <w:t>x</w:t>
            </w:r>
          </w:p>
        </w:tc>
        <w:tc>
          <w:tcPr>
            <w:tcW w:w="1417" w:type="dxa"/>
            <w:tcBorders>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r>
      <w:tr w:rsidR="00DF6DAB" w:rsidRPr="003755A8" w:rsidTr="00DF6DAB">
        <w:trPr>
          <w:jc w:val="center"/>
        </w:trPr>
        <w:tc>
          <w:tcPr>
            <w:tcW w:w="1995" w:type="dxa"/>
            <w:tcBorders>
              <w:left w:val="single" w:sz="12" w:space="0" w:color="auto"/>
              <w:bottom w:val="single" w:sz="12" w:space="0" w:color="auto"/>
              <w:right w:val="single" w:sz="12" w:space="0" w:color="auto"/>
            </w:tcBorders>
            <w:shd w:val="clear" w:color="auto" w:fill="auto"/>
            <w:vAlign w:val="bottom"/>
          </w:tcPr>
          <w:p w:rsidR="00DF6DAB" w:rsidRPr="003755A8" w:rsidRDefault="00DF6DAB" w:rsidP="00D53D13">
            <w:pPr>
              <w:spacing w:before="0" w:after="0" w:line="240" w:lineRule="auto"/>
              <w:rPr>
                <w:rFonts w:cstheme="minorHAnsi"/>
                <w:szCs w:val="24"/>
              </w:rPr>
            </w:pPr>
            <w:r w:rsidRPr="003755A8">
              <w:rPr>
                <w:rFonts w:cstheme="minorHAnsi"/>
                <w:szCs w:val="24"/>
              </w:rPr>
              <w:t>SAVIN BOR</w:t>
            </w:r>
          </w:p>
        </w:tc>
        <w:tc>
          <w:tcPr>
            <w:tcW w:w="1534" w:type="dxa"/>
            <w:tcBorders>
              <w:left w:val="single" w:sz="12" w:space="0" w:color="auto"/>
              <w:bottom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521" w:type="dxa"/>
            <w:tcBorders>
              <w:bottom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green"/>
              </w:rPr>
            </w:pPr>
            <w:r w:rsidRPr="003755A8">
              <w:rPr>
                <w:rFonts w:cstheme="minorHAnsi"/>
                <w:szCs w:val="24"/>
                <w:highlight w:val="magenta"/>
              </w:rPr>
              <w:t>x</w:t>
            </w:r>
          </w:p>
        </w:tc>
        <w:tc>
          <w:tcPr>
            <w:tcW w:w="1474" w:type="dxa"/>
            <w:tcBorders>
              <w:bottom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c>
          <w:tcPr>
            <w:tcW w:w="1417" w:type="dxa"/>
            <w:tcBorders>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r>
    </w:tbl>
    <w:p w:rsidR="007D0034" w:rsidRDefault="00DF6DAB" w:rsidP="00D53D13">
      <w:pPr>
        <w:spacing w:before="0" w:after="0" w:line="240" w:lineRule="auto"/>
        <w:rPr>
          <w:rFonts w:cstheme="minorHAnsi"/>
          <w:szCs w:val="24"/>
        </w:rPr>
      </w:pPr>
      <w:r w:rsidRPr="003755A8">
        <w:rPr>
          <w:rFonts w:cstheme="minorHAnsi"/>
          <w:szCs w:val="24"/>
        </w:rPr>
        <w:t xml:space="preserve">  </w:t>
      </w:r>
    </w:p>
    <w:p w:rsidR="00DF6DAB" w:rsidRPr="003755A8" w:rsidRDefault="00DF6DAB" w:rsidP="00D53D13">
      <w:pPr>
        <w:spacing w:before="0" w:after="0" w:line="240" w:lineRule="auto"/>
        <w:rPr>
          <w:rFonts w:cstheme="minorHAnsi"/>
          <w:szCs w:val="24"/>
        </w:rPr>
      </w:pPr>
      <w:r w:rsidRPr="003755A8">
        <w:rPr>
          <w:rFonts w:cstheme="minorHAnsi"/>
          <w:szCs w:val="24"/>
        </w:rPr>
        <w:t>Legenda:</w:t>
      </w:r>
    </w:p>
    <w:p w:rsidR="00DF6DAB" w:rsidRPr="003755A8" w:rsidRDefault="00DF6DAB" w:rsidP="00D53D13">
      <w:pPr>
        <w:spacing w:before="0" w:after="0" w:line="240" w:lineRule="auto"/>
        <w:rPr>
          <w:rFonts w:cstheme="minorHAnsi"/>
          <w:szCs w:val="24"/>
        </w:rPr>
      </w:pPr>
      <w:r w:rsidRPr="003755A8">
        <w:rPr>
          <w:rFonts w:cstheme="minorHAnsi"/>
          <w:szCs w:val="24"/>
        </w:rPr>
        <w:t xml:space="preserve">   </w:t>
      </w:r>
      <w:r w:rsidRPr="003755A8">
        <w:rPr>
          <w:rFonts w:cstheme="minorHAnsi"/>
          <w:szCs w:val="24"/>
          <w:highlight w:val="lightGray"/>
        </w:rPr>
        <w:t>x</w:t>
      </w:r>
      <w:r w:rsidRPr="003755A8">
        <w:rPr>
          <w:rFonts w:cstheme="minorHAnsi"/>
          <w:szCs w:val="24"/>
        </w:rPr>
        <w:t xml:space="preserve">  Završeno u prethodnom periodu </w:t>
      </w:r>
    </w:p>
    <w:p w:rsidR="00DF6DAB" w:rsidRPr="003755A8" w:rsidRDefault="00DF6DAB" w:rsidP="00D53D13">
      <w:pPr>
        <w:spacing w:before="0" w:after="0" w:line="240" w:lineRule="auto"/>
        <w:rPr>
          <w:rFonts w:cstheme="minorHAnsi"/>
          <w:szCs w:val="24"/>
        </w:rPr>
      </w:pPr>
      <w:r w:rsidRPr="003755A8">
        <w:rPr>
          <w:rFonts w:cstheme="minorHAnsi"/>
          <w:szCs w:val="24"/>
        </w:rPr>
        <w:t xml:space="preserve">   </w:t>
      </w:r>
      <w:r w:rsidRPr="003755A8">
        <w:rPr>
          <w:rFonts w:cstheme="minorHAnsi"/>
          <w:szCs w:val="24"/>
          <w:highlight w:val="yellow"/>
        </w:rPr>
        <w:t>x</w:t>
      </w:r>
      <w:r w:rsidRPr="003755A8">
        <w:rPr>
          <w:rFonts w:cstheme="minorHAnsi"/>
          <w:szCs w:val="24"/>
        </w:rPr>
        <w:t xml:space="preserve">  Nastavak aktivnosti iz prethodnog perioda</w:t>
      </w:r>
    </w:p>
    <w:p w:rsidR="00DF6DAB" w:rsidRPr="003755A8" w:rsidRDefault="00DF6DAB" w:rsidP="00D53D13">
      <w:pPr>
        <w:spacing w:before="0" w:after="0" w:line="240" w:lineRule="auto"/>
        <w:rPr>
          <w:rFonts w:cstheme="minorHAnsi"/>
          <w:szCs w:val="24"/>
        </w:rPr>
      </w:pPr>
      <w:r w:rsidRPr="003755A8">
        <w:rPr>
          <w:rFonts w:cstheme="minorHAnsi"/>
          <w:szCs w:val="24"/>
        </w:rPr>
        <w:t xml:space="preserve">   </w:t>
      </w:r>
      <w:r w:rsidRPr="003755A8">
        <w:rPr>
          <w:rFonts w:cstheme="minorHAnsi"/>
          <w:szCs w:val="24"/>
          <w:highlight w:val="green"/>
        </w:rPr>
        <w:t>x</w:t>
      </w:r>
      <w:r w:rsidRPr="003755A8">
        <w:rPr>
          <w:rFonts w:cstheme="minorHAnsi"/>
          <w:szCs w:val="24"/>
        </w:rPr>
        <w:t xml:space="preserve">  Započete aktivnosti u toku 2020. godine</w:t>
      </w:r>
    </w:p>
    <w:p w:rsidR="00DF6DAB" w:rsidRPr="003755A8" w:rsidRDefault="00DF6DAB" w:rsidP="00D53D13">
      <w:pPr>
        <w:spacing w:before="0" w:after="0" w:line="240" w:lineRule="auto"/>
        <w:rPr>
          <w:rFonts w:cstheme="minorHAnsi"/>
          <w:szCs w:val="24"/>
        </w:rPr>
      </w:pPr>
      <w:r w:rsidRPr="003755A8">
        <w:rPr>
          <w:rFonts w:cstheme="minorHAnsi"/>
          <w:szCs w:val="24"/>
        </w:rPr>
        <w:t xml:space="preserve">   </w:t>
      </w:r>
      <w:r w:rsidRPr="003755A8">
        <w:rPr>
          <w:rFonts w:cstheme="minorHAnsi"/>
          <w:szCs w:val="24"/>
          <w:highlight w:val="magenta"/>
        </w:rPr>
        <w:t>x</w:t>
      </w:r>
      <w:r w:rsidRPr="003755A8">
        <w:rPr>
          <w:rFonts w:cstheme="minorHAnsi"/>
          <w:szCs w:val="24"/>
        </w:rPr>
        <w:t xml:space="preserve">  Završene aktivnosti u toku 2020. godine</w:t>
      </w:r>
    </w:p>
    <w:p w:rsidR="00DF6DAB" w:rsidRPr="003755A8" w:rsidRDefault="00DF6DAB" w:rsidP="00D53D13">
      <w:pPr>
        <w:spacing w:before="0" w:after="0" w:line="240" w:lineRule="auto"/>
        <w:rPr>
          <w:rFonts w:cstheme="minorHAnsi"/>
          <w:szCs w:val="24"/>
        </w:rPr>
      </w:pPr>
      <w:r w:rsidRPr="003755A8">
        <w:rPr>
          <w:rFonts w:cstheme="minorHAnsi"/>
          <w:szCs w:val="24"/>
        </w:rPr>
        <w:t xml:space="preserve">   x  Planirane aktivnosti</w:t>
      </w:r>
    </w:p>
    <w:p w:rsidR="00DF6DAB" w:rsidRPr="003755A8" w:rsidRDefault="00DF6DAB" w:rsidP="00D53D13">
      <w:pPr>
        <w:spacing w:before="0" w:after="0" w:line="240" w:lineRule="auto"/>
        <w:rPr>
          <w:rFonts w:cstheme="minorHAnsi"/>
          <w:szCs w:val="24"/>
        </w:rPr>
      </w:pPr>
    </w:p>
    <w:p w:rsidR="00DF6DAB" w:rsidRPr="001708B9" w:rsidRDefault="00DF6DAB" w:rsidP="00D53D13">
      <w:pPr>
        <w:spacing w:before="0" w:after="0" w:line="240" w:lineRule="auto"/>
        <w:rPr>
          <w:rFonts w:cstheme="minorHAnsi"/>
          <w:szCs w:val="24"/>
          <w:u w:val="single"/>
        </w:rPr>
      </w:pPr>
      <w:r w:rsidRPr="001708B9">
        <w:rPr>
          <w:rFonts w:cstheme="minorHAnsi"/>
          <w:szCs w:val="24"/>
          <w:u w:val="single"/>
        </w:rPr>
        <w:t>Opština Plav i Gusinje</w:t>
      </w:r>
    </w:p>
    <w:p w:rsidR="00DF6DAB" w:rsidRPr="003755A8" w:rsidRDefault="00DF6DAB" w:rsidP="006A3C0E">
      <w:pPr>
        <w:spacing w:after="0" w:line="240" w:lineRule="auto"/>
        <w:ind w:firstLine="709"/>
        <w:rPr>
          <w:rFonts w:cstheme="minorHAnsi"/>
          <w:szCs w:val="24"/>
        </w:rPr>
      </w:pPr>
      <w:bookmarkStart w:id="158" w:name="OLE_LINK145"/>
      <w:bookmarkStart w:id="159" w:name="OLE_LINK146"/>
      <w:bookmarkStart w:id="160" w:name="OLE_LINK153"/>
      <w:r w:rsidRPr="003755A8">
        <w:rPr>
          <w:rFonts w:cstheme="minorHAnsi"/>
          <w:szCs w:val="24"/>
        </w:rPr>
        <w:t>Na teritoriji Opštine Plav i Gusinje, u okviru nastavka realizacije Projekta osnivanja evidencije katastra nepokretnosti, rađeni su sljedeći poslovi:</w:t>
      </w:r>
    </w:p>
    <w:p w:rsidR="00DF6DAB" w:rsidRPr="003755A8" w:rsidRDefault="001708B9" w:rsidP="00D53D13">
      <w:pPr>
        <w:spacing w:before="0" w:after="0" w:line="240" w:lineRule="auto"/>
        <w:rPr>
          <w:rFonts w:cstheme="minorHAnsi"/>
          <w:szCs w:val="24"/>
        </w:rPr>
      </w:pPr>
      <w:r>
        <w:rPr>
          <w:rFonts w:cstheme="minorHAnsi"/>
          <w:szCs w:val="24"/>
        </w:rPr>
        <w:t xml:space="preserve"> - </w:t>
      </w:r>
      <w:r w:rsidR="00DF6DAB" w:rsidRPr="003755A8">
        <w:rPr>
          <w:rFonts w:cstheme="minorHAnsi"/>
          <w:szCs w:val="24"/>
        </w:rPr>
        <w:t xml:space="preserve">katastarsko klasiranje; </w:t>
      </w:r>
    </w:p>
    <w:p w:rsidR="00DF6DAB" w:rsidRPr="003755A8" w:rsidRDefault="001708B9" w:rsidP="00D53D13">
      <w:pPr>
        <w:spacing w:before="0" w:after="0" w:line="240" w:lineRule="auto"/>
        <w:rPr>
          <w:rFonts w:cstheme="minorHAnsi"/>
          <w:szCs w:val="24"/>
        </w:rPr>
      </w:pPr>
      <w:r>
        <w:rPr>
          <w:rFonts w:cstheme="minorHAnsi"/>
          <w:szCs w:val="24"/>
        </w:rPr>
        <w:t xml:space="preserve"> - </w:t>
      </w:r>
      <w:r w:rsidR="00DF6DAB" w:rsidRPr="003755A8">
        <w:rPr>
          <w:rFonts w:cstheme="minorHAnsi"/>
          <w:szCs w:val="24"/>
        </w:rPr>
        <w:t>obrada prikupljenih podataka i izrada privremene baze podataka;</w:t>
      </w:r>
    </w:p>
    <w:p w:rsidR="00DF6DAB" w:rsidRPr="003755A8" w:rsidRDefault="001708B9" w:rsidP="00D53D13">
      <w:pPr>
        <w:spacing w:before="0" w:after="0" w:line="240" w:lineRule="auto"/>
        <w:rPr>
          <w:rFonts w:cstheme="minorHAnsi"/>
          <w:szCs w:val="24"/>
        </w:rPr>
      </w:pPr>
      <w:r>
        <w:rPr>
          <w:rFonts w:cstheme="minorHAnsi"/>
          <w:szCs w:val="24"/>
        </w:rPr>
        <w:t xml:space="preserve"> - </w:t>
      </w:r>
      <w:r w:rsidR="00DF6DAB" w:rsidRPr="003755A8">
        <w:rPr>
          <w:rFonts w:cstheme="minorHAnsi"/>
          <w:szCs w:val="24"/>
        </w:rPr>
        <w:t>izrada privremene baze podataka;</w:t>
      </w:r>
    </w:p>
    <w:p w:rsidR="00DF6DAB" w:rsidRPr="003755A8" w:rsidRDefault="001708B9" w:rsidP="00D53D13">
      <w:pPr>
        <w:spacing w:before="0" w:after="0" w:line="240" w:lineRule="auto"/>
        <w:rPr>
          <w:rFonts w:cstheme="minorHAnsi"/>
          <w:szCs w:val="24"/>
        </w:rPr>
      </w:pPr>
      <w:r>
        <w:rPr>
          <w:rFonts w:cstheme="minorHAnsi"/>
          <w:szCs w:val="24"/>
        </w:rPr>
        <w:t xml:space="preserve"> - </w:t>
      </w:r>
      <w:r w:rsidR="00DF6DAB" w:rsidRPr="003755A8">
        <w:rPr>
          <w:rFonts w:cstheme="minorHAnsi"/>
          <w:szCs w:val="24"/>
        </w:rPr>
        <w:t>izlaganje podataka;</w:t>
      </w:r>
    </w:p>
    <w:p w:rsidR="00DF6DAB" w:rsidRPr="003755A8" w:rsidRDefault="001708B9" w:rsidP="00D53D13">
      <w:pPr>
        <w:spacing w:before="0" w:after="0" w:line="240" w:lineRule="auto"/>
        <w:rPr>
          <w:rFonts w:cstheme="minorHAnsi"/>
          <w:szCs w:val="24"/>
        </w:rPr>
      </w:pPr>
      <w:r>
        <w:rPr>
          <w:rFonts w:cstheme="minorHAnsi"/>
          <w:szCs w:val="24"/>
        </w:rPr>
        <w:t xml:space="preserve"> - </w:t>
      </w:r>
      <w:r w:rsidR="00DF6DAB" w:rsidRPr="003755A8">
        <w:rPr>
          <w:rFonts w:cstheme="minorHAnsi"/>
          <w:szCs w:val="24"/>
        </w:rPr>
        <w:t>potvrđivanje baze podataka.</w:t>
      </w:r>
    </w:p>
    <w:p w:rsidR="00DF6DAB" w:rsidRPr="003755A8" w:rsidRDefault="00DF6DAB" w:rsidP="006A3C0E">
      <w:pPr>
        <w:spacing w:before="0" w:after="0" w:line="240" w:lineRule="auto"/>
        <w:ind w:firstLine="709"/>
        <w:rPr>
          <w:rFonts w:cstheme="minorHAnsi"/>
          <w:szCs w:val="24"/>
        </w:rPr>
      </w:pPr>
      <w:r w:rsidRPr="003755A8">
        <w:rPr>
          <w:rFonts w:cstheme="minorHAnsi"/>
          <w:szCs w:val="24"/>
        </w:rPr>
        <w:t>Za potrebe Izlaganja podataka za navedene katastarske opštine na teritoriji Opštine Plav, angažovane dvije Komisije.</w:t>
      </w:r>
    </w:p>
    <w:bookmarkEnd w:id="158"/>
    <w:bookmarkEnd w:id="159"/>
    <w:bookmarkEnd w:id="160"/>
    <w:p w:rsidR="00DF6DAB" w:rsidRPr="003755A8" w:rsidRDefault="00DF6DAB" w:rsidP="00D53D13">
      <w:pPr>
        <w:spacing w:before="0" w:after="0" w:line="240" w:lineRule="auto"/>
        <w:rPr>
          <w:rFonts w:cstheme="minorHAnsi"/>
          <w:szCs w:val="24"/>
        </w:rPr>
      </w:pPr>
      <w:r w:rsidRPr="003755A8">
        <w:rPr>
          <w:rFonts w:cstheme="minorHAnsi"/>
          <w:szCs w:val="24"/>
        </w:rPr>
        <w:tab/>
        <w:t>Treba napomenuti da su podaci za dio katastarsih opština pripremljeni, ali zbog nedostatka poslovnih prostorija nije bilo moguće angažovati veći broj Komisija.</w:t>
      </w:r>
    </w:p>
    <w:p w:rsidR="00DF6DAB" w:rsidRPr="003755A8" w:rsidRDefault="00DF6DAB" w:rsidP="00D53D13">
      <w:pPr>
        <w:spacing w:before="0" w:after="0" w:line="240" w:lineRule="auto"/>
        <w:rPr>
          <w:rFonts w:cstheme="minorHAnsi"/>
          <w:szCs w:val="24"/>
        </w:rPr>
      </w:pPr>
    </w:p>
    <w:p w:rsidR="00DF6DAB" w:rsidRPr="003755A8" w:rsidRDefault="00DF6DAB" w:rsidP="006A3C0E">
      <w:pPr>
        <w:spacing w:before="0" w:after="0" w:line="240" w:lineRule="auto"/>
        <w:jc w:val="center"/>
        <w:rPr>
          <w:rFonts w:cstheme="minorHAnsi"/>
          <w:szCs w:val="24"/>
        </w:rPr>
      </w:pPr>
      <w:r w:rsidRPr="003755A8">
        <w:rPr>
          <w:rFonts w:cstheme="minorHAnsi"/>
          <w:szCs w:val="24"/>
        </w:rPr>
        <w:t>Tabela 2.8. Pregled izvršenih radova na osnivanju evidencije katastra nepokretnosti u okviru već započetog projekta za Opštinu Plav i Gusinje</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95"/>
        <w:gridCol w:w="1534"/>
        <w:gridCol w:w="1521"/>
        <w:gridCol w:w="1474"/>
        <w:gridCol w:w="1558"/>
      </w:tblGrid>
      <w:tr w:rsidR="00DF6DAB" w:rsidRPr="003755A8" w:rsidTr="00DF6DAB">
        <w:trPr>
          <w:trHeight w:val="404"/>
          <w:jc w:val="center"/>
        </w:trPr>
        <w:tc>
          <w:tcPr>
            <w:tcW w:w="8073" w:type="dxa"/>
            <w:gridSpan w:val="5"/>
            <w:tcBorders>
              <w:top w:val="single" w:sz="12" w:space="0" w:color="auto"/>
              <w:left w:val="single" w:sz="12" w:space="0" w:color="auto"/>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PLAV</w:t>
            </w:r>
          </w:p>
        </w:tc>
      </w:tr>
      <w:tr w:rsidR="00DF6DAB" w:rsidRPr="003755A8" w:rsidTr="00DF6DAB">
        <w:trPr>
          <w:jc w:val="center"/>
        </w:trPr>
        <w:tc>
          <w:tcPr>
            <w:tcW w:w="1995" w:type="dxa"/>
            <w:tcBorders>
              <w:top w:val="single" w:sz="12" w:space="0" w:color="auto"/>
              <w:left w:val="single" w:sz="12" w:space="0" w:color="auto"/>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Naziv KO</w:t>
            </w:r>
          </w:p>
        </w:tc>
        <w:tc>
          <w:tcPr>
            <w:tcW w:w="1534" w:type="dxa"/>
            <w:tcBorders>
              <w:top w:val="single" w:sz="12" w:space="0" w:color="auto"/>
              <w:left w:val="single" w:sz="12" w:space="0" w:color="auto"/>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Prikupljanje podataka</w:t>
            </w:r>
          </w:p>
        </w:tc>
        <w:tc>
          <w:tcPr>
            <w:tcW w:w="1521" w:type="dxa"/>
            <w:tcBorders>
              <w:top w:val="single" w:sz="12" w:space="0" w:color="auto"/>
              <w:left w:val="single" w:sz="12" w:space="0" w:color="auto"/>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Izrada privremene baze podataka</w:t>
            </w:r>
          </w:p>
        </w:tc>
        <w:tc>
          <w:tcPr>
            <w:tcW w:w="1474" w:type="dxa"/>
            <w:tcBorders>
              <w:top w:val="single" w:sz="12" w:space="0" w:color="auto"/>
              <w:left w:val="single" w:sz="12" w:space="0" w:color="auto"/>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Izlaganje podataka</w:t>
            </w:r>
          </w:p>
        </w:tc>
        <w:tc>
          <w:tcPr>
            <w:tcW w:w="1558" w:type="dxa"/>
            <w:tcBorders>
              <w:top w:val="single" w:sz="12" w:space="0" w:color="auto"/>
              <w:left w:val="single" w:sz="12" w:space="0" w:color="auto"/>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Potvrđivanje baze podataka</w:t>
            </w:r>
          </w:p>
        </w:tc>
      </w:tr>
      <w:tr w:rsidR="00DF6DAB" w:rsidRPr="003755A8" w:rsidTr="00DF6DAB">
        <w:trPr>
          <w:jc w:val="center"/>
        </w:trPr>
        <w:tc>
          <w:tcPr>
            <w:tcW w:w="1995" w:type="dxa"/>
            <w:tcBorders>
              <w:top w:val="single" w:sz="12" w:space="0" w:color="auto"/>
              <w:left w:val="single" w:sz="12" w:space="0" w:color="auto"/>
              <w:right w:val="single" w:sz="12" w:space="0" w:color="auto"/>
            </w:tcBorders>
            <w:shd w:val="clear" w:color="auto" w:fill="auto"/>
            <w:vAlign w:val="bottom"/>
          </w:tcPr>
          <w:p w:rsidR="00DF6DAB" w:rsidRPr="003755A8" w:rsidRDefault="00DF6DAB" w:rsidP="00D53D13">
            <w:pPr>
              <w:spacing w:before="0" w:after="0" w:line="240" w:lineRule="auto"/>
              <w:rPr>
                <w:rFonts w:cstheme="minorHAnsi"/>
                <w:szCs w:val="24"/>
              </w:rPr>
            </w:pPr>
            <w:r w:rsidRPr="003755A8">
              <w:rPr>
                <w:rFonts w:cstheme="minorHAnsi"/>
                <w:szCs w:val="24"/>
              </w:rPr>
              <w:t>BREZOJEVICE II</w:t>
            </w:r>
          </w:p>
        </w:tc>
        <w:tc>
          <w:tcPr>
            <w:tcW w:w="1534" w:type="dxa"/>
            <w:tcBorders>
              <w:top w:val="single" w:sz="12" w:space="0" w:color="auto"/>
              <w:left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521" w:type="dxa"/>
            <w:tcBorders>
              <w:top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yellow"/>
              </w:rPr>
            </w:pPr>
            <w:r w:rsidRPr="003755A8">
              <w:rPr>
                <w:rFonts w:cstheme="minorHAnsi"/>
                <w:szCs w:val="24"/>
                <w:highlight w:val="yellow"/>
              </w:rPr>
              <w:t>x</w:t>
            </w:r>
          </w:p>
        </w:tc>
        <w:tc>
          <w:tcPr>
            <w:tcW w:w="1474" w:type="dxa"/>
            <w:tcBorders>
              <w:top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highlight w:val="green"/>
              </w:rPr>
              <w:t>x</w:t>
            </w:r>
          </w:p>
        </w:tc>
        <w:tc>
          <w:tcPr>
            <w:tcW w:w="1558" w:type="dxa"/>
            <w:tcBorders>
              <w:top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r>
      <w:tr w:rsidR="00DF6DAB" w:rsidRPr="003755A8" w:rsidTr="00DF6DAB">
        <w:trPr>
          <w:jc w:val="center"/>
        </w:trPr>
        <w:tc>
          <w:tcPr>
            <w:tcW w:w="1995" w:type="dxa"/>
            <w:tcBorders>
              <w:left w:val="single" w:sz="12" w:space="0" w:color="auto"/>
              <w:right w:val="single" w:sz="12" w:space="0" w:color="auto"/>
            </w:tcBorders>
            <w:shd w:val="clear" w:color="auto" w:fill="auto"/>
            <w:vAlign w:val="bottom"/>
          </w:tcPr>
          <w:p w:rsidR="00DF6DAB" w:rsidRPr="003755A8" w:rsidRDefault="00DF6DAB" w:rsidP="00D53D13">
            <w:pPr>
              <w:spacing w:before="0" w:after="0" w:line="240" w:lineRule="auto"/>
              <w:rPr>
                <w:rFonts w:cstheme="minorHAnsi"/>
                <w:szCs w:val="24"/>
              </w:rPr>
            </w:pPr>
            <w:r w:rsidRPr="003755A8">
              <w:rPr>
                <w:rFonts w:cstheme="minorHAnsi"/>
                <w:szCs w:val="24"/>
              </w:rPr>
              <w:t>DESNI METEH</w:t>
            </w:r>
          </w:p>
        </w:tc>
        <w:tc>
          <w:tcPr>
            <w:tcW w:w="1534" w:type="dxa"/>
            <w:tcBorders>
              <w:left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521" w:type="dxa"/>
            <w:shd w:val="clear" w:color="auto" w:fill="FFFFFF"/>
            <w:vAlign w:val="center"/>
          </w:tcPr>
          <w:p w:rsidR="00DF6DAB" w:rsidRPr="003755A8" w:rsidRDefault="00DF6DAB" w:rsidP="00D53D13">
            <w:pPr>
              <w:spacing w:before="0" w:after="0" w:line="240" w:lineRule="auto"/>
              <w:rPr>
                <w:rFonts w:cstheme="minorHAnsi"/>
                <w:szCs w:val="24"/>
                <w:highlight w:val="yellow"/>
              </w:rPr>
            </w:pPr>
            <w:r w:rsidRPr="003755A8">
              <w:rPr>
                <w:rFonts w:cstheme="minorHAnsi"/>
                <w:szCs w:val="24"/>
                <w:highlight w:val="yellow"/>
              </w:rPr>
              <w:t>x</w:t>
            </w:r>
          </w:p>
        </w:tc>
        <w:tc>
          <w:tcPr>
            <w:tcW w:w="1474" w:type="dxa"/>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c>
          <w:tcPr>
            <w:tcW w:w="1558" w:type="dxa"/>
            <w:tcBorders>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r>
      <w:tr w:rsidR="00DF6DAB" w:rsidRPr="003755A8" w:rsidTr="00DF6DAB">
        <w:trPr>
          <w:jc w:val="center"/>
        </w:trPr>
        <w:tc>
          <w:tcPr>
            <w:tcW w:w="1995" w:type="dxa"/>
            <w:tcBorders>
              <w:left w:val="single" w:sz="12" w:space="0" w:color="auto"/>
              <w:right w:val="single" w:sz="12" w:space="0" w:color="auto"/>
            </w:tcBorders>
            <w:shd w:val="clear" w:color="auto" w:fill="auto"/>
            <w:vAlign w:val="bottom"/>
          </w:tcPr>
          <w:p w:rsidR="00DF6DAB" w:rsidRPr="003755A8" w:rsidRDefault="00DF6DAB" w:rsidP="00D53D13">
            <w:pPr>
              <w:spacing w:before="0" w:after="0" w:line="240" w:lineRule="auto"/>
              <w:rPr>
                <w:rFonts w:cstheme="minorHAnsi"/>
                <w:szCs w:val="24"/>
              </w:rPr>
            </w:pPr>
            <w:r w:rsidRPr="003755A8">
              <w:rPr>
                <w:rFonts w:cstheme="minorHAnsi"/>
                <w:szCs w:val="24"/>
              </w:rPr>
              <w:t>GORNJA RŽANICA</w:t>
            </w:r>
          </w:p>
        </w:tc>
        <w:tc>
          <w:tcPr>
            <w:tcW w:w="1534" w:type="dxa"/>
            <w:tcBorders>
              <w:left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521" w:type="dxa"/>
            <w:shd w:val="clear" w:color="auto" w:fill="FFFFFF"/>
            <w:vAlign w:val="center"/>
          </w:tcPr>
          <w:p w:rsidR="00DF6DAB" w:rsidRPr="003755A8" w:rsidRDefault="00DF6DAB" w:rsidP="00D53D13">
            <w:pPr>
              <w:spacing w:before="0" w:after="0" w:line="240" w:lineRule="auto"/>
              <w:rPr>
                <w:rFonts w:cstheme="minorHAnsi"/>
                <w:szCs w:val="24"/>
                <w:highlight w:val="yellow"/>
              </w:rPr>
            </w:pPr>
            <w:r w:rsidRPr="003755A8">
              <w:rPr>
                <w:rFonts w:cstheme="minorHAnsi"/>
                <w:szCs w:val="24"/>
                <w:highlight w:val="yellow"/>
              </w:rPr>
              <w:t>x</w:t>
            </w:r>
          </w:p>
        </w:tc>
        <w:tc>
          <w:tcPr>
            <w:tcW w:w="1474" w:type="dxa"/>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highlight w:val="green"/>
              </w:rPr>
              <w:t>x</w:t>
            </w:r>
          </w:p>
        </w:tc>
        <w:tc>
          <w:tcPr>
            <w:tcW w:w="1558" w:type="dxa"/>
            <w:tcBorders>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r>
      <w:tr w:rsidR="00DF6DAB" w:rsidRPr="003755A8" w:rsidTr="00DF6DAB">
        <w:trPr>
          <w:jc w:val="center"/>
        </w:trPr>
        <w:tc>
          <w:tcPr>
            <w:tcW w:w="1995" w:type="dxa"/>
            <w:tcBorders>
              <w:left w:val="single" w:sz="12" w:space="0" w:color="auto"/>
              <w:right w:val="single" w:sz="12" w:space="0" w:color="auto"/>
            </w:tcBorders>
            <w:shd w:val="clear" w:color="auto" w:fill="auto"/>
            <w:vAlign w:val="bottom"/>
          </w:tcPr>
          <w:p w:rsidR="00DF6DAB" w:rsidRPr="003755A8" w:rsidRDefault="00DF6DAB" w:rsidP="00D53D13">
            <w:pPr>
              <w:spacing w:before="0" w:after="0" w:line="240" w:lineRule="auto"/>
              <w:rPr>
                <w:rFonts w:cstheme="minorHAnsi"/>
                <w:szCs w:val="24"/>
              </w:rPr>
            </w:pPr>
            <w:r w:rsidRPr="003755A8">
              <w:rPr>
                <w:rFonts w:cstheme="minorHAnsi"/>
                <w:szCs w:val="24"/>
              </w:rPr>
              <w:t>HOTI</w:t>
            </w:r>
          </w:p>
        </w:tc>
        <w:tc>
          <w:tcPr>
            <w:tcW w:w="1534" w:type="dxa"/>
            <w:tcBorders>
              <w:left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521" w:type="dxa"/>
            <w:shd w:val="clear" w:color="auto" w:fill="FFFFFF"/>
            <w:vAlign w:val="center"/>
          </w:tcPr>
          <w:p w:rsidR="00DF6DAB" w:rsidRPr="003755A8" w:rsidRDefault="00DF6DAB" w:rsidP="00D53D13">
            <w:pPr>
              <w:spacing w:before="0" w:after="0" w:line="240" w:lineRule="auto"/>
              <w:rPr>
                <w:rFonts w:cstheme="minorHAnsi"/>
                <w:szCs w:val="24"/>
                <w:highlight w:val="yellow"/>
              </w:rPr>
            </w:pPr>
            <w:r w:rsidRPr="003755A8">
              <w:rPr>
                <w:rFonts w:cstheme="minorHAnsi"/>
                <w:szCs w:val="24"/>
                <w:highlight w:val="lightGray"/>
              </w:rPr>
              <w:t>x</w:t>
            </w:r>
          </w:p>
        </w:tc>
        <w:tc>
          <w:tcPr>
            <w:tcW w:w="1474" w:type="dxa"/>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highlight w:val="yellow"/>
              </w:rPr>
              <w:t>x</w:t>
            </w:r>
          </w:p>
        </w:tc>
        <w:tc>
          <w:tcPr>
            <w:tcW w:w="1558" w:type="dxa"/>
            <w:tcBorders>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r>
      <w:tr w:rsidR="00DF6DAB" w:rsidRPr="003755A8" w:rsidTr="00DF6DAB">
        <w:trPr>
          <w:jc w:val="center"/>
        </w:trPr>
        <w:tc>
          <w:tcPr>
            <w:tcW w:w="1995" w:type="dxa"/>
            <w:tcBorders>
              <w:left w:val="single" w:sz="12" w:space="0" w:color="auto"/>
              <w:right w:val="single" w:sz="12" w:space="0" w:color="auto"/>
            </w:tcBorders>
            <w:shd w:val="clear" w:color="auto" w:fill="auto"/>
            <w:vAlign w:val="bottom"/>
          </w:tcPr>
          <w:p w:rsidR="00DF6DAB" w:rsidRPr="003755A8" w:rsidRDefault="00DF6DAB" w:rsidP="00D53D13">
            <w:pPr>
              <w:spacing w:before="0" w:after="0" w:line="240" w:lineRule="auto"/>
              <w:rPr>
                <w:rFonts w:cstheme="minorHAnsi"/>
                <w:szCs w:val="24"/>
              </w:rPr>
            </w:pPr>
            <w:r w:rsidRPr="003755A8">
              <w:rPr>
                <w:rFonts w:cstheme="minorHAnsi"/>
                <w:szCs w:val="24"/>
              </w:rPr>
              <w:t>MAŠNICA</w:t>
            </w:r>
          </w:p>
        </w:tc>
        <w:tc>
          <w:tcPr>
            <w:tcW w:w="1534" w:type="dxa"/>
            <w:tcBorders>
              <w:left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521" w:type="dxa"/>
            <w:shd w:val="clear" w:color="auto" w:fill="FFFFFF"/>
            <w:vAlign w:val="center"/>
          </w:tcPr>
          <w:p w:rsidR="00DF6DAB" w:rsidRPr="003755A8" w:rsidRDefault="00DF6DAB" w:rsidP="00D53D13">
            <w:pPr>
              <w:spacing w:before="0" w:after="0" w:line="240" w:lineRule="auto"/>
              <w:rPr>
                <w:rFonts w:cstheme="minorHAnsi"/>
                <w:szCs w:val="24"/>
                <w:highlight w:val="yellow"/>
              </w:rPr>
            </w:pPr>
            <w:r w:rsidRPr="003755A8">
              <w:rPr>
                <w:rFonts w:cstheme="minorHAnsi"/>
                <w:szCs w:val="24"/>
                <w:highlight w:val="lightGray"/>
              </w:rPr>
              <w:t>x</w:t>
            </w:r>
          </w:p>
        </w:tc>
        <w:tc>
          <w:tcPr>
            <w:tcW w:w="1474" w:type="dxa"/>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highlight w:val="yellow"/>
              </w:rPr>
              <w:t>x</w:t>
            </w:r>
          </w:p>
        </w:tc>
        <w:tc>
          <w:tcPr>
            <w:tcW w:w="1558" w:type="dxa"/>
            <w:tcBorders>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r>
      <w:tr w:rsidR="00DF6DAB" w:rsidRPr="003755A8" w:rsidTr="00DF6DAB">
        <w:trPr>
          <w:jc w:val="center"/>
        </w:trPr>
        <w:tc>
          <w:tcPr>
            <w:tcW w:w="1995" w:type="dxa"/>
            <w:tcBorders>
              <w:left w:val="single" w:sz="12" w:space="0" w:color="auto"/>
              <w:right w:val="single" w:sz="12" w:space="0" w:color="auto"/>
            </w:tcBorders>
            <w:shd w:val="clear" w:color="auto" w:fill="auto"/>
            <w:vAlign w:val="bottom"/>
          </w:tcPr>
          <w:p w:rsidR="00DF6DAB" w:rsidRPr="003755A8" w:rsidRDefault="00DF6DAB" w:rsidP="00D53D13">
            <w:pPr>
              <w:spacing w:before="0" w:after="0" w:line="240" w:lineRule="auto"/>
              <w:rPr>
                <w:rFonts w:cstheme="minorHAnsi"/>
                <w:szCs w:val="24"/>
              </w:rPr>
            </w:pPr>
            <w:r w:rsidRPr="003755A8">
              <w:rPr>
                <w:rFonts w:cstheme="minorHAnsi"/>
                <w:szCs w:val="24"/>
              </w:rPr>
              <w:t>NOVŠIĆE</w:t>
            </w:r>
          </w:p>
        </w:tc>
        <w:tc>
          <w:tcPr>
            <w:tcW w:w="1534" w:type="dxa"/>
            <w:tcBorders>
              <w:left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521" w:type="dxa"/>
            <w:shd w:val="clear" w:color="auto" w:fill="FFFFFF"/>
            <w:vAlign w:val="center"/>
          </w:tcPr>
          <w:p w:rsidR="00DF6DAB" w:rsidRPr="003755A8" w:rsidRDefault="00DF6DAB" w:rsidP="00D53D13">
            <w:pPr>
              <w:spacing w:before="0" w:after="0" w:line="240" w:lineRule="auto"/>
              <w:rPr>
                <w:rFonts w:cstheme="minorHAnsi"/>
                <w:szCs w:val="24"/>
                <w:highlight w:val="yellow"/>
              </w:rPr>
            </w:pPr>
            <w:r w:rsidRPr="003755A8">
              <w:rPr>
                <w:rFonts w:cstheme="minorHAnsi"/>
                <w:szCs w:val="24"/>
                <w:highlight w:val="yellow"/>
              </w:rPr>
              <w:t>x</w:t>
            </w:r>
          </w:p>
        </w:tc>
        <w:tc>
          <w:tcPr>
            <w:tcW w:w="1474" w:type="dxa"/>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c>
          <w:tcPr>
            <w:tcW w:w="1558" w:type="dxa"/>
            <w:tcBorders>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r>
      <w:tr w:rsidR="00DF6DAB" w:rsidRPr="003755A8" w:rsidTr="00DF6DAB">
        <w:trPr>
          <w:jc w:val="center"/>
        </w:trPr>
        <w:tc>
          <w:tcPr>
            <w:tcW w:w="1995" w:type="dxa"/>
            <w:tcBorders>
              <w:left w:val="single" w:sz="12" w:space="0" w:color="auto"/>
              <w:right w:val="single" w:sz="12" w:space="0" w:color="auto"/>
            </w:tcBorders>
            <w:shd w:val="clear" w:color="auto" w:fill="auto"/>
            <w:vAlign w:val="bottom"/>
          </w:tcPr>
          <w:p w:rsidR="00DF6DAB" w:rsidRPr="003755A8" w:rsidRDefault="00DF6DAB" w:rsidP="00D53D13">
            <w:pPr>
              <w:spacing w:before="0" w:after="0" w:line="240" w:lineRule="auto"/>
              <w:rPr>
                <w:rFonts w:cstheme="minorHAnsi"/>
                <w:szCs w:val="24"/>
              </w:rPr>
            </w:pPr>
            <w:r w:rsidRPr="003755A8">
              <w:rPr>
                <w:rFonts w:cstheme="minorHAnsi"/>
                <w:szCs w:val="24"/>
              </w:rPr>
              <w:t>PRNJAVOR</w:t>
            </w:r>
          </w:p>
        </w:tc>
        <w:tc>
          <w:tcPr>
            <w:tcW w:w="1534" w:type="dxa"/>
            <w:tcBorders>
              <w:left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521" w:type="dxa"/>
            <w:shd w:val="clear" w:color="auto" w:fill="FFFFFF"/>
            <w:vAlign w:val="center"/>
          </w:tcPr>
          <w:p w:rsidR="00DF6DAB" w:rsidRPr="003755A8" w:rsidRDefault="00DF6DAB" w:rsidP="00D53D13">
            <w:pPr>
              <w:spacing w:before="0" w:after="0" w:line="240" w:lineRule="auto"/>
              <w:rPr>
                <w:rFonts w:cstheme="minorHAnsi"/>
                <w:szCs w:val="24"/>
                <w:highlight w:val="yellow"/>
              </w:rPr>
            </w:pPr>
            <w:r w:rsidRPr="003755A8">
              <w:rPr>
                <w:rFonts w:cstheme="minorHAnsi"/>
                <w:szCs w:val="24"/>
                <w:highlight w:val="lightGray"/>
              </w:rPr>
              <w:t>x</w:t>
            </w:r>
          </w:p>
        </w:tc>
        <w:tc>
          <w:tcPr>
            <w:tcW w:w="1474" w:type="dxa"/>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highlight w:val="green"/>
              </w:rPr>
              <w:t>x</w:t>
            </w:r>
          </w:p>
        </w:tc>
        <w:tc>
          <w:tcPr>
            <w:tcW w:w="1558" w:type="dxa"/>
            <w:tcBorders>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r>
      <w:tr w:rsidR="00DF6DAB" w:rsidRPr="003755A8" w:rsidTr="00DF6DAB">
        <w:trPr>
          <w:jc w:val="center"/>
        </w:trPr>
        <w:tc>
          <w:tcPr>
            <w:tcW w:w="1995" w:type="dxa"/>
            <w:tcBorders>
              <w:left w:val="single" w:sz="12" w:space="0" w:color="auto"/>
              <w:right w:val="single" w:sz="12" w:space="0" w:color="auto"/>
            </w:tcBorders>
            <w:shd w:val="clear" w:color="auto" w:fill="auto"/>
            <w:vAlign w:val="bottom"/>
          </w:tcPr>
          <w:p w:rsidR="00DF6DAB" w:rsidRPr="003755A8" w:rsidRDefault="00DF6DAB" w:rsidP="00D53D13">
            <w:pPr>
              <w:spacing w:before="0" w:after="0" w:line="240" w:lineRule="auto"/>
              <w:rPr>
                <w:rFonts w:cstheme="minorHAnsi"/>
                <w:szCs w:val="24"/>
              </w:rPr>
            </w:pPr>
            <w:r w:rsidRPr="003755A8">
              <w:rPr>
                <w:rFonts w:cstheme="minorHAnsi"/>
                <w:szCs w:val="24"/>
              </w:rPr>
              <w:t>VELIKA</w:t>
            </w:r>
          </w:p>
        </w:tc>
        <w:tc>
          <w:tcPr>
            <w:tcW w:w="1534" w:type="dxa"/>
            <w:tcBorders>
              <w:left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521" w:type="dxa"/>
            <w:shd w:val="clear" w:color="auto" w:fill="FFFFFF"/>
            <w:vAlign w:val="center"/>
          </w:tcPr>
          <w:p w:rsidR="00DF6DAB" w:rsidRPr="003755A8" w:rsidRDefault="00DF6DAB" w:rsidP="00D53D13">
            <w:pPr>
              <w:spacing w:before="0" w:after="0" w:line="240" w:lineRule="auto"/>
              <w:rPr>
                <w:rFonts w:cstheme="minorHAnsi"/>
                <w:szCs w:val="24"/>
                <w:highlight w:val="yellow"/>
              </w:rPr>
            </w:pPr>
            <w:r w:rsidRPr="003755A8">
              <w:rPr>
                <w:rFonts w:cstheme="minorHAnsi"/>
                <w:szCs w:val="24"/>
                <w:highlight w:val="yellow"/>
              </w:rPr>
              <w:t>x</w:t>
            </w:r>
          </w:p>
        </w:tc>
        <w:tc>
          <w:tcPr>
            <w:tcW w:w="1474" w:type="dxa"/>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c>
          <w:tcPr>
            <w:tcW w:w="1558" w:type="dxa"/>
            <w:tcBorders>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r>
      <w:tr w:rsidR="00DF6DAB" w:rsidRPr="003755A8" w:rsidTr="00DF6DAB">
        <w:trPr>
          <w:trHeight w:val="404"/>
          <w:jc w:val="center"/>
        </w:trPr>
        <w:tc>
          <w:tcPr>
            <w:tcW w:w="8073" w:type="dxa"/>
            <w:gridSpan w:val="5"/>
            <w:tcBorders>
              <w:top w:val="single" w:sz="12" w:space="0" w:color="auto"/>
              <w:left w:val="single" w:sz="12" w:space="0" w:color="auto"/>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GUSINJE</w:t>
            </w:r>
          </w:p>
        </w:tc>
      </w:tr>
      <w:tr w:rsidR="00DF6DAB" w:rsidRPr="003755A8" w:rsidTr="00DF6DAB">
        <w:trPr>
          <w:jc w:val="center"/>
        </w:trPr>
        <w:tc>
          <w:tcPr>
            <w:tcW w:w="1995" w:type="dxa"/>
            <w:tcBorders>
              <w:top w:val="single" w:sz="12" w:space="0" w:color="auto"/>
              <w:left w:val="single" w:sz="12" w:space="0" w:color="auto"/>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Naziv KO</w:t>
            </w:r>
          </w:p>
        </w:tc>
        <w:tc>
          <w:tcPr>
            <w:tcW w:w="1534" w:type="dxa"/>
            <w:tcBorders>
              <w:top w:val="single" w:sz="12" w:space="0" w:color="auto"/>
              <w:left w:val="single" w:sz="12" w:space="0" w:color="auto"/>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Prikupljanje podataka</w:t>
            </w:r>
          </w:p>
        </w:tc>
        <w:tc>
          <w:tcPr>
            <w:tcW w:w="1521" w:type="dxa"/>
            <w:tcBorders>
              <w:top w:val="single" w:sz="12" w:space="0" w:color="auto"/>
              <w:left w:val="single" w:sz="12" w:space="0" w:color="auto"/>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Izrada privremene baze podataka</w:t>
            </w:r>
          </w:p>
        </w:tc>
        <w:tc>
          <w:tcPr>
            <w:tcW w:w="1474" w:type="dxa"/>
            <w:tcBorders>
              <w:top w:val="single" w:sz="12" w:space="0" w:color="auto"/>
              <w:left w:val="single" w:sz="12" w:space="0" w:color="auto"/>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Izlaganje podataka</w:t>
            </w:r>
          </w:p>
        </w:tc>
        <w:tc>
          <w:tcPr>
            <w:tcW w:w="1549" w:type="dxa"/>
            <w:tcBorders>
              <w:top w:val="single" w:sz="12" w:space="0" w:color="auto"/>
              <w:left w:val="single" w:sz="12" w:space="0" w:color="auto"/>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Potvrđivanje baze podataka</w:t>
            </w:r>
          </w:p>
        </w:tc>
      </w:tr>
      <w:tr w:rsidR="00DF6DAB" w:rsidRPr="003755A8" w:rsidTr="00DF6DAB">
        <w:trPr>
          <w:jc w:val="center"/>
        </w:trPr>
        <w:tc>
          <w:tcPr>
            <w:tcW w:w="1995" w:type="dxa"/>
            <w:tcBorders>
              <w:top w:val="single" w:sz="12" w:space="0" w:color="auto"/>
              <w:left w:val="single" w:sz="12" w:space="0" w:color="auto"/>
              <w:right w:val="single" w:sz="12" w:space="0" w:color="auto"/>
            </w:tcBorders>
            <w:shd w:val="clear" w:color="auto" w:fill="auto"/>
            <w:vAlign w:val="bottom"/>
          </w:tcPr>
          <w:p w:rsidR="00DF6DAB" w:rsidRPr="003755A8" w:rsidRDefault="00DF6DAB" w:rsidP="00D53D13">
            <w:pPr>
              <w:spacing w:before="0" w:after="0" w:line="240" w:lineRule="auto"/>
              <w:rPr>
                <w:rFonts w:cstheme="minorHAnsi"/>
                <w:szCs w:val="24"/>
              </w:rPr>
            </w:pPr>
            <w:r w:rsidRPr="003755A8">
              <w:rPr>
                <w:rFonts w:cstheme="minorHAnsi"/>
                <w:szCs w:val="24"/>
              </w:rPr>
              <w:t>KRUŠEVO II</w:t>
            </w:r>
          </w:p>
        </w:tc>
        <w:tc>
          <w:tcPr>
            <w:tcW w:w="1534" w:type="dxa"/>
            <w:tcBorders>
              <w:top w:val="single" w:sz="12" w:space="0" w:color="auto"/>
              <w:left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521" w:type="dxa"/>
            <w:tcBorders>
              <w:top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rPr>
            </w:pPr>
            <w:r w:rsidRPr="003755A8">
              <w:rPr>
                <w:rFonts w:cstheme="minorHAnsi"/>
                <w:szCs w:val="24"/>
                <w:highlight w:val="yellow"/>
              </w:rPr>
              <w:t>x</w:t>
            </w:r>
          </w:p>
        </w:tc>
        <w:tc>
          <w:tcPr>
            <w:tcW w:w="1474" w:type="dxa"/>
            <w:tcBorders>
              <w:top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c>
          <w:tcPr>
            <w:tcW w:w="1549" w:type="dxa"/>
            <w:tcBorders>
              <w:top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r>
      <w:tr w:rsidR="00DF6DAB" w:rsidRPr="003755A8" w:rsidTr="00DF6DAB">
        <w:trPr>
          <w:jc w:val="center"/>
        </w:trPr>
        <w:tc>
          <w:tcPr>
            <w:tcW w:w="1995" w:type="dxa"/>
            <w:tcBorders>
              <w:left w:val="single" w:sz="12" w:space="0" w:color="auto"/>
              <w:right w:val="single" w:sz="12" w:space="0" w:color="auto"/>
            </w:tcBorders>
            <w:shd w:val="clear" w:color="auto" w:fill="auto"/>
            <w:vAlign w:val="bottom"/>
          </w:tcPr>
          <w:p w:rsidR="00DF6DAB" w:rsidRPr="003755A8" w:rsidRDefault="00DF6DAB" w:rsidP="00D53D13">
            <w:pPr>
              <w:spacing w:before="0" w:after="0" w:line="240" w:lineRule="auto"/>
              <w:rPr>
                <w:rFonts w:cstheme="minorHAnsi"/>
                <w:szCs w:val="24"/>
              </w:rPr>
            </w:pPr>
            <w:r w:rsidRPr="003755A8">
              <w:rPr>
                <w:rFonts w:cstheme="minorHAnsi"/>
                <w:szCs w:val="24"/>
              </w:rPr>
              <w:t>DOLJA</w:t>
            </w:r>
          </w:p>
        </w:tc>
        <w:tc>
          <w:tcPr>
            <w:tcW w:w="1534" w:type="dxa"/>
            <w:tcBorders>
              <w:left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521" w:type="dxa"/>
            <w:shd w:val="clear" w:color="auto" w:fill="FFFFFF"/>
            <w:vAlign w:val="center"/>
          </w:tcPr>
          <w:p w:rsidR="00DF6DAB" w:rsidRPr="003755A8" w:rsidRDefault="00DF6DAB" w:rsidP="00D53D13">
            <w:pPr>
              <w:spacing w:before="0" w:after="0" w:line="240" w:lineRule="auto"/>
              <w:rPr>
                <w:rFonts w:cstheme="minorHAnsi"/>
                <w:szCs w:val="24"/>
              </w:rPr>
            </w:pPr>
            <w:r w:rsidRPr="003755A8">
              <w:rPr>
                <w:rFonts w:cstheme="minorHAnsi"/>
                <w:szCs w:val="24"/>
                <w:highlight w:val="yellow"/>
              </w:rPr>
              <w:t>x</w:t>
            </w:r>
          </w:p>
        </w:tc>
        <w:tc>
          <w:tcPr>
            <w:tcW w:w="1474" w:type="dxa"/>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highlight w:val="green"/>
              </w:rPr>
              <w:t>x</w:t>
            </w:r>
          </w:p>
        </w:tc>
        <w:tc>
          <w:tcPr>
            <w:tcW w:w="1549" w:type="dxa"/>
            <w:tcBorders>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r>
      <w:tr w:rsidR="00DF6DAB" w:rsidRPr="003755A8" w:rsidTr="00DF6DAB">
        <w:trPr>
          <w:jc w:val="center"/>
        </w:trPr>
        <w:tc>
          <w:tcPr>
            <w:tcW w:w="1995" w:type="dxa"/>
            <w:tcBorders>
              <w:left w:val="single" w:sz="12" w:space="0" w:color="auto"/>
              <w:right w:val="single" w:sz="12" w:space="0" w:color="auto"/>
            </w:tcBorders>
            <w:shd w:val="clear" w:color="auto" w:fill="auto"/>
            <w:vAlign w:val="bottom"/>
          </w:tcPr>
          <w:p w:rsidR="00DF6DAB" w:rsidRPr="003755A8" w:rsidRDefault="00DF6DAB" w:rsidP="00D53D13">
            <w:pPr>
              <w:spacing w:before="0" w:after="0" w:line="240" w:lineRule="auto"/>
              <w:rPr>
                <w:rFonts w:cstheme="minorHAnsi"/>
                <w:szCs w:val="24"/>
              </w:rPr>
            </w:pPr>
            <w:r w:rsidRPr="003755A8">
              <w:rPr>
                <w:rFonts w:cstheme="minorHAnsi"/>
                <w:szCs w:val="24"/>
              </w:rPr>
              <w:t>VUSANJE</w:t>
            </w:r>
          </w:p>
        </w:tc>
        <w:tc>
          <w:tcPr>
            <w:tcW w:w="1534" w:type="dxa"/>
            <w:tcBorders>
              <w:left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521" w:type="dxa"/>
            <w:shd w:val="clear" w:color="auto" w:fill="FFFFFF"/>
            <w:vAlign w:val="center"/>
          </w:tcPr>
          <w:p w:rsidR="00DF6DAB" w:rsidRPr="003755A8" w:rsidRDefault="00DF6DAB" w:rsidP="00D53D13">
            <w:pPr>
              <w:spacing w:before="0" w:after="0" w:line="240" w:lineRule="auto"/>
              <w:rPr>
                <w:rFonts w:cstheme="minorHAnsi"/>
                <w:szCs w:val="24"/>
                <w:highlight w:val="magenta"/>
              </w:rPr>
            </w:pPr>
            <w:r w:rsidRPr="003755A8">
              <w:rPr>
                <w:rFonts w:cstheme="minorHAnsi"/>
                <w:szCs w:val="24"/>
                <w:highlight w:val="lightGray"/>
              </w:rPr>
              <w:t>x</w:t>
            </w:r>
          </w:p>
        </w:tc>
        <w:tc>
          <w:tcPr>
            <w:tcW w:w="1474" w:type="dxa"/>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highlight w:val="lightGray"/>
              </w:rPr>
              <w:t>x</w:t>
            </w:r>
          </w:p>
        </w:tc>
        <w:tc>
          <w:tcPr>
            <w:tcW w:w="1549" w:type="dxa"/>
            <w:tcBorders>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r>
      <w:tr w:rsidR="00DF6DAB" w:rsidRPr="003755A8" w:rsidTr="00DF6DAB">
        <w:trPr>
          <w:jc w:val="center"/>
        </w:trPr>
        <w:tc>
          <w:tcPr>
            <w:tcW w:w="1995" w:type="dxa"/>
            <w:tcBorders>
              <w:left w:val="single" w:sz="12" w:space="0" w:color="auto"/>
              <w:right w:val="single" w:sz="12" w:space="0" w:color="auto"/>
            </w:tcBorders>
            <w:shd w:val="clear" w:color="auto" w:fill="auto"/>
            <w:vAlign w:val="bottom"/>
          </w:tcPr>
          <w:p w:rsidR="00DF6DAB" w:rsidRPr="003755A8" w:rsidRDefault="00DF6DAB" w:rsidP="00D53D13">
            <w:pPr>
              <w:spacing w:before="0" w:after="0" w:line="240" w:lineRule="auto"/>
              <w:rPr>
                <w:rFonts w:cstheme="minorHAnsi"/>
                <w:szCs w:val="24"/>
              </w:rPr>
            </w:pPr>
            <w:r w:rsidRPr="003755A8">
              <w:rPr>
                <w:rFonts w:cstheme="minorHAnsi"/>
                <w:szCs w:val="24"/>
              </w:rPr>
              <w:t>GRNČAR</w:t>
            </w:r>
          </w:p>
        </w:tc>
        <w:tc>
          <w:tcPr>
            <w:tcW w:w="1534" w:type="dxa"/>
            <w:tcBorders>
              <w:left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521" w:type="dxa"/>
            <w:shd w:val="clear" w:color="auto" w:fill="FFFFFF"/>
            <w:vAlign w:val="center"/>
          </w:tcPr>
          <w:p w:rsidR="00DF6DAB" w:rsidRPr="003755A8" w:rsidRDefault="00DF6DAB" w:rsidP="00D53D13">
            <w:pPr>
              <w:spacing w:before="0" w:after="0" w:line="240" w:lineRule="auto"/>
              <w:rPr>
                <w:rFonts w:cstheme="minorHAnsi"/>
                <w:szCs w:val="24"/>
                <w:highlight w:val="yellow"/>
              </w:rPr>
            </w:pPr>
            <w:r w:rsidRPr="003755A8">
              <w:rPr>
                <w:rFonts w:cstheme="minorHAnsi"/>
                <w:szCs w:val="24"/>
                <w:highlight w:val="yellow"/>
              </w:rPr>
              <w:t>x</w:t>
            </w:r>
          </w:p>
        </w:tc>
        <w:tc>
          <w:tcPr>
            <w:tcW w:w="1474" w:type="dxa"/>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c>
          <w:tcPr>
            <w:tcW w:w="1558" w:type="dxa"/>
            <w:tcBorders>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r>
      <w:tr w:rsidR="00DF6DAB" w:rsidRPr="003755A8" w:rsidTr="00DF6DAB">
        <w:trPr>
          <w:jc w:val="center"/>
        </w:trPr>
        <w:tc>
          <w:tcPr>
            <w:tcW w:w="1995" w:type="dxa"/>
            <w:tcBorders>
              <w:left w:val="single" w:sz="12" w:space="0" w:color="auto"/>
              <w:bottom w:val="single" w:sz="12" w:space="0" w:color="auto"/>
              <w:right w:val="single" w:sz="12" w:space="0" w:color="auto"/>
            </w:tcBorders>
            <w:shd w:val="clear" w:color="auto" w:fill="auto"/>
            <w:vAlign w:val="bottom"/>
          </w:tcPr>
          <w:p w:rsidR="00DF6DAB" w:rsidRPr="003755A8" w:rsidRDefault="00DF6DAB" w:rsidP="00D53D13">
            <w:pPr>
              <w:spacing w:before="0" w:after="0" w:line="240" w:lineRule="auto"/>
              <w:rPr>
                <w:rFonts w:cstheme="minorHAnsi"/>
                <w:szCs w:val="24"/>
              </w:rPr>
            </w:pPr>
            <w:r w:rsidRPr="003755A8">
              <w:rPr>
                <w:rFonts w:cstheme="minorHAnsi"/>
                <w:szCs w:val="24"/>
              </w:rPr>
              <w:t>DOSUĐE II</w:t>
            </w:r>
          </w:p>
        </w:tc>
        <w:tc>
          <w:tcPr>
            <w:tcW w:w="1534" w:type="dxa"/>
            <w:tcBorders>
              <w:left w:val="single" w:sz="12" w:space="0" w:color="auto"/>
              <w:bottom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521" w:type="dxa"/>
            <w:tcBorders>
              <w:bottom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magenta"/>
              </w:rPr>
            </w:pPr>
            <w:r w:rsidRPr="003755A8">
              <w:rPr>
                <w:rFonts w:cstheme="minorHAnsi"/>
                <w:szCs w:val="24"/>
                <w:highlight w:val="magenta"/>
              </w:rPr>
              <w:t>x</w:t>
            </w:r>
          </w:p>
        </w:tc>
        <w:tc>
          <w:tcPr>
            <w:tcW w:w="1474" w:type="dxa"/>
            <w:tcBorders>
              <w:bottom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highlight w:val="green"/>
              </w:rPr>
              <w:t>x</w:t>
            </w:r>
          </w:p>
        </w:tc>
        <w:tc>
          <w:tcPr>
            <w:tcW w:w="1549" w:type="dxa"/>
            <w:tcBorders>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r>
    </w:tbl>
    <w:p w:rsidR="00DF6DAB" w:rsidRPr="003755A8" w:rsidRDefault="00DF6DAB" w:rsidP="00D53D13">
      <w:pPr>
        <w:spacing w:before="0" w:after="0" w:line="240" w:lineRule="auto"/>
        <w:rPr>
          <w:rFonts w:cstheme="minorHAnsi"/>
          <w:szCs w:val="24"/>
        </w:rPr>
      </w:pPr>
      <w:r w:rsidRPr="003755A8">
        <w:rPr>
          <w:rFonts w:cstheme="minorHAnsi"/>
          <w:szCs w:val="24"/>
        </w:rPr>
        <w:t xml:space="preserve">  Legenda:</w:t>
      </w:r>
    </w:p>
    <w:p w:rsidR="00DF6DAB" w:rsidRPr="003755A8" w:rsidRDefault="00DF6DAB" w:rsidP="00D53D13">
      <w:pPr>
        <w:spacing w:before="0" w:after="0" w:line="240" w:lineRule="auto"/>
        <w:rPr>
          <w:rFonts w:cstheme="minorHAnsi"/>
          <w:szCs w:val="24"/>
        </w:rPr>
      </w:pPr>
      <w:r w:rsidRPr="003755A8">
        <w:rPr>
          <w:rFonts w:cstheme="minorHAnsi"/>
          <w:szCs w:val="24"/>
        </w:rPr>
        <w:t xml:space="preserve">   </w:t>
      </w:r>
      <w:r w:rsidRPr="003755A8">
        <w:rPr>
          <w:rFonts w:cstheme="minorHAnsi"/>
          <w:szCs w:val="24"/>
          <w:highlight w:val="lightGray"/>
        </w:rPr>
        <w:t>x</w:t>
      </w:r>
      <w:r w:rsidRPr="003755A8">
        <w:rPr>
          <w:rFonts w:cstheme="minorHAnsi"/>
          <w:szCs w:val="24"/>
        </w:rPr>
        <w:t xml:space="preserve">  Završeno u prethodnom periodu </w:t>
      </w:r>
    </w:p>
    <w:p w:rsidR="00DF6DAB" w:rsidRPr="003755A8" w:rsidRDefault="00DF6DAB" w:rsidP="00D53D13">
      <w:pPr>
        <w:spacing w:before="0" w:after="0" w:line="240" w:lineRule="auto"/>
        <w:rPr>
          <w:rFonts w:cstheme="minorHAnsi"/>
          <w:szCs w:val="24"/>
        </w:rPr>
      </w:pPr>
      <w:r w:rsidRPr="003755A8">
        <w:rPr>
          <w:rFonts w:cstheme="minorHAnsi"/>
          <w:szCs w:val="24"/>
        </w:rPr>
        <w:t xml:space="preserve">   </w:t>
      </w:r>
      <w:r w:rsidRPr="003755A8">
        <w:rPr>
          <w:rFonts w:cstheme="minorHAnsi"/>
          <w:szCs w:val="24"/>
          <w:highlight w:val="yellow"/>
        </w:rPr>
        <w:t>x</w:t>
      </w:r>
      <w:r w:rsidRPr="003755A8">
        <w:rPr>
          <w:rFonts w:cstheme="minorHAnsi"/>
          <w:szCs w:val="24"/>
        </w:rPr>
        <w:t xml:space="preserve">  Nastavak aktivnosti iz prethodnog perioda</w:t>
      </w:r>
    </w:p>
    <w:p w:rsidR="00DF6DAB" w:rsidRPr="003755A8" w:rsidRDefault="00DF6DAB" w:rsidP="00D53D13">
      <w:pPr>
        <w:spacing w:before="0" w:after="0" w:line="240" w:lineRule="auto"/>
        <w:rPr>
          <w:rFonts w:cstheme="minorHAnsi"/>
          <w:szCs w:val="24"/>
        </w:rPr>
      </w:pPr>
      <w:r w:rsidRPr="003755A8">
        <w:rPr>
          <w:rFonts w:cstheme="minorHAnsi"/>
          <w:szCs w:val="24"/>
        </w:rPr>
        <w:t xml:space="preserve">   </w:t>
      </w:r>
      <w:r w:rsidRPr="003755A8">
        <w:rPr>
          <w:rFonts w:cstheme="minorHAnsi"/>
          <w:szCs w:val="24"/>
          <w:highlight w:val="green"/>
        </w:rPr>
        <w:t>x</w:t>
      </w:r>
      <w:r w:rsidRPr="003755A8">
        <w:rPr>
          <w:rFonts w:cstheme="minorHAnsi"/>
          <w:szCs w:val="24"/>
        </w:rPr>
        <w:t xml:space="preserve">  Započete aktivnosti u toku 2020. godine</w:t>
      </w:r>
    </w:p>
    <w:p w:rsidR="00DF6DAB" w:rsidRPr="003755A8" w:rsidRDefault="00DF6DAB" w:rsidP="00D53D13">
      <w:pPr>
        <w:spacing w:before="0" w:after="0" w:line="240" w:lineRule="auto"/>
        <w:rPr>
          <w:rFonts w:cstheme="minorHAnsi"/>
          <w:szCs w:val="24"/>
        </w:rPr>
      </w:pPr>
      <w:r w:rsidRPr="003755A8">
        <w:rPr>
          <w:rFonts w:cstheme="minorHAnsi"/>
          <w:szCs w:val="24"/>
        </w:rPr>
        <w:t xml:space="preserve">   </w:t>
      </w:r>
      <w:r w:rsidRPr="003755A8">
        <w:rPr>
          <w:rFonts w:cstheme="minorHAnsi"/>
          <w:szCs w:val="24"/>
          <w:highlight w:val="magenta"/>
        </w:rPr>
        <w:t>x</w:t>
      </w:r>
      <w:r w:rsidRPr="003755A8">
        <w:rPr>
          <w:rFonts w:cstheme="minorHAnsi"/>
          <w:szCs w:val="24"/>
        </w:rPr>
        <w:t xml:space="preserve">  Završene aktivnosti u toku 2020. godine</w:t>
      </w:r>
    </w:p>
    <w:p w:rsidR="00DF6DAB" w:rsidRPr="003755A8" w:rsidRDefault="00DF6DAB" w:rsidP="00D53D13">
      <w:pPr>
        <w:spacing w:before="0" w:after="0" w:line="240" w:lineRule="auto"/>
        <w:rPr>
          <w:rFonts w:cstheme="minorHAnsi"/>
          <w:szCs w:val="24"/>
        </w:rPr>
      </w:pPr>
      <w:r w:rsidRPr="003755A8">
        <w:rPr>
          <w:rFonts w:cstheme="minorHAnsi"/>
          <w:szCs w:val="24"/>
        </w:rPr>
        <w:t xml:space="preserve">   x  Planirane aktivnosti</w:t>
      </w:r>
    </w:p>
    <w:p w:rsidR="00DF6DAB" w:rsidRPr="003755A8" w:rsidRDefault="00DF6DAB" w:rsidP="00D53D13">
      <w:pPr>
        <w:spacing w:before="0" w:after="0" w:line="240" w:lineRule="auto"/>
        <w:rPr>
          <w:rFonts w:cstheme="minorHAnsi"/>
          <w:szCs w:val="24"/>
        </w:rPr>
      </w:pPr>
    </w:p>
    <w:p w:rsidR="00DF6DAB" w:rsidRPr="007D0034" w:rsidRDefault="00DF6DAB" w:rsidP="00D53D13">
      <w:pPr>
        <w:spacing w:before="0" w:after="0" w:line="240" w:lineRule="auto"/>
        <w:rPr>
          <w:rFonts w:cstheme="minorHAnsi"/>
          <w:szCs w:val="24"/>
          <w:u w:val="single"/>
        </w:rPr>
      </w:pPr>
      <w:r w:rsidRPr="007D0034">
        <w:rPr>
          <w:rFonts w:cstheme="minorHAnsi"/>
          <w:szCs w:val="24"/>
          <w:u w:val="single"/>
        </w:rPr>
        <w:t>Opština Pljevlja</w:t>
      </w:r>
    </w:p>
    <w:p w:rsidR="00DF6DAB" w:rsidRPr="003755A8" w:rsidRDefault="00DF6DAB" w:rsidP="007D0034">
      <w:pPr>
        <w:spacing w:after="0" w:line="240" w:lineRule="auto"/>
        <w:ind w:firstLine="709"/>
        <w:rPr>
          <w:rFonts w:cstheme="minorHAnsi"/>
          <w:szCs w:val="24"/>
        </w:rPr>
      </w:pPr>
      <w:bookmarkStart w:id="161" w:name="OLE_LINK8"/>
      <w:bookmarkStart w:id="162" w:name="OLE_LINK25"/>
      <w:bookmarkStart w:id="163" w:name="OLE_LINK26"/>
      <w:r w:rsidRPr="003755A8">
        <w:rPr>
          <w:rFonts w:cstheme="minorHAnsi"/>
          <w:szCs w:val="24"/>
        </w:rPr>
        <w:t>Na teritoriji Opštine Pljevlja, završeno je izlaganje podataka na javni uvid i za jednu preostalu KO dostavljene su žalbe drugostepenom organu.</w:t>
      </w:r>
    </w:p>
    <w:p w:rsidR="00DF6DAB" w:rsidRPr="003755A8" w:rsidRDefault="00DF6DAB" w:rsidP="00D53D13">
      <w:pPr>
        <w:spacing w:before="0" w:after="0" w:line="240" w:lineRule="auto"/>
        <w:rPr>
          <w:rFonts w:cstheme="minorHAnsi"/>
          <w:szCs w:val="24"/>
        </w:rPr>
      </w:pPr>
      <w:bookmarkStart w:id="164" w:name="OLE_LINK3"/>
      <w:bookmarkStart w:id="165" w:name="OLE_LINK7"/>
      <w:bookmarkEnd w:id="161"/>
      <w:bookmarkEnd w:id="162"/>
      <w:bookmarkEnd w:id="163"/>
      <w:r w:rsidRPr="003755A8">
        <w:rPr>
          <w:rFonts w:cstheme="minorHAnsi"/>
          <w:szCs w:val="24"/>
        </w:rPr>
        <w:t>Za potrebe Izlaganja podataka za navedene katastarske opštine na teritoriji Opštine Pljevlja, angažovana jedna Komisij</w:t>
      </w:r>
      <w:bookmarkEnd w:id="164"/>
      <w:bookmarkEnd w:id="165"/>
      <w:r w:rsidRPr="003755A8">
        <w:rPr>
          <w:rFonts w:cstheme="minorHAnsi"/>
          <w:szCs w:val="24"/>
        </w:rPr>
        <w:t>e.</w:t>
      </w:r>
    </w:p>
    <w:p w:rsidR="00DF6DAB" w:rsidRPr="003755A8" w:rsidRDefault="00DF6DAB" w:rsidP="00D53D13">
      <w:pPr>
        <w:spacing w:before="0" w:after="0" w:line="240" w:lineRule="auto"/>
        <w:rPr>
          <w:rFonts w:cstheme="minorHAnsi"/>
          <w:szCs w:val="24"/>
        </w:rPr>
      </w:pPr>
    </w:p>
    <w:p w:rsidR="00DF6DAB" w:rsidRPr="003755A8" w:rsidRDefault="00DF6DAB" w:rsidP="007D0034">
      <w:pPr>
        <w:spacing w:before="0" w:after="0" w:line="240" w:lineRule="auto"/>
        <w:jc w:val="center"/>
        <w:rPr>
          <w:rFonts w:cstheme="minorHAnsi"/>
          <w:szCs w:val="24"/>
        </w:rPr>
      </w:pPr>
      <w:r w:rsidRPr="003755A8">
        <w:rPr>
          <w:rFonts w:cstheme="minorHAnsi"/>
          <w:szCs w:val="24"/>
        </w:rPr>
        <w:t>Tabela 2.9. Pregled izvršenih radova na osnivanju evidencije katastra nepokretnosti u okviru projekta za Opštinu Pljevlja</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70"/>
        <w:gridCol w:w="1530"/>
        <w:gridCol w:w="1661"/>
        <w:gridCol w:w="1474"/>
        <w:gridCol w:w="1679"/>
      </w:tblGrid>
      <w:tr w:rsidR="00DF6DAB" w:rsidRPr="003755A8" w:rsidTr="00DF6DAB">
        <w:trPr>
          <w:trHeight w:val="431"/>
          <w:jc w:val="center"/>
        </w:trPr>
        <w:tc>
          <w:tcPr>
            <w:tcW w:w="8014" w:type="dxa"/>
            <w:gridSpan w:val="5"/>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PLJEVLJA</w:t>
            </w:r>
          </w:p>
        </w:tc>
      </w:tr>
      <w:tr w:rsidR="00DF6DAB" w:rsidRPr="003755A8" w:rsidTr="00DF6DAB">
        <w:trPr>
          <w:jc w:val="center"/>
        </w:trPr>
        <w:tc>
          <w:tcPr>
            <w:tcW w:w="1670" w:type="dxa"/>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Naziv KO</w:t>
            </w:r>
          </w:p>
        </w:tc>
        <w:tc>
          <w:tcPr>
            <w:tcW w:w="1530" w:type="dxa"/>
            <w:tcBorders>
              <w:bottom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Prikupljanje podataka</w:t>
            </w:r>
          </w:p>
        </w:tc>
        <w:tc>
          <w:tcPr>
            <w:tcW w:w="1661" w:type="dxa"/>
            <w:tcBorders>
              <w:bottom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Izrada privremene baze podataka</w:t>
            </w:r>
          </w:p>
        </w:tc>
        <w:tc>
          <w:tcPr>
            <w:tcW w:w="1474" w:type="dxa"/>
            <w:tcBorders>
              <w:bottom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Izlaganje podataka</w:t>
            </w:r>
          </w:p>
        </w:tc>
        <w:tc>
          <w:tcPr>
            <w:tcW w:w="1679" w:type="dxa"/>
            <w:tcBorders>
              <w:bottom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Potvrđivanje baze podataka</w:t>
            </w:r>
          </w:p>
        </w:tc>
      </w:tr>
      <w:tr w:rsidR="00DF6DAB" w:rsidRPr="003755A8" w:rsidTr="00DF6DAB">
        <w:trPr>
          <w:jc w:val="center"/>
        </w:trPr>
        <w:tc>
          <w:tcPr>
            <w:tcW w:w="1670" w:type="dxa"/>
            <w:shd w:val="clear" w:color="auto" w:fill="auto"/>
            <w:vAlign w:val="bottom"/>
          </w:tcPr>
          <w:p w:rsidR="00DF6DAB" w:rsidRPr="003755A8" w:rsidRDefault="00DF6DAB" w:rsidP="00D53D13">
            <w:pPr>
              <w:spacing w:before="0" w:after="0" w:line="240" w:lineRule="auto"/>
              <w:rPr>
                <w:rFonts w:cstheme="minorHAnsi"/>
                <w:szCs w:val="24"/>
              </w:rPr>
            </w:pPr>
            <w:bookmarkStart w:id="166" w:name="_Hlk504775607"/>
            <w:r w:rsidRPr="003755A8">
              <w:rPr>
                <w:rFonts w:cstheme="minorHAnsi"/>
                <w:szCs w:val="24"/>
              </w:rPr>
              <w:t>POBLAĆE</w:t>
            </w:r>
          </w:p>
        </w:tc>
        <w:tc>
          <w:tcPr>
            <w:tcW w:w="1530" w:type="dxa"/>
            <w:tcBorders>
              <w:right w:val="single" w:sz="6"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661" w:type="dxa"/>
            <w:tcBorders>
              <w:left w:val="single" w:sz="6" w:space="0" w:color="auto"/>
              <w:right w:val="single" w:sz="6"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474" w:type="dxa"/>
            <w:tcBorders>
              <w:left w:val="single" w:sz="6" w:space="0" w:color="auto"/>
              <w:right w:val="single" w:sz="6"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magenta"/>
              </w:rPr>
            </w:pPr>
            <w:r w:rsidRPr="003755A8">
              <w:rPr>
                <w:rFonts w:cstheme="minorHAnsi"/>
                <w:szCs w:val="24"/>
                <w:highlight w:val="lightGray"/>
              </w:rPr>
              <w:t>x</w:t>
            </w:r>
          </w:p>
        </w:tc>
        <w:tc>
          <w:tcPr>
            <w:tcW w:w="1679" w:type="dxa"/>
            <w:tcBorders>
              <w:left w:val="single" w:sz="6" w:space="0" w:color="auto"/>
            </w:tcBorders>
            <w:shd w:val="clear" w:color="auto" w:fill="auto"/>
          </w:tcPr>
          <w:p w:rsidR="00DF6DAB" w:rsidRPr="003755A8" w:rsidRDefault="00DF6DAB" w:rsidP="00D53D13">
            <w:pPr>
              <w:spacing w:before="0" w:after="0" w:line="240" w:lineRule="auto"/>
              <w:rPr>
                <w:rFonts w:cstheme="minorHAnsi"/>
                <w:szCs w:val="24"/>
              </w:rPr>
            </w:pPr>
            <w:r w:rsidRPr="003755A8">
              <w:rPr>
                <w:rFonts w:cstheme="minorHAnsi"/>
                <w:szCs w:val="24"/>
                <w:highlight w:val="lightGray"/>
              </w:rPr>
              <w:t>x</w:t>
            </w:r>
          </w:p>
        </w:tc>
      </w:tr>
    </w:tbl>
    <w:bookmarkEnd w:id="166"/>
    <w:p w:rsidR="007D0034" w:rsidRDefault="00DF6DAB" w:rsidP="00D53D13">
      <w:pPr>
        <w:spacing w:before="0" w:after="0" w:line="240" w:lineRule="auto"/>
        <w:rPr>
          <w:rFonts w:cstheme="minorHAnsi"/>
          <w:szCs w:val="24"/>
        </w:rPr>
      </w:pPr>
      <w:r w:rsidRPr="003755A8">
        <w:rPr>
          <w:rFonts w:cstheme="minorHAnsi"/>
          <w:szCs w:val="24"/>
        </w:rPr>
        <w:lastRenderedPageBreak/>
        <w:t xml:space="preserve">  </w:t>
      </w:r>
    </w:p>
    <w:p w:rsidR="00DF6DAB" w:rsidRPr="003755A8" w:rsidRDefault="00DF6DAB" w:rsidP="00D53D13">
      <w:pPr>
        <w:spacing w:before="0" w:after="0" w:line="240" w:lineRule="auto"/>
        <w:rPr>
          <w:rFonts w:cstheme="minorHAnsi"/>
          <w:szCs w:val="24"/>
        </w:rPr>
      </w:pPr>
      <w:r w:rsidRPr="003755A8">
        <w:rPr>
          <w:rFonts w:cstheme="minorHAnsi"/>
          <w:szCs w:val="24"/>
        </w:rPr>
        <w:t>Legenda:</w:t>
      </w:r>
    </w:p>
    <w:p w:rsidR="00DF6DAB" w:rsidRPr="003755A8" w:rsidRDefault="00DF6DAB" w:rsidP="00D53D13">
      <w:pPr>
        <w:spacing w:before="0" w:after="0" w:line="240" w:lineRule="auto"/>
        <w:rPr>
          <w:rFonts w:cstheme="minorHAnsi"/>
          <w:szCs w:val="24"/>
        </w:rPr>
      </w:pPr>
      <w:r w:rsidRPr="003755A8">
        <w:rPr>
          <w:rFonts w:cstheme="minorHAnsi"/>
          <w:szCs w:val="24"/>
        </w:rPr>
        <w:t xml:space="preserve">   </w:t>
      </w:r>
      <w:r w:rsidRPr="003755A8">
        <w:rPr>
          <w:rFonts w:cstheme="minorHAnsi"/>
          <w:szCs w:val="24"/>
          <w:highlight w:val="lightGray"/>
        </w:rPr>
        <w:t>x</w:t>
      </w:r>
      <w:r w:rsidRPr="003755A8">
        <w:rPr>
          <w:rFonts w:cstheme="minorHAnsi"/>
          <w:szCs w:val="24"/>
        </w:rPr>
        <w:t xml:space="preserve">  Završeno u prethodnom periodu </w:t>
      </w:r>
    </w:p>
    <w:p w:rsidR="00DF6DAB" w:rsidRPr="003755A8" w:rsidRDefault="00DF6DAB" w:rsidP="00D53D13">
      <w:pPr>
        <w:spacing w:before="0" w:after="0" w:line="240" w:lineRule="auto"/>
        <w:rPr>
          <w:rFonts w:cstheme="minorHAnsi"/>
          <w:szCs w:val="24"/>
        </w:rPr>
      </w:pPr>
      <w:r w:rsidRPr="003755A8">
        <w:rPr>
          <w:rFonts w:cstheme="minorHAnsi"/>
          <w:szCs w:val="24"/>
        </w:rPr>
        <w:t xml:space="preserve">   </w:t>
      </w:r>
      <w:r w:rsidRPr="003755A8">
        <w:rPr>
          <w:rFonts w:cstheme="minorHAnsi"/>
          <w:szCs w:val="24"/>
          <w:highlight w:val="magenta"/>
        </w:rPr>
        <w:t>x</w:t>
      </w:r>
      <w:r w:rsidRPr="003755A8">
        <w:rPr>
          <w:rFonts w:cstheme="minorHAnsi"/>
          <w:szCs w:val="24"/>
        </w:rPr>
        <w:t xml:space="preserve">  Završene aktivnosti u toku 2020. godine</w:t>
      </w:r>
    </w:p>
    <w:p w:rsidR="00DF6DAB" w:rsidRPr="003755A8" w:rsidRDefault="00DF6DAB" w:rsidP="00D53D13">
      <w:pPr>
        <w:spacing w:before="0" w:after="0" w:line="240" w:lineRule="auto"/>
        <w:rPr>
          <w:rFonts w:cstheme="minorHAnsi"/>
          <w:szCs w:val="24"/>
        </w:rPr>
      </w:pPr>
      <w:r w:rsidRPr="003755A8">
        <w:rPr>
          <w:rFonts w:cstheme="minorHAnsi"/>
          <w:szCs w:val="24"/>
        </w:rPr>
        <w:t xml:space="preserve">   x  Planirane aktivnosti</w:t>
      </w:r>
    </w:p>
    <w:p w:rsidR="00DF6DAB" w:rsidRPr="003755A8" w:rsidRDefault="00DF6DAB" w:rsidP="00D53D13">
      <w:pPr>
        <w:spacing w:before="0" w:after="0" w:line="240" w:lineRule="auto"/>
        <w:rPr>
          <w:rFonts w:cstheme="minorHAnsi"/>
          <w:szCs w:val="24"/>
        </w:rPr>
      </w:pPr>
    </w:p>
    <w:p w:rsidR="00DF6DAB" w:rsidRPr="007D0034" w:rsidRDefault="00DF6DAB" w:rsidP="00D53D13">
      <w:pPr>
        <w:spacing w:before="0" w:after="0" w:line="240" w:lineRule="auto"/>
        <w:rPr>
          <w:rFonts w:cstheme="minorHAnsi"/>
          <w:szCs w:val="24"/>
          <w:u w:val="single"/>
        </w:rPr>
      </w:pPr>
      <w:r w:rsidRPr="007D0034">
        <w:rPr>
          <w:rFonts w:cstheme="minorHAnsi"/>
          <w:szCs w:val="24"/>
          <w:u w:val="single"/>
        </w:rPr>
        <w:t>Opština Rožaje</w:t>
      </w:r>
    </w:p>
    <w:p w:rsidR="00DF6DAB" w:rsidRPr="003755A8" w:rsidRDefault="00DF6DAB" w:rsidP="007D0034">
      <w:pPr>
        <w:spacing w:after="0" w:line="240" w:lineRule="auto"/>
        <w:ind w:firstLine="709"/>
        <w:rPr>
          <w:rFonts w:cstheme="minorHAnsi"/>
          <w:szCs w:val="24"/>
        </w:rPr>
      </w:pPr>
      <w:r w:rsidRPr="003755A8">
        <w:rPr>
          <w:rFonts w:cstheme="minorHAnsi"/>
          <w:szCs w:val="24"/>
        </w:rPr>
        <w:t>Na teritoriji Opštine Rožaje, u okviru nastavka realizacije Projekta osnivanja evidencije katastra nepokretnosti, rađeni su sljedeći poslovi:</w:t>
      </w:r>
    </w:p>
    <w:p w:rsidR="00DF6DAB" w:rsidRPr="003755A8" w:rsidRDefault="007D0034" w:rsidP="00D53D13">
      <w:pPr>
        <w:spacing w:before="0" w:after="0" w:line="240" w:lineRule="auto"/>
        <w:rPr>
          <w:rFonts w:cstheme="minorHAnsi"/>
          <w:szCs w:val="24"/>
        </w:rPr>
      </w:pPr>
      <w:r>
        <w:rPr>
          <w:rFonts w:cstheme="minorHAnsi"/>
          <w:szCs w:val="24"/>
        </w:rPr>
        <w:t xml:space="preserve"> - </w:t>
      </w:r>
      <w:r w:rsidR="00DF6DAB" w:rsidRPr="003755A8">
        <w:rPr>
          <w:rFonts w:cstheme="minorHAnsi"/>
          <w:szCs w:val="24"/>
        </w:rPr>
        <w:t xml:space="preserve">katastarsko klasiranje; </w:t>
      </w:r>
    </w:p>
    <w:p w:rsidR="00DF6DAB" w:rsidRPr="003755A8" w:rsidRDefault="007D0034" w:rsidP="00D53D13">
      <w:pPr>
        <w:spacing w:before="0" w:after="0" w:line="240" w:lineRule="auto"/>
        <w:rPr>
          <w:rFonts w:cstheme="minorHAnsi"/>
          <w:szCs w:val="24"/>
        </w:rPr>
      </w:pPr>
      <w:r>
        <w:rPr>
          <w:rFonts w:cstheme="minorHAnsi"/>
          <w:szCs w:val="24"/>
        </w:rPr>
        <w:t xml:space="preserve"> - </w:t>
      </w:r>
      <w:r w:rsidR="00DF6DAB" w:rsidRPr="003755A8">
        <w:rPr>
          <w:rFonts w:cstheme="minorHAnsi"/>
          <w:szCs w:val="24"/>
        </w:rPr>
        <w:t>izrada privremene baze podataka;</w:t>
      </w:r>
    </w:p>
    <w:p w:rsidR="00DF6DAB" w:rsidRPr="003755A8" w:rsidRDefault="007D0034" w:rsidP="00D53D13">
      <w:pPr>
        <w:spacing w:before="0" w:after="0" w:line="240" w:lineRule="auto"/>
        <w:rPr>
          <w:rFonts w:cstheme="minorHAnsi"/>
          <w:szCs w:val="24"/>
        </w:rPr>
      </w:pPr>
      <w:r>
        <w:rPr>
          <w:rFonts w:cstheme="minorHAnsi"/>
          <w:szCs w:val="24"/>
        </w:rPr>
        <w:t xml:space="preserve"> - </w:t>
      </w:r>
      <w:r w:rsidR="00DF6DAB" w:rsidRPr="003755A8">
        <w:rPr>
          <w:rFonts w:cstheme="minorHAnsi"/>
          <w:szCs w:val="24"/>
        </w:rPr>
        <w:t>izlaganje podataka;</w:t>
      </w:r>
    </w:p>
    <w:p w:rsidR="00DF6DAB" w:rsidRPr="003755A8" w:rsidRDefault="007D0034" w:rsidP="00D53D13">
      <w:pPr>
        <w:spacing w:before="0" w:after="0" w:line="240" w:lineRule="auto"/>
        <w:rPr>
          <w:rFonts w:cstheme="minorHAnsi"/>
          <w:szCs w:val="24"/>
        </w:rPr>
      </w:pPr>
      <w:r>
        <w:rPr>
          <w:rFonts w:cstheme="minorHAnsi"/>
          <w:szCs w:val="24"/>
        </w:rPr>
        <w:t xml:space="preserve"> - </w:t>
      </w:r>
      <w:r w:rsidR="00DF6DAB" w:rsidRPr="003755A8">
        <w:rPr>
          <w:rFonts w:cstheme="minorHAnsi"/>
          <w:szCs w:val="24"/>
        </w:rPr>
        <w:t>potvrđivanje baze podataka.</w:t>
      </w:r>
    </w:p>
    <w:p w:rsidR="00DF6DAB" w:rsidRPr="003755A8" w:rsidRDefault="00DF6DAB" w:rsidP="007D0034">
      <w:pPr>
        <w:spacing w:before="0" w:after="0" w:line="240" w:lineRule="auto"/>
        <w:ind w:firstLine="709"/>
        <w:rPr>
          <w:rFonts w:cstheme="minorHAnsi"/>
          <w:szCs w:val="24"/>
        </w:rPr>
      </w:pPr>
      <w:bookmarkStart w:id="167" w:name="OLE_LINK27"/>
      <w:bookmarkStart w:id="168" w:name="OLE_LINK28"/>
      <w:bookmarkStart w:id="169" w:name="OLE_LINK40"/>
      <w:r w:rsidRPr="003755A8">
        <w:rPr>
          <w:rFonts w:cstheme="minorHAnsi"/>
          <w:szCs w:val="24"/>
        </w:rPr>
        <w:t>Za potrebe Izlaganja podataka za navedene katastarske opštine na teritoriji Opštine Rožaje, angažovane dvije Komisije.</w:t>
      </w:r>
    </w:p>
    <w:bookmarkEnd w:id="167"/>
    <w:bookmarkEnd w:id="168"/>
    <w:bookmarkEnd w:id="169"/>
    <w:p w:rsidR="00DF6DAB" w:rsidRPr="003755A8" w:rsidRDefault="00DF6DAB" w:rsidP="00D53D13">
      <w:pPr>
        <w:spacing w:before="0" w:after="0" w:line="240" w:lineRule="auto"/>
        <w:rPr>
          <w:rFonts w:cstheme="minorHAnsi"/>
          <w:szCs w:val="24"/>
        </w:rPr>
      </w:pPr>
    </w:p>
    <w:p w:rsidR="00DF6DAB" w:rsidRPr="003755A8" w:rsidRDefault="00DF6DAB" w:rsidP="007D0034">
      <w:pPr>
        <w:spacing w:before="0" w:after="0" w:line="240" w:lineRule="auto"/>
        <w:jc w:val="center"/>
        <w:rPr>
          <w:rFonts w:cstheme="minorHAnsi"/>
          <w:szCs w:val="24"/>
        </w:rPr>
      </w:pPr>
      <w:r w:rsidRPr="003755A8">
        <w:rPr>
          <w:rFonts w:cstheme="minorHAnsi"/>
          <w:szCs w:val="24"/>
        </w:rPr>
        <w:t>Tabela 2.10. Pregled izvršenih radova na osnivanju evidencije katastra nepokretnosti u okviru već započetog projekta za Opštinu Rožaje</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95"/>
        <w:gridCol w:w="1534"/>
        <w:gridCol w:w="1521"/>
        <w:gridCol w:w="1474"/>
        <w:gridCol w:w="1471"/>
      </w:tblGrid>
      <w:tr w:rsidR="00DF6DAB" w:rsidRPr="003755A8" w:rsidTr="00DF6DAB">
        <w:trPr>
          <w:trHeight w:val="404"/>
          <w:jc w:val="center"/>
        </w:trPr>
        <w:tc>
          <w:tcPr>
            <w:tcW w:w="7995" w:type="dxa"/>
            <w:gridSpan w:val="5"/>
            <w:tcBorders>
              <w:top w:val="single" w:sz="12" w:space="0" w:color="auto"/>
              <w:left w:val="single" w:sz="12" w:space="0" w:color="auto"/>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ROŽAJE</w:t>
            </w:r>
          </w:p>
        </w:tc>
      </w:tr>
      <w:tr w:rsidR="00DF6DAB" w:rsidRPr="003755A8" w:rsidTr="00DF6DAB">
        <w:trPr>
          <w:jc w:val="center"/>
        </w:trPr>
        <w:tc>
          <w:tcPr>
            <w:tcW w:w="1995" w:type="dxa"/>
            <w:tcBorders>
              <w:top w:val="single" w:sz="12" w:space="0" w:color="auto"/>
              <w:left w:val="single" w:sz="12" w:space="0" w:color="auto"/>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Naziv KO</w:t>
            </w:r>
          </w:p>
        </w:tc>
        <w:tc>
          <w:tcPr>
            <w:tcW w:w="1534" w:type="dxa"/>
            <w:tcBorders>
              <w:top w:val="single" w:sz="12" w:space="0" w:color="auto"/>
              <w:left w:val="single" w:sz="12" w:space="0" w:color="auto"/>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Prikupljanje podataka</w:t>
            </w:r>
          </w:p>
        </w:tc>
        <w:tc>
          <w:tcPr>
            <w:tcW w:w="1521" w:type="dxa"/>
            <w:tcBorders>
              <w:top w:val="single" w:sz="12" w:space="0" w:color="auto"/>
              <w:left w:val="single" w:sz="12" w:space="0" w:color="auto"/>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Izrada privremene baze podataka</w:t>
            </w:r>
          </w:p>
        </w:tc>
        <w:tc>
          <w:tcPr>
            <w:tcW w:w="1474" w:type="dxa"/>
            <w:tcBorders>
              <w:top w:val="single" w:sz="12" w:space="0" w:color="auto"/>
              <w:left w:val="single" w:sz="12" w:space="0" w:color="auto"/>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Izlaganje podataka</w:t>
            </w:r>
          </w:p>
        </w:tc>
        <w:tc>
          <w:tcPr>
            <w:tcW w:w="1471" w:type="dxa"/>
            <w:tcBorders>
              <w:top w:val="single" w:sz="12" w:space="0" w:color="auto"/>
              <w:left w:val="single" w:sz="12" w:space="0" w:color="auto"/>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Potvrđivanje baze podataka</w:t>
            </w:r>
          </w:p>
        </w:tc>
      </w:tr>
      <w:tr w:rsidR="00DF6DAB" w:rsidRPr="003755A8" w:rsidTr="00DF6DAB">
        <w:trPr>
          <w:jc w:val="center"/>
        </w:trPr>
        <w:tc>
          <w:tcPr>
            <w:tcW w:w="1995" w:type="dxa"/>
            <w:tcBorders>
              <w:top w:val="single" w:sz="12" w:space="0" w:color="auto"/>
              <w:left w:val="single" w:sz="12" w:space="0" w:color="auto"/>
              <w:right w:val="single" w:sz="12" w:space="0" w:color="auto"/>
            </w:tcBorders>
            <w:shd w:val="clear" w:color="auto" w:fill="auto"/>
            <w:vAlign w:val="bottom"/>
          </w:tcPr>
          <w:p w:rsidR="00DF6DAB" w:rsidRPr="003755A8" w:rsidRDefault="00DF6DAB" w:rsidP="00D53D13">
            <w:pPr>
              <w:spacing w:before="0" w:after="0" w:line="240" w:lineRule="auto"/>
              <w:rPr>
                <w:rFonts w:cstheme="minorHAnsi"/>
                <w:szCs w:val="24"/>
              </w:rPr>
            </w:pPr>
            <w:r w:rsidRPr="003755A8">
              <w:rPr>
                <w:rFonts w:cstheme="minorHAnsi"/>
                <w:szCs w:val="24"/>
              </w:rPr>
              <w:t>BAĆ</w:t>
            </w:r>
          </w:p>
        </w:tc>
        <w:tc>
          <w:tcPr>
            <w:tcW w:w="1534" w:type="dxa"/>
            <w:tcBorders>
              <w:top w:val="single" w:sz="12" w:space="0" w:color="auto"/>
              <w:left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521" w:type="dxa"/>
            <w:tcBorders>
              <w:top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rPr>
            </w:pPr>
            <w:r w:rsidRPr="003755A8">
              <w:rPr>
                <w:rFonts w:cstheme="minorHAnsi"/>
                <w:szCs w:val="24"/>
                <w:highlight w:val="yellow"/>
              </w:rPr>
              <w:t>x</w:t>
            </w:r>
          </w:p>
        </w:tc>
        <w:tc>
          <w:tcPr>
            <w:tcW w:w="1474" w:type="dxa"/>
            <w:tcBorders>
              <w:top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highlight w:val="green"/>
              </w:rPr>
              <w:t>x</w:t>
            </w:r>
          </w:p>
        </w:tc>
        <w:tc>
          <w:tcPr>
            <w:tcW w:w="1471" w:type="dxa"/>
            <w:tcBorders>
              <w:top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r>
      <w:tr w:rsidR="00DF6DAB" w:rsidRPr="003755A8" w:rsidTr="00DF6DAB">
        <w:trPr>
          <w:jc w:val="center"/>
        </w:trPr>
        <w:tc>
          <w:tcPr>
            <w:tcW w:w="1995" w:type="dxa"/>
            <w:tcBorders>
              <w:left w:val="single" w:sz="12" w:space="0" w:color="auto"/>
              <w:right w:val="single" w:sz="12" w:space="0" w:color="auto"/>
            </w:tcBorders>
            <w:shd w:val="clear" w:color="auto" w:fill="auto"/>
            <w:vAlign w:val="bottom"/>
          </w:tcPr>
          <w:p w:rsidR="00DF6DAB" w:rsidRPr="003755A8" w:rsidRDefault="00DF6DAB" w:rsidP="00D53D13">
            <w:pPr>
              <w:spacing w:before="0" w:after="0" w:line="240" w:lineRule="auto"/>
              <w:rPr>
                <w:rFonts w:cstheme="minorHAnsi"/>
                <w:szCs w:val="24"/>
              </w:rPr>
            </w:pPr>
            <w:r w:rsidRPr="003755A8">
              <w:rPr>
                <w:rFonts w:cstheme="minorHAnsi"/>
                <w:szCs w:val="24"/>
              </w:rPr>
              <w:t>BALOTIĆE</w:t>
            </w:r>
          </w:p>
        </w:tc>
        <w:tc>
          <w:tcPr>
            <w:tcW w:w="1534" w:type="dxa"/>
            <w:tcBorders>
              <w:left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521" w:type="dxa"/>
            <w:shd w:val="clear" w:color="auto" w:fill="FFFFFF"/>
            <w:vAlign w:val="center"/>
          </w:tcPr>
          <w:p w:rsidR="00DF6DAB" w:rsidRPr="003755A8" w:rsidRDefault="00DF6DAB" w:rsidP="00D53D13">
            <w:pPr>
              <w:spacing w:before="0" w:after="0" w:line="240" w:lineRule="auto"/>
              <w:rPr>
                <w:rFonts w:cstheme="minorHAnsi"/>
                <w:szCs w:val="24"/>
              </w:rPr>
            </w:pPr>
            <w:r w:rsidRPr="003755A8">
              <w:rPr>
                <w:rFonts w:cstheme="minorHAnsi"/>
                <w:szCs w:val="24"/>
                <w:highlight w:val="yellow"/>
              </w:rPr>
              <w:t>x</w:t>
            </w:r>
          </w:p>
        </w:tc>
        <w:tc>
          <w:tcPr>
            <w:tcW w:w="1474" w:type="dxa"/>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c>
          <w:tcPr>
            <w:tcW w:w="1471" w:type="dxa"/>
            <w:tcBorders>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r>
      <w:tr w:rsidR="00DF6DAB" w:rsidRPr="003755A8" w:rsidTr="00DF6DAB">
        <w:trPr>
          <w:jc w:val="center"/>
        </w:trPr>
        <w:tc>
          <w:tcPr>
            <w:tcW w:w="1995" w:type="dxa"/>
            <w:tcBorders>
              <w:left w:val="single" w:sz="12" w:space="0" w:color="auto"/>
              <w:right w:val="single" w:sz="12" w:space="0" w:color="auto"/>
            </w:tcBorders>
            <w:shd w:val="clear" w:color="auto" w:fill="auto"/>
            <w:vAlign w:val="bottom"/>
          </w:tcPr>
          <w:p w:rsidR="00DF6DAB" w:rsidRPr="003755A8" w:rsidRDefault="00DF6DAB" w:rsidP="00D53D13">
            <w:pPr>
              <w:spacing w:before="0" w:after="0" w:line="240" w:lineRule="auto"/>
              <w:rPr>
                <w:rFonts w:cstheme="minorHAnsi"/>
                <w:szCs w:val="24"/>
              </w:rPr>
            </w:pPr>
            <w:r w:rsidRPr="003755A8">
              <w:rPr>
                <w:rFonts w:cstheme="minorHAnsi"/>
                <w:szCs w:val="24"/>
              </w:rPr>
              <w:t>BESNIK</w:t>
            </w:r>
          </w:p>
        </w:tc>
        <w:tc>
          <w:tcPr>
            <w:tcW w:w="1534" w:type="dxa"/>
            <w:tcBorders>
              <w:left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521" w:type="dxa"/>
            <w:shd w:val="clear" w:color="auto" w:fill="FFFFFF"/>
            <w:vAlign w:val="center"/>
          </w:tcPr>
          <w:p w:rsidR="00DF6DAB" w:rsidRPr="003755A8" w:rsidRDefault="00DF6DAB" w:rsidP="00D53D13">
            <w:pPr>
              <w:spacing w:before="0" w:after="0" w:line="240" w:lineRule="auto"/>
              <w:rPr>
                <w:rFonts w:cstheme="minorHAnsi"/>
                <w:szCs w:val="24"/>
              </w:rPr>
            </w:pPr>
            <w:r w:rsidRPr="003755A8">
              <w:rPr>
                <w:rFonts w:cstheme="minorHAnsi"/>
                <w:szCs w:val="24"/>
                <w:highlight w:val="yellow"/>
              </w:rPr>
              <w:t>x</w:t>
            </w:r>
          </w:p>
        </w:tc>
        <w:tc>
          <w:tcPr>
            <w:tcW w:w="1474" w:type="dxa"/>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c>
          <w:tcPr>
            <w:tcW w:w="1471" w:type="dxa"/>
            <w:tcBorders>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r>
      <w:tr w:rsidR="00DF6DAB" w:rsidRPr="003755A8" w:rsidTr="00DF6DAB">
        <w:trPr>
          <w:jc w:val="center"/>
        </w:trPr>
        <w:tc>
          <w:tcPr>
            <w:tcW w:w="1995" w:type="dxa"/>
            <w:tcBorders>
              <w:left w:val="single" w:sz="12" w:space="0" w:color="auto"/>
              <w:right w:val="single" w:sz="12" w:space="0" w:color="auto"/>
            </w:tcBorders>
            <w:shd w:val="clear" w:color="auto" w:fill="auto"/>
            <w:vAlign w:val="bottom"/>
          </w:tcPr>
          <w:p w:rsidR="00DF6DAB" w:rsidRPr="003755A8" w:rsidRDefault="00DF6DAB" w:rsidP="00D53D13">
            <w:pPr>
              <w:spacing w:before="0" w:after="0" w:line="240" w:lineRule="auto"/>
              <w:rPr>
                <w:rFonts w:cstheme="minorHAnsi"/>
                <w:szCs w:val="24"/>
              </w:rPr>
            </w:pPr>
            <w:r w:rsidRPr="003755A8">
              <w:rPr>
                <w:rFonts w:cstheme="minorHAnsi"/>
                <w:szCs w:val="24"/>
              </w:rPr>
              <w:t>BIŠEVO</w:t>
            </w:r>
          </w:p>
        </w:tc>
        <w:tc>
          <w:tcPr>
            <w:tcW w:w="1534" w:type="dxa"/>
            <w:tcBorders>
              <w:left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521" w:type="dxa"/>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474" w:type="dxa"/>
            <w:shd w:val="clear" w:color="auto" w:fill="auto"/>
            <w:vAlign w:val="center"/>
          </w:tcPr>
          <w:p w:rsidR="00DF6DAB" w:rsidRPr="003755A8" w:rsidRDefault="00DF6DAB" w:rsidP="00D53D13">
            <w:pPr>
              <w:spacing w:before="0" w:after="0" w:line="240" w:lineRule="auto"/>
              <w:rPr>
                <w:rFonts w:cstheme="minorHAnsi"/>
                <w:szCs w:val="24"/>
                <w:highlight w:val="yellow"/>
              </w:rPr>
            </w:pPr>
            <w:r w:rsidRPr="003755A8">
              <w:rPr>
                <w:rFonts w:cstheme="minorHAnsi"/>
                <w:szCs w:val="24"/>
                <w:highlight w:val="yellow"/>
              </w:rPr>
              <w:t>x</w:t>
            </w:r>
          </w:p>
        </w:tc>
        <w:tc>
          <w:tcPr>
            <w:tcW w:w="1471" w:type="dxa"/>
            <w:tcBorders>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r>
      <w:tr w:rsidR="00DF6DAB" w:rsidRPr="003755A8" w:rsidTr="00DF6DAB">
        <w:trPr>
          <w:jc w:val="center"/>
        </w:trPr>
        <w:tc>
          <w:tcPr>
            <w:tcW w:w="1995" w:type="dxa"/>
            <w:tcBorders>
              <w:left w:val="single" w:sz="12" w:space="0" w:color="auto"/>
              <w:right w:val="single" w:sz="12" w:space="0" w:color="auto"/>
            </w:tcBorders>
            <w:shd w:val="clear" w:color="auto" w:fill="auto"/>
            <w:vAlign w:val="bottom"/>
          </w:tcPr>
          <w:p w:rsidR="00DF6DAB" w:rsidRPr="003755A8" w:rsidRDefault="00DF6DAB" w:rsidP="00D53D13">
            <w:pPr>
              <w:spacing w:before="0" w:after="0" w:line="240" w:lineRule="auto"/>
              <w:rPr>
                <w:rFonts w:cstheme="minorHAnsi"/>
                <w:szCs w:val="24"/>
              </w:rPr>
            </w:pPr>
            <w:r w:rsidRPr="003755A8">
              <w:rPr>
                <w:rFonts w:cstheme="minorHAnsi"/>
                <w:szCs w:val="24"/>
              </w:rPr>
              <w:t>BUKOVICA</w:t>
            </w:r>
          </w:p>
        </w:tc>
        <w:tc>
          <w:tcPr>
            <w:tcW w:w="1534" w:type="dxa"/>
            <w:tcBorders>
              <w:left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521" w:type="dxa"/>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474" w:type="dxa"/>
            <w:shd w:val="clear" w:color="auto" w:fill="auto"/>
            <w:vAlign w:val="center"/>
          </w:tcPr>
          <w:p w:rsidR="00DF6DAB" w:rsidRPr="003755A8" w:rsidRDefault="00DF6DAB" w:rsidP="00D53D13">
            <w:pPr>
              <w:spacing w:before="0" w:after="0" w:line="240" w:lineRule="auto"/>
              <w:rPr>
                <w:rFonts w:cstheme="minorHAnsi"/>
                <w:szCs w:val="24"/>
                <w:highlight w:val="yellow"/>
              </w:rPr>
            </w:pPr>
            <w:r w:rsidRPr="003755A8">
              <w:rPr>
                <w:rFonts w:cstheme="minorHAnsi"/>
                <w:szCs w:val="24"/>
                <w:highlight w:val="yellow"/>
              </w:rPr>
              <w:t>x</w:t>
            </w:r>
          </w:p>
        </w:tc>
        <w:tc>
          <w:tcPr>
            <w:tcW w:w="1471" w:type="dxa"/>
            <w:tcBorders>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r>
      <w:tr w:rsidR="00DF6DAB" w:rsidRPr="003755A8" w:rsidTr="00DF6DAB">
        <w:trPr>
          <w:jc w:val="center"/>
        </w:trPr>
        <w:tc>
          <w:tcPr>
            <w:tcW w:w="1995" w:type="dxa"/>
            <w:tcBorders>
              <w:left w:val="single" w:sz="12" w:space="0" w:color="auto"/>
              <w:right w:val="single" w:sz="12" w:space="0" w:color="auto"/>
            </w:tcBorders>
            <w:shd w:val="clear" w:color="auto" w:fill="auto"/>
            <w:vAlign w:val="bottom"/>
          </w:tcPr>
          <w:p w:rsidR="00DF6DAB" w:rsidRPr="003755A8" w:rsidRDefault="00DF6DAB" w:rsidP="00D53D13">
            <w:pPr>
              <w:spacing w:before="0" w:after="0" w:line="240" w:lineRule="auto"/>
              <w:rPr>
                <w:rFonts w:cstheme="minorHAnsi"/>
                <w:szCs w:val="24"/>
              </w:rPr>
            </w:pPr>
            <w:r w:rsidRPr="003755A8">
              <w:rPr>
                <w:rFonts w:cstheme="minorHAnsi"/>
                <w:szCs w:val="24"/>
              </w:rPr>
              <w:t>DACIĆE</w:t>
            </w:r>
          </w:p>
        </w:tc>
        <w:tc>
          <w:tcPr>
            <w:tcW w:w="1534" w:type="dxa"/>
            <w:tcBorders>
              <w:left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521" w:type="dxa"/>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rPr>
              <w:t>x</w:t>
            </w:r>
          </w:p>
        </w:tc>
        <w:tc>
          <w:tcPr>
            <w:tcW w:w="1474" w:type="dxa"/>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c>
          <w:tcPr>
            <w:tcW w:w="1471" w:type="dxa"/>
            <w:tcBorders>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r>
      <w:tr w:rsidR="00DF6DAB" w:rsidRPr="003755A8" w:rsidTr="00DF6DAB">
        <w:trPr>
          <w:jc w:val="center"/>
        </w:trPr>
        <w:tc>
          <w:tcPr>
            <w:tcW w:w="1995" w:type="dxa"/>
            <w:tcBorders>
              <w:left w:val="single" w:sz="12" w:space="0" w:color="auto"/>
              <w:right w:val="single" w:sz="12" w:space="0" w:color="auto"/>
            </w:tcBorders>
            <w:shd w:val="clear" w:color="auto" w:fill="auto"/>
            <w:vAlign w:val="bottom"/>
          </w:tcPr>
          <w:p w:rsidR="00DF6DAB" w:rsidRPr="003755A8" w:rsidRDefault="00DF6DAB" w:rsidP="00D53D13">
            <w:pPr>
              <w:spacing w:before="0" w:after="0" w:line="240" w:lineRule="auto"/>
              <w:rPr>
                <w:rFonts w:cstheme="minorHAnsi"/>
                <w:szCs w:val="24"/>
              </w:rPr>
            </w:pPr>
            <w:bookmarkStart w:id="170" w:name="_Hlk504886654"/>
            <w:r w:rsidRPr="003755A8">
              <w:rPr>
                <w:rFonts w:cstheme="minorHAnsi"/>
                <w:szCs w:val="24"/>
              </w:rPr>
              <w:t>IBARAC II</w:t>
            </w:r>
          </w:p>
        </w:tc>
        <w:tc>
          <w:tcPr>
            <w:tcW w:w="1534" w:type="dxa"/>
            <w:tcBorders>
              <w:left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521" w:type="dxa"/>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rPr>
              <w:t>x</w:t>
            </w:r>
          </w:p>
        </w:tc>
        <w:tc>
          <w:tcPr>
            <w:tcW w:w="1474" w:type="dxa"/>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c>
          <w:tcPr>
            <w:tcW w:w="1471" w:type="dxa"/>
            <w:tcBorders>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r>
      <w:bookmarkEnd w:id="170"/>
      <w:tr w:rsidR="00DF6DAB" w:rsidRPr="003755A8" w:rsidTr="00DF6DAB">
        <w:trPr>
          <w:jc w:val="center"/>
        </w:trPr>
        <w:tc>
          <w:tcPr>
            <w:tcW w:w="1995" w:type="dxa"/>
            <w:tcBorders>
              <w:left w:val="single" w:sz="12" w:space="0" w:color="auto"/>
              <w:right w:val="single" w:sz="12" w:space="0" w:color="auto"/>
            </w:tcBorders>
            <w:shd w:val="clear" w:color="auto" w:fill="auto"/>
            <w:vAlign w:val="bottom"/>
          </w:tcPr>
          <w:p w:rsidR="00DF6DAB" w:rsidRPr="003755A8" w:rsidRDefault="00DF6DAB" w:rsidP="00D53D13">
            <w:pPr>
              <w:spacing w:before="0" w:after="0" w:line="240" w:lineRule="auto"/>
              <w:rPr>
                <w:rFonts w:cstheme="minorHAnsi"/>
                <w:szCs w:val="24"/>
              </w:rPr>
            </w:pPr>
            <w:r w:rsidRPr="003755A8">
              <w:rPr>
                <w:rFonts w:cstheme="minorHAnsi"/>
                <w:szCs w:val="24"/>
              </w:rPr>
              <w:t>JABLANICA</w:t>
            </w:r>
          </w:p>
        </w:tc>
        <w:tc>
          <w:tcPr>
            <w:tcW w:w="1534" w:type="dxa"/>
            <w:tcBorders>
              <w:left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521" w:type="dxa"/>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yellow"/>
              </w:rPr>
              <w:t>x</w:t>
            </w:r>
          </w:p>
        </w:tc>
        <w:tc>
          <w:tcPr>
            <w:tcW w:w="1474" w:type="dxa"/>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c>
          <w:tcPr>
            <w:tcW w:w="1471" w:type="dxa"/>
            <w:tcBorders>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r>
      <w:tr w:rsidR="00DF6DAB" w:rsidRPr="003755A8" w:rsidTr="00DF6DAB">
        <w:trPr>
          <w:jc w:val="center"/>
        </w:trPr>
        <w:tc>
          <w:tcPr>
            <w:tcW w:w="1995" w:type="dxa"/>
            <w:tcBorders>
              <w:left w:val="single" w:sz="12" w:space="0" w:color="auto"/>
              <w:right w:val="single" w:sz="12" w:space="0" w:color="auto"/>
            </w:tcBorders>
            <w:shd w:val="clear" w:color="auto" w:fill="auto"/>
            <w:vAlign w:val="bottom"/>
          </w:tcPr>
          <w:p w:rsidR="00DF6DAB" w:rsidRPr="003755A8" w:rsidRDefault="00DF6DAB" w:rsidP="00D53D13">
            <w:pPr>
              <w:spacing w:before="0" w:after="0" w:line="240" w:lineRule="auto"/>
              <w:rPr>
                <w:rFonts w:cstheme="minorHAnsi"/>
                <w:szCs w:val="24"/>
              </w:rPr>
            </w:pPr>
            <w:r w:rsidRPr="003755A8">
              <w:rPr>
                <w:rFonts w:cstheme="minorHAnsi"/>
                <w:szCs w:val="24"/>
              </w:rPr>
              <w:t>KOLJENO II</w:t>
            </w:r>
          </w:p>
        </w:tc>
        <w:tc>
          <w:tcPr>
            <w:tcW w:w="1534" w:type="dxa"/>
            <w:tcBorders>
              <w:left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521" w:type="dxa"/>
            <w:shd w:val="clear" w:color="auto" w:fill="FFFFFF"/>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c>
          <w:tcPr>
            <w:tcW w:w="1474" w:type="dxa"/>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c>
          <w:tcPr>
            <w:tcW w:w="1471" w:type="dxa"/>
            <w:tcBorders>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r>
      <w:tr w:rsidR="00DF6DAB" w:rsidRPr="003755A8" w:rsidTr="00DF6DAB">
        <w:trPr>
          <w:jc w:val="center"/>
        </w:trPr>
        <w:tc>
          <w:tcPr>
            <w:tcW w:w="1995" w:type="dxa"/>
            <w:tcBorders>
              <w:left w:val="single" w:sz="12" w:space="0" w:color="auto"/>
              <w:right w:val="single" w:sz="12" w:space="0" w:color="auto"/>
            </w:tcBorders>
            <w:shd w:val="clear" w:color="auto" w:fill="auto"/>
            <w:vAlign w:val="bottom"/>
          </w:tcPr>
          <w:p w:rsidR="00DF6DAB" w:rsidRPr="003755A8" w:rsidRDefault="00DF6DAB" w:rsidP="00D53D13">
            <w:pPr>
              <w:spacing w:before="0" w:after="0" w:line="240" w:lineRule="auto"/>
              <w:rPr>
                <w:rFonts w:cstheme="minorHAnsi"/>
                <w:szCs w:val="24"/>
              </w:rPr>
            </w:pPr>
            <w:r w:rsidRPr="003755A8">
              <w:rPr>
                <w:rFonts w:cstheme="minorHAnsi"/>
                <w:szCs w:val="24"/>
              </w:rPr>
              <w:t>PLUNCI II</w:t>
            </w:r>
          </w:p>
        </w:tc>
        <w:tc>
          <w:tcPr>
            <w:tcW w:w="1534" w:type="dxa"/>
            <w:tcBorders>
              <w:left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521" w:type="dxa"/>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rPr>
              <w:t>x</w:t>
            </w:r>
          </w:p>
        </w:tc>
        <w:tc>
          <w:tcPr>
            <w:tcW w:w="1474" w:type="dxa"/>
            <w:shd w:val="clear" w:color="auto" w:fill="auto"/>
            <w:vAlign w:val="center"/>
          </w:tcPr>
          <w:p w:rsidR="00DF6DAB" w:rsidRPr="003755A8" w:rsidRDefault="00DF6DAB" w:rsidP="00D53D13">
            <w:pPr>
              <w:spacing w:before="0" w:after="0" w:line="240" w:lineRule="auto"/>
              <w:rPr>
                <w:rFonts w:cstheme="minorHAnsi"/>
                <w:szCs w:val="24"/>
                <w:highlight w:val="green"/>
              </w:rPr>
            </w:pPr>
            <w:r w:rsidRPr="003755A8">
              <w:rPr>
                <w:rFonts w:cstheme="minorHAnsi"/>
                <w:szCs w:val="24"/>
              </w:rPr>
              <w:t>x</w:t>
            </w:r>
          </w:p>
        </w:tc>
        <w:tc>
          <w:tcPr>
            <w:tcW w:w="1471" w:type="dxa"/>
            <w:tcBorders>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r>
      <w:tr w:rsidR="00DF6DAB" w:rsidRPr="003755A8" w:rsidTr="00DF6DAB">
        <w:trPr>
          <w:jc w:val="center"/>
        </w:trPr>
        <w:tc>
          <w:tcPr>
            <w:tcW w:w="1995" w:type="dxa"/>
            <w:tcBorders>
              <w:left w:val="single" w:sz="12" w:space="0" w:color="auto"/>
              <w:right w:val="single" w:sz="12" w:space="0" w:color="auto"/>
            </w:tcBorders>
            <w:shd w:val="clear" w:color="auto" w:fill="auto"/>
            <w:vAlign w:val="bottom"/>
          </w:tcPr>
          <w:p w:rsidR="00DF6DAB" w:rsidRPr="003755A8" w:rsidRDefault="00DF6DAB" w:rsidP="00D53D13">
            <w:pPr>
              <w:spacing w:before="0" w:after="0" w:line="240" w:lineRule="auto"/>
              <w:rPr>
                <w:rFonts w:cstheme="minorHAnsi"/>
                <w:szCs w:val="24"/>
              </w:rPr>
            </w:pPr>
            <w:r w:rsidRPr="003755A8">
              <w:rPr>
                <w:rFonts w:cstheme="minorHAnsi"/>
                <w:szCs w:val="24"/>
              </w:rPr>
              <w:t>SEOŠNICA</w:t>
            </w:r>
          </w:p>
        </w:tc>
        <w:tc>
          <w:tcPr>
            <w:tcW w:w="1534" w:type="dxa"/>
            <w:tcBorders>
              <w:left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521" w:type="dxa"/>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yellow"/>
              </w:rPr>
              <w:t>x</w:t>
            </w:r>
          </w:p>
        </w:tc>
        <w:tc>
          <w:tcPr>
            <w:tcW w:w="1474" w:type="dxa"/>
            <w:shd w:val="clear" w:color="auto" w:fill="FFFFFF"/>
            <w:vAlign w:val="center"/>
          </w:tcPr>
          <w:p w:rsidR="00DF6DAB" w:rsidRPr="003755A8" w:rsidRDefault="00DF6DAB" w:rsidP="00D53D13">
            <w:pPr>
              <w:spacing w:before="0" w:after="0" w:line="240" w:lineRule="auto"/>
              <w:rPr>
                <w:rFonts w:cstheme="minorHAnsi"/>
                <w:szCs w:val="24"/>
              </w:rPr>
            </w:pPr>
            <w:r w:rsidRPr="003755A8">
              <w:rPr>
                <w:rFonts w:cstheme="minorHAnsi"/>
                <w:szCs w:val="24"/>
                <w:highlight w:val="green"/>
              </w:rPr>
              <w:t>x</w:t>
            </w:r>
          </w:p>
        </w:tc>
        <w:tc>
          <w:tcPr>
            <w:tcW w:w="1471" w:type="dxa"/>
            <w:tcBorders>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r>
      <w:tr w:rsidR="00DF6DAB" w:rsidRPr="003755A8" w:rsidTr="00DF6DAB">
        <w:trPr>
          <w:jc w:val="center"/>
        </w:trPr>
        <w:tc>
          <w:tcPr>
            <w:tcW w:w="1995" w:type="dxa"/>
            <w:tcBorders>
              <w:left w:val="single" w:sz="12" w:space="0" w:color="auto"/>
              <w:bottom w:val="single" w:sz="12" w:space="0" w:color="auto"/>
              <w:right w:val="single" w:sz="12" w:space="0" w:color="auto"/>
            </w:tcBorders>
            <w:shd w:val="clear" w:color="auto" w:fill="auto"/>
            <w:vAlign w:val="bottom"/>
          </w:tcPr>
          <w:p w:rsidR="00DF6DAB" w:rsidRPr="003755A8" w:rsidRDefault="00DF6DAB" w:rsidP="00D53D13">
            <w:pPr>
              <w:spacing w:before="0" w:after="0" w:line="240" w:lineRule="auto"/>
              <w:rPr>
                <w:rFonts w:cstheme="minorHAnsi"/>
                <w:szCs w:val="24"/>
              </w:rPr>
            </w:pPr>
            <w:r w:rsidRPr="003755A8">
              <w:rPr>
                <w:rFonts w:cstheme="minorHAnsi"/>
                <w:szCs w:val="24"/>
              </w:rPr>
              <w:t>VUČA</w:t>
            </w:r>
          </w:p>
        </w:tc>
        <w:tc>
          <w:tcPr>
            <w:tcW w:w="1534" w:type="dxa"/>
            <w:tcBorders>
              <w:left w:val="single" w:sz="12" w:space="0" w:color="auto"/>
              <w:bottom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521" w:type="dxa"/>
            <w:tcBorders>
              <w:bottom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magenta"/>
              </w:rPr>
              <w:t>x</w:t>
            </w:r>
          </w:p>
        </w:tc>
        <w:tc>
          <w:tcPr>
            <w:tcW w:w="1474" w:type="dxa"/>
            <w:tcBorders>
              <w:bottom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highlight w:val="yellow"/>
              </w:rPr>
              <w:t>x</w:t>
            </w:r>
          </w:p>
        </w:tc>
        <w:tc>
          <w:tcPr>
            <w:tcW w:w="1471" w:type="dxa"/>
            <w:tcBorders>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r>
    </w:tbl>
    <w:p w:rsidR="007D0034" w:rsidRDefault="007D0034" w:rsidP="00D53D13">
      <w:pPr>
        <w:spacing w:before="0" w:after="0" w:line="240" w:lineRule="auto"/>
        <w:rPr>
          <w:rFonts w:cstheme="minorHAnsi"/>
          <w:szCs w:val="24"/>
        </w:rPr>
      </w:pPr>
    </w:p>
    <w:p w:rsidR="00DF6DAB" w:rsidRPr="003755A8" w:rsidRDefault="00DF6DAB" w:rsidP="00D53D13">
      <w:pPr>
        <w:spacing w:before="0" w:after="0" w:line="240" w:lineRule="auto"/>
        <w:rPr>
          <w:rFonts w:cstheme="minorHAnsi"/>
          <w:szCs w:val="24"/>
        </w:rPr>
      </w:pPr>
      <w:r w:rsidRPr="003755A8">
        <w:rPr>
          <w:rFonts w:cstheme="minorHAnsi"/>
          <w:szCs w:val="24"/>
        </w:rPr>
        <w:t xml:space="preserve"> Legenda:</w:t>
      </w:r>
    </w:p>
    <w:p w:rsidR="00DF6DAB" w:rsidRPr="003755A8" w:rsidRDefault="00DF6DAB" w:rsidP="00D53D13">
      <w:pPr>
        <w:spacing w:before="0" w:after="0" w:line="240" w:lineRule="auto"/>
        <w:rPr>
          <w:rFonts w:cstheme="minorHAnsi"/>
          <w:szCs w:val="24"/>
        </w:rPr>
      </w:pPr>
      <w:r w:rsidRPr="003755A8">
        <w:rPr>
          <w:rFonts w:cstheme="minorHAnsi"/>
          <w:szCs w:val="24"/>
        </w:rPr>
        <w:t xml:space="preserve">   </w:t>
      </w:r>
      <w:r w:rsidRPr="003755A8">
        <w:rPr>
          <w:rFonts w:cstheme="minorHAnsi"/>
          <w:szCs w:val="24"/>
          <w:highlight w:val="lightGray"/>
        </w:rPr>
        <w:t>x</w:t>
      </w:r>
      <w:r w:rsidRPr="003755A8">
        <w:rPr>
          <w:rFonts w:cstheme="minorHAnsi"/>
          <w:szCs w:val="24"/>
        </w:rPr>
        <w:t xml:space="preserve">  Završeno u prethodnom periodu </w:t>
      </w:r>
    </w:p>
    <w:p w:rsidR="00DF6DAB" w:rsidRPr="003755A8" w:rsidRDefault="00DF6DAB" w:rsidP="00D53D13">
      <w:pPr>
        <w:spacing w:before="0" w:after="0" w:line="240" w:lineRule="auto"/>
        <w:rPr>
          <w:rFonts w:cstheme="minorHAnsi"/>
          <w:szCs w:val="24"/>
        </w:rPr>
      </w:pPr>
      <w:r w:rsidRPr="003755A8">
        <w:rPr>
          <w:rFonts w:cstheme="minorHAnsi"/>
          <w:szCs w:val="24"/>
        </w:rPr>
        <w:t xml:space="preserve">   </w:t>
      </w:r>
      <w:r w:rsidRPr="003755A8">
        <w:rPr>
          <w:rFonts w:cstheme="minorHAnsi"/>
          <w:szCs w:val="24"/>
          <w:highlight w:val="yellow"/>
        </w:rPr>
        <w:t>x</w:t>
      </w:r>
      <w:r w:rsidRPr="003755A8">
        <w:rPr>
          <w:rFonts w:cstheme="minorHAnsi"/>
          <w:szCs w:val="24"/>
        </w:rPr>
        <w:t xml:space="preserve">  Nastavak aktivnosti iz prethodnog perioda</w:t>
      </w:r>
    </w:p>
    <w:p w:rsidR="00DF6DAB" w:rsidRPr="003755A8" w:rsidRDefault="00DF6DAB" w:rsidP="00D53D13">
      <w:pPr>
        <w:spacing w:before="0" w:after="0" w:line="240" w:lineRule="auto"/>
        <w:rPr>
          <w:rFonts w:cstheme="minorHAnsi"/>
          <w:szCs w:val="24"/>
        </w:rPr>
      </w:pPr>
      <w:r w:rsidRPr="003755A8">
        <w:rPr>
          <w:rFonts w:cstheme="minorHAnsi"/>
          <w:szCs w:val="24"/>
        </w:rPr>
        <w:t xml:space="preserve">   </w:t>
      </w:r>
      <w:r w:rsidRPr="003755A8">
        <w:rPr>
          <w:rFonts w:cstheme="minorHAnsi"/>
          <w:szCs w:val="24"/>
          <w:highlight w:val="green"/>
        </w:rPr>
        <w:t>x</w:t>
      </w:r>
      <w:r w:rsidRPr="003755A8">
        <w:rPr>
          <w:rFonts w:cstheme="minorHAnsi"/>
          <w:szCs w:val="24"/>
        </w:rPr>
        <w:t xml:space="preserve">  Započete aktivnosti u toku 2020. godine</w:t>
      </w:r>
    </w:p>
    <w:p w:rsidR="00DF6DAB" w:rsidRPr="003755A8" w:rsidRDefault="00DF6DAB" w:rsidP="00D53D13">
      <w:pPr>
        <w:spacing w:before="0" w:after="0" w:line="240" w:lineRule="auto"/>
        <w:rPr>
          <w:rFonts w:cstheme="minorHAnsi"/>
          <w:szCs w:val="24"/>
        </w:rPr>
      </w:pPr>
      <w:r w:rsidRPr="003755A8">
        <w:rPr>
          <w:rFonts w:cstheme="minorHAnsi"/>
          <w:szCs w:val="24"/>
        </w:rPr>
        <w:t xml:space="preserve">   </w:t>
      </w:r>
      <w:r w:rsidRPr="003755A8">
        <w:rPr>
          <w:rFonts w:cstheme="minorHAnsi"/>
          <w:szCs w:val="24"/>
          <w:highlight w:val="magenta"/>
        </w:rPr>
        <w:t>x</w:t>
      </w:r>
      <w:r w:rsidRPr="003755A8">
        <w:rPr>
          <w:rFonts w:cstheme="minorHAnsi"/>
          <w:szCs w:val="24"/>
        </w:rPr>
        <w:t xml:space="preserve">  Završene aktivnosti u toku 2020. godine</w:t>
      </w:r>
    </w:p>
    <w:p w:rsidR="00DF6DAB" w:rsidRPr="003755A8" w:rsidRDefault="00DF6DAB" w:rsidP="00D53D13">
      <w:pPr>
        <w:spacing w:before="0" w:after="0" w:line="240" w:lineRule="auto"/>
        <w:rPr>
          <w:rFonts w:cstheme="minorHAnsi"/>
          <w:szCs w:val="24"/>
        </w:rPr>
      </w:pPr>
      <w:r w:rsidRPr="003755A8">
        <w:rPr>
          <w:rFonts w:cstheme="minorHAnsi"/>
          <w:szCs w:val="24"/>
        </w:rPr>
        <w:t xml:space="preserve">   x  Planirane aktivnosti</w:t>
      </w:r>
    </w:p>
    <w:p w:rsidR="00DF6DAB" w:rsidRPr="003755A8" w:rsidRDefault="00DF6DAB" w:rsidP="00D53D13">
      <w:pPr>
        <w:spacing w:before="0" w:after="0" w:line="240" w:lineRule="auto"/>
        <w:rPr>
          <w:rFonts w:cstheme="minorHAnsi"/>
          <w:szCs w:val="24"/>
        </w:rPr>
      </w:pPr>
    </w:p>
    <w:p w:rsidR="00DF6DAB" w:rsidRPr="007D0034" w:rsidRDefault="00DF6DAB" w:rsidP="00D53D13">
      <w:pPr>
        <w:spacing w:before="0" w:after="0" w:line="240" w:lineRule="auto"/>
        <w:rPr>
          <w:rFonts w:cstheme="minorHAnsi"/>
          <w:szCs w:val="24"/>
          <w:u w:val="single"/>
        </w:rPr>
      </w:pPr>
      <w:r w:rsidRPr="007D0034">
        <w:rPr>
          <w:rFonts w:cstheme="minorHAnsi"/>
          <w:szCs w:val="24"/>
          <w:u w:val="single"/>
        </w:rPr>
        <w:t>Opština Šavnik</w:t>
      </w:r>
    </w:p>
    <w:p w:rsidR="00DF6DAB" w:rsidRPr="003755A8" w:rsidRDefault="00DF6DAB" w:rsidP="007D0034">
      <w:pPr>
        <w:spacing w:after="0" w:line="240" w:lineRule="auto"/>
        <w:ind w:firstLine="709"/>
        <w:rPr>
          <w:rFonts w:cstheme="minorHAnsi"/>
          <w:szCs w:val="24"/>
        </w:rPr>
      </w:pPr>
      <w:r w:rsidRPr="003755A8">
        <w:rPr>
          <w:rFonts w:cstheme="minorHAnsi"/>
          <w:szCs w:val="24"/>
        </w:rPr>
        <w:t xml:space="preserve">Na teritoriji Opštine Šavnik, </w:t>
      </w:r>
      <w:bookmarkStart w:id="171" w:name="OLE_LINK41"/>
      <w:bookmarkStart w:id="172" w:name="OLE_LINK42"/>
      <w:r w:rsidRPr="003755A8">
        <w:rPr>
          <w:rFonts w:cstheme="minorHAnsi"/>
          <w:szCs w:val="24"/>
        </w:rPr>
        <w:t>u okviru nastavka realizacije Projekta osnivanja evidencije katastra nepokretnosti, rađeni su sljedeći poslovi:</w:t>
      </w:r>
    </w:p>
    <w:bookmarkEnd w:id="171"/>
    <w:bookmarkEnd w:id="172"/>
    <w:p w:rsidR="00DF6DAB" w:rsidRPr="003755A8" w:rsidRDefault="007D0034" w:rsidP="00D53D13">
      <w:pPr>
        <w:spacing w:before="0" w:after="0" w:line="240" w:lineRule="auto"/>
        <w:rPr>
          <w:rFonts w:cstheme="minorHAnsi"/>
          <w:szCs w:val="24"/>
        </w:rPr>
      </w:pPr>
      <w:r>
        <w:rPr>
          <w:rFonts w:cstheme="minorHAnsi"/>
          <w:szCs w:val="24"/>
        </w:rPr>
        <w:t xml:space="preserve"> - </w:t>
      </w:r>
      <w:r w:rsidR="00DF6DAB" w:rsidRPr="003755A8">
        <w:rPr>
          <w:rFonts w:cstheme="minorHAnsi"/>
          <w:szCs w:val="24"/>
        </w:rPr>
        <w:t>izlaganje podataka;</w:t>
      </w:r>
    </w:p>
    <w:p w:rsidR="00DF6DAB" w:rsidRPr="003755A8" w:rsidRDefault="007D0034" w:rsidP="00D53D13">
      <w:pPr>
        <w:spacing w:before="0" w:after="0" w:line="240" w:lineRule="auto"/>
        <w:rPr>
          <w:rFonts w:cstheme="minorHAnsi"/>
          <w:szCs w:val="24"/>
        </w:rPr>
      </w:pPr>
      <w:r>
        <w:rPr>
          <w:rFonts w:cstheme="minorHAnsi"/>
          <w:szCs w:val="24"/>
        </w:rPr>
        <w:lastRenderedPageBreak/>
        <w:t xml:space="preserve"> - </w:t>
      </w:r>
      <w:r w:rsidR="00DF6DAB" w:rsidRPr="003755A8">
        <w:rPr>
          <w:rFonts w:cstheme="minorHAnsi"/>
          <w:szCs w:val="24"/>
        </w:rPr>
        <w:t>potvrđivanje baze podataka.</w:t>
      </w:r>
    </w:p>
    <w:p w:rsidR="00DF6DAB" w:rsidRPr="003755A8" w:rsidRDefault="00DF6DAB" w:rsidP="007D0034">
      <w:pPr>
        <w:spacing w:before="0" w:after="0" w:line="240" w:lineRule="auto"/>
        <w:ind w:firstLine="709"/>
        <w:rPr>
          <w:rFonts w:cstheme="minorHAnsi"/>
          <w:szCs w:val="24"/>
        </w:rPr>
      </w:pPr>
      <w:r w:rsidRPr="003755A8">
        <w:rPr>
          <w:rFonts w:cstheme="minorHAnsi"/>
          <w:szCs w:val="24"/>
        </w:rPr>
        <w:t>Za potrebe Izlaganja podataka za navedene katastarske opštine na teritoriji Opštine Šavnik, angažovane tri Komisije.</w:t>
      </w:r>
    </w:p>
    <w:p w:rsidR="00DF6DAB" w:rsidRPr="003755A8" w:rsidRDefault="00DF6DAB" w:rsidP="00D53D13">
      <w:pPr>
        <w:spacing w:before="0" w:after="0" w:line="240" w:lineRule="auto"/>
        <w:rPr>
          <w:rFonts w:cstheme="minorHAnsi"/>
          <w:szCs w:val="24"/>
        </w:rPr>
      </w:pPr>
    </w:p>
    <w:p w:rsidR="00DF6DAB" w:rsidRPr="003755A8" w:rsidRDefault="00DF6DAB" w:rsidP="007D0034">
      <w:pPr>
        <w:spacing w:before="0" w:after="0" w:line="240" w:lineRule="auto"/>
        <w:jc w:val="center"/>
        <w:rPr>
          <w:rFonts w:cstheme="minorHAnsi"/>
          <w:szCs w:val="24"/>
        </w:rPr>
      </w:pPr>
      <w:r w:rsidRPr="003755A8">
        <w:rPr>
          <w:rFonts w:cstheme="minorHAnsi"/>
          <w:szCs w:val="24"/>
        </w:rPr>
        <w:t>Tabela 2.11. Pregled izvršenih radova na osnivanju evidencije katastra nepokretnosti u okviru već započetog projekta za Opštinu Šavnik</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95"/>
        <w:gridCol w:w="1534"/>
        <w:gridCol w:w="1521"/>
        <w:gridCol w:w="1474"/>
        <w:gridCol w:w="1529"/>
      </w:tblGrid>
      <w:tr w:rsidR="00DF6DAB" w:rsidRPr="003755A8" w:rsidTr="00DF6DAB">
        <w:trPr>
          <w:trHeight w:val="404"/>
          <w:jc w:val="center"/>
        </w:trPr>
        <w:tc>
          <w:tcPr>
            <w:tcW w:w="8053" w:type="dxa"/>
            <w:gridSpan w:val="5"/>
            <w:tcBorders>
              <w:top w:val="single" w:sz="12" w:space="0" w:color="auto"/>
              <w:left w:val="single" w:sz="12" w:space="0" w:color="auto"/>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ŠAVNIK</w:t>
            </w:r>
          </w:p>
        </w:tc>
      </w:tr>
      <w:tr w:rsidR="00DF6DAB" w:rsidRPr="003755A8" w:rsidTr="00DF6DAB">
        <w:trPr>
          <w:jc w:val="center"/>
        </w:trPr>
        <w:tc>
          <w:tcPr>
            <w:tcW w:w="1995" w:type="dxa"/>
            <w:tcBorders>
              <w:top w:val="single" w:sz="12" w:space="0" w:color="auto"/>
              <w:left w:val="single" w:sz="12" w:space="0" w:color="auto"/>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Naziv KO</w:t>
            </w:r>
          </w:p>
        </w:tc>
        <w:tc>
          <w:tcPr>
            <w:tcW w:w="1534" w:type="dxa"/>
            <w:tcBorders>
              <w:top w:val="single" w:sz="12" w:space="0" w:color="auto"/>
              <w:left w:val="single" w:sz="12" w:space="0" w:color="auto"/>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Prikupljanje podataka</w:t>
            </w:r>
          </w:p>
        </w:tc>
        <w:tc>
          <w:tcPr>
            <w:tcW w:w="1521" w:type="dxa"/>
            <w:tcBorders>
              <w:top w:val="single" w:sz="12" w:space="0" w:color="auto"/>
              <w:left w:val="single" w:sz="12" w:space="0" w:color="auto"/>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Izrada privremene baze podataka</w:t>
            </w:r>
          </w:p>
        </w:tc>
        <w:tc>
          <w:tcPr>
            <w:tcW w:w="1474" w:type="dxa"/>
            <w:tcBorders>
              <w:top w:val="single" w:sz="12" w:space="0" w:color="auto"/>
              <w:left w:val="single" w:sz="12" w:space="0" w:color="auto"/>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Izlaganje podataka</w:t>
            </w:r>
          </w:p>
        </w:tc>
        <w:tc>
          <w:tcPr>
            <w:tcW w:w="1529" w:type="dxa"/>
            <w:tcBorders>
              <w:top w:val="single" w:sz="12" w:space="0" w:color="auto"/>
              <w:left w:val="single" w:sz="12" w:space="0" w:color="auto"/>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Potvrđivanje baze podataka</w:t>
            </w:r>
          </w:p>
        </w:tc>
      </w:tr>
      <w:tr w:rsidR="00DF6DAB" w:rsidRPr="003755A8" w:rsidTr="00DF6DAB">
        <w:trPr>
          <w:jc w:val="center"/>
        </w:trPr>
        <w:tc>
          <w:tcPr>
            <w:tcW w:w="1995" w:type="dxa"/>
            <w:tcBorders>
              <w:left w:val="single" w:sz="12" w:space="0" w:color="auto"/>
              <w:right w:val="single" w:sz="12" w:space="0" w:color="auto"/>
            </w:tcBorders>
            <w:shd w:val="clear" w:color="auto" w:fill="auto"/>
            <w:vAlign w:val="bottom"/>
          </w:tcPr>
          <w:p w:rsidR="00DF6DAB" w:rsidRPr="003755A8" w:rsidRDefault="00DF6DAB" w:rsidP="00D53D13">
            <w:pPr>
              <w:spacing w:before="0" w:after="0" w:line="240" w:lineRule="auto"/>
              <w:rPr>
                <w:rFonts w:cstheme="minorHAnsi"/>
                <w:szCs w:val="24"/>
              </w:rPr>
            </w:pPr>
            <w:r w:rsidRPr="003755A8">
              <w:rPr>
                <w:rFonts w:cstheme="minorHAnsi"/>
                <w:szCs w:val="24"/>
              </w:rPr>
              <w:t>DONJA BUKOVICA</w:t>
            </w:r>
          </w:p>
        </w:tc>
        <w:tc>
          <w:tcPr>
            <w:tcW w:w="1534" w:type="dxa"/>
            <w:tcBorders>
              <w:left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521" w:type="dxa"/>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474" w:type="dxa"/>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highlight w:val="yellow"/>
              </w:rPr>
              <w:t>x</w:t>
            </w:r>
          </w:p>
        </w:tc>
        <w:tc>
          <w:tcPr>
            <w:tcW w:w="1529" w:type="dxa"/>
            <w:tcBorders>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r>
      <w:tr w:rsidR="00DF6DAB" w:rsidRPr="003755A8" w:rsidTr="00DF6DAB">
        <w:trPr>
          <w:jc w:val="center"/>
        </w:trPr>
        <w:tc>
          <w:tcPr>
            <w:tcW w:w="1995" w:type="dxa"/>
            <w:tcBorders>
              <w:left w:val="single" w:sz="12" w:space="0" w:color="auto"/>
              <w:right w:val="single" w:sz="12" w:space="0" w:color="auto"/>
            </w:tcBorders>
            <w:shd w:val="clear" w:color="auto" w:fill="auto"/>
            <w:vAlign w:val="bottom"/>
          </w:tcPr>
          <w:p w:rsidR="00DF6DAB" w:rsidRPr="003755A8" w:rsidRDefault="00DF6DAB" w:rsidP="00D53D13">
            <w:pPr>
              <w:spacing w:before="0" w:after="0" w:line="240" w:lineRule="auto"/>
              <w:rPr>
                <w:rFonts w:cstheme="minorHAnsi"/>
                <w:szCs w:val="24"/>
              </w:rPr>
            </w:pPr>
            <w:r w:rsidRPr="003755A8">
              <w:rPr>
                <w:rFonts w:cstheme="minorHAnsi"/>
                <w:szCs w:val="24"/>
              </w:rPr>
              <w:t>POŠĆENJE</w:t>
            </w:r>
          </w:p>
        </w:tc>
        <w:tc>
          <w:tcPr>
            <w:tcW w:w="1534" w:type="dxa"/>
            <w:tcBorders>
              <w:left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521" w:type="dxa"/>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474" w:type="dxa"/>
            <w:shd w:val="clear" w:color="auto" w:fill="auto"/>
            <w:vAlign w:val="center"/>
          </w:tcPr>
          <w:p w:rsidR="00DF6DAB" w:rsidRPr="003755A8" w:rsidRDefault="00DF6DAB" w:rsidP="00D53D13">
            <w:pPr>
              <w:spacing w:before="0" w:after="0" w:line="240" w:lineRule="auto"/>
              <w:rPr>
                <w:rFonts w:cstheme="minorHAnsi"/>
                <w:szCs w:val="24"/>
                <w:highlight w:val="yellow"/>
              </w:rPr>
            </w:pPr>
            <w:r w:rsidRPr="003755A8">
              <w:rPr>
                <w:rFonts w:cstheme="minorHAnsi"/>
                <w:szCs w:val="24"/>
                <w:highlight w:val="yellow"/>
              </w:rPr>
              <w:t>x</w:t>
            </w:r>
          </w:p>
        </w:tc>
        <w:tc>
          <w:tcPr>
            <w:tcW w:w="1529" w:type="dxa"/>
            <w:tcBorders>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r>
      <w:tr w:rsidR="00DF6DAB" w:rsidRPr="003755A8" w:rsidTr="00DF6DAB">
        <w:trPr>
          <w:jc w:val="center"/>
        </w:trPr>
        <w:tc>
          <w:tcPr>
            <w:tcW w:w="1995" w:type="dxa"/>
            <w:tcBorders>
              <w:left w:val="single" w:sz="12" w:space="0" w:color="auto"/>
              <w:right w:val="single" w:sz="12" w:space="0" w:color="auto"/>
            </w:tcBorders>
            <w:shd w:val="clear" w:color="auto" w:fill="auto"/>
            <w:vAlign w:val="bottom"/>
          </w:tcPr>
          <w:p w:rsidR="00DF6DAB" w:rsidRPr="003755A8" w:rsidRDefault="00DF6DAB" w:rsidP="00D53D13">
            <w:pPr>
              <w:spacing w:before="0" w:after="0" w:line="240" w:lineRule="auto"/>
              <w:rPr>
                <w:rFonts w:cstheme="minorHAnsi"/>
                <w:szCs w:val="24"/>
              </w:rPr>
            </w:pPr>
            <w:r w:rsidRPr="003755A8">
              <w:rPr>
                <w:rFonts w:cstheme="minorHAnsi"/>
                <w:szCs w:val="24"/>
              </w:rPr>
              <w:t>SLATINA</w:t>
            </w:r>
          </w:p>
        </w:tc>
        <w:tc>
          <w:tcPr>
            <w:tcW w:w="1534" w:type="dxa"/>
            <w:tcBorders>
              <w:left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521" w:type="dxa"/>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474" w:type="dxa"/>
            <w:shd w:val="clear" w:color="auto" w:fill="auto"/>
            <w:vAlign w:val="center"/>
          </w:tcPr>
          <w:p w:rsidR="00DF6DAB" w:rsidRPr="003755A8" w:rsidRDefault="00DF6DAB" w:rsidP="00D53D13">
            <w:pPr>
              <w:spacing w:before="0" w:after="0" w:line="240" w:lineRule="auto"/>
              <w:rPr>
                <w:rFonts w:cstheme="minorHAnsi"/>
                <w:szCs w:val="24"/>
                <w:highlight w:val="yellow"/>
              </w:rPr>
            </w:pPr>
            <w:r w:rsidRPr="003755A8">
              <w:rPr>
                <w:rFonts w:cstheme="minorHAnsi"/>
                <w:szCs w:val="24"/>
                <w:highlight w:val="yellow"/>
              </w:rPr>
              <w:t>x</w:t>
            </w:r>
          </w:p>
        </w:tc>
        <w:tc>
          <w:tcPr>
            <w:tcW w:w="1529" w:type="dxa"/>
            <w:tcBorders>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rPr>
              <w:t>x</w:t>
            </w:r>
          </w:p>
        </w:tc>
      </w:tr>
      <w:tr w:rsidR="00DF6DAB" w:rsidRPr="003755A8" w:rsidTr="00DF6DAB">
        <w:trPr>
          <w:jc w:val="center"/>
        </w:trPr>
        <w:tc>
          <w:tcPr>
            <w:tcW w:w="1995" w:type="dxa"/>
            <w:tcBorders>
              <w:left w:val="single" w:sz="12" w:space="0" w:color="auto"/>
              <w:bottom w:val="single" w:sz="12" w:space="0" w:color="auto"/>
              <w:right w:val="single" w:sz="12" w:space="0" w:color="auto"/>
            </w:tcBorders>
            <w:shd w:val="clear" w:color="auto" w:fill="auto"/>
            <w:vAlign w:val="bottom"/>
          </w:tcPr>
          <w:p w:rsidR="00DF6DAB" w:rsidRPr="003755A8" w:rsidRDefault="00DF6DAB" w:rsidP="00D53D13">
            <w:pPr>
              <w:spacing w:before="0" w:after="0" w:line="240" w:lineRule="auto"/>
              <w:rPr>
                <w:rFonts w:cstheme="minorHAnsi"/>
                <w:szCs w:val="24"/>
              </w:rPr>
            </w:pPr>
            <w:r w:rsidRPr="003755A8">
              <w:rPr>
                <w:rFonts w:cstheme="minorHAnsi"/>
                <w:szCs w:val="24"/>
              </w:rPr>
              <w:t>TIMAR</w:t>
            </w:r>
          </w:p>
        </w:tc>
        <w:tc>
          <w:tcPr>
            <w:tcW w:w="1534" w:type="dxa"/>
            <w:tcBorders>
              <w:left w:val="single" w:sz="12" w:space="0" w:color="auto"/>
              <w:bottom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521" w:type="dxa"/>
            <w:tcBorders>
              <w:bottom w:val="single" w:sz="12" w:space="0" w:color="auto"/>
            </w:tcBorders>
            <w:shd w:val="clear" w:color="auto" w:fill="FFFFFF"/>
            <w:vAlign w:val="center"/>
          </w:tcPr>
          <w:p w:rsidR="00DF6DAB" w:rsidRPr="003755A8" w:rsidRDefault="00DF6DAB" w:rsidP="00D53D13">
            <w:pPr>
              <w:spacing w:before="0" w:after="0" w:line="240" w:lineRule="auto"/>
              <w:rPr>
                <w:rFonts w:cstheme="minorHAnsi"/>
                <w:szCs w:val="24"/>
                <w:highlight w:val="lightGray"/>
              </w:rPr>
            </w:pPr>
            <w:r w:rsidRPr="003755A8">
              <w:rPr>
                <w:rFonts w:cstheme="minorHAnsi"/>
                <w:szCs w:val="24"/>
                <w:highlight w:val="lightGray"/>
              </w:rPr>
              <w:t>x</w:t>
            </w:r>
          </w:p>
        </w:tc>
        <w:tc>
          <w:tcPr>
            <w:tcW w:w="1474" w:type="dxa"/>
            <w:tcBorders>
              <w:bottom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highlight w:val="yellow"/>
              </w:rPr>
            </w:pPr>
            <w:r w:rsidRPr="003755A8">
              <w:rPr>
                <w:rFonts w:cstheme="minorHAnsi"/>
                <w:szCs w:val="24"/>
                <w:highlight w:val="yellow"/>
              </w:rPr>
              <w:t>x</w:t>
            </w:r>
          </w:p>
        </w:tc>
        <w:tc>
          <w:tcPr>
            <w:tcW w:w="1529" w:type="dxa"/>
            <w:tcBorders>
              <w:bottom w:val="single" w:sz="12" w:space="0" w:color="auto"/>
              <w:right w:val="single" w:sz="12" w:space="0" w:color="auto"/>
            </w:tcBorders>
            <w:shd w:val="clear" w:color="auto" w:fill="auto"/>
            <w:vAlign w:val="center"/>
          </w:tcPr>
          <w:p w:rsidR="00DF6DAB" w:rsidRPr="003755A8" w:rsidRDefault="00DF6DAB" w:rsidP="00D53D13">
            <w:pPr>
              <w:spacing w:before="0" w:after="0" w:line="240" w:lineRule="auto"/>
              <w:rPr>
                <w:rFonts w:cstheme="minorHAnsi"/>
                <w:szCs w:val="24"/>
              </w:rPr>
            </w:pPr>
            <w:r w:rsidRPr="003755A8">
              <w:rPr>
                <w:rFonts w:cstheme="minorHAnsi"/>
                <w:szCs w:val="24"/>
                <w:highlight w:val="magenta"/>
              </w:rPr>
              <w:t>x</w:t>
            </w:r>
          </w:p>
        </w:tc>
      </w:tr>
    </w:tbl>
    <w:p w:rsidR="007D0034" w:rsidRDefault="007D0034" w:rsidP="00D53D13">
      <w:pPr>
        <w:spacing w:before="0" w:after="0" w:line="240" w:lineRule="auto"/>
        <w:rPr>
          <w:rFonts w:cstheme="minorHAnsi"/>
          <w:szCs w:val="24"/>
        </w:rPr>
      </w:pPr>
    </w:p>
    <w:p w:rsidR="00DF6DAB" w:rsidRPr="003755A8" w:rsidRDefault="00DF6DAB" w:rsidP="00D53D13">
      <w:pPr>
        <w:spacing w:before="0" w:after="0" w:line="240" w:lineRule="auto"/>
        <w:rPr>
          <w:rFonts w:cstheme="minorHAnsi"/>
          <w:szCs w:val="24"/>
        </w:rPr>
      </w:pPr>
      <w:r w:rsidRPr="003755A8">
        <w:rPr>
          <w:rFonts w:cstheme="minorHAnsi"/>
          <w:szCs w:val="24"/>
        </w:rPr>
        <w:t xml:space="preserve">  Legenda:</w:t>
      </w:r>
    </w:p>
    <w:p w:rsidR="00DF6DAB" w:rsidRPr="003755A8" w:rsidRDefault="00DF6DAB" w:rsidP="00D53D13">
      <w:pPr>
        <w:spacing w:before="0" w:after="0" w:line="240" w:lineRule="auto"/>
        <w:rPr>
          <w:rFonts w:cstheme="minorHAnsi"/>
          <w:szCs w:val="24"/>
        </w:rPr>
      </w:pPr>
      <w:r w:rsidRPr="003755A8">
        <w:rPr>
          <w:rFonts w:cstheme="minorHAnsi"/>
          <w:szCs w:val="24"/>
        </w:rPr>
        <w:t xml:space="preserve">   </w:t>
      </w:r>
      <w:r w:rsidRPr="003755A8">
        <w:rPr>
          <w:rFonts w:cstheme="minorHAnsi"/>
          <w:szCs w:val="24"/>
          <w:highlight w:val="lightGray"/>
        </w:rPr>
        <w:t>x</w:t>
      </w:r>
      <w:r w:rsidRPr="003755A8">
        <w:rPr>
          <w:rFonts w:cstheme="minorHAnsi"/>
          <w:szCs w:val="24"/>
        </w:rPr>
        <w:t xml:space="preserve">  Završeno u prethodnom periodu </w:t>
      </w:r>
    </w:p>
    <w:p w:rsidR="00DF6DAB" w:rsidRPr="003755A8" w:rsidRDefault="00DF6DAB" w:rsidP="00D53D13">
      <w:pPr>
        <w:spacing w:before="0" w:after="0" w:line="240" w:lineRule="auto"/>
        <w:rPr>
          <w:rFonts w:cstheme="minorHAnsi"/>
          <w:szCs w:val="24"/>
        </w:rPr>
      </w:pPr>
      <w:r w:rsidRPr="003755A8">
        <w:rPr>
          <w:rFonts w:cstheme="minorHAnsi"/>
          <w:szCs w:val="24"/>
        </w:rPr>
        <w:t xml:space="preserve">   </w:t>
      </w:r>
      <w:r w:rsidRPr="003755A8">
        <w:rPr>
          <w:rFonts w:cstheme="minorHAnsi"/>
          <w:szCs w:val="24"/>
          <w:highlight w:val="yellow"/>
        </w:rPr>
        <w:t>x</w:t>
      </w:r>
      <w:r w:rsidRPr="003755A8">
        <w:rPr>
          <w:rFonts w:cstheme="minorHAnsi"/>
          <w:szCs w:val="24"/>
        </w:rPr>
        <w:t xml:space="preserve">  Nastavak aktivnosti iz prethodnog perioda</w:t>
      </w:r>
    </w:p>
    <w:p w:rsidR="00DF6DAB" w:rsidRPr="003755A8" w:rsidRDefault="00DF6DAB" w:rsidP="00D53D13">
      <w:pPr>
        <w:spacing w:before="0" w:after="0" w:line="240" w:lineRule="auto"/>
        <w:rPr>
          <w:rFonts w:cstheme="minorHAnsi"/>
          <w:szCs w:val="24"/>
        </w:rPr>
      </w:pPr>
      <w:r w:rsidRPr="003755A8">
        <w:rPr>
          <w:rFonts w:cstheme="minorHAnsi"/>
          <w:szCs w:val="24"/>
        </w:rPr>
        <w:t xml:space="preserve">   </w:t>
      </w:r>
      <w:r w:rsidRPr="003755A8">
        <w:rPr>
          <w:rFonts w:cstheme="minorHAnsi"/>
          <w:szCs w:val="24"/>
          <w:highlight w:val="green"/>
        </w:rPr>
        <w:t>x</w:t>
      </w:r>
      <w:r w:rsidRPr="003755A8">
        <w:rPr>
          <w:rFonts w:cstheme="minorHAnsi"/>
          <w:szCs w:val="24"/>
        </w:rPr>
        <w:t xml:space="preserve">  Započete aktivnosti u toku 2020. godine</w:t>
      </w:r>
    </w:p>
    <w:p w:rsidR="00DF6DAB" w:rsidRPr="003755A8" w:rsidRDefault="00DF6DAB" w:rsidP="00D53D13">
      <w:pPr>
        <w:spacing w:before="0" w:after="0" w:line="240" w:lineRule="auto"/>
        <w:rPr>
          <w:rFonts w:cstheme="minorHAnsi"/>
          <w:szCs w:val="24"/>
        </w:rPr>
      </w:pPr>
      <w:r w:rsidRPr="003755A8">
        <w:rPr>
          <w:rFonts w:cstheme="minorHAnsi"/>
          <w:szCs w:val="24"/>
        </w:rPr>
        <w:t xml:space="preserve">   </w:t>
      </w:r>
      <w:r w:rsidRPr="003755A8">
        <w:rPr>
          <w:rFonts w:cstheme="minorHAnsi"/>
          <w:szCs w:val="24"/>
          <w:highlight w:val="magenta"/>
        </w:rPr>
        <w:t>x</w:t>
      </w:r>
      <w:r w:rsidRPr="003755A8">
        <w:rPr>
          <w:rFonts w:cstheme="minorHAnsi"/>
          <w:szCs w:val="24"/>
        </w:rPr>
        <w:t xml:space="preserve">  Završene aktivnosti u toku 2020. godine</w:t>
      </w:r>
    </w:p>
    <w:p w:rsidR="00DF6DAB" w:rsidRDefault="00DF6DAB" w:rsidP="007D0034">
      <w:pPr>
        <w:spacing w:before="0" w:after="0" w:line="240" w:lineRule="auto"/>
        <w:rPr>
          <w:rFonts w:cstheme="minorHAnsi"/>
          <w:szCs w:val="24"/>
        </w:rPr>
      </w:pPr>
      <w:r w:rsidRPr="003755A8">
        <w:rPr>
          <w:rFonts w:cstheme="minorHAnsi"/>
          <w:szCs w:val="24"/>
        </w:rPr>
        <w:t xml:space="preserve">   x  Planirane aktivn</w:t>
      </w:r>
      <w:r w:rsidR="007D0034">
        <w:rPr>
          <w:rFonts w:cstheme="minorHAnsi"/>
          <w:szCs w:val="24"/>
        </w:rPr>
        <w:t>osti</w:t>
      </w:r>
    </w:p>
    <w:p w:rsidR="007D0034" w:rsidRPr="007D0034" w:rsidRDefault="007D0034" w:rsidP="007D0034">
      <w:pPr>
        <w:spacing w:before="0" w:after="0" w:line="240" w:lineRule="auto"/>
        <w:rPr>
          <w:rFonts w:cstheme="minorHAnsi"/>
          <w:szCs w:val="24"/>
        </w:rPr>
      </w:pPr>
    </w:p>
    <w:p w:rsidR="007D0034" w:rsidRDefault="007D0034" w:rsidP="007D0034">
      <w:pPr>
        <w:spacing w:before="0" w:after="0"/>
        <w:rPr>
          <w:rFonts w:cstheme="minorHAnsi"/>
          <w:b/>
          <w:szCs w:val="24"/>
        </w:rPr>
      </w:pPr>
      <w:bookmarkStart w:id="173" w:name="_Toc71288827"/>
    </w:p>
    <w:p w:rsidR="00DF6DAB" w:rsidRPr="003755A8" w:rsidRDefault="00DF6DAB" w:rsidP="007D0034">
      <w:pPr>
        <w:spacing w:before="0" w:after="0"/>
        <w:rPr>
          <w:rFonts w:cstheme="minorHAnsi"/>
          <w:b/>
          <w:szCs w:val="24"/>
        </w:rPr>
      </w:pPr>
      <w:r w:rsidRPr="003755A8">
        <w:rPr>
          <w:rFonts w:cstheme="minorHAnsi"/>
          <w:b/>
          <w:szCs w:val="24"/>
        </w:rPr>
        <w:t>2.2. PROJEKAT OSNIVANJA KATASTRA NEPOKRETNOSTI NA NEPREMJERENOM DIJELU TERITORIJE OPŠTINE NIKŠIĆ</w:t>
      </w:r>
      <w:bookmarkEnd w:id="173"/>
    </w:p>
    <w:p w:rsidR="00DF6DAB" w:rsidRPr="003755A8" w:rsidRDefault="00DF6DAB" w:rsidP="007D0034">
      <w:pPr>
        <w:spacing w:before="0" w:after="0"/>
        <w:ind w:firstLine="709"/>
        <w:rPr>
          <w:rFonts w:cstheme="minorHAnsi"/>
          <w:szCs w:val="24"/>
        </w:rPr>
      </w:pPr>
      <w:r w:rsidRPr="003755A8">
        <w:rPr>
          <w:rFonts w:cstheme="minorHAnsi"/>
          <w:szCs w:val="24"/>
        </w:rPr>
        <w:t>Shodno značaju obezbjeđivanja podataka o nepokretnostima i pravima na njima, kao osnovne geometrijske podloge za izradu tehničke dokumentacije kod planiranja prostora, pripremljen je Projekat osnivanja katastra nepokretnosti na nepremjerenom dijelu teritorije Opštine Nikšić.</w:t>
      </w:r>
    </w:p>
    <w:p w:rsidR="00DF6DAB" w:rsidRPr="003755A8" w:rsidRDefault="00DF6DAB" w:rsidP="007D0034">
      <w:pPr>
        <w:spacing w:before="0" w:after="0"/>
        <w:ind w:firstLine="709"/>
        <w:rPr>
          <w:rFonts w:cstheme="minorHAnsi"/>
          <w:szCs w:val="24"/>
        </w:rPr>
      </w:pPr>
      <w:r w:rsidRPr="003755A8">
        <w:rPr>
          <w:rFonts w:cstheme="minorHAnsi"/>
          <w:szCs w:val="24"/>
        </w:rPr>
        <w:t>Projekat obuhvata 32 katastarsku opštinu, u  površini od 100.876 ha i sadrži više faza poslova:</w:t>
      </w:r>
    </w:p>
    <w:p w:rsidR="00DF6DAB" w:rsidRPr="003755A8" w:rsidRDefault="00DF6DAB" w:rsidP="007D0034">
      <w:pPr>
        <w:spacing w:before="0" w:after="0"/>
        <w:rPr>
          <w:rFonts w:cstheme="minorHAnsi"/>
          <w:szCs w:val="24"/>
        </w:rPr>
      </w:pPr>
      <w:r w:rsidRPr="003755A8">
        <w:rPr>
          <w:rFonts w:cstheme="minorHAnsi"/>
          <w:szCs w:val="24"/>
        </w:rPr>
        <w:t>dešifrovanje i prikupljanje podataka o nepokretnostima i imaocima prava;</w:t>
      </w:r>
    </w:p>
    <w:p w:rsidR="00DF6DAB" w:rsidRPr="003755A8" w:rsidRDefault="007D0034" w:rsidP="007D0034">
      <w:pPr>
        <w:spacing w:before="0" w:after="0"/>
        <w:rPr>
          <w:rFonts w:cstheme="minorHAnsi"/>
          <w:szCs w:val="24"/>
        </w:rPr>
      </w:pPr>
      <w:r>
        <w:rPr>
          <w:rFonts w:cstheme="minorHAnsi"/>
          <w:szCs w:val="24"/>
        </w:rPr>
        <w:t xml:space="preserve"> - </w:t>
      </w:r>
      <w:r w:rsidR="00DF6DAB" w:rsidRPr="003755A8">
        <w:rPr>
          <w:rFonts w:cstheme="minorHAnsi"/>
          <w:szCs w:val="24"/>
        </w:rPr>
        <w:t xml:space="preserve">katastarsko klasiranje; </w:t>
      </w:r>
    </w:p>
    <w:p w:rsidR="00DF6DAB" w:rsidRPr="003755A8" w:rsidRDefault="007D0034" w:rsidP="007D0034">
      <w:pPr>
        <w:spacing w:before="0" w:after="0"/>
        <w:rPr>
          <w:rFonts w:cstheme="minorHAnsi"/>
          <w:szCs w:val="24"/>
        </w:rPr>
      </w:pPr>
      <w:r>
        <w:rPr>
          <w:rFonts w:cstheme="minorHAnsi"/>
          <w:szCs w:val="24"/>
        </w:rPr>
        <w:t xml:space="preserve"> - </w:t>
      </w:r>
      <w:r w:rsidR="00DF6DAB" w:rsidRPr="003755A8">
        <w:rPr>
          <w:rFonts w:cstheme="minorHAnsi"/>
          <w:szCs w:val="24"/>
        </w:rPr>
        <w:t>obrada prikupljenih terenskih podataka i izrada privremene baze podataka (izrada elaborata za izlaganje podataka na javni uvid);</w:t>
      </w:r>
    </w:p>
    <w:p w:rsidR="00DF6DAB" w:rsidRPr="003755A8" w:rsidRDefault="007D0034" w:rsidP="007D0034">
      <w:pPr>
        <w:spacing w:before="0" w:after="0"/>
        <w:rPr>
          <w:rFonts w:cstheme="minorHAnsi"/>
          <w:szCs w:val="24"/>
        </w:rPr>
      </w:pPr>
      <w:r>
        <w:rPr>
          <w:rFonts w:cstheme="minorHAnsi"/>
          <w:szCs w:val="24"/>
        </w:rPr>
        <w:t xml:space="preserve"> - </w:t>
      </w:r>
      <w:r w:rsidR="00DF6DAB" w:rsidRPr="003755A8">
        <w:rPr>
          <w:rFonts w:cstheme="minorHAnsi"/>
          <w:szCs w:val="24"/>
        </w:rPr>
        <w:t>izlaganje podataka na javni uvid ;</w:t>
      </w:r>
    </w:p>
    <w:p w:rsidR="00DF6DAB" w:rsidRPr="003755A8" w:rsidRDefault="007D0034" w:rsidP="007D0034">
      <w:pPr>
        <w:spacing w:before="0" w:after="0"/>
        <w:rPr>
          <w:rFonts w:cstheme="minorHAnsi"/>
          <w:szCs w:val="24"/>
        </w:rPr>
      </w:pPr>
      <w:r>
        <w:rPr>
          <w:rFonts w:cstheme="minorHAnsi"/>
          <w:szCs w:val="24"/>
        </w:rPr>
        <w:t xml:space="preserve"> - </w:t>
      </w:r>
      <w:r w:rsidR="00DF6DAB" w:rsidRPr="003755A8">
        <w:rPr>
          <w:rFonts w:cstheme="minorHAnsi"/>
          <w:szCs w:val="24"/>
        </w:rPr>
        <w:t>potvrđivanje baze podataka.</w:t>
      </w:r>
    </w:p>
    <w:p w:rsidR="00DF6DAB" w:rsidRPr="003755A8" w:rsidRDefault="00DF6DAB" w:rsidP="007D0034">
      <w:pPr>
        <w:spacing w:before="0" w:after="0"/>
        <w:ind w:firstLine="709"/>
        <w:rPr>
          <w:rFonts w:cstheme="minorHAnsi"/>
          <w:szCs w:val="24"/>
        </w:rPr>
      </w:pPr>
      <w:r w:rsidRPr="003755A8">
        <w:rPr>
          <w:rFonts w:cstheme="minorHAnsi"/>
          <w:szCs w:val="24"/>
        </w:rPr>
        <w:t>Za potrebe Izlaganja podataka za navedene katastarske opštine na teritoriji Opštine Pljevlja, angažovana jedna Komisije.</w:t>
      </w:r>
    </w:p>
    <w:p w:rsidR="007D0034" w:rsidRDefault="007D0034" w:rsidP="00DF6DAB">
      <w:pPr>
        <w:rPr>
          <w:rFonts w:cstheme="minorHAnsi"/>
          <w:szCs w:val="24"/>
        </w:rPr>
      </w:pPr>
    </w:p>
    <w:p w:rsidR="00DF6DAB" w:rsidRPr="003755A8" w:rsidRDefault="00DF6DAB" w:rsidP="007D0034">
      <w:pPr>
        <w:spacing w:before="0" w:after="0" w:line="240" w:lineRule="auto"/>
        <w:jc w:val="center"/>
        <w:rPr>
          <w:rFonts w:cstheme="minorHAnsi"/>
          <w:szCs w:val="24"/>
        </w:rPr>
      </w:pPr>
      <w:r w:rsidRPr="003755A8">
        <w:rPr>
          <w:rFonts w:cstheme="minorHAnsi"/>
          <w:szCs w:val="24"/>
        </w:rPr>
        <w:t>Tabela 2.12. Pregled izvršenih radova na Projektu osnivanje evidencije katastra nepokretnosti za Opštinu Nikšić</w:t>
      </w:r>
    </w:p>
    <w:tbl>
      <w:tblPr>
        <w:tblW w:w="4145"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26"/>
        <w:gridCol w:w="779"/>
        <w:gridCol w:w="660"/>
        <w:gridCol w:w="660"/>
        <w:gridCol w:w="660"/>
        <w:gridCol w:w="660"/>
        <w:gridCol w:w="660"/>
        <w:gridCol w:w="660"/>
      </w:tblGrid>
      <w:tr w:rsidR="00DF6DAB" w:rsidRPr="00326E6F" w:rsidTr="00DF6DAB">
        <w:trPr>
          <w:cantSplit/>
          <w:trHeight w:val="2797"/>
          <w:jc w:val="center"/>
        </w:trPr>
        <w:tc>
          <w:tcPr>
            <w:tcW w:w="3151" w:type="dxa"/>
            <w:tcBorders>
              <w:top w:val="single" w:sz="12" w:space="0" w:color="auto"/>
              <w:left w:val="single" w:sz="12" w:space="0" w:color="auto"/>
              <w:bottom w:val="single" w:sz="12" w:space="0" w:color="auto"/>
              <w:right w:val="single" w:sz="12" w:space="0" w:color="auto"/>
            </w:tcBorders>
            <w:vAlign w:val="center"/>
          </w:tcPr>
          <w:p w:rsidR="00DF6DAB" w:rsidRPr="007D0034" w:rsidRDefault="00DF6DAB" w:rsidP="007D0034">
            <w:pPr>
              <w:spacing w:before="0" w:after="0" w:line="240" w:lineRule="auto"/>
              <w:jc w:val="left"/>
              <w:rPr>
                <w:rFonts w:cstheme="minorHAnsi"/>
                <w:szCs w:val="24"/>
              </w:rPr>
            </w:pPr>
            <w:r w:rsidRPr="007D0034">
              <w:rPr>
                <w:rFonts w:cstheme="minorHAnsi"/>
                <w:szCs w:val="24"/>
              </w:rPr>
              <w:lastRenderedPageBreak/>
              <w:t>Katastarska opština</w:t>
            </w:r>
          </w:p>
        </w:tc>
        <w:tc>
          <w:tcPr>
            <w:tcW w:w="761" w:type="dxa"/>
            <w:tcBorders>
              <w:top w:val="single" w:sz="12" w:space="0" w:color="auto"/>
              <w:left w:val="single" w:sz="12" w:space="0" w:color="auto"/>
              <w:bottom w:val="single" w:sz="12" w:space="0" w:color="auto"/>
              <w:right w:val="single" w:sz="12" w:space="0" w:color="auto"/>
            </w:tcBorders>
            <w:textDirection w:val="btLr"/>
            <w:vAlign w:val="center"/>
          </w:tcPr>
          <w:p w:rsidR="00DF6DAB" w:rsidRPr="007D0034" w:rsidRDefault="00DF6DAB" w:rsidP="007D0034">
            <w:pPr>
              <w:spacing w:before="0" w:after="0" w:line="240" w:lineRule="auto"/>
              <w:jc w:val="left"/>
              <w:rPr>
                <w:rFonts w:cstheme="minorHAnsi"/>
                <w:sz w:val="22"/>
              </w:rPr>
            </w:pPr>
            <w:r w:rsidRPr="007D0034">
              <w:rPr>
                <w:rFonts w:cstheme="minorHAnsi"/>
                <w:sz w:val="22"/>
              </w:rPr>
              <w:t>DEŠIFROVANJE NEPOKRETNOSTI I TOPOGRAFSKIH DETALJA</w:t>
            </w:r>
          </w:p>
        </w:tc>
        <w:tc>
          <w:tcPr>
            <w:tcW w:w="645" w:type="dxa"/>
            <w:tcBorders>
              <w:top w:val="single" w:sz="12" w:space="0" w:color="auto"/>
              <w:left w:val="single" w:sz="12" w:space="0" w:color="auto"/>
              <w:bottom w:val="single" w:sz="12" w:space="0" w:color="auto"/>
              <w:right w:val="single" w:sz="12" w:space="0" w:color="auto"/>
            </w:tcBorders>
            <w:textDirection w:val="btLr"/>
            <w:vAlign w:val="center"/>
          </w:tcPr>
          <w:p w:rsidR="00DF6DAB" w:rsidRPr="007D0034" w:rsidRDefault="00DF6DAB" w:rsidP="007D0034">
            <w:pPr>
              <w:spacing w:before="0" w:after="0" w:line="240" w:lineRule="auto"/>
              <w:jc w:val="left"/>
              <w:rPr>
                <w:rFonts w:cstheme="minorHAnsi"/>
                <w:sz w:val="22"/>
              </w:rPr>
            </w:pPr>
            <w:r w:rsidRPr="007D0034">
              <w:rPr>
                <w:rFonts w:cstheme="minorHAnsi"/>
                <w:sz w:val="22"/>
              </w:rPr>
              <w:t>PRIKUPLJANJE PODATAKA O NEPOKRETNOSTIMA</w:t>
            </w:r>
          </w:p>
        </w:tc>
        <w:tc>
          <w:tcPr>
            <w:tcW w:w="645" w:type="dxa"/>
            <w:tcBorders>
              <w:top w:val="single" w:sz="12" w:space="0" w:color="auto"/>
              <w:left w:val="single" w:sz="12" w:space="0" w:color="auto"/>
              <w:bottom w:val="single" w:sz="12" w:space="0" w:color="auto"/>
              <w:right w:val="single" w:sz="12" w:space="0" w:color="auto"/>
            </w:tcBorders>
            <w:textDirection w:val="btLr"/>
            <w:vAlign w:val="center"/>
          </w:tcPr>
          <w:p w:rsidR="00DF6DAB" w:rsidRPr="007D0034" w:rsidRDefault="00DF6DAB" w:rsidP="007D0034">
            <w:pPr>
              <w:spacing w:before="0" w:after="0" w:line="240" w:lineRule="auto"/>
              <w:jc w:val="left"/>
              <w:rPr>
                <w:rFonts w:cstheme="minorHAnsi"/>
                <w:sz w:val="22"/>
              </w:rPr>
            </w:pPr>
            <w:r w:rsidRPr="007D0034">
              <w:rPr>
                <w:rFonts w:cstheme="minorHAnsi"/>
                <w:sz w:val="22"/>
              </w:rPr>
              <w:t>IZRADA DIGITALNIH KATASTARSKIH PLANOVA</w:t>
            </w:r>
          </w:p>
        </w:tc>
        <w:tc>
          <w:tcPr>
            <w:tcW w:w="645" w:type="dxa"/>
            <w:tcBorders>
              <w:top w:val="single" w:sz="12" w:space="0" w:color="auto"/>
              <w:left w:val="single" w:sz="12" w:space="0" w:color="auto"/>
              <w:bottom w:val="single" w:sz="12" w:space="0" w:color="auto"/>
              <w:right w:val="single" w:sz="12" w:space="0" w:color="auto"/>
            </w:tcBorders>
            <w:textDirection w:val="btLr"/>
            <w:vAlign w:val="center"/>
          </w:tcPr>
          <w:p w:rsidR="00DF6DAB" w:rsidRPr="007D0034" w:rsidRDefault="00DF6DAB" w:rsidP="007D0034">
            <w:pPr>
              <w:spacing w:before="0" w:after="0" w:line="240" w:lineRule="auto"/>
              <w:jc w:val="left"/>
              <w:rPr>
                <w:rFonts w:cstheme="minorHAnsi"/>
                <w:sz w:val="22"/>
              </w:rPr>
            </w:pPr>
            <w:r w:rsidRPr="007D0034">
              <w:rPr>
                <w:rFonts w:cstheme="minorHAnsi"/>
                <w:sz w:val="22"/>
              </w:rPr>
              <w:t>KATASTARSKO KLASIRANJE</w:t>
            </w:r>
          </w:p>
        </w:tc>
        <w:tc>
          <w:tcPr>
            <w:tcW w:w="645" w:type="dxa"/>
            <w:tcBorders>
              <w:top w:val="single" w:sz="12" w:space="0" w:color="auto"/>
              <w:left w:val="single" w:sz="12" w:space="0" w:color="auto"/>
              <w:bottom w:val="single" w:sz="12" w:space="0" w:color="auto"/>
              <w:right w:val="single" w:sz="12" w:space="0" w:color="auto"/>
            </w:tcBorders>
            <w:textDirection w:val="btLr"/>
            <w:vAlign w:val="center"/>
          </w:tcPr>
          <w:p w:rsidR="00DF6DAB" w:rsidRPr="007D0034" w:rsidRDefault="00DF6DAB" w:rsidP="007D0034">
            <w:pPr>
              <w:spacing w:before="0" w:after="0" w:line="240" w:lineRule="auto"/>
              <w:jc w:val="left"/>
              <w:rPr>
                <w:rFonts w:cstheme="minorHAnsi"/>
                <w:sz w:val="22"/>
              </w:rPr>
            </w:pPr>
            <w:r w:rsidRPr="007D0034">
              <w:rPr>
                <w:rFonts w:cstheme="minorHAnsi"/>
                <w:sz w:val="22"/>
              </w:rPr>
              <w:t>IZRADA PRIVREMENE BAZE KATASTRANEPOKRETNOSTI</w:t>
            </w:r>
          </w:p>
        </w:tc>
        <w:tc>
          <w:tcPr>
            <w:tcW w:w="645" w:type="dxa"/>
            <w:tcBorders>
              <w:top w:val="single" w:sz="12" w:space="0" w:color="auto"/>
              <w:left w:val="single" w:sz="12" w:space="0" w:color="auto"/>
              <w:bottom w:val="single" w:sz="12" w:space="0" w:color="auto"/>
              <w:right w:val="single" w:sz="12" w:space="0" w:color="auto"/>
            </w:tcBorders>
            <w:textDirection w:val="btLr"/>
            <w:vAlign w:val="center"/>
          </w:tcPr>
          <w:p w:rsidR="00DF6DAB" w:rsidRPr="007D0034" w:rsidRDefault="00DF6DAB" w:rsidP="007D0034">
            <w:pPr>
              <w:spacing w:before="0" w:after="0" w:line="240" w:lineRule="auto"/>
              <w:jc w:val="left"/>
              <w:rPr>
                <w:rFonts w:cstheme="minorHAnsi"/>
                <w:sz w:val="22"/>
              </w:rPr>
            </w:pPr>
            <w:r w:rsidRPr="007D0034">
              <w:rPr>
                <w:rFonts w:cstheme="minorHAnsi"/>
                <w:sz w:val="22"/>
              </w:rPr>
              <w:t>IZLAGANJE PODATAKA NA JAVNI UVID</w:t>
            </w:r>
          </w:p>
        </w:tc>
        <w:tc>
          <w:tcPr>
            <w:tcW w:w="645" w:type="dxa"/>
            <w:tcBorders>
              <w:top w:val="single" w:sz="12" w:space="0" w:color="auto"/>
              <w:left w:val="single" w:sz="12" w:space="0" w:color="auto"/>
              <w:bottom w:val="single" w:sz="12" w:space="0" w:color="auto"/>
              <w:right w:val="single" w:sz="12" w:space="0" w:color="auto"/>
            </w:tcBorders>
            <w:textDirection w:val="btLr"/>
            <w:vAlign w:val="center"/>
          </w:tcPr>
          <w:p w:rsidR="00DF6DAB" w:rsidRPr="007D0034" w:rsidRDefault="00DF6DAB" w:rsidP="007D0034">
            <w:pPr>
              <w:spacing w:before="0" w:after="0" w:line="240" w:lineRule="auto"/>
              <w:jc w:val="left"/>
              <w:rPr>
                <w:rFonts w:cstheme="minorHAnsi"/>
                <w:sz w:val="22"/>
              </w:rPr>
            </w:pPr>
            <w:r w:rsidRPr="007D0034">
              <w:rPr>
                <w:rFonts w:cstheme="minorHAnsi"/>
                <w:sz w:val="22"/>
              </w:rPr>
              <w:t>IZRADA I POTVRĐIVANJE BAZE PODATAKA</w:t>
            </w:r>
          </w:p>
        </w:tc>
      </w:tr>
      <w:tr w:rsidR="00DF6DAB" w:rsidRPr="00326E6F" w:rsidTr="00DF6DAB">
        <w:trPr>
          <w:trHeight w:val="288"/>
          <w:jc w:val="center"/>
        </w:trPr>
        <w:tc>
          <w:tcPr>
            <w:tcW w:w="3151" w:type="dxa"/>
            <w:tcBorders>
              <w:top w:val="single" w:sz="12" w:space="0" w:color="auto"/>
              <w:left w:val="single" w:sz="12" w:space="0" w:color="auto"/>
              <w:right w:val="single" w:sz="12" w:space="0" w:color="auto"/>
            </w:tcBorders>
            <w:shd w:val="clear" w:color="auto" w:fill="auto"/>
            <w:vAlign w:val="center"/>
          </w:tcPr>
          <w:p w:rsidR="00DF6DAB" w:rsidRPr="003755A8" w:rsidRDefault="00DF6DAB" w:rsidP="007D0034">
            <w:pPr>
              <w:spacing w:before="0" w:after="0" w:line="240" w:lineRule="auto"/>
              <w:rPr>
                <w:rFonts w:cstheme="minorHAnsi"/>
                <w:szCs w:val="24"/>
              </w:rPr>
            </w:pPr>
            <w:r w:rsidRPr="003755A8">
              <w:rPr>
                <w:rFonts w:cstheme="minorHAnsi"/>
                <w:szCs w:val="24"/>
              </w:rPr>
              <w:t>BROĆANAC GRAHOVSKI</w:t>
            </w:r>
          </w:p>
        </w:tc>
        <w:tc>
          <w:tcPr>
            <w:tcW w:w="761" w:type="dxa"/>
            <w:tcBorders>
              <w:top w:val="single" w:sz="12" w:space="0" w:color="auto"/>
              <w:left w:val="single" w:sz="12" w:space="0" w:color="auto"/>
            </w:tcBorders>
            <w:vAlign w:val="center"/>
          </w:tcPr>
          <w:p w:rsidR="00DF6DAB" w:rsidRPr="003755A8" w:rsidRDefault="00DF6DAB" w:rsidP="007D0034">
            <w:pPr>
              <w:spacing w:before="0" w:after="0" w:line="240" w:lineRule="auto"/>
              <w:rPr>
                <w:rFonts w:cstheme="minorHAnsi"/>
                <w:szCs w:val="24"/>
                <w:highlight w:val="lightGray"/>
              </w:rPr>
            </w:pPr>
            <w:r w:rsidRPr="003755A8">
              <w:rPr>
                <w:rFonts w:cstheme="minorHAnsi"/>
                <w:szCs w:val="24"/>
                <w:highlight w:val="lightGray"/>
              </w:rPr>
              <w:t>x</w:t>
            </w:r>
          </w:p>
        </w:tc>
        <w:tc>
          <w:tcPr>
            <w:tcW w:w="645" w:type="dxa"/>
            <w:tcBorders>
              <w:top w:val="single" w:sz="12" w:space="0" w:color="auto"/>
            </w:tcBorders>
            <w:vAlign w:val="center"/>
          </w:tcPr>
          <w:p w:rsidR="00DF6DAB" w:rsidRPr="003755A8" w:rsidRDefault="00DF6DAB" w:rsidP="007D0034">
            <w:pPr>
              <w:spacing w:before="0" w:after="0" w:line="240" w:lineRule="auto"/>
              <w:rPr>
                <w:rFonts w:cstheme="minorHAnsi"/>
                <w:szCs w:val="24"/>
                <w:highlight w:val="lightGray"/>
              </w:rPr>
            </w:pPr>
            <w:r w:rsidRPr="003755A8">
              <w:rPr>
                <w:rFonts w:cstheme="minorHAnsi"/>
                <w:szCs w:val="24"/>
                <w:highlight w:val="lightGray"/>
              </w:rPr>
              <w:t>x</w:t>
            </w:r>
          </w:p>
        </w:tc>
        <w:tc>
          <w:tcPr>
            <w:tcW w:w="645" w:type="dxa"/>
            <w:tcBorders>
              <w:top w:val="single" w:sz="12" w:space="0" w:color="auto"/>
            </w:tcBorders>
            <w:vAlign w:val="center"/>
          </w:tcPr>
          <w:p w:rsidR="00DF6DAB" w:rsidRPr="003755A8" w:rsidRDefault="00DF6DAB" w:rsidP="007D0034">
            <w:pPr>
              <w:spacing w:before="0" w:after="0" w:line="240" w:lineRule="auto"/>
              <w:rPr>
                <w:rFonts w:cstheme="minorHAnsi"/>
                <w:szCs w:val="24"/>
                <w:highlight w:val="lightGray"/>
              </w:rPr>
            </w:pPr>
            <w:r w:rsidRPr="003755A8">
              <w:rPr>
                <w:rFonts w:cstheme="minorHAnsi"/>
                <w:szCs w:val="24"/>
                <w:highlight w:val="lightGray"/>
              </w:rPr>
              <w:t>x</w:t>
            </w:r>
          </w:p>
        </w:tc>
        <w:tc>
          <w:tcPr>
            <w:tcW w:w="645" w:type="dxa"/>
            <w:tcBorders>
              <w:top w:val="single" w:sz="12" w:space="0" w:color="auto"/>
            </w:tcBorders>
            <w:vAlign w:val="center"/>
          </w:tcPr>
          <w:p w:rsidR="00DF6DAB" w:rsidRPr="003755A8" w:rsidRDefault="00DF6DAB" w:rsidP="007D0034">
            <w:pPr>
              <w:spacing w:before="0" w:after="0" w:line="240" w:lineRule="auto"/>
              <w:rPr>
                <w:rFonts w:cstheme="minorHAnsi"/>
                <w:szCs w:val="24"/>
                <w:highlight w:val="lightGray"/>
              </w:rPr>
            </w:pPr>
            <w:r w:rsidRPr="003755A8">
              <w:rPr>
                <w:rFonts w:cstheme="minorHAnsi"/>
                <w:szCs w:val="24"/>
                <w:highlight w:val="lightGray"/>
              </w:rPr>
              <w:t>x</w:t>
            </w:r>
          </w:p>
        </w:tc>
        <w:tc>
          <w:tcPr>
            <w:tcW w:w="645" w:type="dxa"/>
            <w:tcBorders>
              <w:top w:val="single" w:sz="12" w:space="0" w:color="auto"/>
            </w:tcBorders>
            <w:vAlign w:val="center"/>
          </w:tcPr>
          <w:p w:rsidR="00DF6DAB" w:rsidRPr="003755A8" w:rsidRDefault="00DF6DAB" w:rsidP="007D0034">
            <w:pPr>
              <w:spacing w:before="0" w:after="0" w:line="240" w:lineRule="auto"/>
              <w:rPr>
                <w:rFonts w:cstheme="minorHAnsi"/>
                <w:szCs w:val="24"/>
                <w:highlight w:val="magenta"/>
              </w:rPr>
            </w:pPr>
            <w:r w:rsidRPr="003755A8">
              <w:rPr>
                <w:rFonts w:cstheme="minorHAnsi"/>
                <w:szCs w:val="24"/>
                <w:highlight w:val="magenta"/>
              </w:rPr>
              <w:t>x</w:t>
            </w:r>
          </w:p>
        </w:tc>
        <w:tc>
          <w:tcPr>
            <w:tcW w:w="645" w:type="dxa"/>
            <w:tcBorders>
              <w:top w:val="single" w:sz="12" w:space="0" w:color="auto"/>
            </w:tcBorders>
            <w:vAlign w:val="center"/>
          </w:tcPr>
          <w:p w:rsidR="00DF6DAB" w:rsidRPr="003755A8" w:rsidRDefault="00DF6DAB" w:rsidP="007D0034">
            <w:pPr>
              <w:spacing w:before="0" w:after="0" w:line="240" w:lineRule="auto"/>
              <w:rPr>
                <w:rFonts w:cstheme="minorHAnsi"/>
                <w:szCs w:val="24"/>
                <w:highlight w:val="magenta"/>
              </w:rPr>
            </w:pPr>
            <w:r w:rsidRPr="003755A8">
              <w:rPr>
                <w:rFonts w:cstheme="minorHAnsi"/>
                <w:szCs w:val="24"/>
                <w:highlight w:val="green"/>
              </w:rPr>
              <w:t>x</w:t>
            </w:r>
          </w:p>
        </w:tc>
        <w:tc>
          <w:tcPr>
            <w:tcW w:w="645" w:type="dxa"/>
            <w:tcBorders>
              <w:top w:val="single" w:sz="12" w:space="0" w:color="auto"/>
              <w:righ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r>
      <w:tr w:rsidR="00DF6DAB" w:rsidRPr="00326E6F" w:rsidTr="00DF6DAB">
        <w:trPr>
          <w:trHeight w:val="288"/>
          <w:jc w:val="center"/>
        </w:trPr>
        <w:tc>
          <w:tcPr>
            <w:tcW w:w="3151" w:type="dxa"/>
            <w:tcBorders>
              <w:left w:val="single" w:sz="12" w:space="0" w:color="auto"/>
              <w:right w:val="single" w:sz="12" w:space="0" w:color="auto"/>
            </w:tcBorders>
            <w:shd w:val="clear" w:color="auto" w:fill="auto"/>
            <w:vAlign w:val="center"/>
          </w:tcPr>
          <w:p w:rsidR="00DF6DAB" w:rsidRPr="003755A8" w:rsidRDefault="00DF6DAB" w:rsidP="007D0034">
            <w:pPr>
              <w:spacing w:before="0" w:after="0" w:line="240" w:lineRule="auto"/>
              <w:rPr>
                <w:rFonts w:cstheme="minorHAnsi"/>
                <w:szCs w:val="24"/>
              </w:rPr>
            </w:pPr>
            <w:r w:rsidRPr="003755A8">
              <w:rPr>
                <w:rFonts w:cstheme="minorHAnsi"/>
                <w:szCs w:val="24"/>
              </w:rPr>
              <w:t>BUSAK</w:t>
            </w:r>
          </w:p>
        </w:tc>
        <w:tc>
          <w:tcPr>
            <w:tcW w:w="761" w:type="dxa"/>
            <w:tcBorders>
              <w:lef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tcBorders>
              <w:righ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r>
      <w:tr w:rsidR="00DF6DAB" w:rsidRPr="00326E6F" w:rsidTr="00DF6DAB">
        <w:trPr>
          <w:trHeight w:val="288"/>
          <w:jc w:val="center"/>
        </w:trPr>
        <w:tc>
          <w:tcPr>
            <w:tcW w:w="3151" w:type="dxa"/>
            <w:tcBorders>
              <w:left w:val="single" w:sz="12" w:space="0" w:color="auto"/>
              <w:right w:val="single" w:sz="12" w:space="0" w:color="auto"/>
            </w:tcBorders>
            <w:shd w:val="clear" w:color="auto" w:fill="auto"/>
            <w:vAlign w:val="center"/>
          </w:tcPr>
          <w:p w:rsidR="00DF6DAB" w:rsidRPr="003755A8" w:rsidRDefault="00DF6DAB" w:rsidP="007D0034">
            <w:pPr>
              <w:spacing w:before="0" w:after="0" w:line="240" w:lineRule="auto"/>
              <w:rPr>
                <w:rFonts w:cstheme="minorHAnsi"/>
                <w:szCs w:val="24"/>
              </w:rPr>
            </w:pPr>
            <w:r w:rsidRPr="003755A8">
              <w:rPr>
                <w:rFonts w:cstheme="minorHAnsi"/>
                <w:szCs w:val="24"/>
              </w:rPr>
              <w:t>ČARADJE</w:t>
            </w:r>
          </w:p>
        </w:tc>
        <w:tc>
          <w:tcPr>
            <w:tcW w:w="761" w:type="dxa"/>
            <w:tcBorders>
              <w:lef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tcBorders>
              <w:righ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r>
      <w:tr w:rsidR="00DF6DAB" w:rsidRPr="00326E6F" w:rsidTr="00DF6DAB">
        <w:trPr>
          <w:trHeight w:val="288"/>
          <w:jc w:val="center"/>
        </w:trPr>
        <w:tc>
          <w:tcPr>
            <w:tcW w:w="3151" w:type="dxa"/>
            <w:tcBorders>
              <w:left w:val="single" w:sz="12" w:space="0" w:color="auto"/>
              <w:right w:val="single" w:sz="12" w:space="0" w:color="auto"/>
            </w:tcBorders>
            <w:shd w:val="clear" w:color="auto" w:fill="auto"/>
            <w:vAlign w:val="center"/>
          </w:tcPr>
          <w:p w:rsidR="00DF6DAB" w:rsidRPr="003755A8" w:rsidRDefault="00DF6DAB" w:rsidP="007D0034">
            <w:pPr>
              <w:spacing w:before="0" w:after="0" w:line="240" w:lineRule="auto"/>
              <w:rPr>
                <w:rFonts w:cstheme="minorHAnsi"/>
                <w:szCs w:val="24"/>
              </w:rPr>
            </w:pPr>
            <w:r w:rsidRPr="003755A8">
              <w:rPr>
                <w:rFonts w:cstheme="minorHAnsi"/>
                <w:szCs w:val="24"/>
              </w:rPr>
              <w:t>DONJE CRKVICE</w:t>
            </w:r>
          </w:p>
        </w:tc>
        <w:tc>
          <w:tcPr>
            <w:tcW w:w="761" w:type="dxa"/>
            <w:tcBorders>
              <w:lef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highlight w:val="lightGray"/>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tcBorders>
              <w:righ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r>
      <w:tr w:rsidR="00DF6DAB" w:rsidRPr="00326E6F" w:rsidTr="00DF6DAB">
        <w:trPr>
          <w:trHeight w:val="288"/>
          <w:jc w:val="center"/>
        </w:trPr>
        <w:tc>
          <w:tcPr>
            <w:tcW w:w="3151" w:type="dxa"/>
            <w:tcBorders>
              <w:left w:val="single" w:sz="12" w:space="0" w:color="auto"/>
              <w:right w:val="single" w:sz="12" w:space="0" w:color="auto"/>
            </w:tcBorders>
            <w:shd w:val="clear" w:color="auto" w:fill="auto"/>
            <w:vAlign w:val="center"/>
          </w:tcPr>
          <w:p w:rsidR="00DF6DAB" w:rsidRPr="003755A8" w:rsidRDefault="00DF6DAB" w:rsidP="007D0034">
            <w:pPr>
              <w:spacing w:before="0" w:after="0" w:line="240" w:lineRule="auto"/>
              <w:rPr>
                <w:rFonts w:cstheme="minorHAnsi"/>
                <w:szCs w:val="24"/>
              </w:rPr>
            </w:pPr>
            <w:r w:rsidRPr="003755A8">
              <w:rPr>
                <w:rFonts w:cstheme="minorHAnsi"/>
                <w:szCs w:val="24"/>
              </w:rPr>
              <w:t>DONJE SRIJEDE</w:t>
            </w:r>
          </w:p>
        </w:tc>
        <w:tc>
          <w:tcPr>
            <w:tcW w:w="761" w:type="dxa"/>
            <w:tcBorders>
              <w:lef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tcBorders>
              <w:righ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r>
      <w:tr w:rsidR="00DF6DAB" w:rsidRPr="00326E6F" w:rsidTr="00DF6DAB">
        <w:trPr>
          <w:trHeight w:val="288"/>
          <w:jc w:val="center"/>
        </w:trPr>
        <w:tc>
          <w:tcPr>
            <w:tcW w:w="3151" w:type="dxa"/>
            <w:tcBorders>
              <w:left w:val="single" w:sz="12" w:space="0" w:color="auto"/>
              <w:right w:val="single" w:sz="12" w:space="0" w:color="auto"/>
            </w:tcBorders>
            <w:shd w:val="clear" w:color="auto" w:fill="auto"/>
            <w:vAlign w:val="center"/>
          </w:tcPr>
          <w:p w:rsidR="00DF6DAB" w:rsidRPr="003755A8" w:rsidRDefault="00DF6DAB" w:rsidP="007D0034">
            <w:pPr>
              <w:spacing w:before="0" w:after="0" w:line="240" w:lineRule="auto"/>
              <w:rPr>
                <w:rFonts w:cstheme="minorHAnsi"/>
                <w:szCs w:val="24"/>
              </w:rPr>
            </w:pPr>
            <w:r w:rsidRPr="003755A8">
              <w:rPr>
                <w:rFonts w:cstheme="minorHAnsi"/>
                <w:szCs w:val="24"/>
              </w:rPr>
              <w:t>DUBOČKE</w:t>
            </w:r>
          </w:p>
        </w:tc>
        <w:tc>
          <w:tcPr>
            <w:tcW w:w="761" w:type="dxa"/>
            <w:tcBorders>
              <w:lef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highlight w:val="lightGray"/>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tcBorders>
              <w:righ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r>
      <w:tr w:rsidR="00DF6DAB" w:rsidRPr="00326E6F" w:rsidTr="00DF6DAB">
        <w:trPr>
          <w:trHeight w:val="288"/>
          <w:jc w:val="center"/>
        </w:trPr>
        <w:tc>
          <w:tcPr>
            <w:tcW w:w="3151" w:type="dxa"/>
            <w:tcBorders>
              <w:left w:val="single" w:sz="12" w:space="0" w:color="auto"/>
              <w:right w:val="single" w:sz="12" w:space="0" w:color="auto"/>
            </w:tcBorders>
            <w:shd w:val="clear" w:color="auto" w:fill="auto"/>
            <w:vAlign w:val="center"/>
          </w:tcPr>
          <w:p w:rsidR="00DF6DAB" w:rsidRPr="003755A8" w:rsidRDefault="00DF6DAB" w:rsidP="007D0034">
            <w:pPr>
              <w:spacing w:before="0" w:after="0" w:line="240" w:lineRule="auto"/>
              <w:rPr>
                <w:rFonts w:cstheme="minorHAnsi"/>
                <w:szCs w:val="24"/>
              </w:rPr>
            </w:pPr>
            <w:r w:rsidRPr="003755A8">
              <w:rPr>
                <w:rFonts w:cstheme="minorHAnsi"/>
                <w:szCs w:val="24"/>
              </w:rPr>
              <w:t>GORNJE CRKVICE</w:t>
            </w:r>
          </w:p>
        </w:tc>
        <w:tc>
          <w:tcPr>
            <w:tcW w:w="761" w:type="dxa"/>
            <w:tcBorders>
              <w:lef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highlight w:val="lightGray"/>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tcBorders>
              <w:righ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r>
      <w:tr w:rsidR="00DF6DAB" w:rsidRPr="00326E6F" w:rsidTr="00DF6DAB">
        <w:trPr>
          <w:trHeight w:val="288"/>
          <w:jc w:val="center"/>
        </w:trPr>
        <w:tc>
          <w:tcPr>
            <w:tcW w:w="3151" w:type="dxa"/>
            <w:tcBorders>
              <w:left w:val="single" w:sz="12" w:space="0" w:color="auto"/>
              <w:right w:val="single" w:sz="12" w:space="0" w:color="auto"/>
            </w:tcBorders>
            <w:shd w:val="clear" w:color="auto" w:fill="auto"/>
            <w:vAlign w:val="center"/>
          </w:tcPr>
          <w:p w:rsidR="00DF6DAB" w:rsidRPr="003755A8" w:rsidRDefault="00DF6DAB" w:rsidP="007D0034">
            <w:pPr>
              <w:spacing w:before="0" w:after="0" w:line="240" w:lineRule="auto"/>
              <w:rPr>
                <w:rFonts w:cstheme="minorHAnsi"/>
                <w:szCs w:val="24"/>
              </w:rPr>
            </w:pPr>
            <w:r w:rsidRPr="003755A8">
              <w:rPr>
                <w:rFonts w:cstheme="minorHAnsi"/>
                <w:szCs w:val="24"/>
              </w:rPr>
              <w:t>GORNJI KAZANCI</w:t>
            </w:r>
          </w:p>
        </w:tc>
        <w:tc>
          <w:tcPr>
            <w:tcW w:w="761" w:type="dxa"/>
            <w:tcBorders>
              <w:lef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tcBorders>
              <w:righ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r>
      <w:tr w:rsidR="00DF6DAB" w:rsidRPr="00326E6F" w:rsidTr="00DF6DAB">
        <w:trPr>
          <w:trHeight w:val="288"/>
          <w:jc w:val="center"/>
        </w:trPr>
        <w:tc>
          <w:tcPr>
            <w:tcW w:w="3151" w:type="dxa"/>
            <w:tcBorders>
              <w:left w:val="single" w:sz="12" w:space="0" w:color="auto"/>
              <w:right w:val="single" w:sz="12" w:space="0" w:color="auto"/>
            </w:tcBorders>
            <w:shd w:val="clear" w:color="auto" w:fill="auto"/>
            <w:vAlign w:val="center"/>
          </w:tcPr>
          <w:p w:rsidR="00DF6DAB" w:rsidRPr="003755A8" w:rsidRDefault="00DF6DAB" w:rsidP="007D0034">
            <w:pPr>
              <w:spacing w:before="0" w:after="0" w:line="240" w:lineRule="auto"/>
              <w:rPr>
                <w:rFonts w:cstheme="minorHAnsi"/>
                <w:szCs w:val="24"/>
              </w:rPr>
            </w:pPr>
            <w:r w:rsidRPr="003755A8">
              <w:rPr>
                <w:rFonts w:cstheme="minorHAnsi"/>
                <w:szCs w:val="24"/>
              </w:rPr>
              <w:t>GOSLIĆ</w:t>
            </w:r>
          </w:p>
        </w:tc>
        <w:tc>
          <w:tcPr>
            <w:tcW w:w="761" w:type="dxa"/>
            <w:tcBorders>
              <w:lef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tcBorders>
              <w:righ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r>
      <w:tr w:rsidR="00DF6DAB" w:rsidRPr="00326E6F" w:rsidTr="00DF6DAB">
        <w:trPr>
          <w:trHeight w:val="288"/>
          <w:jc w:val="center"/>
        </w:trPr>
        <w:tc>
          <w:tcPr>
            <w:tcW w:w="3151" w:type="dxa"/>
            <w:tcBorders>
              <w:left w:val="single" w:sz="12" w:space="0" w:color="auto"/>
              <w:right w:val="single" w:sz="12" w:space="0" w:color="auto"/>
            </w:tcBorders>
            <w:shd w:val="clear" w:color="auto" w:fill="auto"/>
            <w:vAlign w:val="center"/>
          </w:tcPr>
          <w:p w:rsidR="00DF6DAB" w:rsidRPr="003755A8" w:rsidRDefault="00DF6DAB" w:rsidP="007D0034">
            <w:pPr>
              <w:spacing w:before="0" w:after="0" w:line="240" w:lineRule="auto"/>
              <w:rPr>
                <w:rFonts w:cstheme="minorHAnsi"/>
                <w:szCs w:val="24"/>
              </w:rPr>
            </w:pPr>
            <w:r w:rsidRPr="003755A8">
              <w:rPr>
                <w:rFonts w:cstheme="minorHAnsi"/>
                <w:szCs w:val="24"/>
              </w:rPr>
              <w:t>JAVLJEN</w:t>
            </w:r>
          </w:p>
        </w:tc>
        <w:tc>
          <w:tcPr>
            <w:tcW w:w="761" w:type="dxa"/>
            <w:tcBorders>
              <w:lef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tcBorders>
              <w:righ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r>
      <w:tr w:rsidR="00DF6DAB" w:rsidRPr="00326E6F" w:rsidTr="00DF6DAB">
        <w:trPr>
          <w:trHeight w:val="288"/>
          <w:jc w:val="center"/>
        </w:trPr>
        <w:tc>
          <w:tcPr>
            <w:tcW w:w="3151" w:type="dxa"/>
            <w:tcBorders>
              <w:left w:val="single" w:sz="12" w:space="0" w:color="auto"/>
              <w:right w:val="single" w:sz="12" w:space="0" w:color="auto"/>
            </w:tcBorders>
            <w:shd w:val="clear" w:color="auto" w:fill="auto"/>
            <w:vAlign w:val="center"/>
          </w:tcPr>
          <w:p w:rsidR="00DF6DAB" w:rsidRPr="003755A8" w:rsidRDefault="00DF6DAB" w:rsidP="007D0034">
            <w:pPr>
              <w:spacing w:before="0" w:after="0" w:line="240" w:lineRule="auto"/>
              <w:rPr>
                <w:rFonts w:cstheme="minorHAnsi"/>
                <w:szCs w:val="24"/>
              </w:rPr>
            </w:pPr>
            <w:r w:rsidRPr="003755A8">
              <w:rPr>
                <w:rFonts w:cstheme="minorHAnsi"/>
                <w:szCs w:val="24"/>
              </w:rPr>
              <w:t>KAMENSKO</w:t>
            </w:r>
          </w:p>
        </w:tc>
        <w:tc>
          <w:tcPr>
            <w:tcW w:w="761" w:type="dxa"/>
            <w:tcBorders>
              <w:lef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tcBorders>
              <w:righ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r>
      <w:tr w:rsidR="00DF6DAB" w:rsidRPr="00326E6F" w:rsidTr="00DF6DAB">
        <w:trPr>
          <w:trHeight w:val="288"/>
          <w:jc w:val="center"/>
        </w:trPr>
        <w:tc>
          <w:tcPr>
            <w:tcW w:w="3151" w:type="dxa"/>
            <w:tcBorders>
              <w:left w:val="single" w:sz="12" w:space="0" w:color="auto"/>
              <w:right w:val="single" w:sz="12" w:space="0" w:color="auto"/>
            </w:tcBorders>
            <w:shd w:val="clear" w:color="auto" w:fill="auto"/>
            <w:vAlign w:val="center"/>
          </w:tcPr>
          <w:p w:rsidR="00DF6DAB" w:rsidRPr="003755A8" w:rsidRDefault="00DF6DAB" w:rsidP="007D0034">
            <w:pPr>
              <w:spacing w:before="0" w:after="0" w:line="240" w:lineRule="auto"/>
              <w:rPr>
                <w:rFonts w:cstheme="minorHAnsi"/>
                <w:szCs w:val="24"/>
              </w:rPr>
            </w:pPr>
            <w:r w:rsidRPr="003755A8">
              <w:rPr>
                <w:rFonts w:cstheme="minorHAnsi"/>
                <w:szCs w:val="24"/>
              </w:rPr>
              <w:t>KLENAK</w:t>
            </w:r>
          </w:p>
        </w:tc>
        <w:tc>
          <w:tcPr>
            <w:tcW w:w="761" w:type="dxa"/>
            <w:tcBorders>
              <w:left w:val="single" w:sz="12" w:space="0" w:color="auto"/>
            </w:tcBorders>
            <w:vAlign w:val="center"/>
          </w:tcPr>
          <w:p w:rsidR="00DF6DAB" w:rsidRPr="003755A8" w:rsidRDefault="00DF6DAB" w:rsidP="007D0034">
            <w:pPr>
              <w:spacing w:before="0" w:after="0" w:line="240" w:lineRule="auto"/>
              <w:rPr>
                <w:rFonts w:cstheme="minorHAnsi"/>
                <w:szCs w:val="24"/>
                <w:highlight w:val="lightGray"/>
              </w:rPr>
            </w:pPr>
            <w:r w:rsidRPr="003755A8">
              <w:rPr>
                <w:rFonts w:cstheme="minorHAnsi"/>
                <w:szCs w:val="24"/>
                <w:highlight w:val="lightGray"/>
              </w:rPr>
              <w:t>x</w:t>
            </w:r>
          </w:p>
        </w:tc>
        <w:tc>
          <w:tcPr>
            <w:tcW w:w="645" w:type="dxa"/>
            <w:vAlign w:val="center"/>
          </w:tcPr>
          <w:p w:rsidR="00DF6DAB" w:rsidRPr="003755A8" w:rsidRDefault="00DF6DAB" w:rsidP="007D0034">
            <w:pPr>
              <w:spacing w:before="0" w:after="0" w:line="240" w:lineRule="auto"/>
              <w:rPr>
                <w:rFonts w:cstheme="minorHAnsi"/>
                <w:szCs w:val="24"/>
                <w:highlight w:val="lightGray"/>
              </w:rPr>
            </w:pPr>
            <w:r w:rsidRPr="003755A8">
              <w:rPr>
                <w:rFonts w:cstheme="minorHAnsi"/>
                <w:szCs w:val="24"/>
                <w:highlight w:val="lightGray"/>
              </w:rPr>
              <w:t>x</w:t>
            </w:r>
          </w:p>
        </w:tc>
        <w:tc>
          <w:tcPr>
            <w:tcW w:w="645" w:type="dxa"/>
            <w:vAlign w:val="center"/>
          </w:tcPr>
          <w:p w:rsidR="00DF6DAB" w:rsidRPr="003755A8" w:rsidRDefault="00DF6DAB" w:rsidP="007D0034">
            <w:pPr>
              <w:spacing w:before="0" w:after="0" w:line="240" w:lineRule="auto"/>
              <w:rPr>
                <w:rFonts w:cstheme="minorHAnsi"/>
                <w:szCs w:val="24"/>
                <w:highlight w:val="lightGray"/>
              </w:rPr>
            </w:pPr>
            <w:r w:rsidRPr="003755A8">
              <w:rPr>
                <w:rFonts w:cstheme="minorHAnsi"/>
                <w:szCs w:val="24"/>
                <w:highlight w:val="lightGray"/>
              </w:rPr>
              <w:t>x</w:t>
            </w:r>
          </w:p>
        </w:tc>
        <w:tc>
          <w:tcPr>
            <w:tcW w:w="645" w:type="dxa"/>
            <w:vAlign w:val="center"/>
          </w:tcPr>
          <w:p w:rsidR="00DF6DAB" w:rsidRPr="003755A8" w:rsidRDefault="00DF6DAB" w:rsidP="007D0034">
            <w:pPr>
              <w:spacing w:before="0" w:after="0" w:line="240" w:lineRule="auto"/>
              <w:rPr>
                <w:rFonts w:cstheme="minorHAnsi"/>
                <w:szCs w:val="24"/>
                <w:highlight w:val="lightGray"/>
              </w:rPr>
            </w:pPr>
            <w:r w:rsidRPr="003755A8">
              <w:rPr>
                <w:rFonts w:cstheme="minorHAnsi"/>
                <w:szCs w:val="24"/>
                <w:highlight w:val="lightGray"/>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tcBorders>
              <w:righ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r>
      <w:tr w:rsidR="00DF6DAB" w:rsidRPr="00326E6F" w:rsidTr="00DF6DAB">
        <w:trPr>
          <w:trHeight w:val="288"/>
          <w:jc w:val="center"/>
        </w:trPr>
        <w:tc>
          <w:tcPr>
            <w:tcW w:w="3151" w:type="dxa"/>
            <w:tcBorders>
              <w:left w:val="single" w:sz="12" w:space="0" w:color="auto"/>
              <w:right w:val="single" w:sz="12" w:space="0" w:color="auto"/>
            </w:tcBorders>
            <w:shd w:val="clear" w:color="auto" w:fill="auto"/>
            <w:vAlign w:val="center"/>
          </w:tcPr>
          <w:p w:rsidR="00DF6DAB" w:rsidRPr="003755A8" w:rsidRDefault="00DF6DAB" w:rsidP="007D0034">
            <w:pPr>
              <w:spacing w:before="0" w:after="0" w:line="240" w:lineRule="auto"/>
              <w:rPr>
                <w:rFonts w:cstheme="minorHAnsi"/>
                <w:szCs w:val="24"/>
              </w:rPr>
            </w:pPr>
            <w:r w:rsidRPr="003755A8">
              <w:rPr>
                <w:rFonts w:cstheme="minorHAnsi"/>
                <w:szCs w:val="24"/>
              </w:rPr>
              <w:t>KOPRIVICE</w:t>
            </w:r>
          </w:p>
        </w:tc>
        <w:tc>
          <w:tcPr>
            <w:tcW w:w="761" w:type="dxa"/>
            <w:tcBorders>
              <w:lef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tcBorders>
              <w:righ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r>
      <w:tr w:rsidR="00DF6DAB" w:rsidRPr="00326E6F" w:rsidTr="00DF6DAB">
        <w:trPr>
          <w:trHeight w:val="288"/>
          <w:jc w:val="center"/>
        </w:trPr>
        <w:tc>
          <w:tcPr>
            <w:tcW w:w="3151" w:type="dxa"/>
            <w:tcBorders>
              <w:left w:val="single" w:sz="12" w:space="0" w:color="auto"/>
              <w:right w:val="single" w:sz="12" w:space="0" w:color="auto"/>
            </w:tcBorders>
            <w:shd w:val="clear" w:color="auto" w:fill="auto"/>
            <w:vAlign w:val="center"/>
          </w:tcPr>
          <w:p w:rsidR="00DF6DAB" w:rsidRPr="003755A8" w:rsidRDefault="00DF6DAB" w:rsidP="007D0034">
            <w:pPr>
              <w:spacing w:before="0" w:after="0" w:line="240" w:lineRule="auto"/>
              <w:rPr>
                <w:rFonts w:cstheme="minorHAnsi"/>
                <w:szCs w:val="24"/>
              </w:rPr>
            </w:pPr>
            <w:r w:rsidRPr="003755A8">
              <w:rPr>
                <w:rFonts w:cstheme="minorHAnsi"/>
                <w:szCs w:val="24"/>
              </w:rPr>
              <w:t>KOVAČI</w:t>
            </w:r>
          </w:p>
        </w:tc>
        <w:tc>
          <w:tcPr>
            <w:tcW w:w="761" w:type="dxa"/>
            <w:tcBorders>
              <w:lef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tcBorders>
              <w:righ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r>
      <w:tr w:rsidR="00DF6DAB" w:rsidRPr="00326E6F" w:rsidTr="00DF6DAB">
        <w:trPr>
          <w:trHeight w:val="288"/>
          <w:jc w:val="center"/>
        </w:trPr>
        <w:tc>
          <w:tcPr>
            <w:tcW w:w="3151" w:type="dxa"/>
            <w:tcBorders>
              <w:left w:val="single" w:sz="12" w:space="0" w:color="auto"/>
              <w:right w:val="single" w:sz="12" w:space="0" w:color="auto"/>
            </w:tcBorders>
            <w:shd w:val="clear" w:color="auto" w:fill="auto"/>
            <w:vAlign w:val="center"/>
          </w:tcPr>
          <w:p w:rsidR="00DF6DAB" w:rsidRPr="003755A8" w:rsidRDefault="00DF6DAB" w:rsidP="007D0034">
            <w:pPr>
              <w:spacing w:before="0" w:after="0" w:line="240" w:lineRule="auto"/>
              <w:rPr>
                <w:rFonts w:cstheme="minorHAnsi"/>
                <w:szCs w:val="24"/>
              </w:rPr>
            </w:pPr>
            <w:r w:rsidRPr="003755A8">
              <w:rPr>
                <w:rFonts w:cstheme="minorHAnsi"/>
                <w:szCs w:val="24"/>
              </w:rPr>
              <w:t>MACAVARE</w:t>
            </w:r>
          </w:p>
        </w:tc>
        <w:tc>
          <w:tcPr>
            <w:tcW w:w="761" w:type="dxa"/>
            <w:tcBorders>
              <w:lef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highlight w:val="lightGray"/>
              </w:rPr>
              <w:t>x</w:t>
            </w:r>
          </w:p>
        </w:tc>
        <w:tc>
          <w:tcPr>
            <w:tcW w:w="645" w:type="dxa"/>
            <w:vAlign w:val="center"/>
          </w:tcPr>
          <w:p w:rsidR="00DF6DAB" w:rsidRPr="003755A8" w:rsidRDefault="00DF6DAB" w:rsidP="007D0034">
            <w:pPr>
              <w:spacing w:before="0" w:after="0" w:line="240" w:lineRule="auto"/>
              <w:rPr>
                <w:rFonts w:cstheme="minorHAnsi"/>
                <w:szCs w:val="24"/>
                <w:highlight w:val="magenta"/>
              </w:rPr>
            </w:pPr>
            <w:r w:rsidRPr="003755A8">
              <w:rPr>
                <w:rFonts w:cstheme="minorHAnsi"/>
                <w:szCs w:val="24"/>
                <w:highlight w:val="yellow"/>
              </w:rPr>
              <w:t>x</w:t>
            </w:r>
          </w:p>
        </w:tc>
        <w:tc>
          <w:tcPr>
            <w:tcW w:w="645" w:type="dxa"/>
            <w:vAlign w:val="center"/>
          </w:tcPr>
          <w:p w:rsidR="00DF6DAB" w:rsidRPr="003755A8" w:rsidRDefault="00DF6DAB" w:rsidP="007D0034">
            <w:pPr>
              <w:spacing w:before="0" w:after="0" w:line="240" w:lineRule="auto"/>
              <w:rPr>
                <w:rFonts w:cstheme="minorHAnsi"/>
                <w:szCs w:val="24"/>
                <w:highlight w:val="yellow"/>
              </w:rPr>
            </w:pPr>
            <w:r w:rsidRPr="003755A8">
              <w:rPr>
                <w:rFonts w:cstheme="minorHAnsi"/>
                <w:szCs w:val="24"/>
                <w:highlight w:val="yellow"/>
              </w:rPr>
              <w:t>x</w:t>
            </w:r>
          </w:p>
        </w:tc>
        <w:tc>
          <w:tcPr>
            <w:tcW w:w="645" w:type="dxa"/>
            <w:vAlign w:val="center"/>
          </w:tcPr>
          <w:p w:rsidR="00DF6DAB" w:rsidRPr="003755A8" w:rsidRDefault="00DF6DAB" w:rsidP="007D0034">
            <w:pPr>
              <w:spacing w:before="0" w:after="0" w:line="240" w:lineRule="auto"/>
              <w:rPr>
                <w:rFonts w:cstheme="minorHAnsi"/>
                <w:szCs w:val="24"/>
                <w:highlight w:val="yellow"/>
              </w:rPr>
            </w:pPr>
            <w:r w:rsidRPr="003755A8">
              <w:rPr>
                <w:rFonts w:cstheme="minorHAnsi"/>
                <w:szCs w:val="24"/>
                <w:highlight w:val="yellow"/>
              </w:rPr>
              <w:t>x</w:t>
            </w:r>
          </w:p>
        </w:tc>
        <w:tc>
          <w:tcPr>
            <w:tcW w:w="645" w:type="dxa"/>
            <w:vAlign w:val="center"/>
          </w:tcPr>
          <w:p w:rsidR="00DF6DAB" w:rsidRPr="003755A8" w:rsidRDefault="00DF6DAB" w:rsidP="007D0034">
            <w:pPr>
              <w:spacing w:before="0" w:after="0" w:line="240" w:lineRule="auto"/>
              <w:rPr>
                <w:rFonts w:cstheme="minorHAnsi"/>
                <w:szCs w:val="24"/>
                <w:highlight w:val="magenta"/>
              </w:rPr>
            </w:pPr>
            <w:r w:rsidRPr="003755A8">
              <w:rPr>
                <w:rFonts w:cstheme="minorHAnsi"/>
                <w:szCs w:val="24"/>
                <w:highlight w:val="magenta"/>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tcBorders>
              <w:righ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r>
      <w:tr w:rsidR="00DF6DAB" w:rsidRPr="00326E6F" w:rsidTr="00DF6DAB">
        <w:trPr>
          <w:trHeight w:val="288"/>
          <w:jc w:val="center"/>
        </w:trPr>
        <w:tc>
          <w:tcPr>
            <w:tcW w:w="3151" w:type="dxa"/>
            <w:tcBorders>
              <w:left w:val="single" w:sz="12" w:space="0" w:color="auto"/>
              <w:right w:val="single" w:sz="12" w:space="0" w:color="auto"/>
            </w:tcBorders>
            <w:shd w:val="clear" w:color="auto" w:fill="auto"/>
            <w:vAlign w:val="center"/>
          </w:tcPr>
          <w:p w:rsidR="00DF6DAB" w:rsidRPr="003755A8" w:rsidRDefault="00DF6DAB" w:rsidP="007D0034">
            <w:pPr>
              <w:spacing w:before="0" w:after="0" w:line="240" w:lineRule="auto"/>
              <w:rPr>
                <w:rFonts w:cstheme="minorHAnsi"/>
                <w:szCs w:val="24"/>
              </w:rPr>
            </w:pPr>
            <w:r w:rsidRPr="003755A8">
              <w:rPr>
                <w:rFonts w:cstheme="minorHAnsi"/>
                <w:szCs w:val="24"/>
              </w:rPr>
              <w:t>PETROVIĆI</w:t>
            </w:r>
          </w:p>
        </w:tc>
        <w:tc>
          <w:tcPr>
            <w:tcW w:w="761" w:type="dxa"/>
            <w:tcBorders>
              <w:left w:val="single" w:sz="12" w:space="0" w:color="auto"/>
            </w:tcBorders>
            <w:vAlign w:val="center"/>
          </w:tcPr>
          <w:p w:rsidR="00DF6DAB" w:rsidRPr="003755A8" w:rsidRDefault="00DF6DAB" w:rsidP="007D0034">
            <w:pPr>
              <w:spacing w:before="0" w:after="0" w:line="240" w:lineRule="auto"/>
              <w:rPr>
                <w:rFonts w:cstheme="minorHAnsi"/>
                <w:szCs w:val="24"/>
                <w:highlight w:val="lightGray"/>
              </w:rPr>
            </w:pPr>
            <w:r w:rsidRPr="003755A8">
              <w:rPr>
                <w:rFonts w:cstheme="minorHAnsi"/>
                <w:szCs w:val="24"/>
                <w:highlight w:val="lightGray"/>
              </w:rPr>
              <w:t>x</w:t>
            </w:r>
          </w:p>
        </w:tc>
        <w:tc>
          <w:tcPr>
            <w:tcW w:w="645" w:type="dxa"/>
            <w:vAlign w:val="center"/>
          </w:tcPr>
          <w:p w:rsidR="00DF6DAB" w:rsidRPr="003755A8" w:rsidRDefault="00DF6DAB" w:rsidP="007D0034">
            <w:pPr>
              <w:spacing w:before="0" w:after="0" w:line="240" w:lineRule="auto"/>
              <w:rPr>
                <w:rFonts w:cstheme="minorHAnsi"/>
                <w:szCs w:val="24"/>
                <w:highlight w:val="lightGray"/>
              </w:rPr>
            </w:pPr>
            <w:r w:rsidRPr="003755A8">
              <w:rPr>
                <w:rFonts w:cstheme="minorHAnsi"/>
                <w:szCs w:val="24"/>
                <w:highlight w:val="lightGray"/>
              </w:rPr>
              <w:t>x</w:t>
            </w:r>
          </w:p>
        </w:tc>
        <w:tc>
          <w:tcPr>
            <w:tcW w:w="645" w:type="dxa"/>
            <w:vAlign w:val="center"/>
          </w:tcPr>
          <w:p w:rsidR="00DF6DAB" w:rsidRPr="003755A8" w:rsidRDefault="00DF6DAB" w:rsidP="007D0034">
            <w:pPr>
              <w:spacing w:before="0" w:after="0" w:line="240" w:lineRule="auto"/>
              <w:rPr>
                <w:rFonts w:cstheme="minorHAnsi"/>
                <w:szCs w:val="24"/>
                <w:highlight w:val="lightGray"/>
              </w:rPr>
            </w:pPr>
            <w:r w:rsidRPr="003755A8">
              <w:rPr>
                <w:rFonts w:cstheme="minorHAnsi"/>
                <w:szCs w:val="24"/>
                <w:highlight w:val="lightGray"/>
              </w:rPr>
              <w:t>x</w:t>
            </w:r>
          </w:p>
        </w:tc>
        <w:tc>
          <w:tcPr>
            <w:tcW w:w="645" w:type="dxa"/>
            <w:vAlign w:val="center"/>
          </w:tcPr>
          <w:p w:rsidR="00DF6DAB" w:rsidRPr="003755A8" w:rsidRDefault="00DF6DAB" w:rsidP="007D0034">
            <w:pPr>
              <w:spacing w:before="0" w:after="0" w:line="240" w:lineRule="auto"/>
              <w:rPr>
                <w:rFonts w:cstheme="minorHAnsi"/>
                <w:szCs w:val="24"/>
                <w:highlight w:val="lightGray"/>
              </w:rPr>
            </w:pPr>
            <w:r w:rsidRPr="003755A8">
              <w:rPr>
                <w:rFonts w:cstheme="minorHAnsi"/>
                <w:szCs w:val="24"/>
                <w:highlight w:val="lightGray"/>
              </w:rPr>
              <w:t>x</w:t>
            </w:r>
          </w:p>
        </w:tc>
        <w:tc>
          <w:tcPr>
            <w:tcW w:w="645" w:type="dxa"/>
            <w:vAlign w:val="center"/>
          </w:tcPr>
          <w:p w:rsidR="00DF6DAB" w:rsidRPr="003755A8" w:rsidRDefault="00DF6DAB" w:rsidP="007D0034">
            <w:pPr>
              <w:spacing w:before="0" w:after="0" w:line="240" w:lineRule="auto"/>
              <w:rPr>
                <w:rFonts w:cstheme="minorHAnsi"/>
                <w:szCs w:val="24"/>
                <w:highlight w:val="lightGray"/>
              </w:rPr>
            </w:pPr>
            <w:r w:rsidRPr="003755A8">
              <w:rPr>
                <w:rFonts w:cstheme="minorHAnsi"/>
                <w:szCs w:val="24"/>
                <w:highlight w:val="lightGray"/>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highlight w:val="yellow"/>
              </w:rPr>
              <w:t>x</w:t>
            </w:r>
          </w:p>
        </w:tc>
        <w:tc>
          <w:tcPr>
            <w:tcW w:w="645" w:type="dxa"/>
            <w:tcBorders>
              <w:righ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r>
      <w:tr w:rsidR="00DF6DAB" w:rsidRPr="00326E6F" w:rsidTr="00DF6DAB">
        <w:trPr>
          <w:trHeight w:val="288"/>
          <w:jc w:val="center"/>
        </w:trPr>
        <w:tc>
          <w:tcPr>
            <w:tcW w:w="3151" w:type="dxa"/>
            <w:tcBorders>
              <w:left w:val="single" w:sz="12" w:space="0" w:color="auto"/>
              <w:right w:val="single" w:sz="12" w:space="0" w:color="auto"/>
            </w:tcBorders>
            <w:shd w:val="clear" w:color="auto" w:fill="auto"/>
            <w:vAlign w:val="center"/>
          </w:tcPr>
          <w:p w:rsidR="00DF6DAB" w:rsidRPr="003755A8" w:rsidRDefault="00DF6DAB" w:rsidP="007D0034">
            <w:pPr>
              <w:spacing w:before="0" w:after="0" w:line="240" w:lineRule="auto"/>
              <w:rPr>
                <w:rFonts w:cstheme="minorHAnsi"/>
                <w:szCs w:val="24"/>
              </w:rPr>
            </w:pPr>
            <w:r w:rsidRPr="003755A8">
              <w:rPr>
                <w:rFonts w:cstheme="minorHAnsi"/>
                <w:szCs w:val="24"/>
              </w:rPr>
              <w:t>PILATOVCI</w:t>
            </w:r>
          </w:p>
        </w:tc>
        <w:tc>
          <w:tcPr>
            <w:tcW w:w="761" w:type="dxa"/>
            <w:tcBorders>
              <w:left w:val="single" w:sz="12" w:space="0" w:color="auto"/>
            </w:tcBorders>
            <w:vAlign w:val="center"/>
          </w:tcPr>
          <w:p w:rsidR="00DF6DAB" w:rsidRPr="003755A8" w:rsidRDefault="00DF6DAB" w:rsidP="007D0034">
            <w:pPr>
              <w:spacing w:before="0" w:after="0" w:line="240" w:lineRule="auto"/>
              <w:rPr>
                <w:rFonts w:cstheme="minorHAnsi"/>
                <w:szCs w:val="24"/>
                <w:highlight w:val="lightGray"/>
              </w:rPr>
            </w:pPr>
            <w:r w:rsidRPr="003755A8">
              <w:rPr>
                <w:rFonts w:cstheme="minorHAnsi"/>
                <w:szCs w:val="24"/>
                <w:highlight w:val="lightGray"/>
              </w:rPr>
              <w:t>x</w:t>
            </w:r>
          </w:p>
        </w:tc>
        <w:tc>
          <w:tcPr>
            <w:tcW w:w="645" w:type="dxa"/>
            <w:vAlign w:val="center"/>
          </w:tcPr>
          <w:p w:rsidR="00DF6DAB" w:rsidRPr="003755A8" w:rsidRDefault="00DF6DAB" w:rsidP="007D0034">
            <w:pPr>
              <w:spacing w:before="0" w:after="0" w:line="240" w:lineRule="auto"/>
              <w:rPr>
                <w:rFonts w:cstheme="minorHAnsi"/>
                <w:szCs w:val="24"/>
                <w:highlight w:val="yellow"/>
              </w:rPr>
            </w:pPr>
            <w:r w:rsidRPr="003755A8">
              <w:rPr>
                <w:rFonts w:cstheme="minorHAnsi"/>
                <w:szCs w:val="24"/>
                <w:highlight w:val="yellow"/>
              </w:rPr>
              <w:t>x</w:t>
            </w:r>
          </w:p>
        </w:tc>
        <w:tc>
          <w:tcPr>
            <w:tcW w:w="645" w:type="dxa"/>
            <w:vAlign w:val="center"/>
          </w:tcPr>
          <w:p w:rsidR="00DF6DAB" w:rsidRPr="003755A8" w:rsidRDefault="00DF6DAB" w:rsidP="007D0034">
            <w:pPr>
              <w:spacing w:before="0" w:after="0" w:line="240" w:lineRule="auto"/>
              <w:rPr>
                <w:rFonts w:cstheme="minorHAnsi"/>
                <w:szCs w:val="24"/>
                <w:highlight w:val="yellow"/>
              </w:rPr>
            </w:pPr>
            <w:r w:rsidRPr="003755A8">
              <w:rPr>
                <w:rFonts w:cstheme="minorHAnsi"/>
                <w:szCs w:val="24"/>
                <w:highlight w:val="yellow"/>
              </w:rPr>
              <w:t>x</w:t>
            </w:r>
          </w:p>
        </w:tc>
        <w:tc>
          <w:tcPr>
            <w:tcW w:w="645" w:type="dxa"/>
            <w:vAlign w:val="center"/>
          </w:tcPr>
          <w:p w:rsidR="00DF6DAB" w:rsidRPr="003755A8" w:rsidRDefault="00DF6DAB" w:rsidP="007D0034">
            <w:pPr>
              <w:spacing w:before="0" w:after="0" w:line="240" w:lineRule="auto"/>
              <w:rPr>
                <w:rFonts w:cstheme="minorHAnsi"/>
                <w:szCs w:val="24"/>
                <w:highlight w:val="yellow"/>
              </w:rPr>
            </w:pPr>
            <w:r w:rsidRPr="003755A8">
              <w:rPr>
                <w:rFonts w:cstheme="minorHAnsi"/>
                <w:szCs w:val="24"/>
                <w:highlight w:val="yellow"/>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highlight w:val="magenta"/>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highlight w:val="green"/>
              </w:rPr>
              <w:t>x</w:t>
            </w:r>
          </w:p>
        </w:tc>
        <w:tc>
          <w:tcPr>
            <w:tcW w:w="645" w:type="dxa"/>
            <w:tcBorders>
              <w:righ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r>
      <w:tr w:rsidR="00DF6DAB" w:rsidRPr="00326E6F" w:rsidTr="00DF6DAB">
        <w:trPr>
          <w:trHeight w:val="288"/>
          <w:jc w:val="center"/>
        </w:trPr>
        <w:tc>
          <w:tcPr>
            <w:tcW w:w="3151" w:type="dxa"/>
            <w:tcBorders>
              <w:left w:val="single" w:sz="12" w:space="0" w:color="auto"/>
              <w:right w:val="single" w:sz="12" w:space="0" w:color="auto"/>
            </w:tcBorders>
            <w:shd w:val="clear" w:color="auto" w:fill="auto"/>
            <w:vAlign w:val="center"/>
          </w:tcPr>
          <w:p w:rsidR="00DF6DAB" w:rsidRPr="003755A8" w:rsidRDefault="00DF6DAB" w:rsidP="007D0034">
            <w:pPr>
              <w:spacing w:before="0" w:after="0" w:line="240" w:lineRule="auto"/>
              <w:rPr>
                <w:rFonts w:cstheme="minorHAnsi"/>
                <w:szCs w:val="24"/>
              </w:rPr>
            </w:pPr>
            <w:r w:rsidRPr="003755A8">
              <w:rPr>
                <w:rFonts w:cstheme="minorHAnsi"/>
                <w:szCs w:val="24"/>
              </w:rPr>
              <w:t>PRESJEKA</w:t>
            </w:r>
          </w:p>
        </w:tc>
        <w:tc>
          <w:tcPr>
            <w:tcW w:w="761" w:type="dxa"/>
            <w:tcBorders>
              <w:lef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tcBorders>
              <w:righ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r>
      <w:tr w:rsidR="00DF6DAB" w:rsidRPr="00326E6F" w:rsidTr="00DF6DAB">
        <w:trPr>
          <w:trHeight w:val="288"/>
          <w:jc w:val="center"/>
        </w:trPr>
        <w:tc>
          <w:tcPr>
            <w:tcW w:w="3151" w:type="dxa"/>
            <w:tcBorders>
              <w:left w:val="single" w:sz="12" w:space="0" w:color="auto"/>
              <w:right w:val="single" w:sz="12" w:space="0" w:color="auto"/>
            </w:tcBorders>
            <w:shd w:val="clear" w:color="auto" w:fill="auto"/>
            <w:vAlign w:val="center"/>
          </w:tcPr>
          <w:p w:rsidR="00DF6DAB" w:rsidRPr="003755A8" w:rsidRDefault="00DF6DAB" w:rsidP="007D0034">
            <w:pPr>
              <w:spacing w:before="0" w:after="0" w:line="240" w:lineRule="auto"/>
              <w:rPr>
                <w:rFonts w:cstheme="minorHAnsi"/>
                <w:szCs w:val="24"/>
              </w:rPr>
            </w:pPr>
            <w:r w:rsidRPr="003755A8">
              <w:rPr>
                <w:rFonts w:cstheme="minorHAnsi"/>
                <w:szCs w:val="24"/>
              </w:rPr>
              <w:t>SJENOKOSI</w:t>
            </w:r>
          </w:p>
        </w:tc>
        <w:tc>
          <w:tcPr>
            <w:tcW w:w="761" w:type="dxa"/>
            <w:tcBorders>
              <w:lef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tcBorders>
              <w:righ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r>
      <w:tr w:rsidR="00DF6DAB" w:rsidRPr="00326E6F" w:rsidTr="00DF6DAB">
        <w:trPr>
          <w:trHeight w:val="288"/>
          <w:jc w:val="center"/>
        </w:trPr>
        <w:tc>
          <w:tcPr>
            <w:tcW w:w="3151" w:type="dxa"/>
            <w:tcBorders>
              <w:left w:val="single" w:sz="12" w:space="0" w:color="auto"/>
              <w:right w:val="single" w:sz="12" w:space="0" w:color="auto"/>
            </w:tcBorders>
            <w:shd w:val="clear" w:color="auto" w:fill="auto"/>
            <w:vAlign w:val="center"/>
          </w:tcPr>
          <w:p w:rsidR="00DF6DAB" w:rsidRPr="003755A8" w:rsidRDefault="00DF6DAB" w:rsidP="007D0034">
            <w:pPr>
              <w:spacing w:before="0" w:after="0" w:line="240" w:lineRule="auto"/>
              <w:rPr>
                <w:rFonts w:cstheme="minorHAnsi"/>
                <w:szCs w:val="24"/>
              </w:rPr>
            </w:pPr>
            <w:r w:rsidRPr="003755A8">
              <w:rPr>
                <w:rFonts w:cstheme="minorHAnsi"/>
                <w:szCs w:val="24"/>
              </w:rPr>
              <w:t>SMRDUŠA</w:t>
            </w:r>
          </w:p>
        </w:tc>
        <w:tc>
          <w:tcPr>
            <w:tcW w:w="761" w:type="dxa"/>
            <w:tcBorders>
              <w:lef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tcBorders>
              <w:righ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r>
      <w:tr w:rsidR="00DF6DAB" w:rsidRPr="00326E6F" w:rsidTr="00DF6DAB">
        <w:trPr>
          <w:trHeight w:val="288"/>
          <w:jc w:val="center"/>
        </w:trPr>
        <w:tc>
          <w:tcPr>
            <w:tcW w:w="3151" w:type="dxa"/>
            <w:tcBorders>
              <w:left w:val="single" w:sz="12" w:space="0" w:color="auto"/>
              <w:right w:val="single" w:sz="12" w:space="0" w:color="auto"/>
            </w:tcBorders>
            <w:shd w:val="clear" w:color="auto" w:fill="auto"/>
            <w:vAlign w:val="center"/>
          </w:tcPr>
          <w:p w:rsidR="00DF6DAB" w:rsidRPr="003755A8" w:rsidRDefault="00DF6DAB" w:rsidP="007D0034">
            <w:pPr>
              <w:spacing w:before="0" w:after="0" w:line="240" w:lineRule="auto"/>
              <w:rPr>
                <w:rFonts w:cstheme="minorHAnsi"/>
                <w:szCs w:val="24"/>
              </w:rPr>
            </w:pPr>
            <w:r w:rsidRPr="003755A8">
              <w:rPr>
                <w:rFonts w:cstheme="minorHAnsi"/>
                <w:szCs w:val="24"/>
              </w:rPr>
              <w:t>SOMINA</w:t>
            </w:r>
          </w:p>
        </w:tc>
        <w:tc>
          <w:tcPr>
            <w:tcW w:w="761" w:type="dxa"/>
            <w:tcBorders>
              <w:lef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tcBorders>
              <w:righ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r>
      <w:tr w:rsidR="00DF6DAB" w:rsidRPr="00326E6F" w:rsidTr="00DF6DAB">
        <w:trPr>
          <w:trHeight w:val="288"/>
          <w:jc w:val="center"/>
        </w:trPr>
        <w:tc>
          <w:tcPr>
            <w:tcW w:w="3151" w:type="dxa"/>
            <w:tcBorders>
              <w:left w:val="single" w:sz="12" w:space="0" w:color="auto"/>
              <w:right w:val="single" w:sz="12" w:space="0" w:color="auto"/>
            </w:tcBorders>
            <w:shd w:val="clear" w:color="auto" w:fill="auto"/>
            <w:vAlign w:val="center"/>
          </w:tcPr>
          <w:p w:rsidR="00DF6DAB" w:rsidRPr="003755A8" w:rsidRDefault="00DF6DAB" w:rsidP="007D0034">
            <w:pPr>
              <w:spacing w:before="0" w:after="0" w:line="240" w:lineRule="auto"/>
              <w:rPr>
                <w:rFonts w:cstheme="minorHAnsi"/>
                <w:szCs w:val="24"/>
              </w:rPr>
            </w:pPr>
            <w:r w:rsidRPr="003755A8">
              <w:rPr>
                <w:rFonts w:cstheme="minorHAnsi"/>
                <w:szCs w:val="24"/>
              </w:rPr>
              <w:t>TREPČA</w:t>
            </w:r>
          </w:p>
        </w:tc>
        <w:tc>
          <w:tcPr>
            <w:tcW w:w="761" w:type="dxa"/>
            <w:tcBorders>
              <w:lef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tcBorders>
              <w:righ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r>
      <w:tr w:rsidR="00DF6DAB" w:rsidRPr="00326E6F" w:rsidTr="00DF6DAB">
        <w:trPr>
          <w:trHeight w:val="288"/>
          <w:jc w:val="center"/>
        </w:trPr>
        <w:tc>
          <w:tcPr>
            <w:tcW w:w="3151" w:type="dxa"/>
            <w:tcBorders>
              <w:left w:val="single" w:sz="12" w:space="0" w:color="auto"/>
              <w:right w:val="single" w:sz="12" w:space="0" w:color="auto"/>
            </w:tcBorders>
            <w:shd w:val="clear" w:color="auto" w:fill="auto"/>
            <w:vAlign w:val="center"/>
          </w:tcPr>
          <w:p w:rsidR="00DF6DAB" w:rsidRPr="003755A8" w:rsidRDefault="00DF6DAB" w:rsidP="007D0034">
            <w:pPr>
              <w:spacing w:before="0" w:after="0" w:line="240" w:lineRule="auto"/>
              <w:rPr>
                <w:rFonts w:cstheme="minorHAnsi"/>
                <w:szCs w:val="24"/>
              </w:rPr>
            </w:pPr>
            <w:r w:rsidRPr="003755A8">
              <w:rPr>
                <w:rFonts w:cstheme="minorHAnsi"/>
                <w:szCs w:val="24"/>
              </w:rPr>
              <w:t>TUPAN</w:t>
            </w:r>
          </w:p>
        </w:tc>
        <w:tc>
          <w:tcPr>
            <w:tcW w:w="761" w:type="dxa"/>
            <w:tcBorders>
              <w:lef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tcBorders>
              <w:righ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r>
      <w:tr w:rsidR="00DF6DAB" w:rsidRPr="00326E6F" w:rsidTr="00DF6DAB">
        <w:trPr>
          <w:trHeight w:val="288"/>
          <w:jc w:val="center"/>
        </w:trPr>
        <w:tc>
          <w:tcPr>
            <w:tcW w:w="3151" w:type="dxa"/>
            <w:tcBorders>
              <w:left w:val="single" w:sz="12" w:space="0" w:color="auto"/>
              <w:right w:val="single" w:sz="12" w:space="0" w:color="auto"/>
            </w:tcBorders>
            <w:shd w:val="clear" w:color="auto" w:fill="auto"/>
            <w:vAlign w:val="center"/>
          </w:tcPr>
          <w:p w:rsidR="00DF6DAB" w:rsidRPr="003755A8" w:rsidRDefault="00DF6DAB" w:rsidP="007D0034">
            <w:pPr>
              <w:spacing w:before="0" w:after="0" w:line="240" w:lineRule="auto"/>
              <w:rPr>
                <w:rFonts w:cstheme="minorHAnsi"/>
                <w:szCs w:val="24"/>
              </w:rPr>
            </w:pPr>
            <w:r w:rsidRPr="003755A8">
              <w:rPr>
                <w:rFonts w:cstheme="minorHAnsi"/>
                <w:szCs w:val="24"/>
              </w:rPr>
              <w:t>VELIMLJE</w:t>
            </w:r>
          </w:p>
        </w:tc>
        <w:tc>
          <w:tcPr>
            <w:tcW w:w="761" w:type="dxa"/>
            <w:tcBorders>
              <w:lef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highlight w:val="yellow"/>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tcBorders>
              <w:righ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r>
      <w:tr w:rsidR="00DF6DAB" w:rsidRPr="00326E6F" w:rsidTr="00DF6DAB">
        <w:trPr>
          <w:trHeight w:val="288"/>
          <w:jc w:val="center"/>
        </w:trPr>
        <w:tc>
          <w:tcPr>
            <w:tcW w:w="3151" w:type="dxa"/>
            <w:tcBorders>
              <w:left w:val="single" w:sz="12" w:space="0" w:color="auto"/>
              <w:right w:val="single" w:sz="12" w:space="0" w:color="auto"/>
            </w:tcBorders>
            <w:shd w:val="clear" w:color="auto" w:fill="auto"/>
            <w:vAlign w:val="center"/>
          </w:tcPr>
          <w:p w:rsidR="00DF6DAB" w:rsidRPr="003755A8" w:rsidRDefault="00DF6DAB" w:rsidP="007D0034">
            <w:pPr>
              <w:spacing w:before="0" w:after="0" w:line="240" w:lineRule="auto"/>
              <w:rPr>
                <w:rFonts w:cstheme="minorHAnsi"/>
                <w:szCs w:val="24"/>
              </w:rPr>
            </w:pPr>
            <w:r w:rsidRPr="003755A8">
              <w:rPr>
                <w:rFonts w:cstheme="minorHAnsi"/>
                <w:szCs w:val="24"/>
              </w:rPr>
              <w:t>VIŠNJIĆA DO</w:t>
            </w:r>
          </w:p>
        </w:tc>
        <w:tc>
          <w:tcPr>
            <w:tcW w:w="761" w:type="dxa"/>
            <w:tcBorders>
              <w:lef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tcBorders>
              <w:righ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r>
      <w:tr w:rsidR="00DF6DAB" w:rsidRPr="00326E6F" w:rsidTr="00DF6DAB">
        <w:trPr>
          <w:trHeight w:val="288"/>
          <w:jc w:val="center"/>
        </w:trPr>
        <w:tc>
          <w:tcPr>
            <w:tcW w:w="3151" w:type="dxa"/>
            <w:tcBorders>
              <w:left w:val="single" w:sz="12" w:space="0" w:color="auto"/>
              <w:right w:val="single" w:sz="12" w:space="0" w:color="auto"/>
            </w:tcBorders>
            <w:shd w:val="clear" w:color="auto" w:fill="auto"/>
            <w:vAlign w:val="center"/>
          </w:tcPr>
          <w:p w:rsidR="00DF6DAB" w:rsidRPr="003755A8" w:rsidRDefault="00DF6DAB" w:rsidP="007D0034">
            <w:pPr>
              <w:spacing w:before="0" w:after="0" w:line="240" w:lineRule="auto"/>
              <w:rPr>
                <w:rFonts w:cstheme="minorHAnsi"/>
                <w:szCs w:val="24"/>
              </w:rPr>
            </w:pPr>
            <w:r w:rsidRPr="003755A8">
              <w:rPr>
                <w:rFonts w:cstheme="minorHAnsi"/>
                <w:szCs w:val="24"/>
              </w:rPr>
              <w:t>VRAĆENOVIĆI</w:t>
            </w:r>
          </w:p>
        </w:tc>
        <w:tc>
          <w:tcPr>
            <w:tcW w:w="761" w:type="dxa"/>
            <w:tcBorders>
              <w:left w:val="single" w:sz="12" w:space="0" w:color="auto"/>
            </w:tcBorders>
            <w:vAlign w:val="center"/>
          </w:tcPr>
          <w:p w:rsidR="00DF6DAB" w:rsidRPr="003755A8" w:rsidRDefault="00DF6DAB" w:rsidP="007D0034">
            <w:pPr>
              <w:spacing w:before="0" w:after="0" w:line="240" w:lineRule="auto"/>
              <w:rPr>
                <w:rFonts w:cstheme="minorHAnsi"/>
                <w:szCs w:val="24"/>
                <w:highlight w:val="lightGray"/>
              </w:rPr>
            </w:pPr>
            <w:r w:rsidRPr="003755A8">
              <w:rPr>
                <w:rFonts w:cstheme="minorHAnsi"/>
                <w:szCs w:val="24"/>
                <w:highlight w:val="lightGray"/>
              </w:rPr>
              <w:t>x</w:t>
            </w:r>
          </w:p>
        </w:tc>
        <w:tc>
          <w:tcPr>
            <w:tcW w:w="645" w:type="dxa"/>
            <w:vAlign w:val="center"/>
          </w:tcPr>
          <w:p w:rsidR="00DF6DAB" w:rsidRPr="003755A8" w:rsidRDefault="00DF6DAB" w:rsidP="007D0034">
            <w:pPr>
              <w:spacing w:before="0" w:after="0" w:line="240" w:lineRule="auto"/>
              <w:rPr>
                <w:rFonts w:cstheme="minorHAnsi"/>
                <w:szCs w:val="24"/>
                <w:highlight w:val="lightGray"/>
              </w:rPr>
            </w:pPr>
            <w:r w:rsidRPr="003755A8">
              <w:rPr>
                <w:rFonts w:cstheme="minorHAnsi"/>
                <w:szCs w:val="24"/>
                <w:highlight w:val="lightGray"/>
              </w:rPr>
              <w:t>x</w:t>
            </w:r>
          </w:p>
        </w:tc>
        <w:tc>
          <w:tcPr>
            <w:tcW w:w="645" w:type="dxa"/>
            <w:vAlign w:val="center"/>
          </w:tcPr>
          <w:p w:rsidR="00DF6DAB" w:rsidRPr="003755A8" w:rsidRDefault="00DF6DAB" w:rsidP="007D0034">
            <w:pPr>
              <w:spacing w:before="0" w:after="0" w:line="240" w:lineRule="auto"/>
              <w:rPr>
                <w:rFonts w:cstheme="minorHAnsi"/>
                <w:szCs w:val="24"/>
                <w:highlight w:val="lightGray"/>
              </w:rPr>
            </w:pPr>
            <w:r w:rsidRPr="003755A8">
              <w:rPr>
                <w:rFonts w:cstheme="minorHAnsi"/>
                <w:szCs w:val="24"/>
                <w:highlight w:val="lightGray"/>
              </w:rPr>
              <w:t>x</w:t>
            </w:r>
          </w:p>
        </w:tc>
        <w:tc>
          <w:tcPr>
            <w:tcW w:w="645" w:type="dxa"/>
            <w:vAlign w:val="center"/>
          </w:tcPr>
          <w:p w:rsidR="00DF6DAB" w:rsidRPr="003755A8" w:rsidRDefault="00DF6DAB" w:rsidP="007D0034">
            <w:pPr>
              <w:spacing w:before="0" w:after="0" w:line="240" w:lineRule="auto"/>
              <w:rPr>
                <w:rFonts w:cstheme="minorHAnsi"/>
                <w:szCs w:val="24"/>
                <w:highlight w:val="lightGray"/>
              </w:rPr>
            </w:pPr>
            <w:r w:rsidRPr="003755A8">
              <w:rPr>
                <w:rFonts w:cstheme="minorHAnsi"/>
                <w:szCs w:val="24"/>
                <w:highlight w:val="lightGray"/>
              </w:rPr>
              <w:t>x</w:t>
            </w:r>
          </w:p>
        </w:tc>
        <w:tc>
          <w:tcPr>
            <w:tcW w:w="645" w:type="dxa"/>
            <w:vAlign w:val="center"/>
          </w:tcPr>
          <w:p w:rsidR="00DF6DAB" w:rsidRPr="003755A8" w:rsidRDefault="00DF6DAB" w:rsidP="007D0034">
            <w:pPr>
              <w:spacing w:before="0" w:after="0" w:line="240" w:lineRule="auto"/>
              <w:rPr>
                <w:rFonts w:cstheme="minorHAnsi"/>
                <w:szCs w:val="24"/>
                <w:highlight w:val="lightGray"/>
              </w:rPr>
            </w:pPr>
            <w:r w:rsidRPr="003755A8">
              <w:rPr>
                <w:rFonts w:cstheme="minorHAnsi"/>
                <w:szCs w:val="24"/>
                <w:highlight w:val="lightGray"/>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highlight w:val="yellow"/>
              </w:rPr>
              <w:t>x</w:t>
            </w:r>
          </w:p>
        </w:tc>
        <w:tc>
          <w:tcPr>
            <w:tcW w:w="645" w:type="dxa"/>
            <w:tcBorders>
              <w:righ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highlight w:val="magenta"/>
              </w:rPr>
              <w:t>x</w:t>
            </w:r>
          </w:p>
        </w:tc>
      </w:tr>
      <w:tr w:rsidR="00DF6DAB" w:rsidRPr="00326E6F" w:rsidTr="00DF6DAB">
        <w:trPr>
          <w:trHeight w:val="288"/>
          <w:jc w:val="center"/>
        </w:trPr>
        <w:tc>
          <w:tcPr>
            <w:tcW w:w="3151" w:type="dxa"/>
            <w:tcBorders>
              <w:left w:val="single" w:sz="12" w:space="0" w:color="auto"/>
              <w:right w:val="single" w:sz="12" w:space="0" w:color="auto"/>
            </w:tcBorders>
            <w:shd w:val="clear" w:color="auto" w:fill="auto"/>
            <w:vAlign w:val="center"/>
          </w:tcPr>
          <w:p w:rsidR="00DF6DAB" w:rsidRPr="003755A8" w:rsidRDefault="00DF6DAB" w:rsidP="007D0034">
            <w:pPr>
              <w:spacing w:before="0" w:after="0" w:line="240" w:lineRule="auto"/>
              <w:rPr>
                <w:rFonts w:cstheme="minorHAnsi"/>
                <w:szCs w:val="24"/>
              </w:rPr>
            </w:pPr>
            <w:r w:rsidRPr="003755A8">
              <w:rPr>
                <w:rFonts w:cstheme="minorHAnsi"/>
                <w:szCs w:val="24"/>
              </w:rPr>
              <w:t>VRBICA</w:t>
            </w:r>
          </w:p>
        </w:tc>
        <w:tc>
          <w:tcPr>
            <w:tcW w:w="761" w:type="dxa"/>
            <w:tcBorders>
              <w:lef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tcBorders>
              <w:righ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r>
      <w:tr w:rsidR="00DF6DAB" w:rsidRPr="00326E6F" w:rsidTr="00DF6DAB">
        <w:trPr>
          <w:trHeight w:val="288"/>
          <w:jc w:val="center"/>
        </w:trPr>
        <w:tc>
          <w:tcPr>
            <w:tcW w:w="3151" w:type="dxa"/>
            <w:tcBorders>
              <w:left w:val="single" w:sz="12" w:space="0" w:color="auto"/>
              <w:right w:val="single" w:sz="12" w:space="0" w:color="auto"/>
            </w:tcBorders>
            <w:shd w:val="clear" w:color="auto" w:fill="auto"/>
            <w:vAlign w:val="center"/>
          </w:tcPr>
          <w:p w:rsidR="00DF6DAB" w:rsidRPr="003755A8" w:rsidRDefault="00DF6DAB" w:rsidP="007D0034">
            <w:pPr>
              <w:spacing w:before="0" w:after="0" w:line="240" w:lineRule="auto"/>
              <w:rPr>
                <w:rFonts w:cstheme="minorHAnsi"/>
                <w:szCs w:val="24"/>
              </w:rPr>
            </w:pPr>
            <w:r w:rsidRPr="003755A8">
              <w:rPr>
                <w:rFonts w:cstheme="minorHAnsi"/>
                <w:szCs w:val="24"/>
              </w:rPr>
              <w:t>ZALJUTNICA</w:t>
            </w:r>
          </w:p>
        </w:tc>
        <w:tc>
          <w:tcPr>
            <w:tcW w:w="761" w:type="dxa"/>
            <w:tcBorders>
              <w:lef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c>
          <w:tcPr>
            <w:tcW w:w="645" w:type="dxa"/>
            <w:tcBorders>
              <w:righ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r>
      <w:tr w:rsidR="00DF6DAB" w:rsidRPr="00326E6F" w:rsidTr="00DF6DAB">
        <w:trPr>
          <w:trHeight w:val="288"/>
          <w:jc w:val="center"/>
        </w:trPr>
        <w:tc>
          <w:tcPr>
            <w:tcW w:w="3151" w:type="dxa"/>
            <w:tcBorders>
              <w:left w:val="single" w:sz="12" w:space="0" w:color="auto"/>
              <w:bottom w:val="single" w:sz="12" w:space="0" w:color="auto"/>
              <w:right w:val="single" w:sz="12" w:space="0" w:color="auto"/>
            </w:tcBorders>
            <w:shd w:val="clear" w:color="auto" w:fill="auto"/>
            <w:vAlign w:val="center"/>
          </w:tcPr>
          <w:p w:rsidR="00DF6DAB" w:rsidRPr="003755A8" w:rsidRDefault="00DF6DAB" w:rsidP="007D0034">
            <w:pPr>
              <w:spacing w:before="0" w:after="0" w:line="240" w:lineRule="auto"/>
              <w:rPr>
                <w:rFonts w:cstheme="minorHAnsi"/>
                <w:szCs w:val="24"/>
              </w:rPr>
            </w:pPr>
            <w:r w:rsidRPr="003755A8">
              <w:rPr>
                <w:rFonts w:cstheme="minorHAnsi"/>
                <w:szCs w:val="24"/>
              </w:rPr>
              <w:t>BIJELA GORA</w:t>
            </w:r>
          </w:p>
        </w:tc>
        <w:tc>
          <w:tcPr>
            <w:tcW w:w="761" w:type="dxa"/>
            <w:tcBorders>
              <w:left w:val="single" w:sz="12" w:space="0" w:color="auto"/>
              <w:bottom w:val="single" w:sz="12" w:space="0" w:color="auto"/>
            </w:tcBorders>
            <w:vAlign w:val="center"/>
          </w:tcPr>
          <w:p w:rsidR="00DF6DAB" w:rsidRPr="003755A8" w:rsidRDefault="00DF6DAB" w:rsidP="007D0034">
            <w:pPr>
              <w:spacing w:before="0" w:after="0" w:line="240" w:lineRule="auto"/>
              <w:rPr>
                <w:rFonts w:cstheme="minorHAnsi"/>
                <w:szCs w:val="24"/>
                <w:highlight w:val="lightGray"/>
              </w:rPr>
            </w:pPr>
            <w:r w:rsidRPr="003755A8">
              <w:rPr>
                <w:rFonts w:cstheme="minorHAnsi"/>
                <w:szCs w:val="24"/>
                <w:highlight w:val="lightGray"/>
              </w:rPr>
              <w:t>x</w:t>
            </w:r>
          </w:p>
        </w:tc>
        <w:tc>
          <w:tcPr>
            <w:tcW w:w="645" w:type="dxa"/>
            <w:tcBorders>
              <w:bottom w:val="single" w:sz="12" w:space="0" w:color="auto"/>
            </w:tcBorders>
            <w:vAlign w:val="center"/>
          </w:tcPr>
          <w:p w:rsidR="00DF6DAB" w:rsidRPr="003755A8" w:rsidRDefault="00DF6DAB" w:rsidP="007D0034">
            <w:pPr>
              <w:spacing w:before="0" w:after="0" w:line="240" w:lineRule="auto"/>
              <w:rPr>
                <w:rFonts w:cstheme="minorHAnsi"/>
                <w:szCs w:val="24"/>
                <w:highlight w:val="lightGray"/>
              </w:rPr>
            </w:pPr>
            <w:r w:rsidRPr="003755A8">
              <w:rPr>
                <w:rFonts w:cstheme="minorHAnsi"/>
                <w:szCs w:val="24"/>
                <w:highlight w:val="lightGray"/>
              </w:rPr>
              <w:t>x</w:t>
            </w:r>
          </w:p>
        </w:tc>
        <w:tc>
          <w:tcPr>
            <w:tcW w:w="645" w:type="dxa"/>
            <w:tcBorders>
              <w:bottom w:val="single" w:sz="12" w:space="0" w:color="auto"/>
            </w:tcBorders>
            <w:vAlign w:val="center"/>
          </w:tcPr>
          <w:p w:rsidR="00DF6DAB" w:rsidRPr="003755A8" w:rsidRDefault="00DF6DAB" w:rsidP="007D0034">
            <w:pPr>
              <w:spacing w:before="0" w:after="0" w:line="240" w:lineRule="auto"/>
              <w:rPr>
                <w:rFonts w:cstheme="minorHAnsi"/>
                <w:szCs w:val="24"/>
                <w:highlight w:val="yellow"/>
              </w:rPr>
            </w:pPr>
            <w:r w:rsidRPr="003755A8">
              <w:rPr>
                <w:rFonts w:cstheme="minorHAnsi"/>
                <w:szCs w:val="24"/>
                <w:highlight w:val="yellow"/>
              </w:rPr>
              <w:t>x</w:t>
            </w:r>
          </w:p>
        </w:tc>
        <w:tc>
          <w:tcPr>
            <w:tcW w:w="645" w:type="dxa"/>
            <w:tcBorders>
              <w:bottom w:val="single" w:sz="12" w:space="0" w:color="auto"/>
            </w:tcBorders>
            <w:vAlign w:val="center"/>
          </w:tcPr>
          <w:p w:rsidR="00DF6DAB" w:rsidRPr="003755A8" w:rsidRDefault="00DF6DAB" w:rsidP="007D0034">
            <w:pPr>
              <w:spacing w:before="0" w:after="0" w:line="240" w:lineRule="auto"/>
              <w:rPr>
                <w:rFonts w:cstheme="minorHAnsi"/>
                <w:szCs w:val="24"/>
                <w:highlight w:val="yellow"/>
              </w:rPr>
            </w:pPr>
            <w:r w:rsidRPr="003755A8">
              <w:rPr>
                <w:rFonts w:cstheme="minorHAnsi"/>
                <w:szCs w:val="24"/>
                <w:highlight w:val="yellow"/>
              </w:rPr>
              <w:t>x</w:t>
            </w:r>
          </w:p>
        </w:tc>
        <w:tc>
          <w:tcPr>
            <w:tcW w:w="645" w:type="dxa"/>
            <w:tcBorders>
              <w:bottom w:val="single" w:sz="12" w:space="0" w:color="auto"/>
            </w:tcBorders>
            <w:vAlign w:val="center"/>
          </w:tcPr>
          <w:p w:rsidR="00DF6DAB" w:rsidRPr="003755A8" w:rsidRDefault="00DF6DAB" w:rsidP="007D0034">
            <w:pPr>
              <w:spacing w:before="0" w:after="0" w:line="240" w:lineRule="auto"/>
              <w:rPr>
                <w:rFonts w:cstheme="minorHAnsi"/>
                <w:szCs w:val="24"/>
                <w:highlight w:val="green"/>
              </w:rPr>
            </w:pPr>
            <w:r w:rsidRPr="003755A8">
              <w:rPr>
                <w:rFonts w:cstheme="minorHAnsi"/>
                <w:szCs w:val="24"/>
                <w:highlight w:val="yellow"/>
              </w:rPr>
              <w:t>x</w:t>
            </w:r>
          </w:p>
        </w:tc>
        <w:tc>
          <w:tcPr>
            <w:tcW w:w="645" w:type="dxa"/>
            <w:tcBorders>
              <w:bottom w:val="single" w:sz="12" w:space="0" w:color="auto"/>
            </w:tcBorders>
            <w:vAlign w:val="center"/>
          </w:tcPr>
          <w:p w:rsidR="00DF6DAB" w:rsidRPr="003755A8" w:rsidRDefault="00DF6DAB" w:rsidP="007D0034">
            <w:pPr>
              <w:spacing w:before="0" w:after="0" w:line="240" w:lineRule="auto"/>
              <w:rPr>
                <w:rFonts w:cstheme="minorHAnsi"/>
                <w:szCs w:val="24"/>
                <w:highlight w:val="green"/>
              </w:rPr>
            </w:pPr>
            <w:r w:rsidRPr="003755A8">
              <w:rPr>
                <w:rFonts w:cstheme="minorHAnsi"/>
                <w:szCs w:val="24"/>
                <w:highlight w:val="green"/>
              </w:rPr>
              <w:t>x</w:t>
            </w:r>
          </w:p>
        </w:tc>
        <w:tc>
          <w:tcPr>
            <w:tcW w:w="645" w:type="dxa"/>
            <w:tcBorders>
              <w:bottom w:val="single" w:sz="12" w:space="0" w:color="auto"/>
              <w:right w:val="single" w:sz="12" w:space="0" w:color="auto"/>
            </w:tcBorders>
            <w:vAlign w:val="center"/>
          </w:tcPr>
          <w:p w:rsidR="00DF6DAB" w:rsidRPr="003755A8" w:rsidRDefault="00DF6DAB" w:rsidP="007D0034">
            <w:pPr>
              <w:spacing w:before="0" w:after="0" w:line="240" w:lineRule="auto"/>
              <w:rPr>
                <w:rFonts w:cstheme="minorHAnsi"/>
                <w:szCs w:val="24"/>
              </w:rPr>
            </w:pPr>
            <w:r w:rsidRPr="003755A8">
              <w:rPr>
                <w:rFonts w:cstheme="minorHAnsi"/>
                <w:szCs w:val="24"/>
              </w:rPr>
              <w:t>x</w:t>
            </w:r>
          </w:p>
        </w:tc>
      </w:tr>
    </w:tbl>
    <w:p w:rsidR="00DF6DAB" w:rsidRPr="003755A8" w:rsidRDefault="00DF6DAB" w:rsidP="007D0034">
      <w:pPr>
        <w:spacing w:before="0" w:after="0" w:line="240" w:lineRule="auto"/>
        <w:rPr>
          <w:rFonts w:cstheme="minorHAnsi"/>
        </w:rPr>
      </w:pPr>
      <w:r w:rsidRPr="003755A8">
        <w:rPr>
          <w:rFonts w:cstheme="minorHAnsi"/>
        </w:rPr>
        <w:t>Legenda:</w:t>
      </w:r>
    </w:p>
    <w:p w:rsidR="00DF6DAB" w:rsidRPr="003755A8" w:rsidRDefault="00DF6DAB" w:rsidP="007D0034">
      <w:pPr>
        <w:spacing w:before="0" w:after="0" w:line="240" w:lineRule="auto"/>
        <w:rPr>
          <w:rFonts w:cstheme="minorHAnsi"/>
        </w:rPr>
      </w:pPr>
      <w:r w:rsidRPr="003755A8">
        <w:rPr>
          <w:rFonts w:cstheme="minorHAnsi"/>
        </w:rPr>
        <w:t xml:space="preserve">   </w:t>
      </w:r>
      <w:r w:rsidRPr="003755A8">
        <w:rPr>
          <w:rFonts w:cstheme="minorHAnsi"/>
          <w:highlight w:val="lightGray"/>
        </w:rPr>
        <w:t>x</w:t>
      </w:r>
      <w:r w:rsidRPr="003755A8">
        <w:rPr>
          <w:rFonts w:cstheme="minorHAnsi"/>
        </w:rPr>
        <w:t xml:space="preserve">  Završeno u prethodnom periodu </w:t>
      </w:r>
    </w:p>
    <w:p w:rsidR="00DF6DAB" w:rsidRPr="003755A8" w:rsidRDefault="00DF6DAB" w:rsidP="007D0034">
      <w:pPr>
        <w:spacing w:before="0" w:after="0" w:line="240" w:lineRule="auto"/>
        <w:rPr>
          <w:rFonts w:cstheme="minorHAnsi"/>
        </w:rPr>
      </w:pPr>
      <w:r w:rsidRPr="003755A8">
        <w:rPr>
          <w:rFonts w:cstheme="minorHAnsi"/>
        </w:rPr>
        <w:t xml:space="preserve">   </w:t>
      </w:r>
      <w:r w:rsidRPr="003755A8">
        <w:rPr>
          <w:rFonts w:cstheme="minorHAnsi"/>
          <w:highlight w:val="yellow"/>
        </w:rPr>
        <w:t>x</w:t>
      </w:r>
      <w:r w:rsidRPr="003755A8">
        <w:rPr>
          <w:rFonts w:cstheme="minorHAnsi"/>
        </w:rPr>
        <w:t xml:space="preserve">  Nastavak aktivnosti iz prethodnog perioda</w:t>
      </w:r>
    </w:p>
    <w:p w:rsidR="00DF6DAB" w:rsidRPr="003755A8" w:rsidRDefault="00DF6DAB" w:rsidP="007D0034">
      <w:pPr>
        <w:spacing w:before="0" w:after="0" w:line="240" w:lineRule="auto"/>
        <w:rPr>
          <w:rFonts w:cstheme="minorHAnsi"/>
        </w:rPr>
      </w:pPr>
      <w:r w:rsidRPr="003755A8">
        <w:rPr>
          <w:rFonts w:cstheme="minorHAnsi"/>
        </w:rPr>
        <w:t xml:space="preserve">   </w:t>
      </w:r>
      <w:r w:rsidRPr="003755A8">
        <w:rPr>
          <w:rFonts w:cstheme="minorHAnsi"/>
          <w:highlight w:val="green"/>
        </w:rPr>
        <w:t>x</w:t>
      </w:r>
      <w:r w:rsidRPr="003755A8">
        <w:rPr>
          <w:rFonts w:cstheme="minorHAnsi"/>
        </w:rPr>
        <w:t xml:space="preserve">  Započete aktivnosti u toku 2020. godine</w:t>
      </w:r>
    </w:p>
    <w:p w:rsidR="00DF6DAB" w:rsidRPr="003755A8" w:rsidRDefault="00DF6DAB" w:rsidP="007D0034">
      <w:pPr>
        <w:spacing w:before="0" w:after="0" w:line="240" w:lineRule="auto"/>
        <w:rPr>
          <w:rFonts w:cstheme="minorHAnsi"/>
        </w:rPr>
      </w:pPr>
      <w:r w:rsidRPr="003755A8">
        <w:rPr>
          <w:rFonts w:cstheme="minorHAnsi"/>
        </w:rPr>
        <w:t xml:space="preserve">   </w:t>
      </w:r>
      <w:r w:rsidRPr="003755A8">
        <w:rPr>
          <w:rFonts w:cstheme="minorHAnsi"/>
          <w:highlight w:val="magenta"/>
        </w:rPr>
        <w:t>x</w:t>
      </w:r>
      <w:r w:rsidRPr="003755A8">
        <w:rPr>
          <w:rFonts w:cstheme="minorHAnsi"/>
        </w:rPr>
        <w:t xml:space="preserve">  Završene aktivnosti u toku 2020. godine</w:t>
      </w:r>
    </w:p>
    <w:p w:rsidR="00DF6DAB" w:rsidRPr="003755A8" w:rsidRDefault="00DF6DAB" w:rsidP="007D0034">
      <w:pPr>
        <w:spacing w:before="0" w:after="0" w:line="240" w:lineRule="auto"/>
        <w:rPr>
          <w:rFonts w:cstheme="minorHAnsi"/>
        </w:rPr>
      </w:pPr>
      <w:r w:rsidRPr="003755A8">
        <w:rPr>
          <w:rFonts w:cstheme="minorHAnsi"/>
        </w:rPr>
        <w:t xml:space="preserve">   x  Planirane aktivnosti</w:t>
      </w:r>
    </w:p>
    <w:p w:rsidR="00DF6DAB" w:rsidRPr="00326E6F" w:rsidRDefault="00DF6DAB" w:rsidP="00DF6DAB">
      <w:pPr>
        <w:rPr>
          <w:rFonts w:ascii="Arial" w:hAnsi="Arial" w:cs="Arial"/>
          <w:b/>
        </w:rPr>
      </w:pPr>
    </w:p>
    <w:p w:rsidR="00DF6DAB" w:rsidRPr="003755A8" w:rsidRDefault="00DF6DAB" w:rsidP="009D6F64">
      <w:pPr>
        <w:spacing w:before="0" w:after="0" w:line="240" w:lineRule="auto"/>
        <w:rPr>
          <w:rFonts w:cstheme="minorHAnsi"/>
          <w:b/>
          <w:szCs w:val="24"/>
        </w:rPr>
      </w:pPr>
      <w:bookmarkStart w:id="174" w:name="_Toc71288828"/>
      <w:r w:rsidRPr="003755A8">
        <w:rPr>
          <w:rFonts w:cstheme="minorHAnsi"/>
          <w:b/>
          <w:szCs w:val="24"/>
        </w:rPr>
        <w:lastRenderedPageBreak/>
        <w:t>2.3. PROJEKAT OSNIVANJA KATASTRA NEPOKRETNOSTI NA DIJELU TERITORIJE OPŠTINE BIJELO POLJE</w:t>
      </w:r>
      <w:bookmarkEnd w:id="174"/>
    </w:p>
    <w:p w:rsidR="00DF6DAB" w:rsidRPr="003755A8" w:rsidRDefault="00DF6DAB" w:rsidP="009D6F64">
      <w:pPr>
        <w:spacing w:before="0" w:after="0" w:line="240" w:lineRule="auto"/>
        <w:ind w:firstLine="709"/>
        <w:rPr>
          <w:rFonts w:cstheme="minorHAnsi"/>
          <w:szCs w:val="24"/>
        </w:rPr>
      </w:pPr>
      <w:r w:rsidRPr="003755A8">
        <w:rPr>
          <w:rFonts w:cstheme="minorHAnsi"/>
          <w:szCs w:val="24"/>
        </w:rPr>
        <w:t>Aktivnosti vezane za realizaciju ovog Projekta u toku 2020. godine odnosile su se na na sljedeće poslove:</w:t>
      </w:r>
    </w:p>
    <w:p w:rsidR="00DF6DAB" w:rsidRPr="003755A8" w:rsidRDefault="009D6F64"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priprema terena za aerofotogrametrijsko snimanje (određivanje orjentacionih tačaka, razgraničenje i omeđavanje katastarskih opština, obavještavanje i davanje upustava vlasnicima nepokretnosti);</w:t>
      </w:r>
    </w:p>
    <w:p w:rsidR="00DF6DAB" w:rsidRPr="003755A8" w:rsidRDefault="009D6F64"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aerofotogrametrijsko snimanje;</w:t>
      </w:r>
    </w:p>
    <w:p w:rsidR="00DF6DAB" w:rsidRPr="003755A8" w:rsidRDefault="009D6F64"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izrada digitalnog zapisa snimaka;</w:t>
      </w:r>
    </w:p>
    <w:p w:rsidR="00DF6DAB" w:rsidRPr="003755A8" w:rsidRDefault="009D6F64"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dešifrovanje,  katastarsko klasiranje, prikupljanje podataka o nepokretnostima i imaocima prava; za K.O. Gubavač, K.O. Voljevac i K.O. Njegnjevo.</w:t>
      </w:r>
    </w:p>
    <w:p w:rsidR="00DF6DAB" w:rsidRPr="003755A8" w:rsidRDefault="00DF6DAB" w:rsidP="009D6F64">
      <w:pPr>
        <w:spacing w:before="0" w:after="0" w:line="240" w:lineRule="auto"/>
        <w:rPr>
          <w:rFonts w:cstheme="minorHAnsi"/>
          <w:szCs w:val="24"/>
        </w:rPr>
      </w:pPr>
    </w:p>
    <w:p w:rsidR="00DF6DAB" w:rsidRPr="009D6F64" w:rsidRDefault="00DF6DAB" w:rsidP="009D6F64">
      <w:pPr>
        <w:spacing w:before="0" w:after="0" w:line="240" w:lineRule="auto"/>
        <w:rPr>
          <w:rFonts w:cstheme="minorHAnsi"/>
          <w:b/>
          <w:szCs w:val="24"/>
        </w:rPr>
      </w:pPr>
      <w:bookmarkStart w:id="175" w:name="_Toc220912952"/>
      <w:bookmarkStart w:id="176" w:name="_Toc71288829"/>
      <w:bookmarkStart w:id="177" w:name="_Toc172082038"/>
      <w:bookmarkStart w:id="178" w:name="_Toc172082042"/>
      <w:bookmarkEnd w:id="127"/>
      <w:r w:rsidRPr="003755A8">
        <w:rPr>
          <w:rFonts w:cstheme="minorHAnsi"/>
          <w:b/>
          <w:szCs w:val="24"/>
        </w:rPr>
        <w:t>3. OSNOVNA DRŽAVNA KARTA, TOPOGRAFSKE I PREGLEDNO-TOPOGRAFSKE KARTE</w:t>
      </w:r>
      <w:bookmarkEnd w:id="175"/>
      <w:bookmarkEnd w:id="176"/>
    </w:p>
    <w:p w:rsidR="00DF6DAB" w:rsidRPr="003755A8" w:rsidRDefault="00DF6DAB" w:rsidP="009D6F64">
      <w:pPr>
        <w:spacing w:after="0" w:line="240" w:lineRule="auto"/>
        <w:ind w:firstLine="709"/>
        <w:rPr>
          <w:rFonts w:cstheme="minorHAnsi"/>
          <w:szCs w:val="24"/>
        </w:rPr>
      </w:pPr>
      <w:r w:rsidRPr="003755A8">
        <w:rPr>
          <w:rFonts w:cstheme="minorHAnsi"/>
          <w:szCs w:val="24"/>
        </w:rPr>
        <w:t xml:space="preserve">U toku 2020. godine nastavljeni su radovi na izradi jedinstvene kartografsko topografske baze podataka. </w:t>
      </w:r>
    </w:p>
    <w:p w:rsidR="00DF6DAB" w:rsidRPr="003755A8" w:rsidRDefault="00DF6DAB" w:rsidP="009D6F64">
      <w:pPr>
        <w:spacing w:before="0" w:after="0" w:line="240" w:lineRule="auto"/>
        <w:ind w:firstLine="709"/>
        <w:rPr>
          <w:rFonts w:cstheme="minorHAnsi"/>
          <w:szCs w:val="24"/>
        </w:rPr>
      </w:pPr>
      <w:r w:rsidRPr="003755A8">
        <w:rPr>
          <w:rFonts w:cstheme="minorHAnsi"/>
          <w:szCs w:val="24"/>
        </w:rPr>
        <w:t>U toku 2020. godine, nastavljene su aktivnosti na ažuriranju postojećih topografskih karata.</w:t>
      </w:r>
    </w:p>
    <w:p w:rsidR="00DF6DAB" w:rsidRPr="003755A8" w:rsidRDefault="00DF6DAB" w:rsidP="009D6F64">
      <w:pPr>
        <w:spacing w:before="0" w:after="0" w:line="240" w:lineRule="auto"/>
        <w:rPr>
          <w:rFonts w:cstheme="minorHAnsi"/>
          <w:szCs w:val="24"/>
        </w:rPr>
      </w:pPr>
    </w:p>
    <w:p w:rsidR="00DF6DAB" w:rsidRPr="003755A8" w:rsidRDefault="00DF6DAB" w:rsidP="009D6F64">
      <w:pPr>
        <w:spacing w:before="0" w:after="0" w:line="240" w:lineRule="auto"/>
        <w:rPr>
          <w:rFonts w:cstheme="minorHAnsi"/>
          <w:b/>
          <w:szCs w:val="24"/>
        </w:rPr>
      </w:pPr>
      <w:bookmarkStart w:id="179" w:name="_Toc71288830"/>
      <w:r w:rsidRPr="003755A8">
        <w:rPr>
          <w:rFonts w:cstheme="minorHAnsi"/>
          <w:b/>
          <w:szCs w:val="24"/>
        </w:rPr>
        <w:t>4. PREMJER, OZNAČAVANJE I OBILJEŽAVANJE GRANIČNIH OZNAKA</w:t>
      </w:r>
      <w:bookmarkEnd w:id="179"/>
    </w:p>
    <w:p w:rsidR="00DF6DAB" w:rsidRPr="003755A8" w:rsidRDefault="00DF6DAB" w:rsidP="009D6F64">
      <w:pPr>
        <w:spacing w:after="0" w:line="240" w:lineRule="auto"/>
        <w:ind w:firstLine="709"/>
        <w:rPr>
          <w:rFonts w:cstheme="minorHAnsi"/>
          <w:szCs w:val="24"/>
        </w:rPr>
      </w:pPr>
      <w:r w:rsidRPr="003755A8">
        <w:rPr>
          <w:rFonts w:cstheme="minorHAnsi"/>
          <w:szCs w:val="24"/>
        </w:rPr>
        <w:t xml:space="preserve">U toku 2020. godine, Uprava je saglasno nadležnostima, </w:t>
      </w:r>
      <w:bookmarkEnd w:id="177"/>
      <w:r w:rsidRPr="003755A8">
        <w:rPr>
          <w:rFonts w:cstheme="minorHAnsi"/>
          <w:szCs w:val="24"/>
        </w:rPr>
        <w:t>nastavila aktivnosti vezane na označavanju i obelježavanju graničnih oznaka, saglasno zahtejvima Komisije.</w:t>
      </w:r>
    </w:p>
    <w:p w:rsidR="00DF6DAB" w:rsidRPr="003755A8" w:rsidRDefault="00DF6DAB" w:rsidP="009D6F64">
      <w:pPr>
        <w:spacing w:before="0" w:after="0" w:line="240" w:lineRule="auto"/>
        <w:rPr>
          <w:rFonts w:cstheme="minorHAnsi"/>
          <w:b/>
          <w:szCs w:val="24"/>
        </w:rPr>
      </w:pPr>
    </w:p>
    <w:p w:rsidR="00DF6DAB" w:rsidRPr="003755A8" w:rsidRDefault="00DF6DAB" w:rsidP="009D6F64">
      <w:pPr>
        <w:spacing w:before="0" w:after="0" w:line="240" w:lineRule="auto"/>
        <w:rPr>
          <w:rFonts w:cstheme="minorHAnsi"/>
          <w:b/>
          <w:szCs w:val="24"/>
        </w:rPr>
      </w:pPr>
      <w:bookmarkStart w:id="180" w:name="_Toc504380210"/>
      <w:bookmarkStart w:id="181" w:name="_Toc71288831"/>
      <w:r w:rsidRPr="003755A8">
        <w:rPr>
          <w:rFonts w:cstheme="minorHAnsi"/>
          <w:b/>
          <w:szCs w:val="24"/>
        </w:rPr>
        <w:t>5.  RADOVI VEZANI ZA INFRASTRUKTURNE PROJEKTE VLADE CRNE GORE</w:t>
      </w:r>
      <w:bookmarkEnd w:id="180"/>
      <w:bookmarkEnd w:id="181"/>
    </w:p>
    <w:p w:rsidR="00DF6DAB" w:rsidRPr="003755A8" w:rsidRDefault="00DF6DAB" w:rsidP="009D6F64">
      <w:pPr>
        <w:spacing w:after="0" w:line="240" w:lineRule="auto"/>
        <w:ind w:firstLine="709"/>
        <w:rPr>
          <w:rFonts w:cstheme="minorHAnsi"/>
          <w:szCs w:val="24"/>
        </w:rPr>
      </w:pPr>
      <w:r w:rsidRPr="003755A8">
        <w:rPr>
          <w:rFonts w:cstheme="minorHAnsi"/>
          <w:szCs w:val="24"/>
        </w:rPr>
        <w:t>Saglasno prioritetima i shodno zahtjevima Vlade Crne Gore u realizaciji kapitalnih projekata, Uprava je u kontinuitetu radila na poslovima iz nadležnosti Uprave.</w:t>
      </w:r>
    </w:p>
    <w:p w:rsidR="00DF6DAB" w:rsidRPr="003755A8" w:rsidRDefault="00DF6DAB" w:rsidP="009D6F64">
      <w:pPr>
        <w:spacing w:before="0" w:after="0" w:line="240" w:lineRule="auto"/>
        <w:ind w:firstLine="709"/>
        <w:rPr>
          <w:rFonts w:cstheme="minorHAnsi"/>
          <w:szCs w:val="24"/>
        </w:rPr>
      </w:pPr>
      <w:r w:rsidRPr="003755A8">
        <w:rPr>
          <w:rFonts w:cstheme="minorHAnsi"/>
          <w:szCs w:val="24"/>
        </w:rPr>
        <w:t>Uprava za nekretnine, shodno zahtjevima radila je na realizaciji eksproprijacija i izradi potrebne dokumentacije sa ciljem implementacije kapitalnih projekata značajnih za Crnu Goru, kako u dijelu terenskih radova, tako i u dijelu vođenja upravnih postupak.</w:t>
      </w:r>
    </w:p>
    <w:p w:rsidR="00DF6DAB" w:rsidRPr="003755A8" w:rsidRDefault="00DF6DAB" w:rsidP="009D6F64">
      <w:pPr>
        <w:spacing w:before="0" w:after="0" w:line="240" w:lineRule="auto"/>
        <w:ind w:firstLine="709"/>
        <w:rPr>
          <w:rFonts w:cstheme="minorHAnsi"/>
          <w:szCs w:val="24"/>
        </w:rPr>
      </w:pPr>
      <w:r w:rsidRPr="003755A8">
        <w:rPr>
          <w:rFonts w:cstheme="minorHAnsi"/>
          <w:szCs w:val="24"/>
        </w:rPr>
        <w:t>Za potrebe državnih organa i organa lokalne samouprave, Uprava je vršila procjenu vrijednosti nepokretnosti saglasno podnešenim zahtjevima.</w:t>
      </w:r>
    </w:p>
    <w:p w:rsidR="00DF6DAB" w:rsidRPr="003755A8" w:rsidRDefault="00DF6DAB" w:rsidP="009D6F64">
      <w:pPr>
        <w:spacing w:before="0" w:after="0" w:line="240" w:lineRule="auto"/>
        <w:rPr>
          <w:rFonts w:cstheme="minorHAnsi"/>
          <w:szCs w:val="24"/>
        </w:rPr>
      </w:pPr>
    </w:p>
    <w:p w:rsidR="00DF6DAB" w:rsidRPr="003755A8" w:rsidRDefault="00DF6DAB" w:rsidP="009D6F64">
      <w:pPr>
        <w:spacing w:before="0" w:after="0" w:line="240" w:lineRule="auto"/>
        <w:rPr>
          <w:rFonts w:cstheme="minorHAnsi"/>
          <w:b/>
          <w:szCs w:val="24"/>
        </w:rPr>
      </w:pPr>
      <w:bookmarkStart w:id="182" w:name="_Toc504380211"/>
      <w:bookmarkStart w:id="183" w:name="_Toc71288832"/>
      <w:r w:rsidRPr="003755A8">
        <w:rPr>
          <w:rFonts w:cstheme="minorHAnsi"/>
          <w:b/>
          <w:szCs w:val="24"/>
        </w:rPr>
        <w:t>6. OSNIVANJE KATASTRA VODOVA</w:t>
      </w:r>
      <w:bookmarkEnd w:id="182"/>
      <w:bookmarkEnd w:id="183"/>
    </w:p>
    <w:p w:rsidR="00DF6DAB" w:rsidRPr="003755A8" w:rsidRDefault="00DF6DAB" w:rsidP="009D6F64">
      <w:pPr>
        <w:spacing w:after="0" w:line="240" w:lineRule="auto"/>
        <w:ind w:firstLine="709"/>
        <w:rPr>
          <w:rFonts w:cstheme="minorHAnsi"/>
          <w:szCs w:val="24"/>
        </w:rPr>
      </w:pPr>
      <w:r w:rsidRPr="003755A8">
        <w:rPr>
          <w:rFonts w:cstheme="minorHAnsi"/>
          <w:szCs w:val="24"/>
        </w:rPr>
        <w:t>Saglasno Zakonu o državnom premjeru i katastru nepokretnosti ("Sl. list RCG", br. 029/07, "Sl list CG", br. 73/10, 32/11, 40/11, 43/15, 37/17 i 17/18), nadležnost vođenja evidencije Katastra vodova na teritoriji Crne Gore je obaveza Uprave.</w:t>
      </w:r>
    </w:p>
    <w:p w:rsidR="00DF6DAB" w:rsidRPr="003755A8" w:rsidRDefault="00DF6DAB" w:rsidP="009D6F64">
      <w:pPr>
        <w:spacing w:before="0" w:after="0" w:line="240" w:lineRule="auto"/>
        <w:ind w:firstLine="709"/>
        <w:rPr>
          <w:rFonts w:cstheme="minorHAnsi"/>
          <w:szCs w:val="24"/>
        </w:rPr>
      </w:pPr>
      <w:r w:rsidRPr="003755A8">
        <w:rPr>
          <w:rFonts w:cstheme="minorHAnsi"/>
          <w:szCs w:val="24"/>
        </w:rPr>
        <w:t>Zbog veoma velike važnosti i korišćenja od strane javnog i privatnog sektora, započete su pripremne aktivnosti.</w:t>
      </w:r>
    </w:p>
    <w:p w:rsidR="00DF6DAB" w:rsidRPr="003755A8" w:rsidRDefault="00DF6DAB" w:rsidP="009D6F64">
      <w:pPr>
        <w:spacing w:before="0" w:after="0" w:line="240" w:lineRule="auto"/>
        <w:rPr>
          <w:rFonts w:cstheme="minorHAnsi"/>
          <w:szCs w:val="24"/>
          <w:highlight w:val="yellow"/>
        </w:rPr>
      </w:pPr>
    </w:p>
    <w:p w:rsidR="00DF6DAB" w:rsidRPr="003755A8" w:rsidRDefault="00DF6DAB" w:rsidP="009D6F64">
      <w:pPr>
        <w:spacing w:before="0" w:after="0" w:line="240" w:lineRule="auto"/>
        <w:rPr>
          <w:rFonts w:cstheme="minorHAnsi"/>
          <w:b/>
          <w:szCs w:val="24"/>
        </w:rPr>
      </w:pPr>
      <w:bookmarkStart w:id="184" w:name="_Toc71288833"/>
      <w:r w:rsidRPr="003755A8">
        <w:rPr>
          <w:rFonts w:cstheme="minorHAnsi"/>
          <w:b/>
          <w:szCs w:val="24"/>
        </w:rPr>
        <w:t>7. REGISTAR KUĆNIH BROJEVA, ULICA I TRGOVA</w:t>
      </w:r>
      <w:bookmarkEnd w:id="184"/>
      <w:r w:rsidRPr="003755A8">
        <w:rPr>
          <w:rFonts w:cstheme="minorHAnsi"/>
          <w:b/>
          <w:szCs w:val="24"/>
        </w:rPr>
        <w:t xml:space="preserve"> </w:t>
      </w:r>
      <w:bookmarkEnd w:id="178"/>
    </w:p>
    <w:p w:rsidR="00DF6DAB" w:rsidRPr="003755A8" w:rsidRDefault="00DF6DAB" w:rsidP="009D6F64">
      <w:pPr>
        <w:spacing w:after="0" w:line="240" w:lineRule="auto"/>
        <w:ind w:firstLine="709"/>
        <w:rPr>
          <w:rFonts w:cstheme="minorHAnsi"/>
          <w:szCs w:val="24"/>
        </w:rPr>
      </w:pPr>
      <w:bookmarkStart w:id="185" w:name="_Toc172082047"/>
      <w:r w:rsidRPr="003755A8">
        <w:rPr>
          <w:rFonts w:cstheme="minorHAnsi"/>
          <w:szCs w:val="24"/>
        </w:rPr>
        <w:t>U toku 2020. godine nastavljene su aktivnosti vezane za Projekat Adresni registar, a koje su se odnosile na:</w:t>
      </w:r>
    </w:p>
    <w:p w:rsidR="00DF6DAB" w:rsidRPr="003755A8" w:rsidRDefault="009D6F64"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realizacija aktivnosti saglasno tenderskom dokumentu i prihvaćenoj ponudi: održavanje sastanaka, pripremanje podataka i raspoloživih informacija, kontinuirana komunikacija sa izabranim ponuđačem i predstavnicima norveške kartografske institucije nadležne za projekat;</w:t>
      </w:r>
    </w:p>
    <w:p w:rsidR="00DF6DAB" w:rsidRPr="003755A8" w:rsidRDefault="009D6F64"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testiranje verzija;</w:t>
      </w:r>
    </w:p>
    <w:p w:rsidR="00DF6DAB" w:rsidRPr="003755A8" w:rsidRDefault="009D6F64"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interna obuka;</w:t>
      </w:r>
    </w:p>
    <w:p w:rsidR="00DF6DAB" w:rsidRPr="003755A8" w:rsidRDefault="009D6F64"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priprema prateće dokumentacije;</w:t>
      </w:r>
    </w:p>
    <w:p w:rsidR="00DF6DAB" w:rsidRPr="003755A8" w:rsidRDefault="009D6F64"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priprema podataka sa kojima raspolaže Uprava;</w:t>
      </w:r>
    </w:p>
    <w:p w:rsidR="00DF6DAB" w:rsidRPr="003755A8" w:rsidRDefault="009D6F64" w:rsidP="009D6F64">
      <w:pPr>
        <w:spacing w:before="0" w:after="0" w:line="240" w:lineRule="auto"/>
        <w:rPr>
          <w:rFonts w:cstheme="minorHAnsi"/>
          <w:szCs w:val="24"/>
        </w:rPr>
      </w:pPr>
      <w:r>
        <w:rPr>
          <w:rFonts w:cstheme="minorHAnsi"/>
          <w:szCs w:val="24"/>
        </w:rPr>
        <w:lastRenderedPageBreak/>
        <w:t xml:space="preserve"> - </w:t>
      </w:r>
      <w:r w:rsidR="00DF6DAB" w:rsidRPr="003755A8">
        <w:rPr>
          <w:rFonts w:cstheme="minorHAnsi"/>
          <w:szCs w:val="24"/>
        </w:rPr>
        <w:t>priprema tehničke specifikacije za nabavku potrebnog hardvera;</w:t>
      </w:r>
    </w:p>
    <w:p w:rsidR="00DF6DAB" w:rsidRPr="003755A8" w:rsidRDefault="009D6F64" w:rsidP="009D6F64">
      <w:pPr>
        <w:spacing w:before="0" w:after="0" w:line="240" w:lineRule="auto"/>
        <w:rPr>
          <w:rFonts w:cstheme="minorHAnsi"/>
          <w:szCs w:val="24"/>
        </w:rPr>
      </w:pPr>
      <w:r>
        <w:rPr>
          <w:rFonts w:cstheme="minorHAnsi"/>
          <w:szCs w:val="24"/>
        </w:rPr>
        <w:t xml:space="preserve"> - </w:t>
      </w:r>
      <w:r w:rsidR="00805EB4">
        <w:rPr>
          <w:rFonts w:cstheme="minorHAnsi"/>
          <w:szCs w:val="24"/>
        </w:rPr>
        <w:t>izrada pr</w:t>
      </w:r>
      <w:r w:rsidR="00DF6DAB" w:rsidRPr="003755A8">
        <w:rPr>
          <w:rFonts w:cstheme="minorHAnsi"/>
          <w:szCs w:val="24"/>
        </w:rPr>
        <w:t>edloga za unaprjeđenjem zakonske regulative i ostale potrebne dokumenatcije;</w:t>
      </w:r>
    </w:p>
    <w:p w:rsidR="00DF6DAB" w:rsidRPr="003755A8" w:rsidRDefault="00DF6DAB" w:rsidP="00E51ACE">
      <w:pPr>
        <w:spacing w:before="0" w:after="0" w:line="240" w:lineRule="auto"/>
        <w:ind w:firstLine="709"/>
        <w:rPr>
          <w:rFonts w:cstheme="minorHAnsi"/>
          <w:szCs w:val="24"/>
        </w:rPr>
      </w:pPr>
      <w:r w:rsidRPr="003755A8">
        <w:rPr>
          <w:rFonts w:cstheme="minorHAnsi"/>
          <w:szCs w:val="24"/>
        </w:rPr>
        <w:t>Priprema softverskog rješenja, planirane aktivnosti vezane za testiranje, rad sa autorima softvera, zbog situacije izazvane pandemijom COVID19 odvijala se putem on-line komunikacije i sve aktivnosti su prilagođavane situaciji izazvanoj ovom pandemijom.</w:t>
      </w:r>
    </w:p>
    <w:p w:rsidR="00DF6DAB" w:rsidRPr="003755A8" w:rsidRDefault="00DF6DAB" w:rsidP="00E51ACE">
      <w:pPr>
        <w:spacing w:before="0" w:after="0" w:line="240" w:lineRule="auto"/>
        <w:ind w:firstLine="709"/>
        <w:rPr>
          <w:rFonts w:cstheme="minorHAnsi"/>
          <w:szCs w:val="24"/>
        </w:rPr>
      </w:pPr>
      <w:r w:rsidRPr="003755A8">
        <w:rPr>
          <w:rFonts w:cstheme="minorHAnsi"/>
          <w:szCs w:val="24"/>
        </w:rPr>
        <w:t>U toku 2020. godine nakon prve verzije softverskog rješenja održan je sastanak sa predstavnicima Lokalnih samouprava koji su planirani kao učesnici Pilot projekta: Glavni grad Podgorica, Prijestonica Cetinje, Budva i Golubovci i pripremljen Sporazum o saradnji, koji zbog novonastale situacije u Upravi nije potpisan.</w:t>
      </w:r>
    </w:p>
    <w:p w:rsidR="00DF6DAB" w:rsidRPr="003755A8" w:rsidRDefault="00DF6DAB" w:rsidP="00E51ACE">
      <w:pPr>
        <w:spacing w:before="0" w:after="0" w:line="240" w:lineRule="auto"/>
        <w:ind w:firstLine="709"/>
        <w:rPr>
          <w:rFonts w:cstheme="minorHAnsi"/>
          <w:szCs w:val="24"/>
        </w:rPr>
      </w:pPr>
      <w:r w:rsidRPr="003755A8">
        <w:rPr>
          <w:rFonts w:cstheme="minorHAnsi"/>
          <w:szCs w:val="24"/>
        </w:rPr>
        <w:t>Uprava za nekretnine je u prethodnom periodu u kontinuitetu obavještavala sve relevantne institucije vezano za obezbjeđivanje neophodnih preduslova kako bi se pripremljeno aplikativno rješenje moglo koristiti na najbolji način.</w:t>
      </w:r>
    </w:p>
    <w:p w:rsidR="00DF6DAB" w:rsidRPr="003755A8" w:rsidRDefault="00DF6DAB" w:rsidP="00E51ACE">
      <w:pPr>
        <w:spacing w:before="0" w:after="0" w:line="240" w:lineRule="auto"/>
        <w:ind w:firstLine="709"/>
        <w:rPr>
          <w:rFonts w:cstheme="minorHAnsi"/>
          <w:szCs w:val="24"/>
        </w:rPr>
      </w:pPr>
      <w:r w:rsidRPr="003755A8">
        <w:rPr>
          <w:rFonts w:cstheme="minorHAnsi"/>
          <w:szCs w:val="24"/>
        </w:rPr>
        <w:t>U više navrata smo prezentovali problem ne samo podataka vezanih za Adresni registar, već i Evidencije prostornih jedinica, jer neujednačenost načina prikupljanja, pripreme podataka i vođenje istih od strane Lokalnih samouprava, koje su shodno zakonskoj regulativi nadležne za vođenje ovih evidencija, dovodi u pitanje kvalitet baze podataka.</w:t>
      </w:r>
    </w:p>
    <w:p w:rsidR="00DF6DAB" w:rsidRPr="003755A8" w:rsidRDefault="00DF6DAB" w:rsidP="00E51ACE">
      <w:pPr>
        <w:spacing w:before="0" w:after="0" w:line="240" w:lineRule="auto"/>
        <w:ind w:firstLine="709"/>
        <w:rPr>
          <w:rFonts w:cstheme="minorHAnsi"/>
          <w:szCs w:val="24"/>
        </w:rPr>
      </w:pPr>
      <w:r w:rsidRPr="003755A8">
        <w:rPr>
          <w:rFonts w:cstheme="minorHAnsi"/>
          <w:szCs w:val="24"/>
        </w:rPr>
        <w:t>U cilju analize postojećeg stanja u toku 2019. godine, na osnovu koje je  procijenjeno da je neophodno hitno postupanje u dijelu  dodjeljivanje naziva naselja, ulica trgova i kućnih brojeva.  Shodno tome januara 2020. godine usvojene su Izmjene i dopune Zakona o teritorijalnoj organizaciji, kojim je propisana obaveza i vremenski rok za dodjelu svih naziva naselja, ulica, trgova i kućnih brojeva, kao i označavanje na terenu.</w:t>
      </w:r>
    </w:p>
    <w:p w:rsidR="00DF6DAB" w:rsidRPr="003755A8" w:rsidRDefault="00DF6DAB" w:rsidP="00E51ACE">
      <w:pPr>
        <w:spacing w:before="0" w:after="0" w:line="240" w:lineRule="auto"/>
        <w:ind w:firstLine="709"/>
        <w:rPr>
          <w:rFonts w:cstheme="minorHAnsi"/>
          <w:szCs w:val="24"/>
        </w:rPr>
      </w:pPr>
      <w:r w:rsidRPr="003755A8">
        <w:rPr>
          <w:rFonts w:cstheme="minorHAnsi"/>
          <w:szCs w:val="24"/>
        </w:rPr>
        <w:t>Na osnovu informacija dostavljenih u okviru upitnika kojeg je Uprava za nekretnine uputila svim Lokalnim samoupravama (mart - maj 2020. godine) i informaciji o implementaciji Zakona o teritorijalnoj organizaciji Crne Gore dobijenog jula 2020. godine od strane Ministarstva javne uprave, može se zaključiti sljedeće:</w:t>
      </w:r>
    </w:p>
    <w:p w:rsidR="00DF6DAB" w:rsidRPr="003755A8" w:rsidRDefault="00E51ACE"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 xml:space="preserve">odluke o nazivima naselja, ulica i trgova u urbanom području su donijete; </w:t>
      </w:r>
    </w:p>
    <w:p w:rsidR="00DF6DAB" w:rsidRPr="003755A8" w:rsidRDefault="00E51ACE"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odluke o kućnim brojevima nijesu donijete u svim Lokalnim samoupravama;</w:t>
      </w:r>
    </w:p>
    <w:p w:rsidR="00DF6DAB" w:rsidRPr="003755A8" w:rsidRDefault="00E51ACE"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signalizacija na terenu nije završena od strane svih Lokalnih samouprava.</w:t>
      </w:r>
    </w:p>
    <w:p w:rsidR="00DF6DAB" w:rsidRPr="003755A8" w:rsidRDefault="00504B35" w:rsidP="009D6F64">
      <w:pPr>
        <w:spacing w:before="0" w:after="0" w:line="240" w:lineRule="auto"/>
        <w:rPr>
          <w:rFonts w:cstheme="minorHAnsi"/>
          <w:szCs w:val="24"/>
        </w:rPr>
      </w:pPr>
      <w:r>
        <w:rPr>
          <w:rFonts w:cstheme="minorHAnsi"/>
          <w:szCs w:val="24"/>
        </w:rPr>
        <w:t xml:space="preserve"> O</w:t>
      </w:r>
      <w:r w:rsidR="00DF6DAB" w:rsidRPr="003755A8">
        <w:rPr>
          <w:rFonts w:cstheme="minorHAnsi"/>
          <w:szCs w:val="24"/>
        </w:rPr>
        <w:t>d strane Lokalnih samouprava potrebno je dobiti ažurne informacije</w:t>
      </w:r>
    </w:p>
    <w:p w:rsidR="00DF6DAB" w:rsidRPr="003755A8" w:rsidRDefault="00DF6DAB" w:rsidP="00E51ACE">
      <w:pPr>
        <w:spacing w:before="0" w:after="0" w:line="240" w:lineRule="auto"/>
        <w:ind w:firstLine="709"/>
        <w:rPr>
          <w:rFonts w:cstheme="minorHAnsi"/>
          <w:szCs w:val="24"/>
        </w:rPr>
      </w:pPr>
      <w:r w:rsidRPr="003755A8">
        <w:rPr>
          <w:rFonts w:cstheme="minorHAnsi"/>
          <w:szCs w:val="24"/>
        </w:rPr>
        <w:t>Podaci koji se odnose na spisak naselja, ulica, trgova i kućnih brojeva većina Lokalnih samouprava je pripremila u digitalnoj formi (word, excel).</w:t>
      </w:r>
    </w:p>
    <w:p w:rsidR="00DF6DAB" w:rsidRPr="003755A8" w:rsidRDefault="00DF6DAB" w:rsidP="00E51ACE">
      <w:pPr>
        <w:spacing w:before="0" w:after="0" w:line="240" w:lineRule="auto"/>
        <w:ind w:firstLine="709"/>
        <w:rPr>
          <w:rFonts w:cstheme="minorHAnsi"/>
          <w:szCs w:val="24"/>
        </w:rPr>
      </w:pPr>
      <w:r w:rsidRPr="003755A8">
        <w:rPr>
          <w:rFonts w:cstheme="minorHAnsi"/>
          <w:szCs w:val="24"/>
        </w:rPr>
        <w:t>Podaci koji se odnose na prostornu komponentu su od strane nekih Lokalnih samouprava pripremani u digitalnoj formi, a većim dijelom u analognoj formi.</w:t>
      </w:r>
    </w:p>
    <w:p w:rsidR="00DF6DAB" w:rsidRPr="003755A8" w:rsidRDefault="00DF6DAB" w:rsidP="00E51ACE">
      <w:pPr>
        <w:spacing w:before="0" w:after="0" w:line="240" w:lineRule="auto"/>
        <w:ind w:firstLine="709"/>
        <w:rPr>
          <w:rFonts w:cstheme="minorHAnsi"/>
          <w:szCs w:val="24"/>
        </w:rPr>
      </w:pPr>
      <w:r w:rsidRPr="003755A8">
        <w:rPr>
          <w:rFonts w:cstheme="minorHAnsi"/>
          <w:szCs w:val="24"/>
        </w:rPr>
        <w:t xml:space="preserve">Nijesu dodijeljeni brojevi svim zgradama u pojedinim Lokalnim samoupravama. </w:t>
      </w:r>
    </w:p>
    <w:p w:rsidR="00DF6DAB" w:rsidRPr="003755A8" w:rsidRDefault="00DF6DAB" w:rsidP="00E51ACE">
      <w:pPr>
        <w:spacing w:before="0" w:after="0" w:line="240" w:lineRule="auto"/>
        <w:ind w:firstLine="709"/>
        <w:rPr>
          <w:rFonts w:cstheme="minorHAnsi"/>
          <w:szCs w:val="24"/>
        </w:rPr>
      </w:pPr>
      <w:r w:rsidRPr="003755A8">
        <w:rPr>
          <w:rFonts w:cstheme="minorHAnsi"/>
          <w:szCs w:val="24"/>
        </w:rPr>
        <w:t xml:space="preserve">Ova procedura je u toku, kao i signalizacija na terenu. </w:t>
      </w:r>
    </w:p>
    <w:p w:rsidR="00DF6DAB" w:rsidRPr="003755A8" w:rsidRDefault="00DF6DAB" w:rsidP="00504B35">
      <w:pPr>
        <w:spacing w:before="0" w:after="0" w:line="240" w:lineRule="auto"/>
        <w:ind w:firstLine="709"/>
        <w:rPr>
          <w:rFonts w:cstheme="minorHAnsi"/>
          <w:szCs w:val="24"/>
        </w:rPr>
      </w:pPr>
      <w:r w:rsidRPr="003755A8">
        <w:rPr>
          <w:rFonts w:cstheme="minorHAnsi"/>
          <w:szCs w:val="24"/>
        </w:rPr>
        <w:t>U skoro svim Lokalnim samoupravama kao prioritet je rađeno dodjeljivanje brojeva u urbanom području, a u ruralnom području samo manji dio je izvršio dodjeljivanje i označavanje na terenu. Razlog nekompletiranja evidencije je velikim dijelom prouzrokovano situacijom izazvanom COVID 19, nedovoljnim kapacitetima u Lokalnim samoupravama, kao i nedovoljno preciznom normom koja se odnosi na način dodjeljivanja adresa u ruralnim područjima.</w:t>
      </w:r>
    </w:p>
    <w:p w:rsidR="00DF6DAB" w:rsidRPr="003755A8" w:rsidRDefault="00DF6DAB" w:rsidP="00504B35">
      <w:pPr>
        <w:spacing w:before="0" w:after="0" w:line="240" w:lineRule="auto"/>
        <w:ind w:firstLine="709"/>
        <w:rPr>
          <w:rFonts w:cstheme="minorHAnsi"/>
          <w:szCs w:val="24"/>
        </w:rPr>
      </w:pPr>
      <w:r w:rsidRPr="003755A8">
        <w:rPr>
          <w:rFonts w:cstheme="minorHAnsi"/>
          <w:szCs w:val="24"/>
        </w:rPr>
        <w:t>Evidencija o putevima na nivou Lokalnih samouprava postoji, ali u analognoj formi.</w:t>
      </w:r>
    </w:p>
    <w:p w:rsidR="00DF6DAB" w:rsidRPr="003755A8" w:rsidRDefault="00DF6DAB" w:rsidP="00504B35">
      <w:pPr>
        <w:spacing w:before="0" w:after="0" w:line="240" w:lineRule="auto"/>
        <w:ind w:firstLine="709"/>
        <w:rPr>
          <w:rFonts w:cstheme="minorHAnsi"/>
          <w:szCs w:val="24"/>
        </w:rPr>
      </w:pPr>
      <w:r w:rsidRPr="003755A8">
        <w:rPr>
          <w:rFonts w:cstheme="minorHAnsi"/>
          <w:szCs w:val="24"/>
        </w:rPr>
        <w:t>Evidencija o naseljima na nivou Lokalnih samouprava postoji i većina je u analognoj formi. Digitalna forma podataka je uglavnom u dwg formatu, a opisni i prostorni podaci nijesu povezani.</w:t>
      </w:r>
    </w:p>
    <w:p w:rsidR="00DF6DAB" w:rsidRPr="003755A8" w:rsidRDefault="00DF6DAB" w:rsidP="00504B35">
      <w:pPr>
        <w:spacing w:before="0" w:after="0" w:line="240" w:lineRule="auto"/>
        <w:ind w:firstLine="709"/>
        <w:rPr>
          <w:rFonts w:cstheme="minorHAnsi"/>
          <w:szCs w:val="24"/>
        </w:rPr>
      </w:pPr>
      <w:r w:rsidRPr="003755A8">
        <w:rPr>
          <w:rFonts w:cstheme="minorHAnsi"/>
          <w:szCs w:val="24"/>
        </w:rPr>
        <w:t xml:space="preserve">Takođe, osnova svakog aplikativnog rješenja, jeste zakonska regulativa, te shodno tome predlagali smo izmjene zakonske regulative, koja nije prilagođena savremenim procedurama i promjeni tehnologija, koje omogućavaju, efikasnost, preciznost i uniformnost u radu. </w:t>
      </w:r>
    </w:p>
    <w:p w:rsidR="00DF6DAB" w:rsidRPr="003755A8" w:rsidRDefault="00DF6DAB" w:rsidP="00504B35">
      <w:pPr>
        <w:spacing w:before="0" w:after="0" w:line="240" w:lineRule="auto"/>
        <w:ind w:firstLine="709"/>
        <w:rPr>
          <w:rFonts w:cstheme="minorHAnsi"/>
          <w:szCs w:val="24"/>
        </w:rPr>
      </w:pPr>
      <w:r w:rsidRPr="003755A8">
        <w:rPr>
          <w:rFonts w:cstheme="minorHAnsi"/>
          <w:szCs w:val="24"/>
        </w:rPr>
        <w:t xml:space="preserve">Imajući u vidu činjenicu da pripremljeno aplikativno rješenje za potrebe vođenja Adresnog registra, omogućava unos relevantnih podatka, isto se može početi koristiti u svim Lokalnim samoupravama. Saglasno planu aktivnosti cilj za implementaciju ovog projekta je bio unos podataka </w:t>
      </w:r>
      <w:r w:rsidRPr="003755A8">
        <w:rPr>
          <w:rFonts w:cstheme="minorHAnsi"/>
          <w:szCs w:val="24"/>
        </w:rPr>
        <w:lastRenderedPageBreak/>
        <w:t>u izabranim Pilot opštinama, kako bi na najbolji način sagledali dodatne potrebe Lokalnih samouprava i korišćenje podataka Adresnog registra u druge svrhe.</w:t>
      </w:r>
    </w:p>
    <w:p w:rsidR="00DF6DAB" w:rsidRPr="003755A8" w:rsidRDefault="00DF6DAB" w:rsidP="00504B35">
      <w:pPr>
        <w:spacing w:before="0" w:after="0" w:line="240" w:lineRule="auto"/>
        <w:ind w:firstLine="709"/>
        <w:rPr>
          <w:rFonts w:cstheme="minorHAnsi"/>
          <w:szCs w:val="24"/>
        </w:rPr>
      </w:pPr>
      <w:r w:rsidRPr="003755A8">
        <w:rPr>
          <w:rFonts w:cstheme="minorHAnsi"/>
          <w:szCs w:val="24"/>
        </w:rPr>
        <w:t>Osim aplikativnog rješenja, raspoloživih podataka pomoću kojih se lakše i brže može raditi unos, Uprava obezbjeđuje podršku, bilo da se odnosi na zajednički rad u prostorijama Uprave ili u Lokalnim samoupravama, a takođe i on-line podrška uz direktni pristup radnoj stanici zaposlenog u bilo kojoj Lokalnoj samoupravi pod uslovom obezbjeđivanja internet konekcije.</w:t>
      </w:r>
    </w:p>
    <w:p w:rsidR="00DF6DAB" w:rsidRPr="003755A8" w:rsidRDefault="00DF6DAB" w:rsidP="00504B35">
      <w:pPr>
        <w:spacing w:before="0" w:after="0" w:line="240" w:lineRule="auto"/>
        <w:ind w:firstLine="709"/>
        <w:rPr>
          <w:rFonts w:cstheme="minorHAnsi"/>
          <w:szCs w:val="24"/>
        </w:rPr>
      </w:pPr>
      <w:r w:rsidRPr="003755A8">
        <w:rPr>
          <w:rFonts w:cstheme="minorHAnsi"/>
          <w:szCs w:val="24"/>
        </w:rPr>
        <w:t>Na nivou Lokalnih samouprava ne postoji posebno softversko rješenje za vođenje evidencije o naseljima, ulicama, trgovima i kućnim brojevima, odnosno objedinjeni podaci ove evidencije koja je u nadležnosti Lokalnih samouprava, te je iz tih razloga i u cilju racionalizacije finansijskih sredstava predloženo korišćenje web aplikacije koje je izrađeno u okviru Projekta donacije Kraljevine Vlade Norveške.</w:t>
      </w:r>
    </w:p>
    <w:p w:rsidR="00DF6DAB" w:rsidRPr="003755A8" w:rsidRDefault="00DF6DAB" w:rsidP="00504B35">
      <w:pPr>
        <w:spacing w:before="0" w:after="0" w:line="240" w:lineRule="auto"/>
        <w:ind w:firstLine="709"/>
        <w:rPr>
          <w:rFonts w:cstheme="minorHAnsi"/>
          <w:szCs w:val="24"/>
        </w:rPr>
      </w:pPr>
      <w:r w:rsidRPr="003755A8">
        <w:rPr>
          <w:rFonts w:cstheme="minorHAnsi"/>
          <w:szCs w:val="24"/>
        </w:rPr>
        <w:t>Lokalne samouprave su u obavezi da vode evidenciju o naseljima, ulicama, trgovima i kućnim brojevima, te samim tim na nivou svoje lokalne samouprave poznaju stanje na terenu i isključivo su oni upoznati sa stanjem na terenu.</w:t>
      </w:r>
    </w:p>
    <w:p w:rsidR="00DF6DAB" w:rsidRPr="003755A8" w:rsidRDefault="00DF6DAB" w:rsidP="00504B35">
      <w:pPr>
        <w:spacing w:before="0" w:after="0" w:line="240" w:lineRule="auto"/>
        <w:ind w:firstLine="709"/>
        <w:rPr>
          <w:rFonts w:cstheme="minorHAnsi"/>
          <w:szCs w:val="24"/>
        </w:rPr>
      </w:pPr>
      <w:r w:rsidRPr="003755A8">
        <w:rPr>
          <w:rFonts w:cstheme="minorHAnsi"/>
          <w:szCs w:val="24"/>
        </w:rPr>
        <w:t>Zbog potrebe propisivanja načina dodjeljivanja naziva ulica i trgova i kućnih brojeva, pripreme elaborata sa podacima o prostornoj komponenti, vođenje baze podataka, prikupljanja i unosa podataka na efikasan i lak način, Uprava je pripremila predlog izmjena zakonske regulative.</w:t>
      </w:r>
    </w:p>
    <w:p w:rsidR="00DF6DAB" w:rsidRPr="003755A8" w:rsidRDefault="00DF6DAB" w:rsidP="009D6F64">
      <w:pPr>
        <w:spacing w:before="0" w:after="0" w:line="240" w:lineRule="auto"/>
        <w:rPr>
          <w:rFonts w:cstheme="minorHAnsi"/>
          <w:szCs w:val="24"/>
        </w:rPr>
      </w:pPr>
    </w:p>
    <w:p w:rsidR="00DF6DAB" w:rsidRPr="00504B35" w:rsidRDefault="00DF6DAB" w:rsidP="009D6F64">
      <w:pPr>
        <w:spacing w:before="0" w:after="0" w:line="240" w:lineRule="auto"/>
        <w:rPr>
          <w:rFonts w:cstheme="minorHAnsi"/>
          <w:b/>
          <w:szCs w:val="24"/>
        </w:rPr>
      </w:pPr>
      <w:bookmarkStart w:id="186" w:name="_Toc504910735"/>
      <w:bookmarkStart w:id="187" w:name="_Toc71288834"/>
      <w:r w:rsidRPr="003755A8">
        <w:rPr>
          <w:rFonts w:cstheme="minorHAnsi"/>
          <w:b/>
          <w:szCs w:val="24"/>
        </w:rPr>
        <w:t>8. EVIDENCIJA PROSTORNIH JEDINICA</w:t>
      </w:r>
      <w:bookmarkEnd w:id="185"/>
      <w:bookmarkEnd w:id="186"/>
      <w:bookmarkEnd w:id="187"/>
    </w:p>
    <w:p w:rsidR="00DF6DAB" w:rsidRPr="003755A8" w:rsidRDefault="00DF6DAB" w:rsidP="00504B35">
      <w:pPr>
        <w:spacing w:after="0" w:line="240" w:lineRule="auto"/>
        <w:ind w:firstLine="709"/>
        <w:rPr>
          <w:rFonts w:eastAsia="Calibri Light" w:cstheme="minorHAnsi"/>
          <w:szCs w:val="24"/>
        </w:rPr>
      </w:pPr>
      <w:r w:rsidRPr="003755A8">
        <w:rPr>
          <w:rFonts w:eastAsia="Calibri Light" w:cstheme="minorHAnsi"/>
          <w:szCs w:val="24"/>
        </w:rPr>
        <w:t>Uspostavljanje i održavanje Evidencije prostornihh jedinica je u nadležnosti Uprave za nekretnine i Uprave za statistiku, tako da je u prethodnom periodu, poseban akcenat stavljen je na obezbjeđivanju jedinstvene baze podataka Registra prostornih jedinica koji zbog specifičnih nadležnosti u ovoj oblasti zahtijeva održavanje baze od strane i jedne i druge institucije, a na osnovu dostavljenih podataka Lokalnih samouprava.</w:t>
      </w:r>
    </w:p>
    <w:p w:rsidR="00DF6DAB" w:rsidRPr="003755A8" w:rsidRDefault="00DF6DAB" w:rsidP="00504B35">
      <w:pPr>
        <w:spacing w:before="0" w:after="0" w:line="240" w:lineRule="auto"/>
        <w:ind w:firstLine="709"/>
        <w:rPr>
          <w:rFonts w:eastAsia="Calibri Light" w:cstheme="minorHAnsi"/>
          <w:szCs w:val="24"/>
        </w:rPr>
      </w:pPr>
      <w:r w:rsidRPr="003755A8">
        <w:rPr>
          <w:rFonts w:eastAsia="Calibri Light" w:cstheme="minorHAnsi"/>
          <w:szCs w:val="24"/>
        </w:rPr>
        <w:t xml:space="preserve">Na osnovu prezentacije raspoloživih podataka i aplikativnog rješenja koje se koristilo za prethodni popis stanovnišva, predložili smo zajedničke aktivnosti vezano za nadogradnju softverskog rješenja i formiranje jedinstvene baze podataka saglasno standardima i potrebama kontinuiranog održavanja. </w:t>
      </w:r>
    </w:p>
    <w:p w:rsidR="00DF6DAB" w:rsidRPr="003755A8" w:rsidRDefault="00DF6DAB" w:rsidP="00504B35">
      <w:pPr>
        <w:spacing w:before="0" w:after="0" w:line="240" w:lineRule="auto"/>
        <w:ind w:firstLine="709"/>
        <w:rPr>
          <w:rFonts w:eastAsia="Calibri Light" w:cstheme="minorHAnsi"/>
          <w:szCs w:val="24"/>
        </w:rPr>
      </w:pPr>
      <w:r w:rsidRPr="003755A8">
        <w:rPr>
          <w:rFonts w:eastAsia="Calibri Light" w:cstheme="minorHAnsi"/>
          <w:szCs w:val="24"/>
        </w:rPr>
        <w:t>Zbog velikog broja promjena u podacima ovog Registra, koji nijesu u kontinuitetu dostavljani i obrađivani, postojeći podaci nijesu ažurirani, ali ono što svakako treba da je imperativ unificirano postupanje saglasno zakonskoj regulativi u dijelu koji se odnosi na elaborate granica administrativnih jedinica i način formiranja i opisa istih.</w:t>
      </w:r>
    </w:p>
    <w:p w:rsidR="00DF6DAB" w:rsidRPr="003755A8" w:rsidRDefault="00DF6DAB" w:rsidP="00504B35">
      <w:pPr>
        <w:spacing w:before="0" w:after="0" w:line="240" w:lineRule="auto"/>
        <w:ind w:firstLine="709"/>
        <w:rPr>
          <w:rFonts w:eastAsia="Calibri Light" w:cstheme="minorHAnsi"/>
          <w:szCs w:val="24"/>
        </w:rPr>
      </w:pPr>
      <w:r w:rsidRPr="003755A8">
        <w:rPr>
          <w:rFonts w:eastAsia="Calibri Light" w:cstheme="minorHAnsi"/>
          <w:szCs w:val="24"/>
        </w:rPr>
        <w:t>WEB aplikativno rješenje, obezbijedilo bi transparentnost podataka, bržu i lakšu razmjenu podataka između Lokalnih samouprava, Uprave za nekretnine i Uprave za statistiku, a što je posebno važno jeste i kontrolu kvaliteta istih, jer granice prostornih jedinica nijesu u svim slučajevima rađene saglasno zakonskoj regulativi i datim preporukama.</w:t>
      </w:r>
    </w:p>
    <w:p w:rsidR="00DF6DAB" w:rsidRPr="003755A8" w:rsidRDefault="00DF6DAB" w:rsidP="00504B35">
      <w:pPr>
        <w:spacing w:before="0" w:after="0" w:line="240" w:lineRule="auto"/>
        <w:ind w:firstLine="709"/>
        <w:rPr>
          <w:rFonts w:eastAsia="Calibri Light" w:cstheme="minorHAnsi"/>
          <w:szCs w:val="24"/>
        </w:rPr>
      </w:pPr>
      <w:r w:rsidRPr="003755A8">
        <w:rPr>
          <w:rFonts w:eastAsia="Calibri Light" w:cstheme="minorHAnsi"/>
          <w:szCs w:val="24"/>
        </w:rPr>
        <w:t xml:space="preserve">U cilju realizacije aktivnosti na uspostavljanju Registra prostornih jedinica predloženo je potpisivanje Sporazuma o saradnji između Uprave za nekretnine i Uprave za statistiku, koji je pripremljen i dostavljen Upravi za statistiku. </w:t>
      </w:r>
    </w:p>
    <w:p w:rsidR="00DF6DAB" w:rsidRPr="003755A8" w:rsidRDefault="00DF6DAB" w:rsidP="00504B35">
      <w:pPr>
        <w:spacing w:before="0" w:after="0" w:line="240" w:lineRule="auto"/>
        <w:ind w:firstLine="709"/>
        <w:rPr>
          <w:rFonts w:eastAsia="Calibri Light" w:cstheme="minorHAnsi"/>
          <w:szCs w:val="24"/>
        </w:rPr>
      </w:pPr>
      <w:r w:rsidRPr="003755A8">
        <w:rPr>
          <w:rFonts w:eastAsia="Calibri Light" w:cstheme="minorHAnsi"/>
          <w:szCs w:val="24"/>
        </w:rPr>
        <w:t>Uprava za nekretnine je planom Javnih nabavki za 2020. godinu, predvidjela dio finansijskih sredstava za nadogradnju postojeće aplikacije i ažuriranje podataka, ali zbog administrativnih procedura isti nije odrađen.</w:t>
      </w:r>
    </w:p>
    <w:p w:rsidR="00DF6DAB" w:rsidRPr="003755A8" w:rsidRDefault="00DF6DAB" w:rsidP="00504B35">
      <w:pPr>
        <w:spacing w:before="0" w:after="0" w:line="240" w:lineRule="auto"/>
        <w:ind w:firstLine="709"/>
        <w:rPr>
          <w:rFonts w:eastAsia="Calibri Light" w:cstheme="minorHAnsi"/>
          <w:szCs w:val="24"/>
        </w:rPr>
      </w:pPr>
      <w:r w:rsidRPr="003755A8">
        <w:rPr>
          <w:rFonts w:eastAsia="Calibri Light" w:cstheme="minorHAnsi"/>
          <w:szCs w:val="24"/>
        </w:rPr>
        <w:t>Ponuda za nadogradnju ovog Sistema koji bi omogućio unos, ažuriranje podataka i korišćenje od strane Uprave za nekretnine, Uprave za ststistiku i svih Lokalnih samouprava koje su nadležne za evidenciju o naseljima je bila cca 35.000 eura bez pdv-a, uz korišćenje postojećih licenci.</w:t>
      </w:r>
    </w:p>
    <w:p w:rsidR="00DF6DAB" w:rsidRPr="003755A8" w:rsidRDefault="00DF6DAB" w:rsidP="009D6F64">
      <w:pPr>
        <w:spacing w:before="0" w:after="0" w:line="240" w:lineRule="auto"/>
        <w:rPr>
          <w:rFonts w:eastAsia="Calibri Light" w:cstheme="minorHAnsi"/>
          <w:szCs w:val="24"/>
        </w:rPr>
      </w:pPr>
      <w:r w:rsidRPr="003755A8">
        <w:rPr>
          <w:rFonts w:eastAsia="Calibri Light" w:cstheme="minorHAnsi"/>
          <w:szCs w:val="24"/>
        </w:rPr>
        <w:t xml:space="preserve">Obezbjeđivanje ove aplikacije omogućilo bi praćenje promjena u prostoru svih prostornih jedinica, kontrole kvaliteta podataka i centralizavane baze podataka. </w:t>
      </w:r>
    </w:p>
    <w:p w:rsidR="00DF6DAB" w:rsidRPr="003755A8" w:rsidRDefault="00DF6DAB" w:rsidP="00504B35">
      <w:pPr>
        <w:spacing w:before="0" w:after="0" w:line="240" w:lineRule="auto"/>
        <w:ind w:firstLine="709"/>
        <w:rPr>
          <w:rFonts w:eastAsia="Calibri Light" w:cstheme="minorHAnsi"/>
          <w:szCs w:val="24"/>
        </w:rPr>
      </w:pPr>
      <w:r w:rsidRPr="003755A8">
        <w:rPr>
          <w:rFonts w:eastAsia="Calibri Light" w:cstheme="minorHAnsi"/>
          <w:szCs w:val="24"/>
        </w:rPr>
        <w:lastRenderedPageBreak/>
        <w:t>Paralelno sa svim aktivnostima vezanim za obezbjeđivanje aplikativnih rješenja, unos podataka i ažuriranje postojećih, Uprava je predložila izmjene zakonske regulative u cilju modernizacije sistema i prilagođavanja potreba savremenih GIS aplikacija.</w:t>
      </w:r>
    </w:p>
    <w:p w:rsidR="00DF6DAB" w:rsidRPr="003755A8" w:rsidRDefault="00DF6DAB" w:rsidP="00504B35">
      <w:pPr>
        <w:spacing w:before="0" w:after="0" w:line="240" w:lineRule="auto"/>
        <w:ind w:firstLine="709"/>
        <w:rPr>
          <w:rFonts w:cstheme="minorHAnsi"/>
          <w:szCs w:val="24"/>
        </w:rPr>
      </w:pPr>
      <w:r w:rsidRPr="003755A8">
        <w:rPr>
          <w:rFonts w:cstheme="minorHAnsi"/>
          <w:szCs w:val="24"/>
        </w:rPr>
        <w:t>U prethodnom periodu od strane Uprave izvršena je promjena podataka za granice Opština Petnjica i Gusinje, kao i granica katastarskih opština u okviru Projekta osnivanje evidencije katastra nepokretnosti na nepremjerenom dijelu teritorije Crne Gore.</w:t>
      </w:r>
    </w:p>
    <w:p w:rsidR="00DF6DAB" w:rsidRPr="003755A8" w:rsidRDefault="00DF6DAB" w:rsidP="00504B35">
      <w:pPr>
        <w:spacing w:before="0" w:after="0" w:line="240" w:lineRule="auto"/>
        <w:ind w:firstLine="709"/>
        <w:rPr>
          <w:rFonts w:cstheme="minorHAnsi"/>
          <w:szCs w:val="24"/>
        </w:rPr>
      </w:pPr>
      <w:r w:rsidRPr="003755A8">
        <w:rPr>
          <w:rFonts w:cstheme="minorHAnsi"/>
          <w:szCs w:val="24"/>
        </w:rPr>
        <w:t>Elaborat o razgraničenju Glavnog grada Podgorica i Opština Tuzi nije dostavljen.</w:t>
      </w:r>
    </w:p>
    <w:p w:rsidR="00DF6DAB" w:rsidRPr="003755A8" w:rsidRDefault="00DF6DAB" w:rsidP="00504B35">
      <w:pPr>
        <w:spacing w:before="0" w:after="0" w:line="240" w:lineRule="auto"/>
        <w:ind w:firstLine="709"/>
        <w:rPr>
          <w:rFonts w:cstheme="minorHAnsi"/>
          <w:szCs w:val="24"/>
        </w:rPr>
      </w:pPr>
      <w:r w:rsidRPr="003755A8">
        <w:rPr>
          <w:rFonts w:cstheme="minorHAnsi"/>
          <w:szCs w:val="24"/>
        </w:rPr>
        <w:t>U cilju formiranja jedinstvene baze saglasno Zakonu, predložena je nadogradnja postojeće baze podataka Registra prostornih jedinica, koji je u nadležnosti Uprave za nekretnine.</w:t>
      </w:r>
    </w:p>
    <w:p w:rsidR="00DF6DAB" w:rsidRPr="003755A8" w:rsidRDefault="00DF6DAB" w:rsidP="009D6F64">
      <w:pPr>
        <w:spacing w:before="0" w:after="0" w:line="240" w:lineRule="auto"/>
        <w:rPr>
          <w:rFonts w:cstheme="minorHAnsi"/>
          <w:szCs w:val="24"/>
        </w:rPr>
      </w:pPr>
      <w:r w:rsidRPr="003755A8">
        <w:rPr>
          <w:rFonts w:cstheme="minorHAnsi"/>
          <w:szCs w:val="24"/>
        </w:rPr>
        <w:t xml:space="preserve"> </w:t>
      </w:r>
    </w:p>
    <w:p w:rsidR="00DF6DAB" w:rsidRPr="003755A8" w:rsidRDefault="00DF6DAB" w:rsidP="009D6F64">
      <w:pPr>
        <w:spacing w:before="0" w:after="0" w:line="240" w:lineRule="auto"/>
        <w:rPr>
          <w:rFonts w:cstheme="minorHAnsi"/>
          <w:b/>
          <w:szCs w:val="24"/>
        </w:rPr>
      </w:pPr>
      <w:bookmarkStart w:id="188" w:name="_Toc504910741"/>
      <w:bookmarkStart w:id="189" w:name="_Toc71288835"/>
      <w:r w:rsidRPr="003755A8">
        <w:rPr>
          <w:rFonts w:cstheme="minorHAnsi"/>
          <w:b/>
          <w:szCs w:val="24"/>
        </w:rPr>
        <w:t>9. ARHIV DOKUMENTACIJE O DRŽAVNOM PREMJERU I NEPOKRETNOSTIMA</w:t>
      </w:r>
      <w:bookmarkEnd w:id="188"/>
      <w:bookmarkEnd w:id="189"/>
    </w:p>
    <w:p w:rsidR="00DF6DAB" w:rsidRPr="003755A8" w:rsidRDefault="00DF6DAB" w:rsidP="00504B35">
      <w:pPr>
        <w:spacing w:after="0" w:line="240" w:lineRule="auto"/>
        <w:ind w:firstLine="709"/>
        <w:rPr>
          <w:rFonts w:cstheme="minorHAnsi"/>
          <w:szCs w:val="24"/>
        </w:rPr>
      </w:pPr>
      <w:r w:rsidRPr="003755A8">
        <w:rPr>
          <w:rFonts w:cstheme="minorHAnsi"/>
          <w:szCs w:val="24"/>
        </w:rPr>
        <w:t>U toku 2020. godine, saglasno prioritetima i za potrebe projekata čija je realizacija u toku, rađena je priprema i skeniranje dokumentacije:</w:t>
      </w:r>
    </w:p>
    <w:p w:rsidR="00DF6DAB" w:rsidRPr="003755A8" w:rsidRDefault="00DF6DAB" w:rsidP="00504B35">
      <w:pPr>
        <w:spacing w:before="0" w:after="0" w:line="240" w:lineRule="auto"/>
        <w:ind w:firstLine="709"/>
        <w:rPr>
          <w:rFonts w:cstheme="minorHAnsi"/>
          <w:szCs w:val="24"/>
        </w:rPr>
      </w:pPr>
      <w:r w:rsidRPr="003755A8">
        <w:rPr>
          <w:rFonts w:cstheme="minorHAnsi"/>
          <w:szCs w:val="24"/>
        </w:rPr>
        <w:t>Za sve katastarske opštine za koje je počelo izlaganje podataka na javni uvid u toku 2020. godine, rađeno je priprema i skeniranje raspoloživih podataka popisnog katastra: skica blokova, spiska parcela po blokovima i u okviru blokova, azbučnika i ostale stare dokumentacije.</w:t>
      </w:r>
    </w:p>
    <w:p w:rsidR="00DF6DAB" w:rsidRPr="003755A8" w:rsidRDefault="00DF6DAB" w:rsidP="00504B35">
      <w:pPr>
        <w:spacing w:before="0" w:after="0" w:line="240" w:lineRule="auto"/>
        <w:ind w:firstLine="709"/>
        <w:rPr>
          <w:rFonts w:cstheme="minorHAnsi"/>
          <w:szCs w:val="24"/>
        </w:rPr>
      </w:pPr>
      <w:r w:rsidRPr="003755A8">
        <w:rPr>
          <w:rFonts w:cstheme="minorHAnsi"/>
          <w:szCs w:val="24"/>
        </w:rPr>
        <w:t>Za potrebe Odsijeka za državni premjer, rađeno je skeniranje dokumentacije potrebne za obradu terenskih podataka,  eksproprijacija, državne granice i ostalih projekata.</w:t>
      </w:r>
    </w:p>
    <w:p w:rsidR="00DF6DAB" w:rsidRPr="003755A8" w:rsidRDefault="00DF6DAB" w:rsidP="00504B35">
      <w:pPr>
        <w:spacing w:before="0" w:after="0" w:line="240" w:lineRule="auto"/>
        <w:ind w:firstLine="709"/>
        <w:rPr>
          <w:rFonts w:cstheme="minorHAnsi"/>
          <w:szCs w:val="24"/>
        </w:rPr>
      </w:pPr>
      <w:r w:rsidRPr="003755A8">
        <w:rPr>
          <w:rFonts w:cstheme="minorHAnsi"/>
          <w:szCs w:val="24"/>
        </w:rPr>
        <w:t>Za potrebe dorade i poboljšanja kvaliteta skenirane dokumentacije, za istu je odrađena obrada u programima za vizuelnu obradu (Fotoshop Adobe ilustrator) i po potrebi štampana dokumentacija.</w:t>
      </w:r>
    </w:p>
    <w:p w:rsidR="00DF6DAB" w:rsidRPr="003755A8" w:rsidRDefault="00DF6DAB" w:rsidP="00504B35">
      <w:pPr>
        <w:spacing w:before="0" w:after="0" w:line="240" w:lineRule="auto"/>
        <w:ind w:firstLine="709"/>
        <w:rPr>
          <w:rFonts w:cstheme="minorHAnsi"/>
          <w:szCs w:val="24"/>
        </w:rPr>
      </w:pPr>
      <w:r w:rsidRPr="003755A8">
        <w:rPr>
          <w:rFonts w:cstheme="minorHAnsi"/>
          <w:szCs w:val="24"/>
        </w:rPr>
        <w:t>Za potrebe područne jedinice Cetinje nastavljeno je skeniranje dokumentacije koja je bila predata Državnom arhivu, ali nije bila prethodno skenirana. Državni arhiv je za potrebe skeniranja ustupio  dokumentaciju sa obavezom vtraćanja iste. Takođe, vršeno je skeniranje i stara dokumentacija (skica blokova, spiska parcela po blokovima i u okviru blokova, azbučnika i ostale stare dokumentacije) koja se nalazi u područnoj jedinici Cetinje, a odnosi se na period od 1954. godine do 2006. godine. Radi se o velikom broju listova, uglavnom lošeg kvaliteta koje je potrebno prije skeniranja pripremiti. Skenirani su stari podaci za KO Građani, KO Prevlaka, KO Dujevo, KO Cerovo, KO Dodoši, KO Meterizi, KO Bobija, KO Riječani, KO Mihailovići. Sve što je bilo u formatu A3 i A4 je skenirano kao i dio dokumentacije formata A1 i više.</w:t>
      </w:r>
    </w:p>
    <w:p w:rsidR="00DF6DAB" w:rsidRPr="003755A8" w:rsidRDefault="00DF6DAB" w:rsidP="00504B35">
      <w:pPr>
        <w:spacing w:before="0" w:after="0" w:line="240" w:lineRule="auto"/>
        <w:ind w:firstLine="709"/>
        <w:rPr>
          <w:rFonts w:cstheme="minorHAnsi"/>
          <w:szCs w:val="24"/>
        </w:rPr>
      </w:pPr>
      <w:r w:rsidRPr="003755A8">
        <w:rPr>
          <w:rFonts w:cstheme="minorHAnsi"/>
          <w:szCs w:val="24"/>
        </w:rPr>
        <w:t xml:space="preserve">Nova verzija aplikacije Therefore instalirana je u Upravi i PJ Podgorica, PJ Bar, PJ Kotor, PJ Tivat i PJ Budva. </w:t>
      </w:r>
    </w:p>
    <w:p w:rsidR="00DF6DAB" w:rsidRPr="003755A8" w:rsidRDefault="00DF6DAB" w:rsidP="00504B35">
      <w:pPr>
        <w:spacing w:before="0" w:after="0" w:line="240" w:lineRule="auto"/>
        <w:ind w:firstLine="709"/>
        <w:rPr>
          <w:rFonts w:cstheme="minorHAnsi"/>
          <w:szCs w:val="24"/>
        </w:rPr>
      </w:pPr>
      <w:r w:rsidRPr="003755A8">
        <w:rPr>
          <w:rFonts w:cstheme="minorHAnsi"/>
          <w:szCs w:val="24"/>
        </w:rPr>
        <w:t xml:space="preserve">Izvršeno je unošenje metapodataka i priprema dokumentacije za import u bazu po kategorijama Therefore za sve podatke koji su se odnosili na PJ Cetinje kao i sve katastarske opštine za koje je počelo izlaganje podataka na javni uvid u 2020. godini. </w:t>
      </w:r>
    </w:p>
    <w:p w:rsidR="00DF6DAB" w:rsidRPr="003755A8" w:rsidRDefault="00DF6DAB" w:rsidP="00504B35">
      <w:pPr>
        <w:spacing w:before="0" w:after="0" w:line="240" w:lineRule="auto"/>
        <w:ind w:firstLine="709"/>
        <w:rPr>
          <w:rFonts w:cstheme="minorHAnsi"/>
          <w:szCs w:val="24"/>
        </w:rPr>
      </w:pPr>
      <w:r w:rsidRPr="003755A8">
        <w:rPr>
          <w:rFonts w:cstheme="minorHAnsi"/>
          <w:szCs w:val="24"/>
        </w:rPr>
        <w:t>Predstavnici firme InfoSpace su saglasno ugovorenim obavezama otklanjali sve primjedbe koje smo imali i upoznavali nas sa mogućnostima Therefora i u dijelu administracije i u dijelu korišćenja. Obrađeno je oko 3000 dokumenata koji su se odnosili na spiskove promjena, spiskove prijava, popis predmeta za trajno čuvanje fonda, spisak stranica, manuali, rješenja, azbučnika, popisnih listova, spiskova površina, ugovora I raznih drugih dokumenata iz PJ Cetinje.</w:t>
      </w:r>
    </w:p>
    <w:p w:rsidR="00DF6DAB" w:rsidRPr="003755A8" w:rsidRDefault="00DF6DAB" w:rsidP="009D6F64">
      <w:pPr>
        <w:spacing w:before="0" w:after="0" w:line="240" w:lineRule="auto"/>
        <w:rPr>
          <w:rFonts w:cstheme="minorHAnsi"/>
          <w:szCs w:val="24"/>
        </w:rPr>
      </w:pPr>
      <w:r w:rsidRPr="003755A8">
        <w:rPr>
          <w:rFonts w:cstheme="minorHAnsi"/>
          <w:szCs w:val="24"/>
        </w:rPr>
        <w:tab/>
        <w:t>Osim skeniranja dokumentacije, rađeni su poslovi koji se odnose na:</w:t>
      </w:r>
    </w:p>
    <w:p w:rsidR="00DF6DAB" w:rsidRPr="003755A8" w:rsidRDefault="00504B35"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organizaciju skenirane dokumentacije, razvrstavanje po određenim tematskim cjelinama i import u bazu podataka;</w:t>
      </w:r>
    </w:p>
    <w:p w:rsidR="00DF6DAB" w:rsidRPr="003755A8" w:rsidRDefault="00504B35"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za unos metapodataka pripremani su podaci u odgovarajućem formatu i unos u bazu podataka;</w:t>
      </w:r>
    </w:p>
    <w:p w:rsidR="00DF6DAB" w:rsidRPr="003755A8" w:rsidRDefault="00504B35"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bekapiranje podataka;</w:t>
      </w:r>
    </w:p>
    <w:p w:rsidR="00DF6DAB" w:rsidRPr="003755A8" w:rsidRDefault="00504B35"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 xml:space="preserve">arhiviranje dokumentacije koja se odnosi na prostorno plansku dokumentaciju dostavljenu od </w:t>
      </w:r>
      <w:r>
        <w:rPr>
          <w:rFonts w:cstheme="minorHAnsi"/>
          <w:szCs w:val="24"/>
        </w:rPr>
        <w:t xml:space="preserve"> - </w:t>
      </w:r>
      <w:r w:rsidR="00DF6DAB" w:rsidRPr="003755A8">
        <w:rPr>
          <w:rFonts w:cstheme="minorHAnsi"/>
          <w:szCs w:val="24"/>
        </w:rPr>
        <w:t>strane nadležnih organa;</w:t>
      </w:r>
    </w:p>
    <w:p w:rsidR="00DF6DAB" w:rsidRPr="003755A8" w:rsidRDefault="00504B35"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odvajanje i sređivanje dokumentacije;</w:t>
      </w:r>
    </w:p>
    <w:p w:rsidR="00DF6DAB" w:rsidRPr="003755A8" w:rsidRDefault="00504B35" w:rsidP="009D6F64">
      <w:pPr>
        <w:spacing w:before="0" w:after="0" w:line="240" w:lineRule="auto"/>
        <w:rPr>
          <w:rFonts w:cstheme="minorHAnsi"/>
          <w:szCs w:val="24"/>
        </w:rPr>
      </w:pPr>
      <w:r>
        <w:rPr>
          <w:rFonts w:cstheme="minorHAnsi"/>
          <w:szCs w:val="24"/>
        </w:rPr>
        <w:lastRenderedPageBreak/>
        <w:t xml:space="preserve"> - </w:t>
      </w:r>
      <w:r w:rsidR="00DF6DAB" w:rsidRPr="003755A8">
        <w:rPr>
          <w:rFonts w:cstheme="minorHAnsi"/>
          <w:szCs w:val="24"/>
        </w:rPr>
        <w:t>izdavanje detaljnih listova, geodetskih podloga sa visinskim predstavama, analognih topografskih karata u R 1:25.000, kopija parcela sa arhivskih orginala i ostalih podataka iz arhive, po zahtjevima.</w:t>
      </w:r>
    </w:p>
    <w:p w:rsidR="00DF6DAB" w:rsidRPr="003755A8" w:rsidRDefault="00DF6DAB" w:rsidP="00504B35">
      <w:pPr>
        <w:spacing w:before="0" w:after="0" w:line="240" w:lineRule="auto"/>
        <w:ind w:firstLine="709"/>
        <w:rPr>
          <w:rFonts w:cstheme="minorHAnsi"/>
          <w:szCs w:val="24"/>
        </w:rPr>
      </w:pPr>
      <w:r w:rsidRPr="003755A8">
        <w:rPr>
          <w:rFonts w:cstheme="minorHAnsi"/>
          <w:szCs w:val="24"/>
        </w:rPr>
        <w:t>U cilju poboljšanja funkcionalnosti sistema u kontinuitetu se radilo na nadogradnji softverskog rješenja i održane su obuke zaposlenih u Područnim jedinicama i Upravi.</w:t>
      </w:r>
    </w:p>
    <w:p w:rsidR="00DF6DAB" w:rsidRPr="003755A8" w:rsidRDefault="00DF6DAB" w:rsidP="009D6F64">
      <w:pPr>
        <w:spacing w:before="0" w:after="0" w:line="240" w:lineRule="auto"/>
        <w:rPr>
          <w:rFonts w:cstheme="minorHAnsi"/>
          <w:szCs w:val="24"/>
        </w:rPr>
      </w:pPr>
    </w:p>
    <w:p w:rsidR="00DF6DAB" w:rsidRPr="003755A8" w:rsidRDefault="00DF6DAB" w:rsidP="009D6F64">
      <w:pPr>
        <w:spacing w:before="0" w:after="0" w:line="240" w:lineRule="auto"/>
        <w:rPr>
          <w:rFonts w:cstheme="minorHAnsi"/>
          <w:b/>
          <w:szCs w:val="24"/>
        </w:rPr>
      </w:pPr>
      <w:bookmarkStart w:id="190" w:name="_Toc504910744"/>
      <w:bookmarkStart w:id="191" w:name="_Toc71288836"/>
      <w:r w:rsidRPr="003755A8">
        <w:rPr>
          <w:rFonts w:cstheme="minorHAnsi"/>
          <w:b/>
          <w:szCs w:val="24"/>
        </w:rPr>
        <w:t>10. REGISTAR CIJENA PROMETOVANIH NEPOKRETNOSTI</w:t>
      </w:r>
      <w:bookmarkEnd w:id="190"/>
      <w:bookmarkEnd w:id="191"/>
    </w:p>
    <w:p w:rsidR="00DF6DAB" w:rsidRPr="003755A8" w:rsidRDefault="00DF6DAB" w:rsidP="00504B35">
      <w:pPr>
        <w:spacing w:after="0" w:line="240" w:lineRule="auto"/>
        <w:ind w:firstLine="709"/>
        <w:rPr>
          <w:rFonts w:cstheme="minorHAnsi"/>
          <w:szCs w:val="24"/>
        </w:rPr>
      </w:pPr>
      <w:r w:rsidRPr="003755A8">
        <w:rPr>
          <w:rFonts w:cstheme="minorHAnsi"/>
          <w:szCs w:val="24"/>
        </w:rPr>
        <w:t>Jedan od projekata za koji je zainteresovan veći broj institucija jeste i Projekat registra prometovanih nepokretnosti. Ovaj Projekat bi omogućio praćenje kretanja cijena nepokretnosti na tržištu, a samim tim lakše i efikasnije obavljanje poslova: procjene nepokretnosti, regulisanje poreza, procesa eksproprijacije, uzimanje hipotekarnih kredita, izradu statističkih izvještaja i slično.</w:t>
      </w:r>
    </w:p>
    <w:p w:rsidR="00DF6DAB" w:rsidRPr="003755A8" w:rsidRDefault="00DF6DAB" w:rsidP="00504B35">
      <w:pPr>
        <w:spacing w:before="0" w:after="0" w:line="240" w:lineRule="auto"/>
        <w:ind w:firstLine="709"/>
        <w:rPr>
          <w:rFonts w:cstheme="minorHAnsi"/>
          <w:szCs w:val="24"/>
        </w:rPr>
      </w:pPr>
      <w:r w:rsidRPr="003755A8">
        <w:rPr>
          <w:rFonts w:cstheme="minorHAnsi"/>
          <w:szCs w:val="24"/>
        </w:rPr>
        <w:t>Zakonska regulativa u dijelu nadležnosti i način vođenja ovog Registra nije uspostavljena. Nadležnost Uprave u dijelu procjene imovine u svojini Crne Gore, imovine opština i javnih službi, propisana je Zakonom o državnoj imovini. Takođe, Zakonom o eksproprijaciji, propisana je nadležnost Uprave u dijelu procjene pravične naknade nepokretnosti, na zahtjev korisnika eksproprijacije.</w:t>
      </w:r>
    </w:p>
    <w:p w:rsidR="00DF6DAB" w:rsidRPr="003755A8" w:rsidRDefault="00DF6DAB" w:rsidP="00504B35">
      <w:pPr>
        <w:spacing w:before="0" w:after="0" w:line="240" w:lineRule="auto"/>
        <w:ind w:firstLine="709"/>
        <w:rPr>
          <w:rFonts w:cstheme="minorHAnsi"/>
          <w:szCs w:val="24"/>
        </w:rPr>
      </w:pPr>
      <w:r w:rsidRPr="003755A8">
        <w:rPr>
          <w:rFonts w:cstheme="minorHAnsi"/>
          <w:szCs w:val="24"/>
        </w:rPr>
        <w:t>U toku 2020 godine pripremljen je nacrt Informacije o mogućnostima kreiranja Baze/Registra prometovanih nepokretnosti u Crnoj Gori, koja se odnosi na sljedeće:</w:t>
      </w:r>
    </w:p>
    <w:p w:rsidR="00DF6DAB" w:rsidRPr="003755A8" w:rsidRDefault="00DF6DAB" w:rsidP="009D6F64">
      <w:pPr>
        <w:spacing w:before="0" w:after="0" w:line="240" w:lineRule="auto"/>
        <w:rPr>
          <w:rFonts w:cstheme="minorHAnsi"/>
          <w:szCs w:val="24"/>
        </w:rPr>
      </w:pPr>
      <w:r w:rsidRPr="003755A8">
        <w:rPr>
          <w:rFonts w:cstheme="minorHAnsi"/>
          <w:szCs w:val="24"/>
        </w:rPr>
        <w:t>-</w:t>
      </w:r>
      <w:r w:rsidRPr="003755A8">
        <w:rPr>
          <w:rFonts w:cstheme="minorHAnsi"/>
          <w:szCs w:val="24"/>
        </w:rPr>
        <w:tab/>
        <w:t>Predlog za izmjenu zakonske regulative koja se konkretno odnosi na formiranja i način vođenja Baze prometovanih nekretnina;</w:t>
      </w:r>
    </w:p>
    <w:p w:rsidR="00DF6DAB" w:rsidRPr="003755A8" w:rsidRDefault="00DF6DAB" w:rsidP="009D6F64">
      <w:pPr>
        <w:spacing w:before="0" w:after="0" w:line="240" w:lineRule="auto"/>
        <w:rPr>
          <w:rFonts w:cstheme="minorHAnsi"/>
          <w:szCs w:val="24"/>
        </w:rPr>
      </w:pPr>
      <w:r w:rsidRPr="003755A8">
        <w:rPr>
          <w:rFonts w:cstheme="minorHAnsi"/>
          <w:szCs w:val="24"/>
        </w:rPr>
        <w:t>-</w:t>
      </w:r>
      <w:r w:rsidRPr="003755A8">
        <w:rPr>
          <w:rFonts w:cstheme="minorHAnsi"/>
          <w:szCs w:val="24"/>
        </w:rPr>
        <w:tab/>
        <w:t>Predlog za formiranje Komisija za izradu zakonske regulative i potrebne tehničke dokumentacije</w:t>
      </w:r>
    </w:p>
    <w:p w:rsidR="00DF6DAB" w:rsidRPr="003755A8" w:rsidRDefault="00DF6DAB" w:rsidP="009D6F64">
      <w:pPr>
        <w:spacing w:before="0" w:after="0" w:line="240" w:lineRule="auto"/>
        <w:rPr>
          <w:rFonts w:cstheme="minorHAnsi"/>
          <w:szCs w:val="24"/>
        </w:rPr>
      </w:pPr>
      <w:r w:rsidRPr="003755A8">
        <w:rPr>
          <w:rFonts w:cstheme="minorHAnsi"/>
          <w:szCs w:val="24"/>
        </w:rPr>
        <w:t>-</w:t>
      </w:r>
      <w:r w:rsidRPr="003755A8">
        <w:rPr>
          <w:rFonts w:cstheme="minorHAnsi"/>
          <w:szCs w:val="24"/>
        </w:rPr>
        <w:tab/>
        <w:t>Predlog za održavanjem sastanka sa Poreskom upravom i Upravom za nekretnine, kao institucijama koje će biti nadležne za registar, a u cilju usklađivanja nadležnosti i obaveza, kao i finansiranje cjelokupnog projekta (obezbjeđivanje sredstava, tenderska proceudura i praćenje realizacije)</w:t>
      </w:r>
    </w:p>
    <w:p w:rsidR="00DF6DAB" w:rsidRPr="003755A8" w:rsidRDefault="00DF6DAB" w:rsidP="009D6F64">
      <w:pPr>
        <w:spacing w:before="0" w:after="0" w:line="240" w:lineRule="auto"/>
        <w:rPr>
          <w:rFonts w:cstheme="minorHAnsi"/>
          <w:szCs w:val="24"/>
        </w:rPr>
      </w:pPr>
      <w:r w:rsidRPr="003755A8">
        <w:rPr>
          <w:rFonts w:cstheme="minorHAnsi"/>
          <w:szCs w:val="24"/>
        </w:rPr>
        <w:t>-</w:t>
      </w:r>
      <w:r w:rsidRPr="003755A8">
        <w:rPr>
          <w:rFonts w:cstheme="minorHAnsi"/>
          <w:szCs w:val="24"/>
        </w:rPr>
        <w:tab/>
        <w:t>Na osnovu iskustava regiona i u saradnji sa institucijama koje će biti uključene u realizaciju ovog planirana je izrada Projektnog zad</w:t>
      </w:r>
      <w:r w:rsidR="00504B35">
        <w:rPr>
          <w:rFonts w:cstheme="minorHAnsi"/>
          <w:szCs w:val="24"/>
        </w:rPr>
        <w:t>atka i tenderske dokumentacije.</w:t>
      </w:r>
    </w:p>
    <w:p w:rsidR="00DF6DAB" w:rsidRPr="003755A8" w:rsidRDefault="00DF6DAB" w:rsidP="009D6F64">
      <w:pPr>
        <w:spacing w:before="0" w:after="0" w:line="240" w:lineRule="auto"/>
        <w:rPr>
          <w:rFonts w:cstheme="minorHAnsi"/>
          <w:szCs w:val="24"/>
        </w:rPr>
      </w:pPr>
      <w:r w:rsidRPr="003755A8">
        <w:rPr>
          <w:rFonts w:cstheme="minorHAnsi"/>
          <w:szCs w:val="24"/>
        </w:rPr>
        <w:tab/>
        <w:t>Uprava za nekretnine Crne Gore i Republička uprava za geodetske i imovinsko-pravne poslove Republike Srpske su u prethodnom periodu ostvarili dobru komunikaciju, međusobnu podršku  i razmjenu iskustava iz oblasti u nadležnosti ovih institucija.</w:t>
      </w:r>
    </w:p>
    <w:p w:rsidR="00DF6DAB" w:rsidRPr="003755A8" w:rsidRDefault="00DF6DAB" w:rsidP="009D6F64">
      <w:pPr>
        <w:spacing w:before="0" w:after="0" w:line="240" w:lineRule="auto"/>
        <w:rPr>
          <w:rFonts w:cstheme="minorHAnsi"/>
          <w:szCs w:val="24"/>
        </w:rPr>
      </w:pPr>
      <w:r w:rsidRPr="003755A8">
        <w:rPr>
          <w:rFonts w:cstheme="minorHAnsi"/>
          <w:szCs w:val="24"/>
        </w:rPr>
        <w:tab/>
      </w:r>
    </w:p>
    <w:p w:rsidR="00DF6DAB" w:rsidRPr="003755A8" w:rsidRDefault="00DF6DAB" w:rsidP="009D6F64">
      <w:pPr>
        <w:spacing w:before="0" w:after="0" w:line="240" w:lineRule="auto"/>
        <w:rPr>
          <w:rFonts w:cstheme="minorHAnsi"/>
          <w:b/>
          <w:szCs w:val="24"/>
        </w:rPr>
      </w:pPr>
      <w:bookmarkStart w:id="192" w:name="_Toc504910747"/>
      <w:bookmarkStart w:id="193" w:name="_Toc71288837"/>
      <w:r w:rsidRPr="003755A8">
        <w:rPr>
          <w:rFonts w:cstheme="minorHAnsi"/>
          <w:b/>
          <w:szCs w:val="24"/>
        </w:rPr>
        <w:t>11. GEODETSKO-KATASTARSKI INFORMACIONI SISTEM</w:t>
      </w:r>
      <w:bookmarkEnd w:id="192"/>
      <w:bookmarkEnd w:id="193"/>
    </w:p>
    <w:p w:rsidR="00DF6DAB" w:rsidRPr="003755A8" w:rsidRDefault="00DF6DAB" w:rsidP="00504B35">
      <w:pPr>
        <w:spacing w:after="0" w:line="240" w:lineRule="auto"/>
        <w:ind w:firstLine="709"/>
        <w:rPr>
          <w:rFonts w:cstheme="minorHAnsi"/>
          <w:szCs w:val="24"/>
        </w:rPr>
      </w:pPr>
      <w:bookmarkStart w:id="194" w:name="_Toc172082053"/>
      <w:r w:rsidRPr="003755A8">
        <w:rPr>
          <w:rFonts w:cstheme="minorHAnsi"/>
          <w:szCs w:val="24"/>
        </w:rPr>
        <w:t>U toku 2020. godine u okviru održavanja, razvoja, modernizacije i unaprjeđenja informacionog sistema, s ciljem poboljšanja kvaliteta usluga i proizvoda Uprave radilo se na sljedećim aktivnostima:</w:t>
      </w:r>
    </w:p>
    <w:p w:rsidR="00DF6DAB" w:rsidRPr="003755A8" w:rsidRDefault="00374DD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održavanje sistemskog i aplikativnog softvera;</w:t>
      </w:r>
    </w:p>
    <w:p w:rsidR="00DF6DAB" w:rsidRPr="003755A8" w:rsidRDefault="00374DD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održavanje baza podataka potrebnih za informatičke i komunikacione potrebe;</w:t>
      </w:r>
    </w:p>
    <w:p w:rsidR="00DF6DAB" w:rsidRPr="003755A8" w:rsidRDefault="00374DD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obezbjeđivanje integriteta podataka;</w:t>
      </w:r>
    </w:p>
    <w:p w:rsidR="00DF6DAB" w:rsidRPr="003755A8" w:rsidRDefault="00374DD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 xml:space="preserve">hardversko i softversko servisiranje; </w:t>
      </w:r>
    </w:p>
    <w:p w:rsidR="00DF6DAB" w:rsidRPr="003755A8" w:rsidRDefault="00374DD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uvođenje novih verzija operativnih sistema i drugog sistemskog softvera, aplikativnih softvera, telekomunikacionog softvera;</w:t>
      </w:r>
    </w:p>
    <w:p w:rsidR="00DF6DAB" w:rsidRPr="003755A8" w:rsidRDefault="00374DD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 xml:space="preserve">unaprjeđenje računarske mreže Uprave i lokalnih mreža u Područnim jedinicama; </w:t>
      </w:r>
    </w:p>
    <w:p w:rsidR="00DF6DAB" w:rsidRPr="003755A8" w:rsidRDefault="00374DD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prijem i sređivanje materijala za izradu WEB;</w:t>
      </w:r>
    </w:p>
    <w:p w:rsidR="00DF6DAB" w:rsidRPr="003755A8" w:rsidRDefault="00374DD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priprema, kontrola i distribucija podataka putem medija, računarske mreže, Intraneta i Interneta;</w:t>
      </w:r>
    </w:p>
    <w:p w:rsidR="00DF6DAB" w:rsidRPr="003755A8" w:rsidRDefault="00374DD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testiranje i implementacija softverskih rješenja;</w:t>
      </w:r>
    </w:p>
    <w:p w:rsidR="00DF6DAB" w:rsidRPr="003755A8" w:rsidRDefault="00374DD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unaprjeđenje sistema pravljenja rezervnih kopija;</w:t>
      </w:r>
    </w:p>
    <w:p w:rsidR="00DF6DAB" w:rsidRDefault="00374DD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 xml:space="preserve">redovna i po zahtjevu, kontrola ispravnosti, zamjena i instalacija hardverskih komponenti i komunikacione infrastrukture. </w:t>
      </w:r>
    </w:p>
    <w:p w:rsidR="003654CD" w:rsidRPr="003755A8" w:rsidRDefault="003654CD" w:rsidP="009D6F64">
      <w:pPr>
        <w:spacing w:before="0" w:after="0" w:line="240" w:lineRule="auto"/>
        <w:rPr>
          <w:rFonts w:cstheme="minorHAnsi"/>
          <w:szCs w:val="24"/>
        </w:rPr>
      </w:pPr>
    </w:p>
    <w:p w:rsidR="00DF6DAB" w:rsidRPr="003755A8" w:rsidRDefault="00DF6DAB" w:rsidP="009D6F64">
      <w:pPr>
        <w:spacing w:before="0" w:after="0" w:line="240" w:lineRule="auto"/>
        <w:rPr>
          <w:rFonts w:cstheme="minorHAnsi"/>
          <w:b/>
          <w:szCs w:val="24"/>
        </w:rPr>
      </w:pPr>
      <w:bookmarkStart w:id="195" w:name="_Toc71288838"/>
      <w:bookmarkEnd w:id="194"/>
      <w:r w:rsidRPr="003755A8">
        <w:rPr>
          <w:rFonts w:cstheme="minorHAnsi"/>
          <w:b/>
          <w:szCs w:val="24"/>
        </w:rPr>
        <w:t>11.1.ODRŽAVANJE BAZA PODATAKA</w:t>
      </w:r>
      <w:bookmarkEnd w:id="195"/>
    </w:p>
    <w:p w:rsidR="00DF6DAB" w:rsidRPr="003755A8" w:rsidRDefault="00DF6DAB" w:rsidP="003654CD">
      <w:pPr>
        <w:spacing w:after="0" w:line="240" w:lineRule="auto"/>
        <w:ind w:firstLine="709"/>
        <w:rPr>
          <w:rFonts w:cstheme="minorHAnsi"/>
          <w:szCs w:val="24"/>
        </w:rPr>
      </w:pPr>
      <w:r w:rsidRPr="003755A8">
        <w:rPr>
          <w:rFonts w:cstheme="minorHAnsi"/>
          <w:szCs w:val="24"/>
        </w:rPr>
        <w:t>U svim Područnim jedinicama Uprave, za potrebe održavanja katastarskih evidencija, koriste se posebne aplikacije za održavanje alfanumeričke baze podataka vlasničke strukture  - eTerrasoft i grafičke  baze podataka - EsKatastar-KatBase5.</w:t>
      </w:r>
    </w:p>
    <w:p w:rsidR="00DF6DAB" w:rsidRPr="003755A8" w:rsidRDefault="00DF6DAB" w:rsidP="003654CD">
      <w:pPr>
        <w:spacing w:before="0" w:after="0" w:line="240" w:lineRule="auto"/>
        <w:ind w:firstLine="709"/>
        <w:rPr>
          <w:rFonts w:cstheme="minorHAnsi"/>
          <w:szCs w:val="24"/>
        </w:rPr>
      </w:pPr>
      <w:r w:rsidRPr="003755A8">
        <w:rPr>
          <w:rFonts w:cstheme="minorHAnsi"/>
          <w:szCs w:val="24"/>
        </w:rPr>
        <w:t>Za potrebe održavanja baza podataka katastarskih evidencija obavljani su poslovi:</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update podataka;</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bekapiranje podataka;</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kontrola kvaliteta baze podataka, odnosno samog sadržaja podataka;</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proceduralni poslovi koji se odnose na održavanje baze podataka, u zavisnosti od zahtjeva zaposlenih u područnim jedinicama;</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 xml:space="preserve">postupanje po redovnim zahtjevima; </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postupanje po specifičnim vrstama zahtjeva za koje nije omogućena automatska obrada podataka i za koje je potrebna složenija i duža vremenska priprema podataka.</w:t>
      </w:r>
    </w:p>
    <w:p w:rsidR="00DF6DAB" w:rsidRPr="003755A8" w:rsidRDefault="00DF6DAB" w:rsidP="009D6F64">
      <w:pPr>
        <w:spacing w:before="0" w:after="0" w:line="240" w:lineRule="auto"/>
        <w:rPr>
          <w:rFonts w:cstheme="minorHAnsi"/>
          <w:szCs w:val="24"/>
        </w:rPr>
      </w:pPr>
    </w:p>
    <w:p w:rsidR="00DF6DAB" w:rsidRPr="003755A8" w:rsidRDefault="00DF6DAB" w:rsidP="003654CD">
      <w:pPr>
        <w:spacing w:before="0" w:after="0" w:line="240" w:lineRule="auto"/>
        <w:ind w:firstLine="709"/>
        <w:rPr>
          <w:rFonts w:cstheme="minorHAnsi"/>
          <w:szCs w:val="24"/>
        </w:rPr>
      </w:pPr>
      <w:r w:rsidRPr="003755A8">
        <w:rPr>
          <w:rFonts w:cstheme="minorHAnsi"/>
          <w:szCs w:val="24"/>
        </w:rPr>
        <w:t>Održavanje katastarskih evidencija - vlasnička struktura - e-Terrasoft</w:t>
      </w:r>
    </w:p>
    <w:p w:rsidR="00DF6DAB" w:rsidRPr="003755A8" w:rsidRDefault="00DF6DAB" w:rsidP="003654CD">
      <w:pPr>
        <w:spacing w:before="0" w:after="0" w:line="240" w:lineRule="auto"/>
        <w:ind w:firstLine="709"/>
        <w:rPr>
          <w:rFonts w:cstheme="minorHAnsi"/>
          <w:szCs w:val="24"/>
        </w:rPr>
      </w:pPr>
      <w:r w:rsidRPr="003755A8">
        <w:rPr>
          <w:rFonts w:cstheme="minorHAnsi"/>
          <w:szCs w:val="24"/>
        </w:rPr>
        <w:t>U 2020. godini obavljani su poslovi koji se odnose na redovno održavanje alfanumeričke baze podataka, implementirane u nadograđenom softverskom rješenju eTerrasoft.</w:t>
      </w:r>
    </w:p>
    <w:p w:rsidR="00DF6DAB" w:rsidRPr="003755A8" w:rsidRDefault="00DF6DAB" w:rsidP="003654CD">
      <w:pPr>
        <w:spacing w:before="0" w:after="0" w:line="240" w:lineRule="auto"/>
        <w:ind w:firstLine="709"/>
        <w:rPr>
          <w:rFonts w:cstheme="minorHAnsi"/>
          <w:szCs w:val="24"/>
        </w:rPr>
      </w:pPr>
      <w:r w:rsidRPr="003755A8">
        <w:rPr>
          <w:rFonts w:cstheme="minorHAnsi"/>
          <w:szCs w:val="24"/>
        </w:rPr>
        <w:t>Veliki dio poslova se odnosio na rješavanje problema:</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kvaliteta baze podataka, odnosno samog sadržaja podataka;</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 xml:space="preserve">funkcionalnosti rada desktop aplikacije namijenjene internim korisnicima, prvenstveno za obavljanje poslova iz nadležnosti Područnih jedinica; </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 xml:space="preserve">funkcionalnosti rada web aplikacije, namijenjene svim eksternim korisnicima, kao i internim korisnicima za potrebe praćenje rada Područnih jedinica i izradu statističkih izvještaja; </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provjere i testiranja novih ve</w:t>
      </w:r>
      <w:r>
        <w:rPr>
          <w:rFonts w:cstheme="minorHAnsi"/>
          <w:szCs w:val="24"/>
        </w:rPr>
        <w:t>rzija desktop i web aplikacije.</w:t>
      </w:r>
    </w:p>
    <w:p w:rsidR="00DF6DAB" w:rsidRPr="003755A8" w:rsidRDefault="00DF6DAB" w:rsidP="009D6F64">
      <w:pPr>
        <w:spacing w:before="0" w:after="0" w:line="240" w:lineRule="auto"/>
        <w:rPr>
          <w:rFonts w:cstheme="minorHAnsi"/>
          <w:szCs w:val="24"/>
        </w:rPr>
      </w:pPr>
      <w:r w:rsidRPr="003755A8">
        <w:rPr>
          <w:rFonts w:cstheme="minorHAnsi"/>
          <w:szCs w:val="24"/>
        </w:rPr>
        <w:tab/>
        <w:t>Osim svakodnevne pomoći u radu po zahtjevima zaposlenih u Područnim jedinicama, koja se odnosila na direktan pristup radnim stanicama zaposlenih ili po potrebi intervenisanje kroz bazu podataka (direktan pristup bazi podataka na serverima područnih jedinica), obavljani su poslovi u okviru Sektora, vezani za:</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 xml:space="preserve">update podataka; </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bekapiranje podataka;</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dopuna kataloga šifara;</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priprema sugestija i zahtjeva za korigovanjem desktop i web aplikacije;</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instalacija novih verzija;</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proceduralni poslovi koji se odnose na održavanje baze podataka, u zavisnosti od zahtjeva zaposlenih u područnim jedinicama;</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 xml:space="preserve">postupanje po redovnim zahtjevima; </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postupanje po specifičnim vrstama zahtjeva za koje nije omogućena automatska obrada podataka i za koje je potrebna složenija i du</w:t>
      </w:r>
      <w:r>
        <w:rPr>
          <w:rFonts w:cstheme="minorHAnsi"/>
          <w:szCs w:val="24"/>
        </w:rPr>
        <w:t>ža vremenska priprema podataka.</w:t>
      </w:r>
    </w:p>
    <w:p w:rsidR="00DF6DAB" w:rsidRPr="003755A8" w:rsidRDefault="00DF6DAB" w:rsidP="009D6F64">
      <w:pPr>
        <w:spacing w:before="0" w:after="0" w:line="240" w:lineRule="auto"/>
        <w:rPr>
          <w:rFonts w:cstheme="minorHAnsi"/>
          <w:szCs w:val="24"/>
        </w:rPr>
      </w:pPr>
      <w:r w:rsidRPr="003755A8">
        <w:rPr>
          <w:rFonts w:cstheme="minorHAnsi"/>
          <w:szCs w:val="24"/>
        </w:rPr>
        <w:tab/>
        <w:t>U izvještajnom periodu nastavljeno je praćenje rada replikacije i uspostavljanje u svim Područnim jedinicama i na centralnom serveru.</w:t>
      </w:r>
    </w:p>
    <w:p w:rsidR="00DF6DAB" w:rsidRPr="003755A8" w:rsidRDefault="00DF6DAB" w:rsidP="009D6F64">
      <w:pPr>
        <w:spacing w:before="0" w:after="0" w:line="240" w:lineRule="auto"/>
        <w:rPr>
          <w:rFonts w:cstheme="minorHAnsi"/>
          <w:szCs w:val="24"/>
        </w:rPr>
      </w:pPr>
      <w:r w:rsidRPr="003755A8">
        <w:rPr>
          <w:rFonts w:cstheme="minorHAnsi"/>
          <w:szCs w:val="24"/>
        </w:rPr>
        <w:tab/>
        <w:t xml:space="preserve">Nastavljena je kontrola rada desktop i web aplikacije i u kontinuitetu su dostavljane primjedbe, koje je trebalo prioritetno rješavati za potrebe eksternih korisnika, a dio primjedbi je bilo potrebno korigovati u cilju efikasnog i kvalitetnog korišćenja sistema. </w:t>
      </w:r>
    </w:p>
    <w:p w:rsidR="00DF6DAB" w:rsidRPr="003755A8" w:rsidRDefault="00DF6DAB" w:rsidP="009D6F64">
      <w:pPr>
        <w:spacing w:before="0" w:after="0" w:line="240" w:lineRule="auto"/>
        <w:rPr>
          <w:rFonts w:cstheme="minorHAnsi"/>
          <w:szCs w:val="24"/>
        </w:rPr>
      </w:pPr>
      <w:r w:rsidRPr="003755A8">
        <w:rPr>
          <w:rFonts w:cstheme="minorHAnsi"/>
          <w:szCs w:val="24"/>
        </w:rPr>
        <w:tab/>
        <w:t>U toku 2020. godine implementirano je 13 verzija desktop aplikacije eTeraSoft (od v.6.0.3456, pa do verzije v.6.0.3474).</w:t>
      </w:r>
    </w:p>
    <w:p w:rsidR="00DF6DAB" w:rsidRPr="003755A8" w:rsidRDefault="00DF6DAB" w:rsidP="009D6F64">
      <w:pPr>
        <w:spacing w:before="0" w:after="0" w:line="240" w:lineRule="auto"/>
        <w:rPr>
          <w:rFonts w:cstheme="minorHAnsi"/>
          <w:szCs w:val="24"/>
        </w:rPr>
      </w:pPr>
      <w:r w:rsidRPr="003755A8">
        <w:rPr>
          <w:rFonts w:cstheme="minorHAnsi"/>
          <w:szCs w:val="24"/>
        </w:rPr>
        <w:tab/>
        <w:t xml:space="preserve">Prilikom testiranja novih verzija, akcenat je stavljan na provjeru korigovanih uočenih problema, ali isto tako i na provjeru ostalih važnih funkcionalnosti, zbog problema sa kvalitetom novih verzija. Sve navedeno uslovilo je ne samo veću angažovanost zaposlenih, već i potrebu za </w:t>
      </w:r>
      <w:r w:rsidRPr="003755A8">
        <w:rPr>
          <w:rFonts w:cstheme="minorHAnsi"/>
          <w:szCs w:val="24"/>
        </w:rPr>
        <w:lastRenderedPageBreak/>
        <w:t xml:space="preserve">mnogo većim vremenskim periodom provjere i testiranja, kako bi se problemi koje su određene verzije prouzrokovale, smanjili, odnosno izbjegli.   </w:t>
      </w:r>
    </w:p>
    <w:p w:rsidR="00DF6DAB" w:rsidRPr="003755A8" w:rsidRDefault="00DF6DAB" w:rsidP="009D6F64">
      <w:pPr>
        <w:spacing w:before="0" w:after="0" w:line="240" w:lineRule="auto"/>
        <w:rPr>
          <w:rFonts w:cstheme="minorHAnsi"/>
          <w:szCs w:val="24"/>
        </w:rPr>
      </w:pPr>
      <w:r w:rsidRPr="003755A8">
        <w:rPr>
          <w:rFonts w:cstheme="minorHAnsi"/>
          <w:szCs w:val="24"/>
        </w:rPr>
        <w:tab/>
        <w:t xml:space="preserve">U toku 2020. godine implementirano je 7 verzija softverskog rješenja Web aplikacije (od v.6.5686 pa do verzije v.6.5691). </w:t>
      </w:r>
    </w:p>
    <w:p w:rsidR="00DF6DAB" w:rsidRPr="003755A8" w:rsidRDefault="00DF6DAB" w:rsidP="009D6F64">
      <w:pPr>
        <w:spacing w:before="0" w:after="0" w:line="240" w:lineRule="auto"/>
        <w:rPr>
          <w:rFonts w:cstheme="minorHAnsi"/>
          <w:szCs w:val="24"/>
        </w:rPr>
      </w:pPr>
      <w:r w:rsidRPr="003755A8">
        <w:rPr>
          <w:rFonts w:cstheme="minorHAnsi"/>
          <w:szCs w:val="24"/>
        </w:rPr>
        <w:tab/>
        <w:t>U okviru web aplikacije, dio uočenih nedostataka je korigovan i verzije pripremljene saglasno našim prethodnim zahtjevima, zahtjevima Notarske komore, kao i os</w:t>
      </w:r>
      <w:r w:rsidR="003654CD">
        <w:rPr>
          <w:rFonts w:cstheme="minorHAnsi"/>
          <w:szCs w:val="24"/>
        </w:rPr>
        <w:t>talih korisnika web aplikacije.</w:t>
      </w:r>
    </w:p>
    <w:p w:rsidR="00DF6DAB" w:rsidRPr="003755A8" w:rsidRDefault="00DF6DAB" w:rsidP="009D6F64">
      <w:pPr>
        <w:spacing w:before="0" w:after="0" w:line="240" w:lineRule="auto"/>
        <w:rPr>
          <w:rFonts w:cstheme="minorHAnsi"/>
          <w:szCs w:val="24"/>
        </w:rPr>
      </w:pPr>
      <w:r w:rsidRPr="003755A8">
        <w:rPr>
          <w:rFonts w:cstheme="minorHAnsi"/>
          <w:szCs w:val="24"/>
        </w:rPr>
        <w:tab/>
        <w:t xml:space="preserve"> Zaposleni Sektora za IS zaduženi za praćenje funkcionisanja softverskog rješenja eTerasofta su bili u stalnom kontaktu sa autorima i radili na instalaciji istih i otklanjanju primjedbi, sa ciljem uspostvaljanja funkcionalnog sistema na nivo sa kojim će biti zadovoljni i interni i eksterni korisnici podataka i usluga. </w:t>
      </w:r>
    </w:p>
    <w:p w:rsidR="00DF6DAB" w:rsidRPr="003755A8" w:rsidRDefault="00DF6DAB" w:rsidP="009D6F64">
      <w:pPr>
        <w:spacing w:before="0" w:after="0" w:line="240" w:lineRule="auto"/>
        <w:rPr>
          <w:rFonts w:cstheme="minorHAnsi"/>
          <w:szCs w:val="24"/>
        </w:rPr>
      </w:pPr>
      <w:r w:rsidRPr="003755A8">
        <w:rPr>
          <w:rFonts w:cstheme="minorHAnsi"/>
          <w:szCs w:val="24"/>
        </w:rPr>
        <w:tab/>
        <w:t xml:space="preserve">U ranijem periodu uspostavljeni e-servisi katastarskih podataka, korišćeni su od strane državnih institucija, saglasno zakonskoj regulativi i dostavljenim zahtjevima za korišćenje istih. </w:t>
      </w:r>
    </w:p>
    <w:p w:rsidR="00DF6DAB" w:rsidRPr="003755A8" w:rsidRDefault="00DF6DAB" w:rsidP="009D6F64">
      <w:pPr>
        <w:spacing w:before="0" w:after="0" w:line="240" w:lineRule="auto"/>
        <w:rPr>
          <w:rFonts w:cstheme="minorHAnsi"/>
          <w:szCs w:val="24"/>
        </w:rPr>
      </w:pPr>
      <w:r w:rsidRPr="003755A8">
        <w:rPr>
          <w:rFonts w:cstheme="minorHAnsi"/>
          <w:szCs w:val="24"/>
        </w:rPr>
        <w:tab/>
        <w:t xml:space="preserve">Svim zainteresovanim eksternim korisnicima, redovno je pružana pomoć, putem telefonske ili mail komunikacije, što je dalo dobre rezultate u dijelu sugestija za sve eventualne nekorektnosti u radu aplikacije, ažurnosti ili nekompletnosti podataka i na taj način omogućili korisnicima, bolju uslugu, kao i dobijanje traženih </w:t>
      </w:r>
      <w:r w:rsidR="003654CD">
        <w:rPr>
          <w:rFonts w:cstheme="minorHAnsi"/>
          <w:szCs w:val="24"/>
        </w:rPr>
        <w:t>informacija.</w:t>
      </w:r>
    </w:p>
    <w:p w:rsidR="00DF6DAB" w:rsidRPr="003755A8" w:rsidRDefault="00DF6DAB" w:rsidP="009D6F64">
      <w:pPr>
        <w:spacing w:before="0" w:after="0" w:line="240" w:lineRule="auto"/>
        <w:rPr>
          <w:rFonts w:cstheme="minorHAnsi"/>
          <w:szCs w:val="24"/>
        </w:rPr>
      </w:pPr>
      <w:r w:rsidRPr="003755A8">
        <w:rPr>
          <w:rFonts w:cstheme="minorHAnsi"/>
          <w:szCs w:val="24"/>
        </w:rPr>
        <w:tab/>
        <w:t>U toku 2020. godine kontinuirano je praćeno korišćenje  e-Katastar, odnosno primjena web aplikacije za preuzimanje prepisa/izvoda listova nepokretnosti i posjedovnih listova u formi elektronskog dokumenta.</w:t>
      </w:r>
    </w:p>
    <w:p w:rsidR="00DF6DAB" w:rsidRPr="003755A8" w:rsidRDefault="00DF6DAB" w:rsidP="009D6F64">
      <w:pPr>
        <w:spacing w:before="0" w:after="0" w:line="240" w:lineRule="auto"/>
        <w:rPr>
          <w:rFonts w:cstheme="minorHAnsi"/>
          <w:szCs w:val="24"/>
        </w:rPr>
      </w:pPr>
      <w:r w:rsidRPr="003755A8">
        <w:rPr>
          <w:rFonts w:cstheme="minorHAnsi"/>
          <w:szCs w:val="24"/>
        </w:rPr>
        <w:tab/>
        <w:t>Pristup podacima geodetsko-katastarskog informacionog sistema, obezbijeđen je saglasno članu 155a Zakona o državnom premjeru i katastru nepokretnosti, međutim implementacija sistema ne podrazumijeva samo jednostrano stvaranje uslova za kvalitetno funkcionisanje sistema, već i aktivno učešće svih korisnika, kako u dijelu stvaranja tehničkih, tako i u primjeni novih standarda, procedura i pravila, te saglasno navedenom obaviješteni su Ministarstvo finansija, Ministarstvo pravde, Notarsku komoru i Komoru Javnih izvršitelja o zajedničkoj obavezi i p</w:t>
      </w:r>
      <w:r w:rsidR="003654CD">
        <w:rPr>
          <w:rFonts w:cstheme="minorHAnsi"/>
          <w:szCs w:val="24"/>
        </w:rPr>
        <w:t xml:space="preserve">oštovanjupravila i procedura.  </w:t>
      </w:r>
    </w:p>
    <w:p w:rsidR="00DF6DAB" w:rsidRPr="003755A8" w:rsidRDefault="00DF6DAB" w:rsidP="009D6F64">
      <w:pPr>
        <w:spacing w:before="0" w:after="0" w:line="240" w:lineRule="auto"/>
        <w:rPr>
          <w:rFonts w:eastAsia="Calibri" w:cstheme="minorHAnsi"/>
          <w:szCs w:val="24"/>
        </w:rPr>
      </w:pPr>
    </w:p>
    <w:p w:rsidR="00DF6DAB" w:rsidRPr="003755A8" w:rsidRDefault="00DF6DAB" w:rsidP="009D6F64">
      <w:pPr>
        <w:spacing w:before="0" w:after="0" w:line="240" w:lineRule="auto"/>
        <w:rPr>
          <w:rFonts w:cstheme="minorHAnsi"/>
          <w:szCs w:val="24"/>
        </w:rPr>
      </w:pPr>
      <w:r w:rsidRPr="003755A8">
        <w:rPr>
          <w:rFonts w:cstheme="minorHAnsi"/>
          <w:szCs w:val="24"/>
        </w:rPr>
        <w:t>Održavanje grafičke baze podataka -  EsKatastar - KatBase</w:t>
      </w:r>
    </w:p>
    <w:p w:rsidR="00DF6DAB" w:rsidRPr="003755A8" w:rsidRDefault="00DF6DAB" w:rsidP="003654CD">
      <w:pPr>
        <w:spacing w:before="0" w:after="0" w:line="240" w:lineRule="auto"/>
        <w:ind w:firstLine="709"/>
        <w:rPr>
          <w:rFonts w:cstheme="minorHAnsi"/>
          <w:szCs w:val="24"/>
        </w:rPr>
      </w:pPr>
      <w:r w:rsidRPr="003755A8">
        <w:rPr>
          <w:rFonts w:cstheme="minorHAnsi"/>
          <w:szCs w:val="24"/>
        </w:rPr>
        <w:t>U 2020. godini, obavljani su poslovi, koji se odnose na redovno održavanje grafičke baze podataka, implementirane u softverskom rješenju EsKatastar - KatBase5.</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redovno održavanje grafičke baze KatBase5 - pomoć u radu po zahtjevima zaposlenih u PJ u dijelu sprovođenja i brisanje promjena, otklanjanje grešaka, kontrole rada, putem direktnog pristupa radnim stanicama zaposlenih ili po potrebi intervenisanje kroz bazu podataka (direktan pristup bazi podataka na serverima područnih jedinica). Ovi poslovi se rade na poziv zaposlenog ili ukoliko se primijeti greška u konsultaciji sa zaposlenim i načelnikom/com;</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update podataka;</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dopuna kataloga šifara;</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bekapiranje podataka;</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postupanje po redovnim zahtjevima, vezano za izdavanje kopija plana, skica sa kordinatama, kao  i piprema podataka u elektronskoj formi saglasno zahtjevima;</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postupanje po specifičnim vrstama zahtjeva za koje nije omogućena automatska obrada podataka i za koje je potrebna složenija i duža vremenska priprema podataka.</w:t>
      </w:r>
    </w:p>
    <w:p w:rsidR="00DF6DAB" w:rsidRPr="003755A8" w:rsidRDefault="00DF6DAB" w:rsidP="009D6F64">
      <w:pPr>
        <w:spacing w:before="0" w:after="0" w:line="240" w:lineRule="auto"/>
        <w:rPr>
          <w:rFonts w:cstheme="minorHAnsi"/>
          <w:szCs w:val="24"/>
        </w:rPr>
      </w:pPr>
    </w:p>
    <w:p w:rsidR="00DF6DAB" w:rsidRPr="003755A8" w:rsidRDefault="00DF6DAB" w:rsidP="009D6F64">
      <w:pPr>
        <w:spacing w:before="0" w:after="0" w:line="240" w:lineRule="auto"/>
        <w:rPr>
          <w:rFonts w:cstheme="minorHAnsi"/>
          <w:szCs w:val="24"/>
        </w:rPr>
      </w:pPr>
      <w:r w:rsidRPr="003755A8">
        <w:rPr>
          <w:rFonts w:cstheme="minorHAnsi"/>
          <w:szCs w:val="24"/>
        </w:rPr>
        <w:t xml:space="preserve">         Grafička baza podataka redovno je ažurirana na način što su insertovane katastarske opštine za koje je završeno izlaganje na javni uvid i za koje je potvrđena baza podataka katastra nepokretnosti.</w:t>
      </w:r>
    </w:p>
    <w:p w:rsidR="00DF6DAB" w:rsidRPr="003755A8" w:rsidRDefault="00DF6DAB" w:rsidP="009D6F64">
      <w:pPr>
        <w:spacing w:before="0" w:after="0" w:line="240" w:lineRule="auto"/>
        <w:rPr>
          <w:rFonts w:cstheme="minorHAnsi"/>
          <w:szCs w:val="24"/>
        </w:rPr>
      </w:pPr>
      <w:r w:rsidRPr="003755A8">
        <w:rPr>
          <w:rFonts w:cstheme="minorHAnsi"/>
          <w:szCs w:val="24"/>
        </w:rPr>
        <w:t xml:space="preserve">           Sa ciljem obezbjeđivanja sigurnosti u radu, efikasnijeg korišćenje hardverske infrastrukture i nove funkcionalnosti, u toku 2020. godine isporučeno je 10 novih verzija i rađeno testiranje i implementacija istih. </w:t>
      </w:r>
    </w:p>
    <w:p w:rsidR="00DF6DAB" w:rsidRPr="003755A8" w:rsidRDefault="00DF6DAB" w:rsidP="009D6F64">
      <w:pPr>
        <w:spacing w:before="0" w:after="0" w:line="240" w:lineRule="auto"/>
        <w:rPr>
          <w:rFonts w:cstheme="minorHAnsi"/>
          <w:szCs w:val="24"/>
        </w:rPr>
      </w:pPr>
      <w:r w:rsidRPr="003755A8">
        <w:rPr>
          <w:rFonts w:cstheme="minorHAnsi"/>
          <w:szCs w:val="24"/>
        </w:rPr>
        <w:lastRenderedPageBreak/>
        <w:t xml:space="preserve">         Implementirani sistem za grafičku bazu podataka je obezbijedio sljedeće:</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32-bitnu i 64-bitnu aplikaciju koja radi pod novom Windows platformom (7 ili 10), odnosno Windows server 2012 i više;</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Bazu podataka koja se koristi pod novom verzijom SQL Servera 2014;</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Grafičku aplikaciju koja radi  na AutoCAD-u verzija 2016 (32-bitnu i 64-bitnu);</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Grafički modul koji podržava sve geodetske funkcije postojeće aplikacije;</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Usaglašenost sa aktuelnom zakonskom regulativom;</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Unapređenje I implementaciju svih novih modula EsKatastar, EsKatastarIzlaganje i KatBase;</w:t>
      </w:r>
    </w:p>
    <w:p w:rsidR="00DF6DAB" w:rsidRPr="003755A8" w:rsidRDefault="00DF6DAB" w:rsidP="009D6F64">
      <w:pPr>
        <w:spacing w:before="0" w:after="0" w:line="240" w:lineRule="auto"/>
        <w:rPr>
          <w:rFonts w:cstheme="minorHAnsi"/>
          <w:szCs w:val="24"/>
        </w:rPr>
      </w:pPr>
      <w:r w:rsidRPr="003755A8">
        <w:rPr>
          <w:rFonts w:cstheme="minorHAnsi"/>
          <w:szCs w:val="24"/>
        </w:rPr>
        <w:t>Sigurnost Sistema.</w:t>
      </w:r>
    </w:p>
    <w:p w:rsidR="00DF6DAB" w:rsidRPr="003755A8" w:rsidRDefault="00DF6DAB" w:rsidP="009D6F64">
      <w:pPr>
        <w:spacing w:before="0" w:after="0" w:line="240" w:lineRule="auto"/>
        <w:rPr>
          <w:rFonts w:cstheme="minorHAnsi"/>
          <w:szCs w:val="24"/>
        </w:rPr>
      </w:pPr>
    </w:p>
    <w:p w:rsidR="00DF6DAB" w:rsidRPr="003755A8" w:rsidRDefault="00DF6DAB" w:rsidP="009D6F64">
      <w:pPr>
        <w:spacing w:before="0" w:after="0" w:line="240" w:lineRule="auto"/>
        <w:rPr>
          <w:rFonts w:cstheme="minorHAnsi"/>
          <w:szCs w:val="24"/>
        </w:rPr>
      </w:pPr>
      <w:r w:rsidRPr="003755A8">
        <w:rPr>
          <w:rFonts w:cstheme="minorHAnsi"/>
          <w:szCs w:val="24"/>
        </w:rPr>
        <w:t xml:space="preserve">          Osim navedenog unaprjeđenje sistema je omogućilo uspostavljanje replikacije na centralnom serveru u Upravi. Replikacija se vrši jednom dnevno. Replikacija je između ostalog omogućila uzimanje shp fajlova sa jednog mjesta kao i pripremila uslove za prikazivanje na Geoportalu i povezivanje sa ažurnom alfanumerikom.</w:t>
      </w:r>
    </w:p>
    <w:p w:rsidR="00DF6DAB" w:rsidRPr="003755A8" w:rsidRDefault="00DF6DAB" w:rsidP="009D6F64">
      <w:pPr>
        <w:spacing w:before="0" w:after="0" w:line="240" w:lineRule="auto"/>
        <w:rPr>
          <w:rFonts w:cstheme="minorHAnsi"/>
          <w:szCs w:val="24"/>
        </w:rPr>
      </w:pPr>
      <w:r w:rsidRPr="003755A8">
        <w:rPr>
          <w:rFonts w:cstheme="minorHAnsi"/>
          <w:szCs w:val="24"/>
        </w:rPr>
        <w:t xml:space="preserve">          Prilikom implementacije novog sistema za grafiku izvršeno je preinstaliranje kompletne hardverske infrastrukture u Upravi </w:t>
      </w:r>
      <w:r w:rsidR="003654CD">
        <w:rPr>
          <w:rFonts w:cstheme="minorHAnsi"/>
          <w:szCs w:val="24"/>
        </w:rPr>
        <w:t>i Područnim jedinicama.</w:t>
      </w:r>
    </w:p>
    <w:p w:rsidR="00DF6DAB" w:rsidRPr="003755A8" w:rsidRDefault="00DF6DAB" w:rsidP="009D6F64">
      <w:pPr>
        <w:spacing w:before="0" w:after="0" w:line="240" w:lineRule="auto"/>
        <w:rPr>
          <w:rFonts w:cstheme="minorHAnsi"/>
          <w:szCs w:val="24"/>
        </w:rPr>
      </w:pPr>
    </w:p>
    <w:p w:rsidR="00DF6DAB" w:rsidRPr="003755A8" w:rsidRDefault="00DF6DAB" w:rsidP="009D6F64">
      <w:pPr>
        <w:spacing w:before="0" w:after="0" w:line="240" w:lineRule="auto"/>
        <w:rPr>
          <w:rFonts w:cstheme="minorHAnsi"/>
          <w:b/>
          <w:szCs w:val="24"/>
        </w:rPr>
      </w:pPr>
      <w:r w:rsidRPr="003755A8">
        <w:rPr>
          <w:rFonts w:cstheme="minorHAnsi"/>
          <w:b/>
          <w:szCs w:val="24"/>
        </w:rPr>
        <w:t>Izlaganje podataka na javni uvid</w:t>
      </w:r>
    </w:p>
    <w:p w:rsidR="00DF6DAB" w:rsidRPr="003755A8" w:rsidRDefault="00DF6DAB" w:rsidP="003654CD">
      <w:pPr>
        <w:spacing w:after="0" w:line="240" w:lineRule="auto"/>
        <w:ind w:firstLine="709"/>
        <w:rPr>
          <w:rFonts w:cstheme="minorHAnsi"/>
          <w:szCs w:val="24"/>
        </w:rPr>
      </w:pPr>
      <w:bookmarkStart w:id="196" w:name="OLE_LINK43"/>
      <w:bookmarkStart w:id="197" w:name="OLE_LINK44"/>
      <w:bookmarkStart w:id="198" w:name="OLE_LINK49"/>
      <w:bookmarkStart w:id="199" w:name="OLE_LINK50"/>
      <w:bookmarkStart w:id="200" w:name="OLE_LINK51"/>
      <w:bookmarkStart w:id="201" w:name="OLE_LINK52"/>
      <w:r w:rsidRPr="003755A8">
        <w:rPr>
          <w:rFonts w:cstheme="minorHAnsi"/>
          <w:szCs w:val="24"/>
        </w:rPr>
        <w:t xml:space="preserve">U 2020. godini </w:t>
      </w:r>
      <w:bookmarkEnd w:id="196"/>
      <w:bookmarkEnd w:id="197"/>
      <w:bookmarkEnd w:id="198"/>
      <w:bookmarkEnd w:id="199"/>
      <w:bookmarkEnd w:id="200"/>
      <w:bookmarkEnd w:id="201"/>
      <w:r w:rsidRPr="003755A8">
        <w:rPr>
          <w:rFonts w:cstheme="minorHAnsi"/>
          <w:szCs w:val="24"/>
        </w:rPr>
        <w:t>nastavljena je priprema i obrada baze podataka za potrebe izlaganja podataka na javni uvid u područnim jedinicama obuhvaćenim Projektom osnivanja katastra nepokretnosti na nepremjerenom dijelu teritorije Crne Gore.</w:t>
      </w:r>
    </w:p>
    <w:p w:rsidR="00DF6DAB" w:rsidRPr="003755A8" w:rsidRDefault="00DF6DAB" w:rsidP="003654CD">
      <w:pPr>
        <w:spacing w:before="0" w:after="0" w:line="240" w:lineRule="auto"/>
        <w:ind w:firstLine="709"/>
        <w:rPr>
          <w:rFonts w:cstheme="minorHAnsi"/>
          <w:szCs w:val="24"/>
        </w:rPr>
      </w:pPr>
      <w:r w:rsidRPr="003755A8">
        <w:rPr>
          <w:rFonts w:cstheme="minorHAnsi"/>
          <w:szCs w:val="24"/>
        </w:rPr>
        <w:t>Poslovi koji su rađeni odnose se na:</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preuzimanje i import podataka u privremenu bazu podataka, nakon obrade od strane Sektora za državni premjer i kartografiju;</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praćenje grafičke i alfanumeričke obrade podataka od strane zaposlenih Sektora za katastar;</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priprema i kontrola privremene baze podataka katastarskih opština za potrebe izlaganja podataka na javni uvid;</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 xml:space="preserve">priprema ostalih podataka za potrebe izlaganja podataka na javni uvid: skeniranje elaborata premjera i dokumentacije prethodne evidencije popisnog katastra; </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priprema podataka iz baze popisnog katastra; priprema ortofoto i baze digitalnog katastarskog plana;</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štampe poziva i ostale dokumenatcije za potrebe izlaganja podataka na javni uvid;</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A962C7">
        <w:rPr>
          <w:rFonts w:cstheme="minorHAnsi"/>
          <w:szCs w:val="24"/>
        </w:rPr>
        <w:t>bekapiranje podataka.</w:t>
      </w:r>
    </w:p>
    <w:p w:rsidR="00DF6DAB" w:rsidRPr="003755A8" w:rsidRDefault="00DF6DAB" w:rsidP="009D6F64">
      <w:pPr>
        <w:spacing w:before="0" w:after="0" w:line="240" w:lineRule="auto"/>
        <w:rPr>
          <w:rFonts w:cstheme="minorHAnsi"/>
          <w:szCs w:val="24"/>
        </w:rPr>
      </w:pPr>
      <w:r w:rsidRPr="003755A8">
        <w:rPr>
          <w:rFonts w:cstheme="minorHAnsi"/>
          <w:szCs w:val="24"/>
        </w:rPr>
        <w:t xml:space="preserve">          U skladu sa prioritetima rađena je  grafička i alfanumerička obrada podataka premjera za potrebu izrade privremene baze podataka za izlaganje podataka na javni uvid, štampa poziva i priprema prateće dokumentacije  katastarskih opština</w:t>
      </w:r>
      <w:bookmarkStart w:id="202" w:name="OLE_LINK4"/>
      <w:r w:rsidRPr="003755A8">
        <w:rPr>
          <w:rFonts w:cstheme="minorHAnsi"/>
          <w:szCs w:val="24"/>
        </w:rPr>
        <w:t>.</w:t>
      </w:r>
    </w:p>
    <w:bookmarkEnd w:id="202"/>
    <w:p w:rsidR="00DF6DAB" w:rsidRPr="003755A8" w:rsidRDefault="00DF6DAB" w:rsidP="009D6F64">
      <w:pPr>
        <w:spacing w:before="0" w:after="0" w:line="240" w:lineRule="auto"/>
        <w:rPr>
          <w:rFonts w:cstheme="minorHAnsi"/>
          <w:szCs w:val="24"/>
        </w:rPr>
      </w:pPr>
    </w:p>
    <w:p w:rsidR="00DF6DAB" w:rsidRPr="003755A8" w:rsidRDefault="00DF6DAB" w:rsidP="009D6F64">
      <w:pPr>
        <w:spacing w:before="0" w:after="0" w:line="240" w:lineRule="auto"/>
        <w:rPr>
          <w:rFonts w:cstheme="minorHAnsi"/>
          <w:szCs w:val="24"/>
        </w:rPr>
      </w:pPr>
      <w:r w:rsidRPr="003755A8">
        <w:rPr>
          <w:rFonts w:cstheme="minorHAnsi"/>
          <w:szCs w:val="24"/>
        </w:rPr>
        <w:t xml:space="preserve">Održavanje baze podataka za izlaganje podataka na javni uvid kroz softver EsKatastarIzlaganje </w:t>
      </w:r>
    </w:p>
    <w:p w:rsidR="00DF6DAB" w:rsidRPr="003755A8" w:rsidRDefault="00DF6DAB" w:rsidP="003654CD">
      <w:pPr>
        <w:spacing w:before="0" w:after="0" w:line="240" w:lineRule="auto"/>
        <w:ind w:firstLine="709"/>
        <w:rPr>
          <w:rFonts w:cstheme="minorHAnsi"/>
          <w:szCs w:val="24"/>
        </w:rPr>
      </w:pPr>
      <w:bookmarkStart w:id="203" w:name="OLE_LINK91"/>
      <w:r w:rsidRPr="003755A8">
        <w:rPr>
          <w:rFonts w:cstheme="minorHAnsi"/>
          <w:szCs w:val="24"/>
        </w:rPr>
        <w:t xml:space="preserve">U 2020. godini </w:t>
      </w:r>
      <w:bookmarkEnd w:id="203"/>
      <w:r w:rsidRPr="003755A8">
        <w:rPr>
          <w:rFonts w:cstheme="minorHAnsi"/>
          <w:szCs w:val="24"/>
        </w:rPr>
        <w:t>obavljani su poslovi, koji se odnose na:</w:t>
      </w:r>
    </w:p>
    <w:p w:rsidR="00DF6DAB" w:rsidRPr="003755A8" w:rsidRDefault="003654CD"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prateće aktivnosti vezane za početak izlaganja podataka na javni uvid katastarskih opština;</w:t>
      </w:r>
    </w:p>
    <w:p w:rsidR="00DF6DAB" w:rsidRPr="003755A8" w:rsidRDefault="00DF6DAB" w:rsidP="009D6F64">
      <w:pPr>
        <w:spacing w:before="0" w:after="0" w:line="240" w:lineRule="auto"/>
        <w:rPr>
          <w:rFonts w:cstheme="minorHAnsi"/>
          <w:szCs w:val="24"/>
        </w:rPr>
      </w:pPr>
      <w:r w:rsidRPr="003755A8">
        <w:rPr>
          <w:rFonts w:cstheme="minorHAnsi"/>
          <w:szCs w:val="24"/>
        </w:rPr>
        <w:t>nastavak praćenja rada izlaganja podataka na javni uvid katastarskih opština započetih u prethodnom periodu;</w:t>
      </w:r>
    </w:p>
    <w:p w:rsidR="00DF6DAB" w:rsidRPr="003755A8" w:rsidRDefault="00A962C7"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prateće aktivnosti vezane za održavanje baza podataka u 12 područnih jedinica u kojima se radilo izlaganje podataka na javni uvid;</w:t>
      </w:r>
    </w:p>
    <w:p w:rsidR="00DF6DAB" w:rsidRPr="003755A8" w:rsidRDefault="00A962C7"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redovno održavanje baza podataka, kontrola rada i pomoć u otklanjanju problema pri radu;</w:t>
      </w:r>
    </w:p>
    <w:p w:rsidR="00DF6DAB" w:rsidRPr="003755A8" w:rsidRDefault="00A962C7"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import baze podataka za potrebe izlaganja podataka na javni uvid;</w:t>
      </w:r>
    </w:p>
    <w:p w:rsidR="00DF6DAB" w:rsidRPr="003755A8" w:rsidRDefault="00A962C7"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export baze podataka za potrebe importa alfanumeričke baze u eTerrasoft softversko rješenje za održavanje katastarskih evidencija;</w:t>
      </w:r>
    </w:p>
    <w:p w:rsidR="00DF6DAB" w:rsidRPr="003755A8" w:rsidRDefault="00A962C7"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bekapira</w:t>
      </w:r>
      <w:r>
        <w:rPr>
          <w:rFonts w:cstheme="minorHAnsi"/>
          <w:szCs w:val="24"/>
        </w:rPr>
        <w:t>nje podataka.</w:t>
      </w:r>
    </w:p>
    <w:p w:rsidR="00DF6DAB" w:rsidRPr="003755A8" w:rsidRDefault="00DF6DAB" w:rsidP="009D6F64">
      <w:pPr>
        <w:spacing w:before="0" w:after="0" w:line="240" w:lineRule="auto"/>
        <w:rPr>
          <w:rFonts w:cstheme="minorHAnsi"/>
          <w:szCs w:val="24"/>
        </w:rPr>
      </w:pPr>
      <w:r w:rsidRPr="003755A8">
        <w:rPr>
          <w:rFonts w:cstheme="minorHAnsi"/>
          <w:szCs w:val="24"/>
        </w:rPr>
        <w:lastRenderedPageBreak/>
        <w:t xml:space="preserve">          U toku izlaganja podataka na javni uvid podešene su baze podataka, skenirana i pripremljena prateća dokumentacija, štampani pozivi i u kontinuitetu vršeno održavanje baza podataka.</w:t>
      </w:r>
    </w:p>
    <w:p w:rsidR="00DF6DAB" w:rsidRPr="003755A8" w:rsidRDefault="00DF6DAB" w:rsidP="009D6F64">
      <w:pPr>
        <w:spacing w:before="0" w:after="0" w:line="240" w:lineRule="auto"/>
        <w:rPr>
          <w:rFonts w:cstheme="minorHAnsi"/>
          <w:szCs w:val="24"/>
        </w:rPr>
      </w:pPr>
      <w:r w:rsidRPr="003755A8">
        <w:rPr>
          <w:rFonts w:cstheme="minorHAnsi"/>
          <w:szCs w:val="24"/>
        </w:rPr>
        <w:t xml:space="preserve">          Nakon završetka izlaganja podataka na javni uvid, katastarske opštine su preuzete, kontrolisane, pripremljene i nakon potvrđivanje baze podataka, importovane u bazu podataka odr</w:t>
      </w:r>
      <w:r w:rsidR="009E08C6">
        <w:rPr>
          <w:rFonts w:cstheme="minorHAnsi"/>
          <w:szCs w:val="24"/>
        </w:rPr>
        <w:t>žavanja katastra nepokretnosti.</w:t>
      </w:r>
    </w:p>
    <w:p w:rsidR="00DF6DAB" w:rsidRPr="003755A8" w:rsidRDefault="00DF6DAB" w:rsidP="009D6F64">
      <w:pPr>
        <w:spacing w:before="0" w:after="0" w:line="240" w:lineRule="auto"/>
        <w:rPr>
          <w:rFonts w:cstheme="minorHAnsi"/>
          <w:szCs w:val="24"/>
          <w:highlight w:val="yellow"/>
        </w:rPr>
      </w:pPr>
    </w:p>
    <w:p w:rsidR="00DF6DAB" w:rsidRPr="003755A8" w:rsidRDefault="00DF6DAB" w:rsidP="009D6F64">
      <w:pPr>
        <w:spacing w:before="0" w:after="0" w:line="240" w:lineRule="auto"/>
        <w:rPr>
          <w:rFonts w:cstheme="minorHAnsi"/>
          <w:b/>
          <w:szCs w:val="24"/>
        </w:rPr>
      </w:pPr>
      <w:bookmarkStart w:id="204" w:name="_Toc71288839"/>
      <w:r w:rsidRPr="003755A8">
        <w:rPr>
          <w:rFonts w:cstheme="minorHAnsi"/>
          <w:b/>
          <w:szCs w:val="24"/>
        </w:rPr>
        <w:t>11.2.ODRŽAVANJE MREŽE, INTERNET SERVISA I HARDVERSKE INFRASTRUKTURE U ORGANIZACIONIMJEDINICAMA UPRAVE ZA NEKRETNINE</w:t>
      </w:r>
      <w:bookmarkEnd w:id="204"/>
    </w:p>
    <w:p w:rsidR="00DF6DAB" w:rsidRPr="003755A8" w:rsidRDefault="00DF6DAB" w:rsidP="009E08C6">
      <w:pPr>
        <w:spacing w:after="0" w:line="240" w:lineRule="auto"/>
        <w:ind w:firstLine="709"/>
        <w:rPr>
          <w:rFonts w:cstheme="minorHAnsi"/>
          <w:szCs w:val="24"/>
        </w:rPr>
      </w:pPr>
      <w:r w:rsidRPr="003755A8">
        <w:rPr>
          <w:rFonts w:cstheme="minorHAnsi"/>
          <w:szCs w:val="24"/>
        </w:rPr>
        <w:t xml:space="preserve">U toku 2020. godine u svim organizacionim jedinicama Uprave, obavljani su sljedeći poslovi: </w:t>
      </w:r>
      <w:bookmarkStart w:id="205" w:name="_Toc244604139"/>
    </w:p>
    <w:p w:rsidR="00DF6DAB" w:rsidRPr="003755A8" w:rsidRDefault="009E08C6"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instalacija aplikativnih i sistemskih softvera za potrebe nove opreme i u skladu sa potrebama zaposlenih, kao i preinstalacija prilikom otklanjanja kvarova kod postojeće opreme;</w:t>
      </w:r>
    </w:p>
    <w:p w:rsidR="00DF6DAB" w:rsidRPr="003755A8" w:rsidRDefault="009E08C6"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za potrebe implementacije novog sistema za obradu grafičkih podataka preinstalirali na Windows Server 2016, 22 servera u područnim jedinicama. Instalirane su sve aplikacije za obradu grafičke i alfanumeričke baze podataka, izvršena podešavanja;</w:t>
      </w:r>
    </w:p>
    <w:p w:rsidR="00DF6DAB" w:rsidRPr="003755A8" w:rsidRDefault="009E08C6"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redovna kontrola automatizovanih procedure bekapiranja i preuzimanja podataka sa servera u područnim jedinicama;</w:t>
      </w:r>
    </w:p>
    <w:p w:rsidR="00DF6DAB" w:rsidRPr="003755A8" w:rsidRDefault="009E08C6"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 xml:space="preserve">redovna i po zahtjevu kontrola ispravnosti glavnih elemenata informacionog sistema - glavnih hardverskih komponenti i komunikacione infrastrukture; </w:t>
      </w:r>
    </w:p>
    <w:p w:rsidR="00DF6DAB" w:rsidRPr="003755A8" w:rsidRDefault="009E08C6"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opravka i održavanje hardverske opreme;</w:t>
      </w:r>
    </w:p>
    <w:p w:rsidR="00DF6DAB" w:rsidRPr="003755A8" w:rsidRDefault="009E08C6"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preinstalirano je 380 radnih stanica na Windows 10 i Windows 7. Sve radne stanice koje se koriste za grafičku obradu podataka preinstalirane su na Windows 10 (64-bitni) i ugrađeni brzi SSD diskovi. Ostale radne stanice, zavisno od konfiguracije instalirane su na Windows 10 i Windows 7 (64-bitni ili 32-bitni). Sve aplikacije potrebne za rad su instalirane i vraćeni podaci koji su se na njima nalazili prije reinstalacije.</w:t>
      </w:r>
    </w:p>
    <w:p w:rsidR="00DF6DAB" w:rsidRPr="003755A8" w:rsidRDefault="009E08C6"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vođenje evidencije o kretanju hardverske opreme, serijskih i popisnih brojeva u saradnji sa zaposlenima zaduženim za izdavanje i praćenje kretanja opreme.</w:t>
      </w:r>
    </w:p>
    <w:p w:rsidR="00DF6DAB" w:rsidRPr="003755A8" w:rsidRDefault="009E08C6"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u zavisnosti od stepena završenih poslova Komisija za izlaganje, izvršena je preinstalacija radnih stanica za potrebe rada u Područnim jedinicama i iste raspoređene po prioritetima, saglasno složenosti poslova i neophodnosti instalacije aplikacija alfanumeričke i grafičke baze podataka, koji zahtijevaju specifičnu konfiguraciju radnih stanica;</w:t>
      </w:r>
    </w:p>
    <w:p w:rsidR="00DF6DAB" w:rsidRPr="003755A8" w:rsidRDefault="009E08C6"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za potrebe postupka javnih nabavki pripremljena je tehnička specifikacija, na osnovu koje je nakon završetka tenderskog postupka ista isporučena.</w:t>
      </w:r>
    </w:p>
    <w:p w:rsidR="00DF6DAB" w:rsidRPr="003755A8" w:rsidRDefault="00DF6DAB" w:rsidP="009D6F64">
      <w:pPr>
        <w:spacing w:before="0" w:after="0" w:line="240" w:lineRule="auto"/>
        <w:rPr>
          <w:rFonts w:cstheme="minorHAnsi"/>
          <w:szCs w:val="24"/>
          <w:highlight w:val="yellow"/>
        </w:rPr>
      </w:pPr>
    </w:p>
    <w:p w:rsidR="00DF6DAB" w:rsidRPr="003755A8" w:rsidRDefault="00DF6DAB" w:rsidP="009D6F64">
      <w:pPr>
        <w:spacing w:before="0" w:after="0" w:line="240" w:lineRule="auto"/>
        <w:rPr>
          <w:rFonts w:cstheme="minorHAnsi"/>
          <w:szCs w:val="24"/>
        </w:rPr>
      </w:pPr>
      <w:r w:rsidRPr="003755A8">
        <w:rPr>
          <w:rFonts w:cstheme="minorHAnsi"/>
          <w:szCs w:val="24"/>
        </w:rPr>
        <w:t>Vezano za održavanje softverske infrastrukture, osim već navedenog, u toku 2020. godine rađeno je:</w:t>
      </w:r>
    </w:p>
    <w:p w:rsidR="00DF6DAB" w:rsidRPr="003755A8" w:rsidRDefault="009E08C6"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ažuriranje aplikacije kataloga propisa na radnim stanicama i serverima u svim organizacionim jedinicama, područnim jedinicama i Komisijama za izlaganje;</w:t>
      </w:r>
    </w:p>
    <w:p w:rsidR="00DF6DAB" w:rsidRPr="003755A8" w:rsidRDefault="009E08C6" w:rsidP="009D6F64">
      <w:pPr>
        <w:spacing w:before="0" w:after="0" w:line="240" w:lineRule="auto"/>
        <w:rPr>
          <w:rFonts w:cstheme="minorHAnsi"/>
          <w:szCs w:val="24"/>
        </w:rPr>
      </w:pPr>
      <w:r>
        <w:rPr>
          <w:rFonts w:cstheme="minorHAnsi"/>
          <w:szCs w:val="24"/>
        </w:rPr>
        <w:t xml:space="preserve"> - </w:t>
      </w:r>
      <w:r w:rsidR="00DF6DAB" w:rsidRPr="003755A8">
        <w:rPr>
          <w:rFonts w:cstheme="minorHAnsi"/>
          <w:szCs w:val="24"/>
        </w:rPr>
        <w:t>ažuriranje antivirusnog sistema na radnim stanicama i serverima u svim organizacionim jedinicama, područnim jedinicama i Komisijama za izlaganje na javni uvid podataka;</w:t>
      </w:r>
    </w:p>
    <w:p w:rsidR="00DF6DAB" w:rsidRDefault="009E08C6" w:rsidP="009E08C6">
      <w:pPr>
        <w:spacing w:before="0" w:after="0" w:line="240" w:lineRule="auto"/>
        <w:rPr>
          <w:rFonts w:cstheme="minorHAnsi"/>
          <w:szCs w:val="24"/>
        </w:rPr>
      </w:pPr>
      <w:r>
        <w:rPr>
          <w:rFonts w:cstheme="minorHAnsi"/>
          <w:szCs w:val="24"/>
        </w:rPr>
        <w:t xml:space="preserve"> - </w:t>
      </w:r>
      <w:r w:rsidR="00DF6DAB" w:rsidRPr="003755A8">
        <w:rPr>
          <w:rFonts w:cstheme="minorHAnsi"/>
          <w:szCs w:val="24"/>
        </w:rPr>
        <w:t>redovno  održavanje apli</w:t>
      </w:r>
      <w:bookmarkStart w:id="206" w:name="OLE_LINK169"/>
      <w:bookmarkStart w:id="207" w:name="OLE_LINK170"/>
      <w:r>
        <w:rPr>
          <w:rFonts w:cstheme="minorHAnsi"/>
          <w:szCs w:val="24"/>
        </w:rPr>
        <w:t>kativnih i sistemskih softvera.</w:t>
      </w:r>
    </w:p>
    <w:p w:rsidR="009E08C6" w:rsidRPr="009E08C6" w:rsidRDefault="009E08C6" w:rsidP="009E08C6">
      <w:pPr>
        <w:spacing w:before="0" w:after="0" w:line="240" w:lineRule="auto"/>
        <w:rPr>
          <w:rFonts w:cstheme="minorHAnsi"/>
          <w:szCs w:val="24"/>
        </w:rPr>
      </w:pPr>
    </w:p>
    <w:p w:rsidR="00DF6DAB" w:rsidRPr="009E08C6" w:rsidRDefault="00DF6DAB" w:rsidP="009E08C6">
      <w:pPr>
        <w:spacing w:before="0" w:after="0" w:line="240" w:lineRule="auto"/>
        <w:jc w:val="center"/>
        <w:rPr>
          <w:rFonts w:cstheme="minorHAnsi"/>
          <w:szCs w:val="24"/>
        </w:rPr>
      </w:pPr>
      <w:r w:rsidRPr="009E08C6">
        <w:rPr>
          <w:rFonts w:cstheme="minorHAnsi"/>
          <w:szCs w:val="24"/>
        </w:rPr>
        <w:t>Tabela 11.1. Opis aktivnosti - aplikativna softverska rješenja</w:t>
      </w:r>
      <w:bookmarkEnd w:id="206"/>
      <w:bookmarkEnd w:id="207"/>
    </w:p>
    <w:tbl>
      <w:tblPr>
        <w:tblW w:w="9153"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638"/>
        <w:gridCol w:w="2986"/>
        <w:gridCol w:w="5529"/>
      </w:tblGrid>
      <w:tr w:rsidR="00DF6DAB" w:rsidRPr="009E08C6" w:rsidTr="00DF6DAB">
        <w:trPr>
          <w:trHeight w:val="300"/>
          <w:jc w:val="center"/>
        </w:trPr>
        <w:tc>
          <w:tcPr>
            <w:tcW w:w="638" w:type="dxa"/>
            <w:tcBorders>
              <w:top w:val="single" w:sz="12" w:space="0" w:color="auto"/>
              <w:bottom w:val="single" w:sz="12" w:space="0" w:color="auto"/>
              <w:right w:val="single" w:sz="6" w:space="0" w:color="auto"/>
            </w:tcBorders>
            <w:shd w:val="clear" w:color="auto" w:fill="auto"/>
            <w:noWrap/>
            <w:vAlign w:val="center"/>
          </w:tcPr>
          <w:p w:rsidR="00DF6DAB" w:rsidRPr="009E08C6" w:rsidRDefault="00DF6DAB" w:rsidP="009E08C6">
            <w:pPr>
              <w:spacing w:before="0" w:after="0" w:line="240" w:lineRule="auto"/>
              <w:rPr>
                <w:rFonts w:cstheme="minorHAnsi"/>
                <w:szCs w:val="24"/>
              </w:rPr>
            </w:pPr>
            <w:r w:rsidRPr="009E08C6">
              <w:rPr>
                <w:rFonts w:cstheme="minorHAnsi"/>
                <w:szCs w:val="24"/>
              </w:rPr>
              <w:t>RB</w:t>
            </w:r>
          </w:p>
        </w:tc>
        <w:tc>
          <w:tcPr>
            <w:tcW w:w="2986" w:type="dxa"/>
            <w:tcBorders>
              <w:top w:val="single" w:sz="12" w:space="0" w:color="auto"/>
              <w:left w:val="single" w:sz="6" w:space="0" w:color="auto"/>
              <w:bottom w:val="single" w:sz="12" w:space="0" w:color="auto"/>
              <w:right w:val="single" w:sz="12" w:space="0" w:color="auto"/>
            </w:tcBorders>
            <w:shd w:val="clear" w:color="auto" w:fill="auto"/>
            <w:vAlign w:val="center"/>
          </w:tcPr>
          <w:p w:rsidR="00DF6DAB" w:rsidRPr="009E08C6" w:rsidRDefault="00DF6DAB" w:rsidP="009E08C6">
            <w:pPr>
              <w:spacing w:before="0" w:after="0" w:line="240" w:lineRule="auto"/>
              <w:rPr>
                <w:rFonts w:cstheme="minorHAnsi"/>
                <w:szCs w:val="24"/>
              </w:rPr>
            </w:pPr>
            <w:r w:rsidRPr="009E08C6">
              <w:rPr>
                <w:rFonts w:cstheme="minorHAnsi"/>
                <w:szCs w:val="24"/>
              </w:rPr>
              <w:t>Aktivnost</w:t>
            </w:r>
          </w:p>
        </w:tc>
        <w:tc>
          <w:tcPr>
            <w:tcW w:w="5529"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DF6DAB" w:rsidRPr="009E08C6" w:rsidRDefault="00DF6DAB" w:rsidP="009E08C6">
            <w:pPr>
              <w:spacing w:before="0" w:after="0" w:line="240" w:lineRule="auto"/>
              <w:rPr>
                <w:rFonts w:cstheme="minorHAnsi"/>
                <w:szCs w:val="24"/>
              </w:rPr>
            </w:pPr>
            <w:r w:rsidRPr="009E08C6">
              <w:rPr>
                <w:rFonts w:cstheme="minorHAnsi"/>
                <w:szCs w:val="24"/>
              </w:rPr>
              <w:t>Opis aktivnosti</w:t>
            </w:r>
          </w:p>
        </w:tc>
      </w:tr>
      <w:tr w:rsidR="00DF6DAB" w:rsidRPr="009E08C6" w:rsidTr="00DF6DAB">
        <w:trPr>
          <w:trHeight w:val="315"/>
          <w:jc w:val="center"/>
        </w:trPr>
        <w:tc>
          <w:tcPr>
            <w:tcW w:w="638" w:type="dxa"/>
            <w:tcBorders>
              <w:top w:val="single" w:sz="12" w:space="0" w:color="auto"/>
            </w:tcBorders>
            <w:shd w:val="clear" w:color="auto" w:fill="auto"/>
            <w:noWrap/>
            <w:vAlign w:val="center"/>
          </w:tcPr>
          <w:p w:rsidR="00DF6DAB" w:rsidRPr="009E08C6" w:rsidRDefault="00DF6DAB" w:rsidP="009E08C6">
            <w:pPr>
              <w:spacing w:before="0" w:after="0" w:line="240" w:lineRule="auto"/>
              <w:rPr>
                <w:rFonts w:cstheme="minorHAnsi"/>
                <w:szCs w:val="24"/>
              </w:rPr>
            </w:pPr>
            <w:r w:rsidRPr="009E08C6">
              <w:rPr>
                <w:rFonts w:cstheme="minorHAnsi"/>
                <w:szCs w:val="24"/>
              </w:rPr>
              <w:t>1</w:t>
            </w:r>
          </w:p>
        </w:tc>
        <w:tc>
          <w:tcPr>
            <w:tcW w:w="2986" w:type="dxa"/>
            <w:tcBorders>
              <w:top w:val="single" w:sz="12" w:space="0" w:color="auto"/>
              <w:right w:val="single" w:sz="12" w:space="0" w:color="auto"/>
            </w:tcBorders>
            <w:shd w:val="clear" w:color="auto" w:fill="auto"/>
            <w:vAlign w:val="center"/>
          </w:tcPr>
          <w:p w:rsidR="00DF6DAB" w:rsidRPr="009E08C6" w:rsidRDefault="00DF6DAB" w:rsidP="009E08C6">
            <w:pPr>
              <w:spacing w:before="0" w:after="0" w:line="240" w:lineRule="auto"/>
              <w:rPr>
                <w:rFonts w:cstheme="minorHAnsi"/>
                <w:szCs w:val="24"/>
              </w:rPr>
            </w:pPr>
            <w:r w:rsidRPr="009E08C6">
              <w:rPr>
                <w:rFonts w:cstheme="minorHAnsi"/>
                <w:szCs w:val="24"/>
              </w:rPr>
              <w:t>Održavanje i unaprjeđenje sistemskog softvera</w:t>
            </w:r>
          </w:p>
        </w:tc>
        <w:tc>
          <w:tcPr>
            <w:tcW w:w="5529" w:type="dxa"/>
            <w:tcBorders>
              <w:top w:val="single" w:sz="12" w:space="0" w:color="auto"/>
              <w:left w:val="single" w:sz="12" w:space="0" w:color="auto"/>
            </w:tcBorders>
            <w:shd w:val="clear" w:color="auto" w:fill="auto"/>
            <w:noWrap/>
            <w:tcMar>
              <w:left w:w="58" w:type="dxa"/>
              <w:right w:w="58" w:type="dxa"/>
            </w:tcMar>
            <w:vAlign w:val="center"/>
          </w:tcPr>
          <w:p w:rsidR="00DF6DAB" w:rsidRPr="009E08C6" w:rsidRDefault="00DF6DAB" w:rsidP="009E08C6">
            <w:pPr>
              <w:spacing w:before="0" w:after="0" w:line="240" w:lineRule="auto"/>
              <w:rPr>
                <w:rFonts w:cstheme="minorHAnsi"/>
                <w:szCs w:val="24"/>
              </w:rPr>
            </w:pPr>
          </w:p>
        </w:tc>
      </w:tr>
      <w:tr w:rsidR="00DF6DAB" w:rsidRPr="009E08C6" w:rsidTr="00DF6DAB">
        <w:trPr>
          <w:trHeight w:val="255"/>
          <w:jc w:val="center"/>
        </w:trPr>
        <w:tc>
          <w:tcPr>
            <w:tcW w:w="638" w:type="dxa"/>
            <w:shd w:val="clear" w:color="auto" w:fill="auto"/>
            <w:noWrap/>
            <w:vAlign w:val="center"/>
          </w:tcPr>
          <w:p w:rsidR="00DF6DAB" w:rsidRPr="009E08C6" w:rsidRDefault="00DF6DAB" w:rsidP="009E08C6">
            <w:pPr>
              <w:spacing w:before="0" w:after="0" w:line="240" w:lineRule="auto"/>
              <w:rPr>
                <w:rFonts w:cstheme="minorHAnsi"/>
                <w:szCs w:val="24"/>
              </w:rPr>
            </w:pPr>
            <w:r w:rsidRPr="009E08C6">
              <w:rPr>
                <w:rFonts w:cstheme="minorHAnsi"/>
                <w:szCs w:val="24"/>
              </w:rPr>
              <w:t>1.1</w:t>
            </w:r>
          </w:p>
        </w:tc>
        <w:tc>
          <w:tcPr>
            <w:tcW w:w="2986" w:type="dxa"/>
            <w:tcBorders>
              <w:right w:val="single" w:sz="12" w:space="0" w:color="auto"/>
            </w:tcBorders>
            <w:shd w:val="clear" w:color="auto" w:fill="auto"/>
            <w:vAlign w:val="center"/>
          </w:tcPr>
          <w:p w:rsidR="00DF6DAB" w:rsidRPr="009E08C6" w:rsidRDefault="00DF6DAB" w:rsidP="009E08C6">
            <w:pPr>
              <w:spacing w:before="0" w:after="0" w:line="240" w:lineRule="auto"/>
              <w:rPr>
                <w:rFonts w:cstheme="minorHAnsi"/>
                <w:szCs w:val="24"/>
              </w:rPr>
            </w:pPr>
            <w:r w:rsidRPr="009E08C6">
              <w:rPr>
                <w:rFonts w:cstheme="minorHAnsi"/>
                <w:szCs w:val="24"/>
              </w:rPr>
              <w:t>Operativni sistemi</w:t>
            </w:r>
          </w:p>
        </w:tc>
        <w:tc>
          <w:tcPr>
            <w:tcW w:w="5529" w:type="dxa"/>
            <w:tcBorders>
              <w:left w:val="single" w:sz="12" w:space="0" w:color="auto"/>
            </w:tcBorders>
            <w:shd w:val="clear" w:color="auto" w:fill="auto"/>
            <w:noWrap/>
            <w:tcMar>
              <w:left w:w="58" w:type="dxa"/>
              <w:right w:w="58" w:type="dxa"/>
            </w:tcMar>
            <w:vAlign w:val="center"/>
          </w:tcPr>
          <w:p w:rsidR="00DF6DAB" w:rsidRPr="009E08C6" w:rsidRDefault="00DF6DAB" w:rsidP="009E08C6">
            <w:pPr>
              <w:spacing w:before="0" w:after="0" w:line="240" w:lineRule="auto"/>
              <w:rPr>
                <w:rFonts w:cstheme="minorHAnsi"/>
                <w:szCs w:val="24"/>
              </w:rPr>
            </w:pPr>
          </w:p>
        </w:tc>
      </w:tr>
      <w:tr w:rsidR="00DF6DAB" w:rsidRPr="009E08C6" w:rsidTr="00DF6DAB">
        <w:trPr>
          <w:trHeight w:val="255"/>
          <w:jc w:val="center"/>
        </w:trPr>
        <w:tc>
          <w:tcPr>
            <w:tcW w:w="638" w:type="dxa"/>
            <w:shd w:val="clear" w:color="auto" w:fill="auto"/>
            <w:noWrap/>
            <w:vAlign w:val="center"/>
          </w:tcPr>
          <w:p w:rsidR="00DF6DAB" w:rsidRPr="009E08C6" w:rsidRDefault="00DF6DAB" w:rsidP="009E08C6">
            <w:pPr>
              <w:spacing w:before="0" w:after="0" w:line="240" w:lineRule="auto"/>
              <w:rPr>
                <w:rFonts w:cstheme="minorHAnsi"/>
                <w:szCs w:val="24"/>
              </w:rPr>
            </w:pPr>
          </w:p>
        </w:tc>
        <w:tc>
          <w:tcPr>
            <w:tcW w:w="2986" w:type="dxa"/>
            <w:tcBorders>
              <w:right w:val="single" w:sz="12" w:space="0" w:color="auto"/>
            </w:tcBorders>
            <w:shd w:val="clear" w:color="auto" w:fill="auto"/>
            <w:vAlign w:val="center"/>
          </w:tcPr>
          <w:p w:rsidR="00DF6DAB" w:rsidRPr="009E08C6" w:rsidRDefault="00DF6DAB" w:rsidP="009E08C6">
            <w:pPr>
              <w:spacing w:before="0" w:after="0" w:line="240" w:lineRule="auto"/>
              <w:rPr>
                <w:rFonts w:cstheme="minorHAnsi"/>
                <w:szCs w:val="24"/>
              </w:rPr>
            </w:pPr>
            <w:r w:rsidRPr="009E08C6">
              <w:rPr>
                <w:rFonts w:cstheme="minorHAnsi"/>
                <w:szCs w:val="24"/>
              </w:rPr>
              <w:t>Održavanje softvera</w:t>
            </w:r>
          </w:p>
        </w:tc>
        <w:tc>
          <w:tcPr>
            <w:tcW w:w="5529" w:type="dxa"/>
            <w:tcBorders>
              <w:left w:val="single" w:sz="12" w:space="0" w:color="auto"/>
            </w:tcBorders>
            <w:shd w:val="clear" w:color="auto" w:fill="auto"/>
            <w:noWrap/>
            <w:tcMar>
              <w:left w:w="58" w:type="dxa"/>
              <w:right w:w="58" w:type="dxa"/>
            </w:tcMar>
            <w:vAlign w:val="center"/>
          </w:tcPr>
          <w:p w:rsidR="00DF6DAB" w:rsidRPr="009E08C6" w:rsidRDefault="00DF6DAB" w:rsidP="009E08C6">
            <w:pPr>
              <w:spacing w:before="0" w:after="0" w:line="240" w:lineRule="auto"/>
              <w:rPr>
                <w:rFonts w:cstheme="minorHAnsi"/>
                <w:szCs w:val="24"/>
              </w:rPr>
            </w:pPr>
            <w:r w:rsidRPr="009E08C6">
              <w:rPr>
                <w:rFonts w:cstheme="minorHAnsi"/>
                <w:szCs w:val="24"/>
              </w:rPr>
              <w:t>Licenciranje i nadogradnja na nove verzije.</w:t>
            </w:r>
          </w:p>
        </w:tc>
      </w:tr>
      <w:tr w:rsidR="00DF6DAB" w:rsidRPr="009E08C6" w:rsidTr="00DF6DAB">
        <w:trPr>
          <w:trHeight w:val="255"/>
          <w:jc w:val="center"/>
        </w:trPr>
        <w:tc>
          <w:tcPr>
            <w:tcW w:w="638" w:type="dxa"/>
            <w:shd w:val="clear" w:color="auto" w:fill="auto"/>
            <w:noWrap/>
            <w:vAlign w:val="center"/>
          </w:tcPr>
          <w:p w:rsidR="00DF6DAB" w:rsidRPr="009E08C6" w:rsidRDefault="00DF6DAB" w:rsidP="009E08C6">
            <w:pPr>
              <w:spacing w:before="0" w:after="0" w:line="240" w:lineRule="auto"/>
              <w:rPr>
                <w:rFonts w:cstheme="minorHAnsi"/>
                <w:szCs w:val="24"/>
              </w:rPr>
            </w:pPr>
            <w:r w:rsidRPr="009E08C6">
              <w:rPr>
                <w:rFonts w:cstheme="minorHAnsi"/>
                <w:szCs w:val="24"/>
              </w:rPr>
              <w:lastRenderedPageBreak/>
              <w:t>1.2</w:t>
            </w:r>
          </w:p>
        </w:tc>
        <w:tc>
          <w:tcPr>
            <w:tcW w:w="2986" w:type="dxa"/>
            <w:tcBorders>
              <w:right w:val="single" w:sz="12" w:space="0" w:color="auto"/>
            </w:tcBorders>
            <w:shd w:val="clear" w:color="auto" w:fill="auto"/>
            <w:vAlign w:val="center"/>
          </w:tcPr>
          <w:p w:rsidR="00DF6DAB" w:rsidRPr="009E08C6" w:rsidRDefault="00DF6DAB" w:rsidP="009E08C6">
            <w:pPr>
              <w:spacing w:before="0" w:after="0" w:line="240" w:lineRule="auto"/>
              <w:rPr>
                <w:rFonts w:cstheme="minorHAnsi"/>
                <w:szCs w:val="24"/>
              </w:rPr>
            </w:pPr>
            <w:r w:rsidRPr="009E08C6">
              <w:rPr>
                <w:rFonts w:cstheme="minorHAnsi"/>
                <w:szCs w:val="24"/>
              </w:rPr>
              <w:t>Sistem za upravljanje bazama podataka</w:t>
            </w:r>
          </w:p>
        </w:tc>
        <w:tc>
          <w:tcPr>
            <w:tcW w:w="5529" w:type="dxa"/>
            <w:tcBorders>
              <w:left w:val="single" w:sz="12" w:space="0" w:color="auto"/>
            </w:tcBorders>
            <w:shd w:val="clear" w:color="auto" w:fill="auto"/>
            <w:noWrap/>
            <w:tcMar>
              <w:left w:w="58" w:type="dxa"/>
              <w:right w:w="58" w:type="dxa"/>
            </w:tcMar>
            <w:vAlign w:val="center"/>
          </w:tcPr>
          <w:p w:rsidR="00DF6DAB" w:rsidRPr="009E08C6" w:rsidRDefault="00DF6DAB" w:rsidP="009E08C6">
            <w:pPr>
              <w:spacing w:before="0" w:after="0" w:line="240" w:lineRule="auto"/>
              <w:rPr>
                <w:rFonts w:cstheme="minorHAnsi"/>
                <w:szCs w:val="24"/>
              </w:rPr>
            </w:pPr>
          </w:p>
        </w:tc>
      </w:tr>
      <w:tr w:rsidR="00DF6DAB" w:rsidRPr="009E08C6" w:rsidTr="00DF6DAB">
        <w:trPr>
          <w:trHeight w:val="255"/>
          <w:jc w:val="center"/>
        </w:trPr>
        <w:tc>
          <w:tcPr>
            <w:tcW w:w="638" w:type="dxa"/>
            <w:shd w:val="clear" w:color="auto" w:fill="auto"/>
            <w:noWrap/>
            <w:vAlign w:val="center"/>
          </w:tcPr>
          <w:p w:rsidR="00DF6DAB" w:rsidRPr="009E08C6" w:rsidRDefault="00DF6DAB" w:rsidP="009E08C6">
            <w:pPr>
              <w:spacing w:before="0" w:after="0" w:line="240" w:lineRule="auto"/>
              <w:rPr>
                <w:rFonts w:cstheme="minorHAnsi"/>
                <w:szCs w:val="24"/>
              </w:rPr>
            </w:pPr>
          </w:p>
        </w:tc>
        <w:tc>
          <w:tcPr>
            <w:tcW w:w="2986" w:type="dxa"/>
            <w:tcBorders>
              <w:right w:val="single" w:sz="12" w:space="0" w:color="auto"/>
            </w:tcBorders>
            <w:shd w:val="clear" w:color="auto" w:fill="auto"/>
            <w:vAlign w:val="center"/>
          </w:tcPr>
          <w:p w:rsidR="00DF6DAB" w:rsidRPr="009E08C6" w:rsidRDefault="00DF6DAB" w:rsidP="009E08C6">
            <w:pPr>
              <w:spacing w:before="0" w:after="0" w:line="240" w:lineRule="auto"/>
              <w:rPr>
                <w:rFonts w:cstheme="minorHAnsi"/>
                <w:szCs w:val="24"/>
              </w:rPr>
            </w:pPr>
            <w:r w:rsidRPr="009E08C6">
              <w:rPr>
                <w:rFonts w:cstheme="minorHAnsi"/>
                <w:szCs w:val="24"/>
              </w:rPr>
              <w:t>Održavanje softvera</w:t>
            </w:r>
          </w:p>
        </w:tc>
        <w:tc>
          <w:tcPr>
            <w:tcW w:w="5529" w:type="dxa"/>
            <w:tcBorders>
              <w:left w:val="single" w:sz="12" w:space="0" w:color="auto"/>
            </w:tcBorders>
            <w:shd w:val="clear" w:color="auto" w:fill="auto"/>
            <w:noWrap/>
            <w:tcMar>
              <w:left w:w="58" w:type="dxa"/>
              <w:right w:w="58" w:type="dxa"/>
            </w:tcMar>
            <w:vAlign w:val="center"/>
          </w:tcPr>
          <w:p w:rsidR="00DF6DAB" w:rsidRPr="009E08C6" w:rsidRDefault="00DF6DAB" w:rsidP="009E08C6">
            <w:pPr>
              <w:spacing w:before="0" w:after="0" w:line="240" w:lineRule="auto"/>
              <w:jc w:val="left"/>
              <w:rPr>
                <w:rFonts w:cstheme="minorHAnsi"/>
                <w:szCs w:val="24"/>
              </w:rPr>
            </w:pPr>
            <w:r w:rsidRPr="009E08C6">
              <w:rPr>
                <w:rFonts w:cstheme="minorHAnsi"/>
                <w:szCs w:val="24"/>
              </w:rPr>
              <w:t>Nijesu obezbijeđena sredstva za održavanje i licenciranje Oracle Software Update License&amp;Support.</w:t>
            </w:r>
          </w:p>
        </w:tc>
      </w:tr>
      <w:tr w:rsidR="00DF6DAB" w:rsidRPr="009E08C6" w:rsidTr="00DF6DAB">
        <w:trPr>
          <w:trHeight w:val="255"/>
          <w:jc w:val="center"/>
        </w:trPr>
        <w:tc>
          <w:tcPr>
            <w:tcW w:w="638" w:type="dxa"/>
            <w:shd w:val="clear" w:color="auto" w:fill="auto"/>
            <w:noWrap/>
            <w:vAlign w:val="center"/>
          </w:tcPr>
          <w:p w:rsidR="00DF6DAB" w:rsidRPr="009E08C6" w:rsidRDefault="00DF6DAB" w:rsidP="009E08C6">
            <w:pPr>
              <w:spacing w:before="0" w:after="0" w:line="240" w:lineRule="auto"/>
              <w:rPr>
                <w:rFonts w:cstheme="minorHAnsi"/>
                <w:szCs w:val="24"/>
              </w:rPr>
            </w:pPr>
            <w:r w:rsidRPr="009E08C6">
              <w:rPr>
                <w:rFonts w:cstheme="minorHAnsi"/>
                <w:szCs w:val="24"/>
              </w:rPr>
              <w:t>1.3</w:t>
            </w:r>
          </w:p>
        </w:tc>
        <w:tc>
          <w:tcPr>
            <w:tcW w:w="2986" w:type="dxa"/>
            <w:tcBorders>
              <w:right w:val="single" w:sz="12" w:space="0" w:color="auto"/>
            </w:tcBorders>
            <w:shd w:val="clear" w:color="auto" w:fill="auto"/>
            <w:vAlign w:val="center"/>
          </w:tcPr>
          <w:p w:rsidR="00DF6DAB" w:rsidRPr="009E08C6" w:rsidRDefault="00DF6DAB" w:rsidP="009E08C6">
            <w:pPr>
              <w:spacing w:before="0" w:after="0" w:line="240" w:lineRule="auto"/>
              <w:rPr>
                <w:rFonts w:cstheme="minorHAnsi"/>
                <w:szCs w:val="24"/>
              </w:rPr>
            </w:pPr>
            <w:r w:rsidRPr="009E08C6">
              <w:rPr>
                <w:rFonts w:cstheme="minorHAnsi"/>
                <w:szCs w:val="24"/>
              </w:rPr>
              <w:t>Zaštita i antivirus programi</w:t>
            </w:r>
          </w:p>
        </w:tc>
        <w:tc>
          <w:tcPr>
            <w:tcW w:w="5529" w:type="dxa"/>
            <w:tcBorders>
              <w:left w:val="single" w:sz="12" w:space="0" w:color="auto"/>
            </w:tcBorders>
            <w:shd w:val="clear" w:color="auto" w:fill="auto"/>
            <w:noWrap/>
            <w:tcMar>
              <w:left w:w="58" w:type="dxa"/>
              <w:right w:w="58" w:type="dxa"/>
            </w:tcMar>
            <w:vAlign w:val="center"/>
          </w:tcPr>
          <w:p w:rsidR="00DF6DAB" w:rsidRPr="009E08C6" w:rsidRDefault="00DF6DAB" w:rsidP="009E08C6">
            <w:pPr>
              <w:spacing w:before="0" w:after="0" w:line="240" w:lineRule="auto"/>
              <w:rPr>
                <w:rFonts w:cstheme="minorHAnsi"/>
                <w:szCs w:val="24"/>
              </w:rPr>
            </w:pPr>
          </w:p>
        </w:tc>
      </w:tr>
      <w:tr w:rsidR="00DF6DAB" w:rsidRPr="009E08C6" w:rsidTr="00DF6DAB">
        <w:trPr>
          <w:trHeight w:val="255"/>
          <w:jc w:val="center"/>
        </w:trPr>
        <w:tc>
          <w:tcPr>
            <w:tcW w:w="638" w:type="dxa"/>
            <w:shd w:val="clear" w:color="auto" w:fill="auto"/>
            <w:noWrap/>
            <w:vAlign w:val="center"/>
          </w:tcPr>
          <w:p w:rsidR="00DF6DAB" w:rsidRPr="009E08C6" w:rsidRDefault="00DF6DAB" w:rsidP="009E08C6">
            <w:pPr>
              <w:spacing w:before="0" w:after="0" w:line="240" w:lineRule="auto"/>
              <w:rPr>
                <w:rFonts w:cstheme="minorHAnsi"/>
                <w:szCs w:val="24"/>
              </w:rPr>
            </w:pPr>
          </w:p>
        </w:tc>
        <w:tc>
          <w:tcPr>
            <w:tcW w:w="2986" w:type="dxa"/>
            <w:tcBorders>
              <w:right w:val="single" w:sz="12" w:space="0" w:color="auto"/>
            </w:tcBorders>
            <w:shd w:val="clear" w:color="auto" w:fill="auto"/>
            <w:vAlign w:val="center"/>
          </w:tcPr>
          <w:p w:rsidR="00DF6DAB" w:rsidRPr="009E08C6" w:rsidRDefault="00DF6DAB" w:rsidP="009E08C6">
            <w:pPr>
              <w:spacing w:before="0" w:after="0" w:line="240" w:lineRule="auto"/>
              <w:rPr>
                <w:rFonts w:cstheme="minorHAnsi"/>
                <w:szCs w:val="24"/>
              </w:rPr>
            </w:pPr>
            <w:r w:rsidRPr="009E08C6">
              <w:rPr>
                <w:rFonts w:cstheme="minorHAnsi"/>
                <w:szCs w:val="24"/>
              </w:rPr>
              <w:t>Održavanje softvera</w:t>
            </w:r>
          </w:p>
        </w:tc>
        <w:tc>
          <w:tcPr>
            <w:tcW w:w="5529" w:type="dxa"/>
            <w:tcBorders>
              <w:left w:val="single" w:sz="12" w:space="0" w:color="auto"/>
            </w:tcBorders>
            <w:shd w:val="clear" w:color="auto" w:fill="auto"/>
            <w:noWrap/>
            <w:tcMar>
              <w:left w:w="58" w:type="dxa"/>
              <w:right w:w="58" w:type="dxa"/>
            </w:tcMar>
            <w:vAlign w:val="center"/>
          </w:tcPr>
          <w:p w:rsidR="00DF6DAB" w:rsidRPr="009E08C6" w:rsidRDefault="00DF6DAB" w:rsidP="009E08C6">
            <w:pPr>
              <w:spacing w:before="0" w:after="0" w:line="240" w:lineRule="auto"/>
              <w:rPr>
                <w:rFonts w:cstheme="minorHAnsi"/>
                <w:szCs w:val="24"/>
              </w:rPr>
            </w:pPr>
            <w:r w:rsidRPr="009E08C6">
              <w:rPr>
                <w:rFonts w:cstheme="minorHAnsi"/>
                <w:szCs w:val="24"/>
              </w:rPr>
              <w:t>Obezbijeđeno održavanje i nadogradnja softvera.</w:t>
            </w:r>
          </w:p>
        </w:tc>
      </w:tr>
      <w:tr w:rsidR="00DF6DAB" w:rsidRPr="009E08C6" w:rsidTr="00DF6DAB">
        <w:trPr>
          <w:trHeight w:val="315"/>
          <w:jc w:val="center"/>
        </w:trPr>
        <w:tc>
          <w:tcPr>
            <w:tcW w:w="638" w:type="dxa"/>
            <w:shd w:val="clear" w:color="auto" w:fill="auto"/>
            <w:noWrap/>
            <w:vAlign w:val="center"/>
          </w:tcPr>
          <w:p w:rsidR="00DF6DAB" w:rsidRPr="009E08C6" w:rsidRDefault="00DF6DAB" w:rsidP="009E08C6">
            <w:pPr>
              <w:spacing w:before="0" w:after="0" w:line="240" w:lineRule="auto"/>
              <w:rPr>
                <w:rFonts w:cstheme="minorHAnsi"/>
                <w:szCs w:val="24"/>
              </w:rPr>
            </w:pPr>
            <w:r w:rsidRPr="009E08C6">
              <w:rPr>
                <w:rFonts w:cstheme="minorHAnsi"/>
                <w:szCs w:val="24"/>
              </w:rPr>
              <w:t>2</w:t>
            </w:r>
          </w:p>
        </w:tc>
        <w:tc>
          <w:tcPr>
            <w:tcW w:w="2986" w:type="dxa"/>
            <w:tcBorders>
              <w:right w:val="single" w:sz="12" w:space="0" w:color="auto"/>
            </w:tcBorders>
            <w:shd w:val="clear" w:color="auto" w:fill="auto"/>
            <w:vAlign w:val="center"/>
          </w:tcPr>
          <w:p w:rsidR="00DF6DAB" w:rsidRPr="009E08C6" w:rsidRDefault="00DF6DAB" w:rsidP="009E08C6">
            <w:pPr>
              <w:spacing w:before="0" w:after="0" w:line="240" w:lineRule="auto"/>
              <w:rPr>
                <w:rFonts w:cstheme="minorHAnsi"/>
                <w:szCs w:val="24"/>
              </w:rPr>
            </w:pPr>
            <w:r w:rsidRPr="009E08C6">
              <w:rPr>
                <w:rFonts w:cstheme="minorHAnsi"/>
                <w:szCs w:val="24"/>
              </w:rPr>
              <w:t xml:space="preserve">Održavanje i unaprjeđenje aplikativnog softvera </w:t>
            </w:r>
          </w:p>
        </w:tc>
        <w:tc>
          <w:tcPr>
            <w:tcW w:w="5529" w:type="dxa"/>
            <w:tcBorders>
              <w:left w:val="single" w:sz="12" w:space="0" w:color="auto"/>
            </w:tcBorders>
            <w:shd w:val="clear" w:color="auto" w:fill="auto"/>
            <w:noWrap/>
            <w:tcMar>
              <w:left w:w="58" w:type="dxa"/>
              <w:right w:w="58" w:type="dxa"/>
            </w:tcMar>
            <w:vAlign w:val="center"/>
          </w:tcPr>
          <w:p w:rsidR="00DF6DAB" w:rsidRPr="009E08C6" w:rsidRDefault="00DF6DAB" w:rsidP="009E08C6">
            <w:pPr>
              <w:spacing w:before="0" w:after="0" w:line="240" w:lineRule="auto"/>
              <w:rPr>
                <w:rFonts w:cstheme="minorHAnsi"/>
                <w:szCs w:val="24"/>
              </w:rPr>
            </w:pPr>
          </w:p>
        </w:tc>
      </w:tr>
      <w:tr w:rsidR="00DF6DAB" w:rsidRPr="009E08C6" w:rsidTr="00DF6DAB">
        <w:trPr>
          <w:trHeight w:val="315"/>
          <w:jc w:val="center"/>
        </w:trPr>
        <w:tc>
          <w:tcPr>
            <w:tcW w:w="638" w:type="dxa"/>
            <w:shd w:val="clear" w:color="auto" w:fill="auto"/>
            <w:noWrap/>
            <w:vAlign w:val="center"/>
          </w:tcPr>
          <w:p w:rsidR="00DF6DAB" w:rsidRPr="009E08C6" w:rsidRDefault="00DF6DAB" w:rsidP="009E08C6">
            <w:pPr>
              <w:spacing w:before="0" w:after="0" w:line="240" w:lineRule="auto"/>
              <w:rPr>
                <w:rFonts w:cstheme="minorHAnsi"/>
                <w:szCs w:val="24"/>
              </w:rPr>
            </w:pPr>
            <w:r w:rsidRPr="009E08C6">
              <w:rPr>
                <w:rFonts w:cstheme="minorHAnsi"/>
                <w:szCs w:val="24"/>
              </w:rPr>
              <w:t>2.1</w:t>
            </w:r>
          </w:p>
        </w:tc>
        <w:tc>
          <w:tcPr>
            <w:tcW w:w="2986" w:type="dxa"/>
            <w:tcBorders>
              <w:right w:val="single" w:sz="12" w:space="0" w:color="auto"/>
            </w:tcBorders>
            <w:shd w:val="clear" w:color="auto" w:fill="auto"/>
            <w:vAlign w:val="center"/>
          </w:tcPr>
          <w:p w:rsidR="00DF6DAB" w:rsidRPr="009E08C6" w:rsidRDefault="00DF6DAB" w:rsidP="009E08C6">
            <w:pPr>
              <w:spacing w:before="0" w:after="0" w:line="240" w:lineRule="auto"/>
              <w:rPr>
                <w:rFonts w:cstheme="minorHAnsi"/>
                <w:szCs w:val="24"/>
              </w:rPr>
            </w:pPr>
            <w:r w:rsidRPr="009E08C6">
              <w:rPr>
                <w:rFonts w:cstheme="minorHAnsi"/>
                <w:szCs w:val="24"/>
              </w:rPr>
              <w:t>GPS mreža - softver</w:t>
            </w:r>
          </w:p>
        </w:tc>
        <w:tc>
          <w:tcPr>
            <w:tcW w:w="5529" w:type="dxa"/>
            <w:tcBorders>
              <w:left w:val="single" w:sz="12" w:space="0" w:color="auto"/>
            </w:tcBorders>
            <w:shd w:val="clear" w:color="auto" w:fill="auto"/>
            <w:noWrap/>
            <w:tcMar>
              <w:left w:w="58" w:type="dxa"/>
              <w:right w:w="58" w:type="dxa"/>
            </w:tcMar>
            <w:vAlign w:val="center"/>
          </w:tcPr>
          <w:p w:rsidR="00DF6DAB" w:rsidRPr="009E08C6" w:rsidRDefault="00DF6DAB" w:rsidP="009E08C6">
            <w:pPr>
              <w:spacing w:before="0" w:after="0" w:line="240" w:lineRule="auto"/>
              <w:rPr>
                <w:rFonts w:cstheme="minorHAnsi"/>
                <w:szCs w:val="24"/>
              </w:rPr>
            </w:pPr>
          </w:p>
        </w:tc>
      </w:tr>
      <w:tr w:rsidR="00DF6DAB" w:rsidRPr="009E08C6" w:rsidTr="00DF6DAB">
        <w:trPr>
          <w:trHeight w:val="315"/>
          <w:jc w:val="center"/>
        </w:trPr>
        <w:tc>
          <w:tcPr>
            <w:tcW w:w="638" w:type="dxa"/>
            <w:shd w:val="clear" w:color="auto" w:fill="auto"/>
            <w:noWrap/>
            <w:vAlign w:val="center"/>
          </w:tcPr>
          <w:p w:rsidR="00DF6DAB" w:rsidRPr="009E08C6" w:rsidRDefault="00DF6DAB" w:rsidP="009E08C6">
            <w:pPr>
              <w:spacing w:before="0" w:after="0" w:line="240" w:lineRule="auto"/>
              <w:rPr>
                <w:rFonts w:cstheme="minorHAnsi"/>
                <w:szCs w:val="24"/>
              </w:rPr>
            </w:pPr>
          </w:p>
        </w:tc>
        <w:tc>
          <w:tcPr>
            <w:tcW w:w="2986" w:type="dxa"/>
            <w:tcBorders>
              <w:right w:val="single" w:sz="12" w:space="0" w:color="auto"/>
            </w:tcBorders>
            <w:shd w:val="clear" w:color="auto" w:fill="auto"/>
            <w:vAlign w:val="center"/>
          </w:tcPr>
          <w:p w:rsidR="00DF6DAB" w:rsidRPr="009E08C6" w:rsidRDefault="00DF6DAB" w:rsidP="009E08C6">
            <w:pPr>
              <w:spacing w:before="0" w:after="0" w:line="240" w:lineRule="auto"/>
              <w:rPr>
                <w:rFonts w:cstheme="minorHAnsi"/>
                <w:szCs w:val="24"/>
              </w:rPr>
            </w:pPr>
            <w:r w:rsidRPr="009E08C6">
              <w:rPr>
                <w:rFonts w:cstheme="minorHAnsi"/>
                <w:szCs w:val="24"/>
              </w:rPr>
              <w:t>Održavanje softvera</w:t>
            </w:r>
          </w:p>
        </w:tc>
        <w:tc>
          <w:tcPr>
            <w:tcW w:w="5529" w:type="dxa"/>
            <w:tcBorders>
              <w:left w:val="single" w:sz="12" w:space="0" w:color="auto"/>
            </w:tcBorders>
            <w:shd w:val="clear" w:color="auto" w:fill="auto"/>
            <w:noWrap/>
            <w:tcMar>
              <w:left w:w="58" w:type="dxa"/>
              <w:right w:w="58" w:type="dxa"/>
            </w:tcMar>
            <w:vAlign w:val="center"/>
          </w:tcPr>
          <w:p w:rsidR="00DF6DAB" w:rsidRPr="009E08C6" w:rsidRDefault="00DF6DAB" w:rsidP="009E08C6">
            <w:pPr>
              <w:spacing w:before="0" w:after="0" w:line="240" w:lineRule="auto"/>
              <w:rPr>
                <w:rFonts w:cstheme="minorHAnsi"/>
                <w:szCs w:val="24"/>
              </w:rPr>
            </w:pPr>
            <w:r w:rsidRPr="009E08C6">
              <w:rPr>
                <w:rFonts w:cstheme="minorHAnsi"/>
                <w:szCs w:val="24"/>
              </w:rPr>
              <w:t>Obezbijeđeno održavanje i nadogradnja softvera - Leica softver.</w:t>
            </w:r>
          </w:p>
        </w:tc>
      </w:tr>
      <w:tr w:rsidR="00DF6DAB" w:rsidRPr="009E08C6" w:rsidTr="00DF6DAB">
        <w:trPr>
          <w:trHeight w:val="315"/>
          <w:jc w:val="center"/>
        </w:trPr>
        <w:tc>
          <w:tcPr>
            <w:tcW w:w="638" w:type="dxa"/>
            <w:shd w:val="clear" w:color="auto" w:fill="auto"/>
            <w:noWrap/>
            <w:vAlign w:val="center"/>
          </w:tcPr>
          <w:p w:rsidR="00DF6DAB" w:rsidRPr="009E08C6" w:rsidRDefault="00DF6DAB" w:rsidP="009E08C6">
            <w:pPr>
              <w:spacing w:before="0" w:after="0" w:line="240" w:lineRule="auto"/>
              <w:rPr>
                <w:rFonts w:cstheme="minorHAnsi"/>
                <w:szCs w:val="24"/>
              </w:rPr>
            </w:pPr>
            <w:r w:rsidRPr="009E08C6">
              <w:rPr>
                <w:rFonts w:cstheme="minorHAnsi"/>
                <w:szCs w:val="24"/>
              </w:rPr>
              <w:t>2.2</w:t>
            </w:r>
          </w:p>
        </w:tc>
        <w:tc>
          <w:tcPr>
            <w:tcW w:w="2986" w:type="dxa"/>
            <w:tcBorders>
              <w:right w:val="single" w:sz="12" w:space="0" w:color="auto"/>
            </w:tcBorders>
            <w:shd w:val="clear" w:color="auto" w:fill="auto"/>
            <w:vAlign w:val="center"/>
          </w:tcPr>
          <w:p w:rsidR="00DF6DAB" w:rsidRPr="009E08C6" w:rsidRDefault="00DF6DAB" w:rsidP="009E08C6">
            <w:pPr>
              <w:spacing w:before="0" w:after="0" w:line="240" w:lineRule="auto"/>
              <w:rPr>
                <w:rFonts w:cstheme="minorHAnsi"/>
                <w:szCs w:val="24"/>
              </w:rPr>
            </w:pPr>
            <w:r w:rsidRPr="009E08C6">
              <w:rPr>
                <w:rFonts w:cstheme="minorHAnsi"/>
                <w:szCs w:val="24"/>
              </w:rPr>
              <w:t>Fotogrametrija i daljinska detekcija</w:t>
            </w:r>
          </w:p>
        </w:tc>
        <w:tc>
          <w:tcPr>
            <w:tcW w:w="5529" w:type="dxa"/>
            <w:tcBorders>
              <w:left w:val="single" w:sz="12" w:space="0" w:color="auto"/>
            </w:tcBorders>
            <w:shd w:val="clear" w:color="auto" w:fill="auto"/>
            <w:noWrap/>
            <w:tcMar>
              <w:left w:w="58" w:type="dxa"/>
              <w:right w:w="58" w:type="dxa"/>
            </w:tcMar>
            <w:vAlign w:val="center"/>
          </w:tcPr>
          <w:p w:rsidR="00DF6DAB" w:rsidRPr="009E08C6" w:rsidRDefault="00DF6DAB" w:rsidP="009E08C6">
            <w:pPr>
              <w:spacing w:before="0" w:after="0" w:line="240" w:lineRule="auto"/>
              <w:rPr>
                <w:rFonts w:cstheme="minorHAnsi"/>
                <w:szCs w:val="24"/>
              </w:rPr>
            </w:pPr>
          </w:p>
        </w:tc>
      </w:tr>
      <w:tr w:rsidR="00DF6DAB" w:rsidRPr="009E08C6" w:rsidTr="00DF6DAB">
        <w:trPr>
          <w:trHeight w:val="315"/>
          <w:jc w:val="center"/>
        </w:trPr>
        <w:tc>
          <w:tcPr>
            <w:tcW w:w="638" w:type="dxa"/>
            <w:shd w:val="clear" w:color="auto" w:fill="auto"/>
            <w:noWrap/>
            <w:vAlign w:val="center"/>
          </w:tcPr>
          <w:p w:rsidR="00DF6DAB" w:rsidRPr="009E08C6" w:rsidRDefault="00DF6DAB" w:rsidP="009E08C6">
            <w:pPr>
              <w:spacing w:before="0" w:after="0" w:line="240" w:lineRule="auto"/>
              <w:rPr>
                <w:rFonts w:cstheme="minorHAnsi"/>
                <w:szCs w:val="24"/>
              </w:rPr>
            </w:pPr>
          </w:p>
        </w:tc>
        <w:tc>
          <w:tcPr>
            <w:tcW w:w="2986" w:type="dxa"/>
            <w:tcBorders>
              <w:right w:val="single" w:sz="12" w:space="0" w:color="auto"/>
            </w:tcBorders>
            <w:shd w:val="clear" w:color="auto" w:fill="auto"/>
            <w:vAlign w:val="center"/>
          </w:tcPr>
          <w:p w:rsidR="00DF6DAB" w:rsidRPr="009E08C6" w:rsidRDefault="00DF6DAB" w:rsidP="009E08C6">
            <w:pPr>
              <w:spacing w:before="0" w:after="0" w:line="240" w:lineRule="auto"/>
              <w:rPr>
                <w:rFonts w:cstheme="minorHAnsi"/>
                <w:szCs w:val="24"/>
              </w:rPr>
            </w:pPr>
            <w:r w:rsidRPr="009E08C6">
              <w:rPr>
                <w:rFonts w:cstheme="minorHAnsi"/>
                <w:szCs w:val="24"/>
              </w:rPr>
              <w:t>Održavanje softvera</w:t>
            </w:r>
          </w:p>
        </w:tc>
        <w:tc>
          <w:tcPr>
            <w:tcW w:w="5529" w:type="dxa"/>
            <w:tcBorders>
              <w:left w:val="single" w:sz="12" w:space="0" w:color="auto"/>
            </w:tcBorders>
            <w:shd w:val="clear" w:color="auto" w:fill="auto"/>
            <w:noWrap/>
            <w:tcMar>
              <w:left w:w="58" w:type="dxa"/>
              <w:right w:w="58" w:type="dxa"/>
            </w:tcMar>
            <w:vAlign w:val="center"/>
          </w:tcPr>
          <w:p w:rsidR="00DF6DAB" w:rsidRPr="009E08C6" w:rsidRDefault="00DF6DAB" w:rsidP="009E08C6">
            <w:pPr>
              <w:spacing w:before="0" w:after="0" w:line="240" w:lineRule="auto"/>
              <w:rPr>
                <w:rFonts w:cstheme="minorHAnsi"/>
                <w:szCs w:val="24"/>
              </w:rPr>
            </w:pPr>
            <w:r w:rsidRPr="009E08C6">
              <w:rPr>
                <w:rFonts w:cstheme="minorHAnsi"/>
                <w:szCs w:val="24"/>
              </w:rPr>
              <w:t>Obezbijeđeno licenciranje i nadogradnja na nove verzije</w:t>
            </w:r>
          </w:p>
          <w:p w:rsidR="00DF6DAB" w:rsidRPr="009E08C6" w:rsidRDefault="00DF6DAB" w:rsidP="009E08C6">
            <w:pPr>
              <w:spacing w:before="0" w:after="0" w:line="240" w:lineRule="auto"/>
              <w:rPr>
                <w:rFonts w:cstheme="minorHAnsi"/>
                <w:szCs w:val="24"/>
              </w:rPr>
            </w:pPr>
            <w:r w:rsidRPr="009E08C6">
              <w:rPr>
                <w:rFonts w:cstheme="minorHAnsi"/>
                <w:szCs w:val="24"/>
              </w:rPr>
              <w:t>Erdas softver.</w:t>
            </w:r>
          </w:p>
        </w:tc>
      </w:tr>
      <w:tr w:rsidR="00DF6DAB" w:rsidRPr="009E08C6" w:rsidTr="00DF6DAB">
        <w:trPr>
          <w:trHeight w:val="315"/>
          <w:jc w:val="center"/>
        </w:trPr>
        <w:tc>
          <w:tcPr>
            <w:tcW w:w="638" w:type="dxa"/>
            <w:shd w:val="clear" w:color="auto" w:fill="auto"/>
            <w:noWrap/>
            <w:vAlign w:val="center"/>
          </w:tcPr>
          <w:p w:rsidR="00DF6DAB" w:rsidRPr="009E08C6" w:rsidRDefault="00DF6DAB" w:rsidP="009E08C6">
            <w:pPr>
              <w:spacing w:before="0" w:after="0" w:line="240" w:lineRule="auto"/>
              <w:rPr>
                <w:rFonts w:cstheme="minorHAnsi"/>
                <w:szCs w:val="24"/>
              </w:rPr>
            </w:pPr>
            <w:r w:rsidRPr="009E08C6">
              <w:rPr>
                <w:rFonts w:cstheme="minorHAnsi"/>
                <w:szCs w:val="24"/>
              </w:rPr>
              <w:t>2.3</w:t>
            </w:r>
          </w:p>
        </w:tc>
        <w:tc>
          <w:tcPr>
            <w:tcW w:w="2986" w:type="dxa"/>
            <w:tcBorders>
              <w:right w:val="single" w:sz="12" w:space="0" w:color="auto"/>
            </w:tcBorders>
            <w:shd w:val="clear" w:color="auto" w:fill="auto"/>
            <w:vAlign w:val="center"/>
          </w:tcPr>
          <w:p w:rsidR="00DF6DAB" w:rsidRPr="009E08C6" w:rsidRDefault="00DF6DAB" w:rsidP="009E08C6">
            <w:pPr>
              <w:spacing w:before="0" w:after="0" w:line="240" w:lineRule="auto"/>
              <w:rPr>
                <w:rFonts w:cstheme="minorHAnsi"/>
                <w:szCs w:val="24"/>
              </w:rPr>
            </w:pPr>
            <w:r w:rsidRPr="009E08C6">
              <w:rPr>
                <w:rFonts w:cstheme="minorHAnsi"/>
                <w:szCs w:val="24"/>
              </w:rPr>
              <w:t>GIS i Kartografija</w:t>
            </w:r>
          </w:p>
        </w:tc>
        <w:tc>
          <w:tcPr>
            <w:tcW w:w="5529" w:type="dxa"/>
            <w:tcBorders>
              <w:left w:val="single" w:sz="12" w:space="0" w:color="auto"/>
            </w:tcBorders>
            <w:shd w:val="clear" w:color="auto" w:fill="auto"/>
            <w:noWrap/>
            <w:tcMar>
              <w:left w:w="58" w:type="dxa"/>
              <w:right w:w="58" w:type="dxa"/>
            </w:tcMar>
            <w:vAlign w:val="center"/>
          </w:tcPr>
          <w:p w:rsidR="00DF6DAB" w:rsidRPr="009E08C6" w:rsidRDefault="00DF6DAB" w:rsidP="009E08C6">
            <w:pPr>
              <w:spacing w:before="0" w:after="0" w:line="240" w:lineRule="auto"/>
              <w:rPr>
                <w:rFonts w:cstheme="minorHAnsi"/>
                <w:szCs w:val="24"/>
              </w:rPr>
            </w:pPr>
          </w:p>
        </w:tc>
      </w:tr>
      <w:tr w:rsidR="00DF6DAB" w:rsidRPr="009E08C6" w:rsidTr="00DF6DAB">
        <w:trPr>
          <w:trHeight w:val="315"/>
          <w:jc w:val="center"/>
        </w:trPr>
        <w:tc>
          <w:tcPr>
            <w:tcW w:w="638" w:type="dxa"/>
            <w:shd w:val="clear" w:color="auto" w:fill="auto"/>
            <w:noWrap/>
            <w:vAlign w:val="center"/>
          </w:tcPr>
          <w:p w:rsidR="00DF6DAB" w:rsidRPr="009E08C6" w:rsidRDefault="00DF6DAB" w:rsidP="009E08C6">
            <w:pPr>
              <w:spacing w:before="0" w:after="0" w:line="240" w:lineRule="auto"/>
              <w:rPr>
                <w:rFonts w:cstheme="minorHAnsi"/>
                <w:szCs w:val="24"/>
              </w:rPr>
            </w:pPr>
          </w:p>
        </w:tc>
        <w:tc>
          <w:tcPr>
            <w:tcW w:w="2986" w:type="dxa"/>
            <w:tcBorders>
              <w:right w:val="single" w:sz="12" w:space="0" w:color="auto"/>
            </w:tcBorders>
            <w:shd w:val="clear" w:color="auto" w:fill="auto"/>
            <w:vAlign w:val="center"/>
          </w:tcPr>
          <w:p w:rsidR="00DF6DAB" w:rsidRPr="009E08C6" w:rsidRDefault="00DF6DAB" w:rsidP="009E08C6">
            <w:pPr>
              <w:spacing w:before="0" w:after="0" w:line="240" w:lineRule="auto"/>
              <w:rPr>
                <w:rFonts w:cstheme="minorHAnsi"/>
                <w:szCs w:val="24"/>
              </w:rPr>
            </w:pPr>
            <w:r w:rsidRPr="009E08C6">
              <w:rPr>
                <w:rFonts w:cstheme="minorHAnsi"/>
                <w:szCs w:val="24"/>
              </w:rPr>
              <w:t>Održavanje softvera</w:t>
            </w:r>
          </w:p>
        </w:tc>
        <w:tc>
          <w:tcPr>
            <w:tcW w:w="5529" w:type="dxa"/>
            <w:tcBorders>
              <w:left w:val="single" w:sz="12" w:space="0" w:color="auto"/>
            </w:tcBorders>
            <w:shd w:val="clear" w:color="auto" w:fill="auto"/>
            <w:noWrap/>
            <w:tcMar>
              <w:left w:w="58" w:type="dxa"/>
              <w:right w:w="58" w:type="dxa"/>
            </w:tcMar>
            <w:vAlign w:val="center"/>
          </w:tcPr>
          <w:p w:rsidR="00DF6DAB" w:rsidRPr="009E08C6" w:rsidRDefault="00DF6DAB" w:rsidP="009E08C6">
            <w:pPr>
              <w:spacing w:before="0" w:after="0" w:line="240" w:lineRule="auto"/>
              <w:rPr>
                <w:rFonts w:cstheme="minorHAnsi"/>
                <w:szCs w:val="24"/>
              </w:rPr>
            </w:pPr>
            <w:r w:rsidRPr="009E08C6">
              <w:rPr>
                <w:rFonts w:cstheme="minorHAnsi"/>
                <w:szCs w:val="24"/>
              </w:rPr>
              <w:t>Nijesu obezbijeđena sredstva za održavanje i nadogradnja softvera: Esri i AutoDesk.</w:t>
            </w:r>
          </w:p>
        </w:tc>
      </w:tr>
      <w:tr w:rsidR="00DF6DAB" w:rsidRPr="009E08C6" w:rsidTr="00DF6DAB">
        <w:trPr>
          <w:trHeight w:val="315"/>
          <w:jc w:val="center"/>
        </w:trPr>
        <w:tc>
          <w:tcPr>
            <w:tcW w:w="638" w:type="dxa"/>
            <w:shd w:val="clear" w:color="auto" w:fill="auto"/>
            <w:noWrap/>
            <w:vAlign w:val="center"/>
          </w:tcPr>
          <w:p w:rsidR="00DF6DAB" w:rsidRPr="009E08C6" w:rsidRDefault="00DF6DAB" w:rsidP="009E08C6">
            <w:pPr>
              <w:spacing w:before="0" w:after="0" w:line="240" w:lineRule="auto"/>
              <w:rPr>
                <w:rFonts w:cstheme="minorHAnsi"/>
                <w:szCs w:val="24"/>
              </w:rPr>
            </w:pPr>
            <w:r w:rsidRPr="009E08C6">
              <w:rPr>
                <w:rFonts w:cstheme="minorHAnsi"/>
                <w:szCs w:val="24"/>
              </w:rPr>
              <w:t>2.4</w:t>
            </w:r>
          </w:p>
        </w:tc>
        <w:tc>
          <w:tcPr>
            <w:tcW w:w="2986" w:type="dxa"/>
            <w:tcBorders>
              <w:right w:val="single" w:sz="12" w:space="0" w:color="auto"/>
            </w:tcBorders>
            <w:shd w:val="clear" w:color="auto" w:fill="auto"/>
            <w:vAlign w:val="center"/>
          </w:tcPr>
          <w:p w:rsidR="00DF6DAB" w:rsidRPr="009E08C6" w:rsidRDefault="00DF6DAB" w:rsidP="009E08C6">
            <w:pPr>
              <w:spacing w:before="0" w:after="0" w:line="240" w:lineRule="auto"/>
              <w:rPr>
                <w:rFonts w:cstheme="minorHAnsi"/>
                <w:szCs w:val="24"/>
              </w:rPr>
            </w:pPr>
            <w:r w:rsidRPr="009E08C6">
              <w:rPr>
                <w:rFonts w:cstheme="minorHAnsi"/>
                <w:szCs w:val="24"/>
              </w:rPr>
              <w:t>Katastar nepokretnosti</w:t>
            </w:r>
          </w:p>
        </w:tc>
        <w:tc>
          <w:tcPr>
            <w:tcW w:w="5529" w:type="dxa"/>
            <w:tcBorders>
              <w:left w:val="single" w:sz="12" w:space="0" w:color="auto"/>
            </w:tcBorders>
            <w:shd w:val="clear" w:color="auto" w:fill="auto"/>
            <w:noWrap/>
            <w:tcMar>
              <w:left w:w="58" w:type="dxa"/>
              <w:right w:w="58" w:type="dxa"/>
            </w:tcMar>
            <w:vAlign w:val="center"/>
          </w:tcPr>
          <w:p w:rsidR="00DF6DAB" w:rsidRPr="009E08C6" w:rsidRDefault="00DF6DAB" w:rsidP="009E08C6">
            <w:pPr>
              <w:spacing w:before="0" w:after="0" w:line="240" w:lineRule="auto"/>
              <w:rPr>
                <w:rFonts w:cstheme="minorHAnsi"/>
                <w:szCs w:val="24"/>
              </w:rPr>
            </w:pPr>
          </w:p>
        </w:tc>
      </w:tr>
      <w:tr w:rsidR="00DF6DAB" w:rsidRPr="009E08C6" w:rsidTr="00DF6DAB">
        <w:trPr>
          <w:trHeight w:val="255"/>
          <w:jc w:val="center"/>
        </w:trPr>
        <w:tc>
          <w:tcPr>
            <w:tcW w:w="638" w:type="dxa"/>
            <w:shd w:val="clear" w:color="auto" w:fill="auto"/>
            <w:noWrap/>
            <w:vAlign w:val="center"/>
          </w:tcPr>
          <w:p w:rsidR="00DF6DAB" w:rsidRPr="009E08C6" w:rsidRDefault="00DF6DAB" w:rsidP="009E08C6">
            <w:pPr>
              <w:spacing w:before="0" w:after="0" w:line="240" w:lineRule="auto"/>
              <w:rPr>
                <w:rFonts w:cstheme="minorHAnsi"/>
                <w:szCs w:val="24"/>
              </w:rPr>
            </w:pPr>
          </w:p>
        </w:tc>
        <w:tc>
          <w:tcPr>
            <w:tcW w:w="2986" w:type="dxa"/>
            <w:tcBorders>
              <w:right w:val="single" w:sz="12" w:space="0" w:color="auto"/>
            </w:tcBorders>
            <w:shd w:val="clear" w:color="auto" w:fill="auto"/>
            <w:vAlign w:val="center"/>
          </w:tcPr>
          <w:p w:rsidR="00DF6DAB" w:rsidRPr="009E08C6" w:rsidRDefault="00DF6DAB" w:rsidP="009E08C6">
            <w:pPr>
              <w:spacing w:before="0" w:after="0" w:line="240" w:lineRule="auto"/>
              <w:rPr>
                <w:rFonts w:cstheme="minorHAnsi"/>
                <w:szCs w:val="24"/>
              </w:rPr>
            </w:pPr>
            <w:r w:rsidRPr="009E08C6">
              <w:rPr>
                <w:rFonts w:cstheme="minorHAnsi"/>
                <w:szCs w:val="24"/>
              </w:rPr>
              <w:t>Održavanje softvera</w:t>
            </w:r>
          </w:p>
        </w:tc>
        <w:tc>
          <w:tcPr>
            <w:tcW w:w="5529" w:type="dxa"/>
            <w:tcBorders>
              <w:left w:val="single" w:sz="12" w:space="0" w:color="auto"/>
            </w:tcBorders>
            <w:shd w:val="clear" w:color="auto" w:fill="auto"/>
            <w:noWrap/>
            <w:tcMar>
              <w:left w:w="58" w:type="dxa"/>
              <w:right w:w="58" w:type="dxa"/>
            </w:tcMar>
            <w:vAlign w:val="center"/>
          </w:tcPr>
          <w:p w:rsidR="00DF6DAB" w:rsidRPr="009E08C6" w:rsidRDefault="00DF6DAB" w:rsidP="009E08C6">
            <w:pPr>
              <w:spacing w:before="0" w:after="0" w:line="240" w:lineRule="auto"/>
              <w:rPr>
                <w:rFonts w:cstheme="minorHAnsi"/>
                <w:szCs w:val="24"/>
              </w:rPr>
            </w:pPr>
            <w:bookmarkStart w:id="208" w:name="OLE_LINK165"/>
            <w:bookmarkStart w:id="209" w:name="OLE_LINK166"/>
            <w:bookmarkStart w:id="210" w:name="OLE_LINK167"/>
            <w:r w:rsidRPr="009E08C6">
              <w:rPr>
                <w:rFonts w:cstheme="minorHAnsi"/>
                <w:szCs w:val="24"/>
              </w:rPr>
              <w:t xml:space="preserve">Obezbijeđeno održavanje </w:t>
            </w:r>
            <w:bookmarkEnd w:id="208"/>
            <w:bookmarkEnd w:id="209"/>
            <w:bookmarkEnd w:id="210"/>
            <w:r w:rsidRPr="009E08C6">
              <w:rPr>
                <w:rFonts w:cstheme="minorHAnsi"/>
                <w:szCs w:val="24"/>
              </w:rPr>
              <w:t>i nadogradnja softvera.</w:t>
            </w:r>
          </w:p>
        </w:tc>
      </w:tr>
      <w:tr w:rsidR="00DF6DAB" w:rsidRPr="009E08C6" w:rsidTr="00DF6DAB">
        <w:trPr>
          <w:trHeight w:val="255"/>
          <w:jc w:val="center"/>
        </w:trPr>
        <w:tc>
          <w:tcPr>
            <w:tcW w:w="638" w:type="dxa"/>
            <w:shd w:val="clear" w:color="auto" w:fill="auto"/>
            <w:noWrap/>
            <w:vAlign w:val="center"/>
          </w:tcPr>
          <w:p w:rsidR="00DF6DAB" w:rsidRPr="009E08C6" w:rsidRDefault="00DF6DAB" w:rsidP="009E08C6">
            <w:pPr>
              <w:spacing w:before="0" w:after="0" w:line="240" w:lineRule="auto"/>
              <w:rPr>
                <w:rFonts w:cstheme="minorHAnsi"/>
                <w:szCs w:val="24"/>
              </w:rPr>
            </w:pPr>
            <w:r w:rsidRPr="009E08C6">
              <w:rPr>
                <w:rFonts w:cstheme="minorHAnsi"/>
                <w:szCs w:val="24"/>
              </w:rPr>
              <w:t>2.5</w:t>
            </w:r>
          </w:p>
        </w:tc>
        <w:tc>
          <w:tcPr>
            <w:tcW w:w="2986" w:type="dxa"/>
            <w:tcBorders>
              <w:right w:val="single" w:sz="12" w:space="0" w:color="auto"/>
            </w:tcBorders>
            <w:shd w:val="clear" w:color="auto" w:fill="auto"/>
            <w:vAlign w:val="center"/>
          </w:tcPr>
          <w:p w:rsidR="00DF6DAB" w:rsidRPr="009E08C6" w:rsidRDefault="00DF6DAB" w:rsidP="009E08C6">
            <w:pPr>
              <w:spacing w:before="0" w:after="0" w:line="240" w:lineRule="auto"/>
              <w:rPr>
                <w:rFonts w:cstheme="minorHAnsi"/>
                <w:szCs w:val="24"/>
              </w:rPr>
            </w:pPr>
            <w:r w:rsidRPr="009E08C6">
              <w:rPr>
                <w:rFonts w:cstheme="minorHAnsi"/>
                <w:szCs w:val="24"/>
              </w:rPr>
              <w:t>Aplikativni softver za poslovne komunikacije</w:t>
            </w:r>
          </w:p>
        </w:tc>
        <w:tc>
          <w:tcPr>
            <w:tcW w:w="5529" w:type="dxa"/>
            <w:tcBorders>
              <w:left w:val="single" w:sz="12" w:space="0" w:color="auto"/>
            </w:tcBorders>
            <w:shd w:val="clear" w:color="auto" w:fill="auto"/>
            <w:noWrap/>
            <w:tcMar>
              <w:left w:w="58" w:type="dxa"/>
              <w:right w:w="58" w:type="dxa"/>
            </w:tcMar>
            <w:vAlign w:val="center"/>
          </w:tcPr>
          <w:p w:rsidR="00DF6DAB" w:rsidRPr="009E08C6" w:rsidRDefault="00DF6DAB" w:rsidP="009E08C6">
            <w:pPr>
              <w:spacing w:before="0" w:after="0" w:line="240" w:lineRule="auto"/>
              <w:rPr>
                <w:rFonts w:cstheme="minorHAnsi"/>
                <w:szCs w:val="24"/>
              </w:rPr>
            </w:pPr>
          </w:p>
        </w:tc>
      </w:tr>
      <w:tr w:rsidR="00DF6DAB" w:rsidRPr="009E08C6" w:rsidTr="00DF6DAB">
        <w:trPr>
          <w:trHeight w:val="255"/>
          <w:jc w:val="center"/>
        </w:trPr>
        <w:tc>
          <w:tcPr>
            <w:tcW w:w="638" w:type="dxa"/>
            <w:shd w:val="clear" w:color="auto" w:fill="auto"/>
            <w:noWrap/>
            <w:vAlign w:val="center"/>
          </w:tcPr>
          <w:p w:rsidR="00DF6DAB" w:rsidRPr="009E08C6" w:rsidRDefault="00DF6DAB" w:rsidP="009E08C6">
            <w:pPr>
              <w:spacing w:before="0" w:after="0" w:line="240" w:lineRule="auto"/>
              <w:rPr>
                <w:rFonts w:cstheme="minorHAnsi"/>
                <w:szCs w:val="24"/>
              </w:rPr>
            </w:pPr>
          </w:p>
        </w:tc>
        <w:tc>
          <w:tcPr>
            <w:tcW w:w="2986" w:type="dxa"/>
            <w:tcBorders>
              <w:right w:val="single" w:sz="12" w:space="0" w:color="auto"/>
            </w:tcBorders>
            <w:shd w:val="clear" w:color="auto" w:fill="auto"/>
            <w:vAlign w:val="center"/>
          </w:tcPr>
          <w:p w:rsidR="00DF6DAB" w:rsidRPr="009E08C6" w:rsidRDefault="00DF6DAB" w:rsidP="009E08C6">
            <w:pPr>
              <w:spacing w:before="0" w:after="0" w:line="240" w:lineRule="auto"/>
              <w:rPr>
                <w:rFonts w:cstheme="minorHAnsi"/>
                <w:szCs w:val="24"/>
              </w:rPr>
            </w:pPr>
            <w:r w:rsidRPr="009E08C6">
              <w:rPr>
                <w:rFonts w:cstheme="minorHAnsi"/>
                <w:szCs w:val="24"/>
              </w:rPr>
              <w:t>Održavanje softvera</w:t>
            </w:r>
          </w:p>
        </w:tc>
        <w:tc>
          <w:tcPr>
            <w:tcW w:w="5529" w:type="dxa"/>
            <w:tcBorders>
              <w:left w:val="single" w:sz="12" w:space="0" w:color="auto"/>
            </w:tcBorders>
            <w:shd w:val="clear" w:color="auto" w:fill="auto"/>
            <w:noWrap/>
            <w:tcMar>
              <w:left w:w="58" w:type="dxa"/>
              <w:right w:w="58" w:type="dxa"/>
            </w:tcMar>
            <w:vAlign w:val="center"/>
          </w:tcPr>
          <w:p w:rsidR="00DF6DAB" w:rsidRPr="009E08C6" w:rsidRDefault="00DF6DAB" w:rsidP="009E08C6">
            <w:pPr>
              <w:spacing w:before="0" w:after="0" w:line="240" w:lineRule="auto"/>
              <w:rPr>
                <w:rFonts w:cstheme="minorHAnsi"/>
                <w:szCs w:val="24"/>
              </w:rPr>
            </w:pPr>
            <w:r w:rsidRPr="009E08C6">
              <w:rPr>
                <w:rFonts w:cstheme="minorHAnsi"/>
                <w:szCs w:val="24"/>
              </w:rPr>
              <w:t xml:space="preserve"> </w:t>
            </w:r>
          </w:p>
        </w:tc>
      </w:tr>
      <w:tr w:rsidR="00DF6DAB" w:rsidRPr="009E08C6" w:rsidTr="00DF6DAB">
        <w:trPr>
          <w:trHeight w:val="255"/>
          <w:jc w:val="center"/>
        </w:trPr>
        <w:tc>
          <w:tcPr>
            <w:tcW w:w="638" w:type="dxa"/>
            <w:shd w:val="clear" w:color="auto" w:fill="auto"/>
            <w:noWrap/>
            <w:vAlign w:val="center"/>
          </w:tcPr>
          <w:p w:rsidR="00DF6DAB" w:rsidRPr="009E08C6" w:rsidRDefault="00DF6DAB" w:rsidP="009E08C6">
            <w:pPr>
              <w:spacing w:before="0" w:after="0" w:line="240" w:lineRule="auto"/>
              <w:rPr>
                <w:rFonts w:cstheme="minorHAnsi"/>
                <w:szCs w:val="24"/>
              </w:rPr>
            </w:pPr>
            <w:r w:rsidRPr="009E08C6">
              <w:rPr>
                <w:rFonts w:cstheme="minorHAnsi"/>
                <w:szCs w:val="24"/>
              </w:rPr>
              <w:t>2.6</w:t>
            </w:r>
          </w:p>
        </w:tc>
        <w:tc>
          <w:tcPr>
            <w:tcW w:w="2986" w:type="dxa"/>
            <w:tcBorders>
              <w:right w:val="single" w:sz="12" w:space="0" w:color="auto"/>
            </w:tcBorders>
            <w:shd w:val="clear" w:color="auto" w:fill="auto"/>
            <w:vAlign w:val="center"/>
          </w:tcPr>
          <w:p w:rsidR="00DF6DAB" w:rsidRPr="009E08C6" w:rsidRDefault="00DF6DAB" w:rsidP="009E08C6">
            <w:pPr>
              <w:spacing w:before="0" w:after="0" w:line="240" w:lineRule="auto"/>
              <w:rPr>
                <w:rFonts w:cstheme="minorHAnsi"/>
                <w:szCs w:val="24"/>
              </w:rPr>
            </w:pPr>
            <w:r w:rsidRPr="009E08C6">
              <w:rPr>
                <w:rFonts w:cstheme="minorHAnsi"/>
                <w:szCs w:val="24"/>
              </w:rPr>
              <w:t>Arhiv</w:t>
            </w:r>
          </w:p>
        </w:tc>
        <w:tc>
          <w:tcPr>
            <w:tcW w:w="5529" w:type="dxa"/>
            <w:tcBorders>
              <w:left w:val="single" w:sz="12" w:space="0" w:color="auto"/>
            </w:tcBorders>
            <w:shd w:val="clear" w:color="auto" w:fill="auto"/>
            <w:noWrap/>
            <w:tcMar>
              <w:left w:w="58" w:type="dxa"/>
              <w:right w:w="58" w:type="dxa"/>
            </w:tcMar>
            <w:vAlign w:val="center"/>
          </w:tcPr>
          <w:p w:rsidR="00DF6DAB" w:rsidRPr="009E08C6" w:rsidRDefault="00DF6DAB" w:rsidP="009E08C6">
            <w:pPr>
              <w:spacing w:before="0" w:after="0" w:line="240" w:lineRule="auto"/>
              <w:rPr>
                <w:rFonts w:cstheme="minorHAnsi"/>
                <w:szCs w:val="24"/>
              </w:rPr>
            </w:pPr>
          </w:p>
        </w:tc>
      </w:tr>
      <w:tr w:rsidR="00DF6DAB" w:rsidRPr="009E08C6" w:rsidTr="00DF6DAB">
        <w:trPr>
          <w:trHeight w:val="255"/>
          <w:jc w:val="center"/>
        </w:trPr>
        <w:tc>
          <w:tcPr>
            <w:tcW w:w="638" w:type="dxa"/>
            <w:shd w:val="clear" w:color="auto" w:fill="auto"/>
            <w:noWrap/>
            <w:vAlign w:val="center"/>
          </w:tcPr>
          <w:p w:rsidR="00DF6DAB" w:rsidRPr="009E08C6" w:rsidRDefault="00DF6DAB" w:rsidP="009E08C6">
            <w:pPr>
              <w:spacing w:before="0" w:after="0" w:line="240" w:lineRule="auto"/>
              <w:rPr>
                <w:rFonts w:cstheme="minorHAnsi"/>
                <w:szCs w:val="24"/>
              </w:rPr>
            </w:pPr>
          </w:p>
        </w:tc>
        <w:tc>
          <w:tcPr>
            <w:tcW w:w="2986" w:type="dxa"/>
            <w:tcBorders>
              <w:right w:val="single" w:sz="12" w:space="0" w:color="auto"/>
            </w:tcBorders>
            <w:shd w:val="clear" w:color="auto" w:fill="auto"/>
            <w:vAlign w:val="center"/>
          </w:tcPr>
          <w:p w:rsidR="00DF6DAB" w:rsidRPr="009E08C6" w:rsidRDefault="00DF6DAB" w:rsidP="009E08C6">
            <w:pPr>
              <w:spacing w:before="0" w:after="0" w:line="240" w:lineRule="auto"/>
              <w:rPr>
                <w:rFonts w:cstheme="minorHAnsi"/>
                <w:szCs w:val="24"/>
              </w:rPr>
            </w:pPr>
            <w:r w:rsidRPr="009E08C6">
              <w:rPr>
                <w:rFonts w:cstheme="minorHAnsi"/>
                <w:szCs w:val="24"/>
              </w:rPr>
              <w:t>Razvoj i Implementacija   softverskog rješenja</w:t>
            </w:r>
          </w:p>
        </w:tc>
        <w:tc>
          <w:tcPr>
            <w:tcW w:w="5529" w:type="dxa"/>
            <w:tcBorders>
              <w:left w:val="single" w:sz="12" w:space="0" w:color="auto"/>
            </w:tcBorders>
            <w:shd w:val="clear" w:color="auto" w:fill="auto"/>
            <w:noWrap/>
            <w:tcMar>
              <w:left w:w="58" w:type="dxa"/>
              <w:right w:w="58" w:type="dxa"/>
            </w:tcMar>
            <w:vAlign w:val="center"/>
          </w:tcPr>
          <w:p w:rsidR="00DF6DAB" w:rsidRPr="009E08C6" w:rsidRDefault="00DF6DAB" w:rsidP="009E08C6">
            <w:pPr>
              <w:spacing w:before="0" w:after="0" w:line="240" w:lineRule="auto"/>
              <w:rPr>
                <w:rFonts w:cstheme="minorHAnsi"/>
                <w:szCs w:val="24"/>
              </w:rPr>
            </w:pPr>
            <w:r w:rsidRPr="009E08C6">
              <w:rPr>
                <w:rFonts w:cstheme="minorHAnsi"/>
                <w:szCs w:val="24"/>
              </w:rPr>
              <w:t>Obezbijeđeno licenciranje i nadogradnja softvera.</w:t>
            </w:r>
          </w:p>
        </w:tc>
      </w:tr>
      <w:tr w:rsidR="00DF6DAB" w:rsidRPr="009E08C6" w:rsidTr="00DF6DAB">
        <w:trPr>
          <w:trHeight w:val="509"/>
          <w:jc w:val="center"/>
        </w:trPr>
        <w:tc>
          <w:tcPr>
            <w:tcW w:w="638" w:type="dxa"/>
            <w:shd w:val="clear" w:color="auto" w:fill="auto"/>
            <w:noWrap/>
            <w:vAlign w:val="center"/>
          </w:tcPr>
          <w:p w:rsidR="00DF6DAB" w:rsidRPr="009E08C6" w:rsidRDefault="00DF6DAB" w:rsidP="009E08C6">
            <w:pPr>
              <w:spacing w:before="0" w:after="0" w:line="240" w:lineRule="auto"/>
              <w:rPr>
                <w:rFonts w:cstheme="minorHAnsi"/>
                <w:szCs w:val="24"/>
              </w:rPr>
            </w:pPr>
            <w:r w:rsidRPr="009E08C6">
              <w:rPr>
                <w:rFonts w:cstheme="minorHAnsi"/>
                <w:szCs w:val="24"/>
              </w:rPr>
              <w:t>3</w:t>
            </w:r>
          </w:p>
        </w:tc>
        <w:tc>
          <w:tcPr>
            <w:tcW w:w="2986" w:type="dxa"/>
            <w:tcBorders>
              <w:right w:val="single" w:sz="12" w:space="0" w:color="auto"/>
            </w:tcBorders>
            <w:shd w:val="clear" w:color="auto" w:fill="auto"/>
            <w:vAlign w:val="center"/>
          </w:tcPr>
          <w:p w:rsidR="00DF6DAB" w:rsidRPr="009E08C6" w:rsidRDefault="00DF6DAB" w:rsidP="009E08C6">
            <w:pPr>
              <w:spacing w:before="0" w:after="0" w:line="240" w:lineRule="auto"/>
              <w:rPr>
                <w:rFonts w:cstheme="minorHAnsi"/>
                <w:szCs w:val="24"/>
              </w:rPr>
            </w:pPr>
            <w:r w:rsidRPr="009E08C6">
              <w:rPr>
                <w:rFonts w:cstheme="minorHAnsi"/>
                <w:szCs w:val="24"/>
              </w:rPr>
              <w:t>Unaprjeđenje rada INFORMACIONOG SISTEMA</w:t>
            </w:r>
          </w:p>
        </w:tc>
        <w:tc>
          <w:tcPr>
            <w:tcW w:w="5529" w:type="dxa"/>
            <w:tcBorders>
              <w:left w:val="single" w:sz="12" w:space="0" w:color="auto"/>
            </w:tcBorders>
            <w:shd w:val="clear" w:color="auto" w:fill="auto"/>
            <w:noWrap/>
            <w:tcMar>
              <w:left w:w="58" w:type="dxa"/>
              <w:right w:w="58" w:type="dxa"/>
            </w:tcMar>
            <w:vAlign w:val="center"/>
          </w:tcPr>
          <w:p w:rsidR="00DF6DAB" w:rsidRPr="009E08C6" w:rsidRDefault="00DF6DAB" w:rsidP="009E08C6">
            <w:pPr>
              <w:spacing w:before="0" w:after="0" w:line="240" w:lineRule="auto"/>
              <w:rPr>
                <w:rFonts w:cstheme="minorHAnsi"/>
                <w:szCs w:val="24"/>
              </w:rPr>
            </w:pPr>
          </w:p>
        </w:tc>
      </w:tr>
      <w:tr w:rsidR="00DF6DAB" w:rsidRPr="009E08C6" w:rsidTr="00DF6DAB">
        <w:trPr>
          <w:trHeight w:val="255"/>
          <w:jc w:val="center"/>
        </w:trPr>
        <w:tc>
          <w:tcPr>
            <w:tcW w:w="638" w:type="dxa"/>
            <w:shd w:val="clear" w:color="auto" w:fill="auto"/>
            <w:noWrap/>
            <w:vAlign w:val="center"/>
          </w:tcPr>
          <w:p w:rsidR="00DF6DAB" w:rsidRPr="009E08C6" w:rsidRDefault="00DF6DAB" w:rsidP="009E08C6">
            <w:pPr>
              <w:spacing w:before="0" w:after="0" w:line="240" w:lineRule="auto"/>
              <w:rPr>
                <w:rFonts w:cstheme="minorHAnsi"/>
                <w:szCs w:val="24"/>
              </w:rPr>
            </w:pPr>
            <w:r w:rsidRPr="009E08C6">
              <w:rPr>
                <w:rFonts w:cstheme="minorHAnsi"/>
                <w:szCs w:val="24"/>
              </w:rPr>
              <w:t>3.1</w:t>
            </w:r>
          </w:p>
        </w:tc>
        <w:tc>
          <w:tcPr>
            <w:tcW w:w="2986" w:type="dxa"/>
            <w:tcBorders>
              <w:right w:val="single" w:sz="12" w:space="0" w:color="auto"/>
            </w:tcBorders>
            <w:shd w:val="clear" w:color="auto" w:fill="auto"/>
            <w:vAlign w:val="center"/>
          </w:tcPr>
          <w:p w:rsidR="00DF6DAB" w:rsidRPr="009E08C6" w:rsidRDefault="00DF6DAB" w:rsidP="009E08C6">
            <w:pPr>
              <w:spacing w:before="0" w:after="0" w:line="240" w:lineRule="auto"/>
              <w:rPr>
                <w:rFonts w:cstheme="minorHAnsi"/>
                <w:szCs w:val="24"/>
              </w:rPr>
            </w:pPr>
            <w:r w:rsidRPr="009E08C6">
              <w:rPr>
                <w:rFonts w:cstheme="minorHAnsi"/>
                <w:szCs w:val="24"/>
              </w:rPr>
              <w:t>Geoportal</w:t>
            </w:r>
          </w:p>
        </w:tc>
        <w:tc>
          <w:tcPr>
            <w:tcW w:w="5529" w:type="dxa"/>
            <w:tcBorders>
              <w:left w:val="single" w:sz="12" w:space="0" w:color="auto"/>
            </w:tcBorders>
            <w:shd w:val="clear" w:color="auto" w:fill="auto"/>
            <w:noWrap/>
            <w:tcMar>
              <w:left w:w="58" w:type="dxa"/>
              <w:right w:w="58" w:type="dxa"/>
            </w:tcMar>
            <w:vAlign w:val="center"/>
          </w:tcPr>
          <w:p w:rsidR="00DF6DAB" w:rsidRPr="009E08C6" w:rsidRDefault="00DF6DAB" w:rsidP="009E08C6">
            <w:pPr>
              <w:spacing w:before="0" w:after="0" w:line="240" w:lineRule="auto"/>
              <w:rPr>
                <w:rFonts w:cstheme="minorHAnsi"/>
                <w:szCs w:val="24"/>
              </w:rPr>
            </w:pPr>
          </w:p>
        </w:tc>
      </w:tr>
      <w:tr w:rsidR="00DF6DAB" w:rsidRPr="009E08C6" w:rsidTr="00DF6DAB">
        <w:trPr>
          <w:trHeight w:val="255"/>
          <w:jc w:val="center"/>
        </w:trPr>
        <w:tc>
          <w:tcPr>
            <w:tcW w:w="638" w:type="dxa"/>
            <w:tcBorders>
              <w:bottom w:val="single" w:sz="12" w:space="0" w:color="auto"/>
            </w:tcBorders>
            <w:shd w:val="clear" w:color="auto" w:fill="auto"/>
            <w:noWrap/>
            <w:vAlign w:val="center"/>
          </w:tcPr>
          <w:p w:rsidR="00DF6DAB" w:rsidRPr="009E08C6" w:rsidRDefault="00DF6DAB" w:rsidP="009E08C6">
            <w:pPr>
              <w:spacing w:before="0" w:after="0" w:line="240" w:lineRule="auto"/>
              <w:rPr>
                <w:rFonts w:cstheme="minorHAnsi"/>
                <w:szCs w:val="24"/>
              </w:rPr>
            </w:pPr>
          </w:p>
        </w:tc>
        <w:tc>
          <w:tcPr>
            <w:tcW w:w="2986" w:type="dxa"/>
            <w:tcBorders>
              <w:bottom w:val="single" w:sz="12" w:space="0" w:color="auto"/>
              <w:right w:val="single" w:sz="12" w:space="0" w:color="auto"/>
            </w:tcBorders>
            <w:shd w:val="clear" w:color="auto" w:fill="auto"/>
            <w:vAlign w:val="center"/>
          </w:tcPr>
          <w:p w:rsidR="00DF6DAB" w:rsidRPr="009E08C6" w:rsidRDefault="00DF6DAB" w:rsidP="009E08C6">
            <w:pPr>
              <w:spacing w:before="0" w:after="0" w:line="240" w:lineRule="auto"/>
              <w:rPr>
                <w:rFonts w:cstheme="minorHAnsi"/>
                <w:szCs w:val="24"/>
              </w:rPr>
            </w:pPr>
            <w:r w:rsidRPr="009E08C6">
              <w:rPr>
                <w:rFonts w:cstheme="minorHAnsi"/>
                <w:szCs w:val="24"/>
              </w:rPr>
              <w:t>Razvoj i Implementacija   softverskog rješenja</w:t>
            </w:r>
          </w:p>
        </w:tc>
        <w:tc>
          <w:tcPr>
            <w:tcW w:w="5529" w:type="dxa"/>
            <w:tcBorders>
              <w:left w:val="single" w:sz="12" w:space="0" w:color="auto"/>
            </w:tcBorders>
            <w:shd w:val="clear" w:color="auto" w:fill="auto"/>
            <w:noWrap/>
            <w:tcMar>
              <w:left w:w="58" w:type="dxa"/>
              <w:right w:w="58" w:type="dxa"/>
            </w:tcMar>
            <w:vAlign w:val="center"/>
          </w:tcPr>
          <w:p w:rsidR="00DF6DAB" w:rsidRPr="009E08C6" w:rsidRDefault="00DF6DAB" w:rsidP="009E08C6">
            <w:pPr>
              <w:spacing w:before="0" w:after="0" w:line="240" w:lineRule="auto"/>
              <w:rPr>
                <w:rFonts w:cstheme="minorHAnsi"/>
                <w:szCs w:val="24"/>
              </w:rPr>
            </w:pPr>
            <w:r w:rsidRPr="009E08C6">
              <w:rPr>
                <w:rFonts w:cstheme="minorHAnsi"/>
                <w:szCs w:val="24"/>
              </w:rPr>
              <w:t>Obezbijeđeno licenciranje za novi Geoportal.</w:t>
            </w:r>
          </w:p>
        </w:tc>
      </w:tr>
    </w:tbl>
    <w:p w:rsidR="00DF6DAB" w:rsidRPr="009E08C6" w:rsidRDefault="00DF6DAB" w:rsidP="009E08C6">
      <w:pPr>
        <w:spacing w:before="0" w:after="0" w:line="240" w:lineRule="auto"/>
        <w:rPr>
          <w:rFonts w:cstheme="minorHAnsi"/>
          <w:szCs w:val="24"/>
        </w:rPr>
      </w:pPr>
      <w:bookmarkStart w:id="211" w:name="_Toc172082060"/>
    </w:p>
    <w:p w:rsidR="00DF6DAB" w:rsidRPr="009E08C6" w:rsidRDefault="00DF6DAB" w:rsidP="009E08C6">
      <w:pPr>
        <w:spacing w:before="0" w:after="0" w:line="240" w:lineRule="auto"/>
        <w:rPr>
          <w:rFonts w:cstheme="minorHAnsi"/>
          <w:szCs w:val="24"/>
        </w:rPr>
      </w:pPr>
    </w:p>
    <w:p w:rsidR="00DF6DAB" w:rsidRPr="009E08C6" w:rsidRDefault="00DF6DAB" w:rsidP="009E08C6">
      <w:pPr>
        <w:spacing w:before="0" w:after="0" w:line="240" w:lineRule="auto"/>
        <w:jc w:val="center"/>
        <w:rPr>
          <w:rFonts w:cstheme="minorHAnsi"/>
          <w:szCs w:val="24"/>
        </w:rPr>
      </w:pPr>
      <w:r w:rsidRPr="009E08C6">
        <w:rPr>
          <w:rFonts w:cstheme="minorHAnsi"/>
          <w:szCs w:val="24"/>
        </w:rPr>
        <w:t>Tabela 11.2. Opis aktivnosti - hardverska infrastruktura</w:t>
      </w:r>
    </w:p>
    <w:tbl>
      <w:tblPr>
        <w:tblW w:w="4885"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636"/>
        <w:gridCol w:w="3049"/>
        <w:gridCol w:w="5702"/>
      </w:tblGrid>
      <w:tr w:rsidR="00DF6DAB" w:rsidRPr="009E08C6" w:rsidTr="00DF6DAB">
        <w:trPr>
          <w:trHeight w:val="300"/>
          <w:jc w:val="center"/>
        </w:trPr>
        <w:tc>
          <w:tcPr>
            <w:tcW w:w="339" w:type="pct"/>
            <w:tcBorders>
              <w:top w:val="single" w:sz="12" w:space="0" w:color="auto"/>
              <w:bottom w:val="single" w:sz="12" w:space="0" w:color="auto"/>
              <w:right w:val="single" w:sz="6" w:space="0" w:color="auto"/>
            </w:tcBorders>
            <w:shd w:val="clear" w:color="auto" w:fill="auto"/>
            <w:noWrap/>
            <w:vAlign w:val="center"/>
          </w:tcPr>
          <w:p w:rsidR="00DF6DAB" w:rsidRPr="009E08C6" w:rsidRDefault="00DF6DAB" w:rsidP="009E08C6">
            <w:pPr>
              <w:spacing w:before="0" w:after="0" w:line="240" w:lineRule="auto"/>
              <w:rPr>
                <w:rFonts w:cstheme="minorHAnsi"/>
                <w:szCs w:val="24"/>
              </w:rPr>
            </w:pPr>
            <w:r w:rsidRPr="009E08C6">
              <w:rPr>
                <w:rFonts w:cstheme="minorHAnsi"/>
                <w:szCs w:val="24"/>
              </w:rPr>
              <w:t>Red</w:t>
            </w:r>
          </w:p>
          <w:p w:rsidR="00DF6DAB" w:rsidRPr="009E08C6" w:rsidRDefault="00DF6DAB" w:rsidP="009E08C6">
            <w:pPr>
              <w:spacing w:before="0" w:after="0" w:line="240" w:lineRule="auto"/>
              <w:rPr>
                <w:rFonts w:cstheme="minorHAnsi"/>
                <w:szCs w:val="24"/>
              </w:rPr>
            </w:pPr>
            <w:r w:rsidRPr="009E08C6">
              <w:rPr>
                <w:rFonts w:cstheme="minorHAnsi"/>
                <w:szCs w:val="24"/>
              </w:rPr>
              <w:t>broj</w:t>
            </w:r>
          </w:p>
        </w:tc>
        <w:tc>
          <w:tcPr>
            <w:tcW w:w="1624" w:type="pct"/>
            <w:tcBorders>
              <w:top w:val="single" w:sz="12" w:space="0" w:color="auto"/>
              <w:left w:val="single" w:sz="6" w:space="0" w:color="auto"/>
              <w:bottom w:val="single" w:sz="12" w:space="0" w:color="auto"/>
              <w:right w:val="single" w:sz="12" w:space="0" w:color="auto"/>
            </w:tcBorders>
            <w:shd w:val="clear" w:color="auto" w:fill="auto"/>
            <w:vAlign w:val="center"/>
          </w:tcPr>
          <w:p w:rsidR="00DF6DAB" w:rsidRPr="009E08C6" w:rsidRDefault="00DF6DAB" w:rsidP="009E08C6">
            <w:pPr>
              <w:spacing w:before="0" w:after="0" w:line="240" w:lineRule="auto"/>
              <w:rPr>
                <w:rFonts w:cstheme="minorHAnsi"/>
                <w:szCs w:val="24"/>
              </w:rPr>
            </w:pPr>
            <w:r w:rsidRPr="009E08C6">
              <w:rPr>
                <w:rFonts w:cstheme="minorHAnsi"/>
                <w:szCs w:val="24"/>
              </w:rPr>
              <w:t>Aktivnost</w:t>
            </w:r>
          </w:p>
        </w:tc>
        <w:tc>
          <w:tcPr>
            <w:tcW w:w="3037" w:type="pct"/>
            <w:tcBorders>
              <w:top w:val="single" w:sz="12" w:space="0" w:color="auto"/>
              <w:left w:val="single" w:sz="12" w:space="0" w:color="auto"/>
              <w:bottom w:val="single" w:sz="12" w:space="0" w:color="auto"/>
              <w:right w:val="single" w:sz="12" w:space="0" w:color="auto"/>
            </w:tcBorders>
            <w:vAlign w:val="center"/>
          </w:tcPr>
          <w:p w:rsidR="00DF6DAB" w:rsidRPr="009E08C6" w:rsidRDefault="00DF6DAB" w:rsidP="009E08C6">
            <w:pPr>
              <w:spacing w:before="0" w:after="0" w:line="240" w:lineRule="auto"/>
              <w:rPr>
                <w:rFonts w:cstheme="minorHAnsi"/>
                <w:szCs w:val="24"/>
              </w:rPr>
            </w:pPr>
            <w:r w:rsidRPr="009E08C6">
              <w:rPr>
                <w:rFonts w:cstheme="minorHAnsi"/>
                <w:szCs w:val="24"/>
              </w:rPr>
              <w:t>Opis aktivnosti</w:t>
            </w:r>
          </w:p>
        </w:tc>
      </w:tr>
      <w:tr w:rsidR="00DF6DAB" w:rsidRPr="009E08C6" w:rsidTr="00DF6DAB">
        <w:trPr>
          <w:trHeight w:val="315"/>
          <w:jc w:val="center"/>
        </w:trPr>
        <w:tc>
          <w:tcPr>
            <w:tcW w:w="339" w:type="pct"/>
            <w:tcBorders>
              <w:top w:val="single" w:sz="12" w:space="0" w:color="auto"/>
            </w:tcBorders>
            <w:shd w:val="clear" w:color="auto" w:fill="auto"/>
            <w:noWrap/>
            <w:vAlign w:val="center"/>
          </w:tcPr>
          <w:p w:rsidR="00DF6DAB" w:rsidRPr="009E08C6" w:rsidRDefault="00DF6DAB" w:rsidP="009E08C6">
            <w:pPr>
              <w:spacing w:before="0" w:after="0" w:line="240" w:lineRule="auto"/>
              <w:rPr>
                <w:rFonts w:cstheme="minorHAnsi"/>
                <w:szCs w:val="24"/>
              </w:rPr>
            </w:pPr>
            <w:r w:rsidRPr="009E08C6">
              <w:rPr>
                <w:rFonts w:cstheme="minorHAnsi"/>
                <w:szCs w:val="24"/>
              </w:rPr>
              <w:t>1</w:t>
            </w:r>
          </w:p>
        </w:tc>
        <w:tc>
          <w:tcPr>
            <w:tcW w:w="1624" w:type="pct"/>
            <w:tcBorders>
              <w:top w:val="single" w:sz="12" w:space="0" w:color="auto"/>
              <w:right w:val="single" w:sz="12" w:space="0" w:color="auto"/>
            </w:tcBorders>
            <w:shd w:val="clear" w:color="auto" w:fill="auto"/>
            <w:vAlign w:val="center"/>
          </w:tcPr>
          <w:p w:rsidR="00DF6DAB" w:rsidRPr="009E08C6" w:rsidRDefault="00DF6DAB" w:rsidP="009E08C6">
            <w:pPr>
              <w:spacing w:before="0" w:after="0" w:line="240" w:lineRule="auto"/>
              <w:rPr>
                <w:rFonts w:cstheme="minorHAnsi"/>
                <w:szCs w:val="24"/>
              </w:rPr>
            </w:pPr>
            <w:r w:rsidRPr="009E08C6">
              <w:rPr>
                <w:rFonts w:cstheme="minorHAnsi"/>
                <w:szCs w:val="24"/>
              </w:rPr>
              <w:t>Održavanje i unaprjeđenje hardverske infrastrukture</w:t>
            </w:r>
          </w:p>
        </w:tc>
        <w:tc>
          <w:tcPr>
            <w:tcW w:w="3037" w:type="pct"/>
            <w:tcBorders>
              <w:top w:val="single" w:sz="12" w:space="0" w:color="auto"/>
              <w:left w:val="single" w:sz="12" w:space="0" w:color="auto"/>
              <w:bottom w:val="single" w:sz="2" w:space="0" w:color="auto"/>
            </w:tcBorders>
            <w:vAlign w:val="center"/>
          </w:tcPr>
          <w:p w:rsidR="00DF6DAB" w:rsidRPr="009E08C6" w:rsidRDefault="00DF6DAB" w:rsidP="009E08C6">
            <w:pPr>
              <w:spacing w:before="0" w:after="0" w:line="240" w:lineRule="auto"/>
              <w:rPr>
                <w:rFonts w:cstheme="minorHAnsi"/>
                <w:szCs w:val="24"/>
              </w:rPr>
            </w:pPr>
          </w:p>
        </w:tc>
      </w:tr>
      <w:tr w:rsidR="00DF6DAB" w:rsidRPr="009E08C6" w:rsidTr="00DF6DAB">
        <w:trPr>
          <w:trHeight w:val="315"/>
          <w:jc w:val="center"/>
        </w:trPr>
        <w:tc>
          <w:tcPr>
            <w:tcW w:w="339" w:type="pct"/>
            <w:shd w:val="clear" w:color="auto" w:fill="auto"/>
            <w:noWrap/>
            <w:vAlign w:val="center"/>
          </w:tcPr>
          <w:p w:rsidR="00DF6DAB" w:rsidRPr="009E08C6" w:rsidRDefault="00DF6DAB" w:rsidP="009E08C6">
            <w:pPr>
              <w:spacing w:before="0" w:after="0" w:line="240" w:lineRule="auto"/>
              <w:rPr>
                <w:rFonts w:cstheme="minorHAnsi"/>
                <w:szCs w:val="24"/>
              </w:rPr>
            </w:pPr>
          </w:p>
        </w:tc>
        <w:tc>
          <w:tcPr>
            <w:tcW w:w="1624" w:type="pct"/>
            <w:tcBorders>
              <w:right w:val="single" w:sz="12" w:space="0" w:color="auto"/>
            </w:tcBorders>
            <w:shd w:val="clear" w:color="auto" w:fill="auto"/>
            <w:vAlign w:val="center"/>
          </w:tcPr>
          <w:p w:rsidR="00DF6DAB" w:rsidRPr="009E08C6" w:rsidRDefault="00DF6DAB" w:rsidP="009E08C6">
            <w:pPr>
              <w:spacing w:before="0" w:after="0" w:line="240" w:lineRule="auto"/>
              <w:rPr>
                <w:rFonts w:cstheme="minorHAnsi"/>
                <w:szCs w:val="24"/>
              </w:rPr>
            </w:pPr>
            <w:r w:rsidRPr="009E08C6">
              <w:rPr>
                <w:rFonts w:cstheme="minorHAnsi"/>
                <w:szCs w:val="24"/>
              </w:rPr>
              <w:t>Postojeća oprema</w:t>
            </w:r>
          </w:p>
        </w:tc>
        <w:tc>
          <w:tcPr>
            <w:tcW w:w="3037" w:type="pct"/>
            <w:tcBorders>
              <w:left w:val="single" w:sz="12" w:space="0" w:color="auto"/>
            </w:tcBorders>
            <w:vAlign w:val="center"/>
          </w:tcPr>
          <w:p w:rsidR="00DF6DAB" w:rsidRPr="009E08C6" w:rsidRDefault="00DF6DAB" w:rsidP="009E08C6">
            <w:pPr>
              <w:spacing w:before="0" w:after="0" w:line="240" w:lineRule="auto"/>
              <w:jc w:val="left"/>
              <w:rPr>
                <w:rFonts w:cstheme="minorHAnsi"/>
                <w:szCs w:val="24"/>
              </w:rPr>
            </w:pPr>
            <w:r w:rsidRPr="009E08C6">
              <w:rPr>
                <w:rFonts w:cstheme="minorHAnsi"/>
                <w:szCs w:val="24"/>
              </w:rPr>
              <w:t>Instalacija raspoložive opreme u Područnim jedinicama i Upravi</w:t>
            </w:r>
          </w:p>
        </w:tc>
      </w:tr>
      <w:tr w:rsidR="00DF6DAB" w:rsidRPr="009E08C6" w:rsidTr="00DF6DAB">
        <w:trPr>
          <w:trHeight w:val="315"/>
          <w:jc w:val="center"/>
        </w:trPr>
        <w:tc>
          <w:tcPr>
            <w:tcW w:w="339" w:type="pct"/>
            <w:shd w:val="clear" w:color="auto" w:fill="auto"/>
            <w:noWrap/>
            <w:vAlign w:val="center"/>
          </w:tcPr>
          <w:p w:rsidR="00DF6DAB" w:rsidRPr="009E08C6" w:rsidRDefault="00DF6DAB" w:rsidP="009E08C6">
            <w:pPr>
              <w:spacing w:before="0" w:after="0" w:line="240" w:lineRule="auto"/>
              <w:rPr>
                <w:rFonts w:cstheme="minorHAnsi"/>
                <w:szCs w:val="24"/>
              </w:rPr>
            </w:pPr>
          </w:p>
        </w:tc>
        <w:tc>
          <w:tcPr>
            <w:tcW w:w="1624" w:type="pct"/>
            <w:tcBorders>
              <w:right w:val="single" w:sz="12" w:space="0" w:color="auto"/>
            </w:tcBorders>
            <w:shd w:val="clear" w:color="auto" w:fill="auto"/>
            <w:vAlign w:val="center"/>
          </w:tcPr>
          <w:p w:rsidR="00DF6DAB" w:rsidRPr="009E08C6" w:rsidRDefault="00DF6DAB" w:rsidP="009E08C6">
            <w:pPr>
              <w:spacing w:before="0" w:after="0" w:line="240" w:lineRule="auto"/>
              <w:rPr>
                <w:rFonts w:cstheme="minorHAnsi"/>
                <w:szCs w:val="24"/>
              </w:rPr>
            </w:pPr>
            <w:r w:rsidRPr="009E08C6">
              <w:rPr>
                <w:rFonts w:cstheme="minorHAnsi"/>
                <w:szCs w:val="24"/>
              </w:rPr>
              <w:t>Održavanje sistema</w:t>
            </w:r>
          </w:p>
        </w:tc>
        <w:tc>
          <w:tcPr>
            <w:tcW w:w="3037" w:type="pct"/>
            <w:tcBorders>
              <w:left w:val="single" w:sz="12" w:space="0" w:color="auto"/>
            </w:tcBorders>
            <w:vAlign w:val="center"/>
          </w:tcPr>
          <w:p w:rsidR="00DF6DAB" w:rsidRPr="009E08C6" w:rsidRDefault="00DF6DAB" w:rsidP="009E08C6">
            <w:pPr>
              <w:spacing w:before="0" w:after="0" w:line="240" w:lineRule="auto"/>
              <w:rPr>
                <w:rFonts w:cstheme="minorHAnsi"/>
                <w:szCs w:val="24"/>
              </w:rPr>
            </w:pPr>
            <w:r w:rsidRPr="009E08C6">
              <w:rPr>
                <w:rFonts w:cstheme="minorHAnsi"/>
                <w:szCs w:val="24"/>
              </w:rPr>
              <w:t>Redovno održavanje i servis opreme.</w:t>
            </w:r>
          </w:p>
        </w:tc>
      </w:tr>
      <w:tr w:rsidR="00DF6DAB" w:rsidRPr="009E08C6" w:rsidTr="00DF6DAB">
        <w:trPr>
          <w:trHeight w:val="315"/>
          <w:jc w:val="center"/>
        </w:trPr>
        <w:tc>
          <w:tcPr>
            <w:tcW w:w="339" w:type="pct"/>
            <w:shd w:val="clear" w:color="auto" w:fill="auto"/>
            <w:noWrap/>
            <w:vAlign w:val="center"/>
          </w:tcPr>
          <w:p w:rsidR="00DF6DAB" w:rsidRPr="009E08C6" w:rsidRDefault="00DF6DAB" w:rsidP="009E08C6">
            <w:pPr>
              <w:spacing w:before="0" w:after="0" w:line="240" w:lineRule="auto"/>
              <w:rPr>
                <w:rFonts w:cstheme="minorHAnsi"/>
                <w:szCs w:val="24"/>
              </w:rPr>
            </w:pPr>
            <w:r w:rsidRPr="009E08C6">
              <w:rPr>
                <w:rFonts w:cstheme="minorHAnsi"/>
                <w:szCs w:val="24"/>
              </w:rPr>
              <w:t>2</w:t>
            </w:r>
          </w:p>
        </w:tc>
        <w:tc>
          <w:tcPr>
            <w:tcW w:w="1624" w:type="pct"/>
            <w:tcBorders>
              <w:right w:val="single" w:sz="12" w:space="0" w:color="auto"/>
            </w:tcBorders>
            <w:shd w:val="clear" w:color="auto" w:fill="auto"/>
            <w:vAlign w:val="center"/>
          </w:tcPr>
          <w:p w:rsidR="00DF6DAB" w:rsidRPr="009E08C6" w:rsidRDefault="00DF6DAB" w:rsidP="009E08C6">
            <w:pPr>
              <w:spacing w:before="0" w:after="0" w:line="240" w:lineRule="auto"/>
              <w:rPr>
                <w:rFonts w:cstheme="minorHAnsi"/>
                <w:szCs w:val="24"/>
              </w:rPr>
            </w:pPr>
            <w:r w:rsidRPr="009E08C6">
              <w:rPr>
                <w:rFonts w:cstheme="minorHAnsi"/>
                <w:szCs w:val="24"/>
              </w:rPr>
              <w:t>Specijalizovana oprema</w:t>
            </w:r>
          </w:p>
        </w:tc>
        <w:tc>
          <w:tcPr>
            <w:tcW w:w="3037" w:type="pct"/>
            <w:tcBorders>
              <w:left w:val="single" w:sz="12" w:space="0" w:color="auto"/>
            </w:tcBorders>
            <w:vAlign w:val="center"/>
          </w:tcPr>
          <w:p w:rsidR="00DF6DAB" w:rsidRPr="009E08C6" w:rsidRDefault="00DF6DAB" w:rsidP="009E08C6">
            <w:pPr>
              <w:spacing w:before="0" w:after="0" w:line="240" w:lineRule="auto"/>
              <w:rPr>
                <w:rFonts w:cstheme="minorHAnsi"/>
                <w:szCs w:val="24"/>
              </w:rPr>
            </w:pPr>
          </w:p>
        </w:tc>
      </w:tr>
      <w:tr w:rsidR="00DF6DAB" w:rsidRPr="009E08C6" w:rsidTr="00DF6DAB">
        <w:trPr>
          <w:trHeight w:val="255"/>
          <w:jc w:val="center"/>
        </w:trPr>
        <w:tc>
          <w:tcPr>
            <w:tcW w:w="339" w:type="pct"/>
            <w:tcBorders>
              <w:bottom w:val="single" w:sz="12" w:space="0" w:color="auto"/>
            </w:tcBorders>
            <w:shd w:val="clear" w:color="auto" w:fill="auto"/>
            <w:noWrap/>
            <w:vAlign w:val="center"/>
          </w:tcPr>
          <w:p w:rsidR="00DF6DAB" w:rsidRPr="009E08C6" w:rsidRDefault="00DF6DAB" w:rsidP="009E08C6">
            <w:pPr>
              <w:spacing w:before="0" w:after="0" w:line="240" w:lineRule="auto"/>
              <w:rPr>
                <w:rFonts w:cstheme="minorHAnsi"/>
                <w:szCs w:val="24"/>
              </w:rPr>
            </w:pPr>
          </w:p>
        </w:tc>
        <w:tc>
          <w:tcPr>
            <w:tcW w:w="1624" w:type="pct"/>
            <w:tcBorders>
              <w:bottom w:val="single" w:sz="12" w:space="0" w:color="auto"/>
              <w:right w:val="single" w:sz="12" w:space="0" w:color="auto"/>
            </w:tcBorders>
            <w:shd w:val="clear" w:color="auto" w:fill="auto"/>
            <w:vAlign w:val="center"/>
          </w:tcPr>
          <w:p w:rsidR="00DF6DAB" w:rsidRPr="009E08C6" w:rsidRDefault="00DF6DAB" w:rsidP="009E08C6">
            <w:pPr>
              <w:spacing w:before="0" w:after="0" w:line="240" w:lineRule="auto"/>
              <w:rPr>
                <w:rFonts w:cstheme="minorHAnsi"/>
                <w:szCs w:val="24"/>
              </w:rPr>
            </w:pPr>
            <w:r w:rsidRPr="009E08C6">
              <w:rPr>
                <w:rFonts w:cstheme="minorHAnsi"/>
                <w:szCs w:val="24"/>
              </w:rPr>
              <w:t>Oprema za 3D i GIS obradu</w:t>
            </w:r>
          </w:p>
        </w:tc>
        <w:tc>
          <w:tcPr>
            <w:tcW w:w="3037" w:type="pct"/>
            <w:tcBorders>
              <w:left w:val="single" w:sz="12" w:space="0" w:color="auto"/>
              <w:bottom w:val="single" w:sz="12" w:space="0" w:color="auto"/>
            </w:tcBorders>
            <w:vAlign w:val="center"/>
          </w:tcPr>
          <w:p w:rsidR="00DF6DAB" w:rsidRPr="009E08C6" w:rsidRDefault="00DF6DAB" w:rsidP="009E08C6">
            <w:pPr>
              <w:spacing w:before="0" w:after="0" w:line="240" w:lineRule="auto"/>
              <w:rPr>
                <w:rFonts w:cstheme="minorHAnsi"/>
                <w:szCs w:val="24"/>
              </w:rPr>
            </w:pPr>
          </w:p>
        </w:tc>
      </w:tr>
      <w:bookmarkEnd w:id="205"/>
      <w:bookmarkEnd w:id="211"/>
    </w:tbl>
    <w:p w:rsidR="00DF6DAB" w:rsidRDefault="00DF6DAB" w:rsidP="00DF6DAB">
      <w:pPr>
        <w:rPr>
          <w:rFonts w:ascii="Arial" w:hAnsi="Arial" w:cs="Arial"/>
        </w:rPr>
      </w:pPr>
    </w:p>
    <w:p w:rsidR="00DF6DAB" w:rsidRDefault="00DF6DAB" w:rsidP="00DF6DAB">
      <w:pPr>
        <w:rPr>
          <w:rFonts w:ascii="Arial" w:hAnsi="Arial" w:cs="Arial"/>
        </w:rPr>
      </w:pPr>
    </w:p>
    <w:p w:rsidR="00DF6DAB" w:rsidRPr="00326E6F" w:rsidRDefault="00DF6DAB" w:rsidP="00DF6DAB">
      <w:pPr>
        <w:rPr>
          <w:rFonts w:ascii="Arial" w:hAnsi="Arial" w:cs="Arial"/>
        </w:rPr>
      </w:pPr>
    </w:p>
    <w:p w:rsidR="00DF6DAB" w:rsidRPr="003F1A8C" w:rsidRDefault="00DF6DAB" w:rsidP="003F1A8C">
      <w:pPr>
        <w:spacing w:before="0" w:after="0" w:line="240" w:lineRule="auto"/>
        <w:rPr>
          <w:rFonts w:cstheme="minorHAnsi"/>
          <w:b/>
          <w:szCs w:val="24"/>
        </w:rPr>
      </w:pPr>
      <w:bookmarkStart w:id="212" w:name="_Toc71288840"/>
      <w:r w:rsidRPr="003F1A8C">
        <w:rPr>
          <w:rFonts w:cstheme="minorHAnsi"/>
          <w:b/>
          <w:szCs w:val="24"/>
        </w:rPr>
        <w:lastRenderedPageBreak/>
        <w:t>11.3.GEOPORTAL I WEB STRANICA UPRAVE ZA NEKRETNINE</w:t>
      </w:r>
      <w:bookmarkEnd w:id="212"/>
    </w:p>
    <w:p w:rsidR="00DF6DAB" w:rsidRPr="003F1A8C" w:rsidRDefault="00DF6DAB" w:rsidP="003F1A8C">
      <w:pPr>
        <w:spacing w:before="0" w:after="0" w:line="240" w:lineRule="auto"/>
        <w:ind w:firstLine="709"/>
        <w:rPr>
          <w:rFonts w:eastAsia="Calibri Light" w:cstheme="minorHAnsi"/>
          <w:szCs w:val="24"/>
        </w:rPr>
      </w:pPr>
      <w:bookmarkStart w:id="213" w:name="OLE_LINK173"/>
      <w:bookmarkStart w:id="214" w:name="OLE_LINK174"/>
      <w:bookmarkStart w:id="215" w:name="OLE_LINK175"/>
      <w:bookmarkStart w:id="216" w:name="_Toc172082069"/>
      <w:r w:rsidRPr="003F1A8C">
        <w:rPr>
          <w:rFonts w:eastAsia="Calibri Light" w:cstheme="minorHAnsi"/>
          <w:szCs w:val="24"/>
        </w:rPr>
        <w:t>U 2020. godini obavljani su poslovi, koji se odnose na sljedeće:</w:t>
      </w:r>
    </w:p>
    <w:p w:rsidR="00DF6DAB" w:rsidRPr="003F1A8C" w:rsidRDefault="003F1A8C" w:rsidP="003F1A8C">
      <w:pPr>
        <w:spacing w:before="0" w:after="0" w:line="240" w:lineRule="auto"/>
        <w:rPr>
          <w:rFonts w:eastAsia="Calibri Light" w:cstheme="minorHAnsi"/>
          <w:szCs w:val="24"/>
        </w:rPr>
      </w:pPr>
      <w:r>
        <w:rPr>
          <w:rFonts w:eastAsia="Calibri Light" w:cstheme="minorHAnsi"/>
          <w:szCs w:val="24"/>
        </w:rPr>
        <w:t xml:space="preserve"> - </w:t>
      </w:r>
      <w:r w:rsidR="00DF6DAB" w:rsidRPr="003F1A8C">
        <w:rPr>
          <w:rFonts w:eastAsia="Calibri Light" w:cstheme="minorHAnsi"/>
          <w:szCs w:val="24"/>
        </w:rPr>
        <w:t>Web aplikacija - e-Katastar:</w:t>
      </w:r>
    </w:p>
    <w:p w:rsidR="00DF6DAB" w:rsidRPr="003F1A8C" w:rsidRDefault="003F1A8C" w:rsidP="003F1A8C">
      <w:pPr>
        <w:spacing w:before="0" w:after="0" w:line="240" w:lineRule="auto"/>
        <w:rPr>
          <w:rFonts w:eastAsia="Calibri Light" w:cstheme="minorHAnsi"/>
          <w:szCs w:val="24"/>
        </w:rPr>
      </w:pPr>
      <w:r>
        <w:rPr>
          <w:rFonts w:eastAsia="Calibri Light" w:cstheme="minorHAnsi"/>
          <w:szCs w:val="24"/>
        </w:rPr>
        <w:t xml:space="preserve"> - </w:t>
      </w:r>
      <w:r w:rsidR="00DF6DAB" w:rsidRPr="003F1A8C">
        <w:rPr>
          <w:rFonts w:eastAsia="Calibri Light" w:cstheme="minorHAnsi"/>
          <w:szCs w:val="24"/>
        </w:rPr>
        <w:t>kontrola rada aplikacije za eksterne korisnike;</w:t>
      </w:r>
    </w:p>
    <w:p w:rsidR="00DF6DAB" w:rsidRPr="003F1A8C" w:rsidRDefault="003F1A8C" w:rsidP="003F1A8C">
      <w:pPr>
        <w:spacing w:before="0" w:after="0" w:line="240" w:lineRule="auto"/>
        <w:rPr>
          <w:rFonts w:eastAsia="Calibri Light" w:cstheme="minorHAnsi"/>
          <w:szCs w:val="24"/>
        </w:rPr>
      </w:pPr>
      <w:r>
        <w:rPr>
          <w:rFonts w:eastAsia="Calibri Light" w:cstheme="minorHAnsi"/>
          <w:szCs w:val="24"/>
        </w:rPr>
        <w:t xml:space="preserve"> - </w:t>
      </w:r>
      <w:r w:rsidR="00DF6DAB" w:rsidRPr="003F1A8C">
        <w:rPr>
          <w:rFonts w:eastAsia="Calibri Light" w:cstheme="minorHAnsi"/>
          <w:szCs w:val="24"/>
        </w:rPr>
        <w:t>pružanje pomoći i informacija eksternim korisnicima vezano za rad aplikacije i novih verzija;</w:t>
      </w:r>
    </w:p>
    <w:p w:rsidR="00DF6DAB" w:rsidRPr="003F1A8C" w:rsidRDefault="003F1A8C" w:rsidP="003F1A8C">
      <w:pPr>
        <w:spacing w:before="0" w:after="0" w:line="240" w:lineRule="auto"/>
        <w:rPr>
          <w:rFonts w:eastAsia="Calibri Light" w:cstheme="minorHAnsi"/>
          <w:szCs w:val="24"/>
        </w:rPr>
      </w:pPr>
      <w:r>
        <w:rPr>
          <w:rFonts w:eastAsia="Calibri Light" w:cstheme="minorHAnsi"/>
          <w:szCs w:val="24"/>
        </w:rPr>
        <w:t xml:space="preserve"> - </w:t>
      </w:r>
      <w:r w:rsidR="00DF6DAB" w:rsidRPr="003F1A8C">
        <w:rPr>
          <w:rFonts w:eastAsia="Calibri Light" w:cstheme="minorHAnsi"/>
          <w:szCs w:val="24"/>
        </w:rPr>
        <w:t>testiranje i puštanje u rad aplikacije  e-Katastara za preuzimanje LN/PL za potrebe rada Notara;</w:t>
      </w:r>
    </w:p>
    <w:p w:rsidR="00DF6DAB" w:rsidRPr="003F1A8C" w:rsidRDefault="003F1A8C" w:rsidP="003F1A8C">
      <w:pPr>
        <w:spacing w:before="0" w:after="0" w:line="240" w:lineRule="auto"/>
        <w:rPr>
          <w:rFonts w:eastAsia="Calibri Light" w:cstheme="minorHAnsi"/>
          <w:szCs w:val="24"/>
        </w:rPr>
      </w:pPr>
      <w:r>
        <w:rPr>
          <w:rFonts w:eastAsia="Calibri Light" w:cstheme="minorHAnsi"/>
          <w:szCs w:val="24"/>
        </w:rPr>
        <w:t xml:space="preserve"> - </w:t>
      </w:r>
      <w:r w:rsidR="00DF6DAB" w:rsidRPr="003F1A8C">
        <w:rPr>
          <w:rFonts w:eastAsia="Calibri Light" w:cstheme="minorHAnsi"/>
          <w:szCs w:val="24"/>
        </w:rPr>
        <w:t>priprema korisničkih naloga za testiranje i korišćenje certifikata;</w:t>
      </w:r>
    </w:p>
    <w:p w:rsidR="00DF6DAB" w:rsidRPr="003F1A8C" w:rsidRDefault="003F1A8C" w:rsidP="003F1A8C">
      <w:pPr>
        <w:spacing w:before="0" w:after="0" w:line="240" w:lineRule="auto"/>
        <w:rPr>
          <w:rFonts w:eastAsia="Calibri Light" w:cstheme="minorHAnsi"/>
          <w:szCs w:val="24"/>
        </w:rPr>
      </w:pPr>
      <w:r>
        <w:rPr>
          <w:rFonts w:eastAsia="Calibri Light" w:cstheme="minorHAnsi"/>
          <w:szCs w:val="24"/>
        </w:rPr>
        <w:t xml:space="preserve"> - </w:t>
      </w:r>
      <w:r w:rsidR="00DF6DAB" w:rsidRPr="003F1A8C">
        <w:rPr>
          <w:rFonts w:eastAsia="Calibri Light" w:cstheme="minorHAnsi"/>
          <w:szCs w:val="24"/>
        </w:rPr>
        <w:t>priprema uputstava i prateće dokumentacije za potrebe eksternih korisnika;</w:t>
      </w:r>
    </w:p>
    <w:p w:rsidR="00DF6DAB" w:rsidRPr="003F1A8C" w:rsidRDefault="003F1A8C" w:rsidP="003F1A8C">
      <w:pPr>
        <w:spacing w:before="0" w:after="0" w:line="240" w:lineRule="auto"/>
        <w:rPr>
          <w:rFonts w:eastAsia="Calibri Light" w:cstheme="minorHAnsi"/>
          <w:szCs w:val="24"/>
        </w:rPr>
      </w:pPr>
      <w:r>
        <w:rPr>
          <w:rFonts w:eastAsia="Calibri Light" w:cstheme="minorHAnsi"/>
          <w:szCs w:val="24"/>
        </w:rPr>
        <w:t xml:space="preserve"> - </w:t>
      </w:r>
      <w:r w:rsidR="00DF6DAB" w:rsidRPr="003F1A8C">
        <w:rPr>
          <w:rFonts w:eastAsia="Calibri Light" w:cstheme="minorHAnsi"/>
          <w:szCs w:val="24"/>
        </w:rPr>
        <w:t>Ažuriranje pitanja i odgovora korisnika sistema.</w:t>
      </w:r>
    </w:p>
    <w:p w:rsidR="00DF6DAB" w:rsidRPr="003F1A8C" w:rsidRDefault="003F1A8C" w:rsidP="003F1A8C">
      <w:pPr>
        <w:spacing w:before="0" w:after="0" w:line="240" w:lineRule="auto"/>
        <w:rPr>
          <w:rFonts w:eastAsia="Calibri Light" w:cstheme="minorHAnsi"/>
          <w:szCs w:val="24"/>
        </w:rPr>
      </w:pPr>
      <w:r>
        <w:rPr>
          <w:rFonts w:eastAsia="Calibri Light" w:cstheme="minorHAnsi"/>
          <w:szCs w:val="24"/>
        </w:rPr>
        <w:t xml:space="preserve">  </w:t>
      </w:r>
      <w:r>
        <w:rPr>
          <w:rFonts w:eastAsia="Calibri Light" w:cstheme="minorHAnsi"/>
          <w:szCs w:val="24"/>
        </w:rPr>
        <w:tab/>
      </w:r>
      <w:r w:rsidR="00DF6DAB" w:rsidRPr="003F1A8C">
        <w:rPr>
          <w:rFonts w:eastAsia="Calibri Light" w:cstheme="minorHAnsi"/>
          <w:szCs w:val="24"/>
        </w:rPr>
        <w:t>U kontinuitetu je obavljana kontrola rada eksternih korisnika i pružana pomoć u radu. Takođe, pripremani su izvještaji o radu korisnika za potrebe naplat</w:t>
      </w:r>
      <w:r>
        <w:rPr>
          <w:rFonts w:eastAsia="Calibri Light" w:cstheme="minorHAnsi"/>
          <w:szCs w:val="24"/>
        </w:rPr>
        <w:t>e korišćenja usluga aplikacije.</w:t>
      </w:r>
    </w:p>
    <w:p w:rsidR="00DF6DAB" w:rsidRPr="003F1A8C" w:rsidRDefault="003F1A8C" w:rsidP="003F1A8C">
      <w:pPr>
        <w:spacing w:before="0" w:after="0" w:line="240" w:lineRule="auto"/>
        <w:rPr>
          <w:rFonts w:eastAsia="Calibri Light" w:cstheme="minorHAnsi"/>
          <w:szCs w:val="24"/>
        </w:rPr>
      </w:pPr>
      <w:r>
        <w:rPr>
          <w:rFonts w:eastAsia="Calibri Light" w:cstheme="minorHAnsi"/>
          <w:szCs w:val="24"/>
        </w:rPr>
        <w:t xml:space="preserve"> - </w:t>
      </w:r>
      <w:r w:rsidR="00DF6DAB" w:rsidRPr="003F1A8C">
        <w:rPr>
          <w:rFonts w:eastAsia="Calibri Light" w:cstheme="minorHAnsi"/>
          <w:szCs w:val="24"/>
        </w:rPr>
        <w:t>Geoportal UZN</w:t>
      </w:r>
    </w:p>
    <w:p w:rsidR="00DF6DAB" w:rsidRPr="003F1A8C" w:rsidRDefault="003F1A8C" w:rsidP="003F1A8C">
      <w:pPr>
        <w:spacing w:before="0" w:after="0" w:line="240" w:lineRule="auto"/>
        <w:rPr>
          <w:rFonts w:eastAsia="Calibri Light" w:cstheme="minorHAnsi"/>
          <w:szCs w:val="24"/>
        </w:rPr>
      </w:pPr>
      <w:r>
        <w:rPr>
          <w:rFonts w:eastAsia="Calibri Light" w:cstheme="minorHAnsi"/>
          <w:szCs w:val="24"/>
        </w:rPr>
        <w:t xml:space="preserve"> - </w:t>
      </w:r>
      <w:r w:rsidR="00DF6DAB" w:rsidRPr="003F1A8C">
        <w:rPr>
          <w:rFonts w:eastAsia="Calibri Light" w:cstheme="minorHAnsi"/>
          <w:szCs w:val="24"/>
        </w:rPr>
        <w:t>kontrola rada Geoportala UZN;</w:t>
      </w:r>
    </w:p>
    <w:p w:rsidR="00DF6DAB" w:rsidRPr="003F1A8C" w:rsidRDefault="003F1A8C" w:rsidP="003F1A8C">
      <w:pPr>
        <w:spacing w:before="0" w:after="0" w:line="240" w:lineRule="auto"/>
        <w:rPr>
          <w:rFonts w:eastAsia="Calibri Light" w:cstheme="minorHAnsi"/>
          <w:szCs w:val="24"/>
        </w:rPr>
      </w:pPr>
      <w:r>
        <w:rPr>
          <w:rFonts w:eastAsia="Calibri Light" w:cstheme="minorHAnsi"/>
          <w:szCs w:val="24"/>
        </w:rPr>
        <w:t xml:space="preserve"> - </w:t>
      </w:r>
      <w:r w:rsidR="00DF6DAB" w:rsidRPr="003F1A8C">
        <w:rPr>
          <w:rFonts w:eastAsia="Calibri Light" w:cstheme="minorHAnsi"/>
          <w:szCs w:val="24"/>
        </w:rPr>
        <w:t>importovanje novih podataka digitalnog katastarskog plana na Geoportalu UZN;</w:t>
      </w:r>
    </w:p>
    <w:p w:rsidR="00DF6DAB" w:rsidRPr="003F1A8C" w:rsidRDefault="003F1A8C" w:rsidP="003F1A8C">
      <w:pPr>
        <w:spacing w:before="0" w:after="0" w:line="240" w:lineRule="auto"/>
        <w:rPr>
          <w:rFonts w:eastAsia="Calibri Light" w:cstheme="minorHAnsi"/>
          <w:szCs w:val="24"/>
        </w:rPr>
      </w:pPr>
      <w:r>
        <w:rPr>
          <w:rFonts w:eastAsia="Calibri Light" w:cstheme="minorHAnsi"/>
          <w:szCs w:val="24"/>
        </w:rPr>
        <w:t xml:space="preserve"> - </w:t>
      </w:r>
      <w:r w:rsidR="00DF6DAB" w:rsidRPr="003F1A8C">
        <w:rPr>
          <w:rFonts w:eastAsia="Calibri Light" w:cstheme="minorHAnsi"/>
          <w:szCs w:val="24"/>
        </w:rPr>
        <w:t>uspostavljanje novog GeoPortala UZN;</w:t>
      </w:r>
    </w:p>
    <w:p w:rsidR="00DF6DAB" w:rsidRPr="003F1A8C" w:rsidRDefault="003F1A8C" w:rsidP="003F1A8C">
      <w:pPr>
        <w:spacing w:before="0" w:after="0" w:line="240" w:lineRule="auto"/>
        <w:rPr>
          <w:rFonts w:eastAsia="Calibri Light" w:cstheme="minorHAnsi"/>
          <w:szCs w:val="24"/>
        </w:rPr>
      </w:pPr>
      <w:r>
        <w:rPr>
          <w:rFonts w:eastAsia="Calibri Light" w:cstheme="minorHAnsi"/>
          <w:szCs w:val="24"/>
        </w:rPr>
        <w:t xml:space="preserve"> - </w:t>
      </w:r>
      <w:r w:rsidR="00DF6DAB" w:rsidRPr="003F1A8C">
        <w:rPr>
          <w:rFonts w:eastAsia="Calibri Light" w:cstheme="minorHAnsi"/>
          <w:szCs w:val="24"/>
        </w:rPr>
        <w:t>testiranje i priprema podataka za potrebe novog Geoportala;</w:t>
      </w:r>
    </w:p>
    <w:p w:rsidR="00DF6DAB" w:rsidRPr="003F1A8C" w:rsidRDefault="003F1A8C" w:rsidP="003F1A8C">
      <w:pPr>
        <w:spacing w:before="0" w:after="0" w:line="240" w:lineRule="auto"/>
        <w:rPr>
          <w:rFonts w:eastAsia="Calibri Light" w:cstheme="minorHAnsi"/>
          <w:szCs w:val="24"/>
        </w:rPr>
      </w:pPr>
      <w:r>
        <w:rPr>
          <w:rFonts w:eastAsia="Calibri Light" w:cstheme="minorHAnsi"/>
          <w:szCs w:val="24"/>
        </w:rPr>
        <w:t xml:space="preserve"> - </w:t>
      </w:r>
      <w:r w:rsidR="00DF6DAB" w:rsidRPr="003F1A8C">
        <w:rPr>
          <w:rFonts w:eastAsia="Calibri Light" w:cstheme="minorHAnsi"/>
          <w:szCs w:val="24"/>
        </w:rPr>
        <w:t>Ažuriranje pitanja i odgovora korisnika sistema.</w:t>
      </w:r>
    </w:p>
    <w:bookmarkEnd w:id="213"/>
    <w:bookmarkEnd w:id="214"/>
    <w:bookmarkEnd w:id="215"/>
    <w:p w:rsidR="00DF6DAB" w:rsidRPr="003F1A8C" w:rsidRDefault="00DF6DAB" w:rsidP="003F1A8C">
      <w:pPr>
        <w:spacing w:before="0" w:after="0" w:line="240" w:lineRule="auto"/>
        <w:ind w:firstLine="709"/>
        <w:rPr>
          <w:rFonts w:cstheme="minorHAnsi"/>
          <w:szCs w:val="24"/>
        </w:rPr>
      </w:pPr>
      <w:r w:rsidRPr="003F1A8C">
        <w:rPr>
          <w:rFonts w:cstheme="minorHAnsi"/>
          <w:szCs w:val="24"/>
        </w:rPr>
        <w:t xml:space="preserve">U cilju efikasnijeg korišćenja podataka Uprave, u toku 2020. godine, na osnovu podnijetih zahtjeva omogućen je pristup državnim institucijama, jedinicama lokalne samouprave, kao i određenom broju privatnih firmi - angažovanih kao obrađivači planske dokumentacije da putem linka pristupaju raspoloživim podacima. </w:t>
      </w:r>
    </w:p>
    <w:p w:rsidR="00DF6DAB" w:rsidRPr="003F1A8C" w:rsidRDefault="00DF6DAB" w:rsidP="003F1A8C">
      <w:pPr>
        <w:spacing w:before="0" w:after="0" w:line="240" w:lineRule="auto"/>
        <w:ind w:firstLine="709"/>
        <w:rPr>
          <w:rFonts w:cstheme="minorHAnsi"/>
          <w:szCs w:val="24"/>
        </w:rPr>
      </w:pPr>
      <w:r w:rsidRPr="003F1A8C">
        <w:rPr>
          <w:rFonts w:cstheme="minorHAnsi"/>
          <w:szCs w:val="24"/>
        </w:rPr>
        <w:t>Korišćenje podataka i servisa, prema statističkim podacima i primljenim povratnim informacijama od strane eksternih korisnika, intenzivno se koristilo i na taj način direktno je uticalo na poboljšanje kvaliteta podataka, a svakako i zadovoljstva svih korisnika.</w:t>
      </w:r>
    </w:p>
    <w:p w:rsidR="00DF6DAB" w:rsidRPr="003F1A8C" w:rsidRDefault="00DF6DAB" w:rsidP="003F1A8C">
      <w:pPr>
        <w:spacing w:before="0" w:after="0" w:line="240" w:lineRule="auto"/>
        <w:rPr>
          <w:rFonts w:cstheme="minorHAnsi"/>
          <w:szCs w:val="24"/>
        </w:rPr>
      </w:pPr>
    </w:p>
    <w:p w:rsidR="00DF6DAB" w:rsidRPr="003F1A8C" w:rsidRDefault="00DF6DAB" w:rsidP="003F1A8C">
      <w:pPr>
        <w:spacing w:before="0" w:after="0" w:line="240" w:lineRule="auto"/>
        <w:rPr>
          <w:rFonts w:cstheme="minorHAnsi"/>
          <w:b/>
          <w:szCs w:val="24"/>
        </w:rPr>
      </w:pPr>
      <w:bookmarkStart w:id="217" w:name="_Toc71288841"/>
      <w:r w:rsidRPr="003F1A8C">
        <w:rPr>
          <w:rFonts w:cstheme="minorHAnsi"/>
          <w:b/>
          <w:szCs w:val="24"/>
        </w:rPr>
        <w:t xml:space="preserve">12. </w:t>
      </w:r>
      <w:bookmarkEnd w:id="216"/>
      <w:r w:rsidRPr="003F1A8C">
        <w:rPr>
          <w:rFonts w:cstheme="minorHAnsi"/>
          <w:b/>
          <w:szCs w:val="24"/>
        </w:rPr>
        <w:t>ZAKONSKA REGULATIVA I PRIPREMA OSTALE DOKUMENTACIJE</w:t>
      </w:r>
      <w:bookmarkEnd w:id="217"/>
    </w:p>
    <w:p w:rsidR="00DF6DAB" w:rsidRPr="003F1A8C" w:rsidRDefault="00DF6DAB" w:rsidP="003F1A8C">
      <w:pPr>
        <w:spacing w:before="0" w:after="0" w:line="240" w:lineRule="auto"/>
        <w:rPr>
          <w:rFonts w:cstheme="minorHAnsi"/>
          <w:b/>
          <w:szCs w:val="24"/>
        </w:rPr>
      </w:pPr>
      <w:bookmarkStart w:id="218" w:name="_Toc71288842"/>
      <w:r w:rsidRPr="003F1A8C">
        <w:rPr>
          <w:rFonts w:cstheme="minorHAnsi"/>
          <w:b/>
          <w:szCs w:val="24"/>
        </w:rPr>
        <w:t>12.1. ZAKONI</w:t>
      </w:r>
      <w:bookmarkEnd w:id="218"/>
    </w:p>
    <w:p w:rsidR="00DF6DAB" w:rsidRPr="003F1A8C" w:rsidRDefault="00DF6DAB" w:rsidP="003F1A8C">
      <w:pPr>
        <w:spacing w:after="0" w:line="240" w:lineRule="auto"/>
        <w:rPr>
          <w:rFonts w:cstheme="minorHAnsi"/>
          <w:szCs w:val="24"/>
        </w:rPr>
      </w:pPr>
      <w:r w:rsidRPr="003F1A8C">
        <w:rPr>
          <w:rFonts w:cstheme="minorHAnsi"/>
          <w:szCs w:val="24"/>
        </w:rPr>
        <w:tab/>
        <w:t xml:space="preserve">U toku 2020. godine, shodno nadležnostima i obavezama sve aktivnosti, obavljane su saglano Zakonu o državnom premjeru i katastru nepokretnosti, kao i ostalim zakonima iz oblasti svojinskih odnosa. </w:t>
      </w:r>
    </w:p>
    <w:p w:rsidR="00DF6DAB" w:rsidRPr="003F1A8C" w:rsidRDefault="00DF6DAB" w:rsidP="003F1A8C">
      <w:pPr>
        <w:spacing w:before="0" w:after="0" w:line="240" w:lineRule="auto"/>
        <w:ind w:firstLine="709"/>
        <w:rPr>
          <w:rFonts w:cstheme="minorHAnsi"/>
          <w:szCs w:val="24"/>
        </w:rPr>
      </w:pPr>
      <w:r w:rsidRPr="003F1A8C">
        <w:rPr>
          <w:rFonts w:cstheme="minorHAnsi"/>
          <w:szCs w:val="24"/>
        </w:rPr>
        <w:t xml:space="preserve">U prethodnom periodu realizovane su značajne aktivnosti u oblasti stvaranja uslova za brže odvijanje pravnog prometa i uslova za brzo i sigurno ostvarivanje i zaštitu prava i interesa građana i pravnih lica; povećanje stepena pravne sigurnosti sa akcentom na jačanju zakonodavnog i institucionalnog okvira za izvršenje ugovora, kao i skraćenju trajanja postupka izvršenja ugovora, a u cilju povećanja konkurentnosti ekonomije. </w:t>
      </w:r>
    </w:p>
    <w:p w:rsidR="00DF6DAB" w:rsidRPr="003F1A8C" w:rsidRDefault="00DF6DAB" w:rsidP="003F1A8C">
      <w:pPr>
        <w:spacing w:before="0" w:after="0" w:line="240" w:lineRule="auto"/>
        <w:ind w:firstLine="709"/>
        <w:rPr>
          <w:rFonts w:cstheme="minorHAnsi"/>
          <w:szCs w:val="24"/>
        </w:rPr>
      </w:pPr>
      <w:bookmarkStart w:id="219" w:name="_Toc172082073"/>
      <w:r w:rsidRPr="003F1A8C">
        <w:rPr>
          <w:rFonts w:cstheme="minorHAnsi"/>
          <w:szCs w:val="24"/>
        </w:rPr>
        <w:t>U toku 2020. godine, radilo se na pripremi dokumenata direktno ili indirektno povezanih sa zakonskom regulativom:</w:t>
      </w:r>
    </w:p>
    <w:p w:rsidR="00DF6DAB" w:rsidRPr="003F1A8C" w:rsidRDefault="003F1A8C" w:rsidP="003F1A8C">
      <w:pPr>
        <w:spacing w:before="0" w:after="0" w:line="240" w:lineRule="auto"/>
        <w:rPr>
          <w:rFonts w:eastAsia="Calibri Light" w:cstheme="minorHAnsi"/>
          <w:szCs w:val="24"/>
        </w:rPr>
      </w:pPr>
      <w:r>
        <w:rPr>
          <w:rFonts w:eastAsia="Calibri Light" w:cstheme="minorHAnsi"/>
          <w:szCs w:val="24"/>
        </w:rPr>
        <w:t xml:space="preserve"> - </w:t>
      </w:r>
      <w:r w:rsidR="00DF6DAB" w:rsidRPr="003F1A8C">
        <w:rPr>
          <w:rFonts w:eastAsia="Calibri Light" w:cstheme="minorHAnsi"/>
          <w:szCs w:val="24"/>
        </w:rPr>
        <w:t>priprema Nacrta predloga Izmjena i dopuna Zakona o državnom premjeru i katastru nepokretnosti;</w:t>
      </w:r>
    </w:p>
    <w:p w:rsidR="00DF6DAB" w:rsidRPr="003F1A8C" w:rsidRDefault="003F1A8C" w:rsidP="003F1A8C">
      <w:pPr>
        <w:spacing w:before="0" w:after="0" w:line="240" w:lineRule="auto"/>
        <w:rPr>
          <w:rFonts w:eastAsia="Calibri Light" w:cstheme="minorHAnsi"/>
          <w:szCs w:val="24"/>
        </w:rPr>
      </w:pPr>
      <w:r>
        <w:rPr>
          <w:rFonts w:eastAsia="Calibri Light" w:cstheme="minorHAnsi"/>
          <w:szCs w:val="24"/>
        </w:rPr>
        <w:t xml:space="preserve"> - </w:t>
      </w:r>
      <w:r w:rsidR="00DF6DAB" w:rsidRPr="003F1A8C">
        <w:rPr>
          <w:rFonts w:eastAsia="Calibri Light" w:cstheme="minorHAnsi"/>
          <w:szCs w:val="24"/>
        </w:rPr>
        <w:t>analiza postojećeg stanja i zakonske regulative koja se odnosi na uspostavljanje Registra ulica, trgova i kućnih brojeva;</w:t>
      </w:r>
    </w:p>
    <w:p w:rsidR="00DF6DAB" w:rsidRPr="003F1A8C" w:rsidRDefault="003F1A8C" w:rsidP="003F1A8C">
      <w:pPr>
        <w:spacing w:before="0" w:after="0" w:line="240" w:lineRule="auto"/>
        <w:rPr>
          <w:rFonts w:eastAsia="Calibri Light" w:cstheme="minorHAnsi"/>
          <w:szCs w:val="24"/>
        </w:rPr>
      </w:pPr>
      <w:r>
        <w:rPr>
          <w:rFonts w:eastAsia="Calibri Light" w:cstheme="minorHAnsi"/>
          <w:szCs w:val="24"/>
        </w:rPr>
        <w:t xml:space="preserve"> - </w:t>
      </w:r>
      <w:r w:rsidR="00DF6DAB" w:rsidRPr="003F1A8C">
        <w:rPr>
          <w:rFonts w:eastAsia="Calibri Light" w:cstheme="minorHAnsi"/>
          <w:szCs w:val="24"/>
        </w:rPr>
        <w:t>priprema  dokumenta Prijedlog uspostavljanja Registra ulica, trgova i kućnih brojeva;</w:t>
      </w:r>
    </w:p>
    <w:p w:rsidR="00DF6DAB" w:rsidRPr="003F1A8C" w:rsidRDefault="003F1A8C" w:rsidP="003F1A8C">
      <w:pPr>
        <w:spacing w:before="0" w:after="0" w:line="240" w:lineRule="auto"/>
        <w:rPr>
          <w:rFonts w:eastAsia="Calibri Light" w:cstheme="minorHAnsi"/>
          <w:szCs w:val="24"/>
        </w:rPr>
      </w:pPr>
      <w:r>
        <w:rPr>
          <w:rFonts w:eastAsia="Calibri Light" w:cstheme="minorHAnsi"/>
          <w:szCs w:val="24"/>
        </w:rPr>
        <w:t xml:space="preserve"> - </w:t>
      </w:r>
      <w:r w:rsidR="00DF6DAB" w:rsidRPr="003F1A8C">
        <w:rPr>
          <w:rFonts w:eastAsia="Calibri Light" w:cstheme="minorHAnsi"/>
          <w:szCs w:val="24"/>
        </w:rPr>
        <w:t>priprema dokumenta pravila i procedura vezano za kancelarijsko poslovanje i usklađivanje softverskog rješenja shodno predloženom;</w:t>
      </w:r>
    </w:p>
    <w:p w:rsidR="00DF6DAB" w:rsidRPr="003F1A8C" w:rsidRDefault="003F1A8C" w:rsidP="003F1A8C">
      <w:pPr>
        <w:spacing w:before="0" w:after="0" w:line="240" w:lineRule="auto"/>
        <w:rPr>
          <w:rFonts w:eastAsia="Calibri Light" w:cstheme="minorHAnsi"/>
          <w:szCs w:val="24"/>
        </w:rPr>
      </w:pPr>
      <w:r>
        <w:rPr>
          <w:rFonts w:eastAsia="Calibri Light" w:cstheme="minorHAnsi"/>
          <w:szCs w:val="24"/>
        </w:rPr>
        <w:t xml:space="preserve"> - </w:t>
      </w:r>
      <w:r w:rsidR="00DF6DAB" w:rsidRPr="003F1A8C">
        <w:rPr>
          <w:rFonts w:eastAsia="Calibri Light" w:cstheme="minorHAnsi"/>
          <w:szCs w:val="24"/>
        </w:rPr>
        <w:t xml:space="preserve">priprema  dokumenta Prijedlog uspostavljanja Registra prometovanih nepokretnosti; </w:t>
      </w:r>
    </w:p>
    <w:p w:rsidR="00DF6DAB" w:rsidRPr="003F1A8C" w:rsidRDefault="003F1A8C" w:rsidP="003F1A8C">
      <w:pPr>
        <w:spacing w:before="0" w:after="0" w:line="240" w:lineRule="auto"/>
        <w:rPr>
          <w:rFonts w:eastAsia="Calibri Light" w:cstheme="minorHAnsi"/>
          <w:szCs w:val="24"/>
        </w:rPr>
      </w:pPr>
      <w:r>
        <w:rPr>
          <w:rFonts w:eastAsia="Calibri Light" w:cstheme="minorHAnsi"/>
          <w:szCs w:val="24"/>
        </w:rPr>
        <w:t xml:space="preserve"> - </w:t>
      </w:r>
      <w:r w:rsidR="00DF6DAB" w:rsidRPr="003F1A8C">
        <w:rPr>
          <w:rFonts w:eastAsia="Calibri Light" w:cstheme="minorHAnsi"/>
          <w:szCs w:val="24"/>
        </w:rPr>
        <w:t xml:space="preserve">priprema dokumenata za potrebe izrade: Akcionog plana za unaprjeđenje poslovnog ambijenta; </w:t>
      </w:r>
      <w:r>
        <w:rPr>
          <w:rFonts w:eastAsia="Calibri Light" w:cstheme="minorHAnsi"/>
          <w:szCs w:val="24"/>
        </w:rPr>
        <w:t xml:space="preserve"> -  - </w:t>
      </w:r>
      <w:r w:rsidR="00DF6DAB" w:rsidRPr="003F1A8C">
        <w:rPr>
          <w:rFonts w:eastAsia="Calibri Light" w:cstheme="minorHAnsi"/>
          <w:szCs w:val="24"/>
        </w:rPr>
        <w:t xml:space="preserve">realizaciju reformske mjere koja se odnosi na Upravu za nekretnine;  procjene indikatora za mala i </w:t>
      </w:r>
      <w:r>
        <w:rPr>
          <w:rFonts w:eastAsia="Calibri Light" w:cstheme="minorHAnsi"/>
          <w:szCs w:val="24"/>
        </w:rPr>
        <w:t xml:space="preserve"> - </w:t>
      </w:r>
      <w:r w:rsidR="00DF6DAB" w:rsidRPr="003F1A8C">
        <w:rPr>
          <w:rFonts w:eastAsia="Calibri Light" w:cstheme="minorHAnsi"/>
          <w:szCs w:val="24"/>
        </w:rPr>
        <w:t>srednja preduzeća i drugih saglasno zahtjevu;</w:t>
      </w:r>
    </w:p>
    <w:p w:rsidR="00DF6DAB" w:rsidRPr="003F1A8C" w:rsidRDefault="003F1A8C" w:rsidP="003F1A8C">
      <w:pPr>
        <w:spacing w:before="0" w:after="0" w:line="240" w:lineRule="auto"/>
        <w:rPr>
          <w:rFonts w:eastAsia="Calibri Light" w:cstheme="minorHAnsi"/>
          <w:szCs w:val="24"/>
        </w:rPr>
      </w:pPr>
      <w:r>
        <w:rPr>
          <w:rFonts w:eastAsia="Calibri Light" w:cstheme="minorHAnsi"/>
          <w:szCs w:val="24"/>
        </w:rPr>
        <w:t xml:space="preserve"> - </w:t>
      </w:r>
      <w:r w:rsidR="00DF6DAB" w:rsidRPr="003F1A8C">
        <w:rPr>
          <w:rFonts w:eastAsia="Calibri Light" w:cstheme="minorHAnsi"/>
          <w:szCs w:val="24"/>
        </w:rPr>
        <w:t>priprema dokumenata za korišćenje e-servisa;</w:t>
      </w:r>
    </w:p>
    <w:p w:rsidR="00DF6DAB" w:rsidRPr="003F1A8C" w:rsidRDefault="003F1A8C" w:rsidP="003F1A8C">
      <w:pPr>
        <w:spacing w:before="0" w:after="0" w:line="240" w:lineRule="auto"/>
        <w:rPr>
          <w:rFonts w:eastAsia="Calibri Light" w:cstheme="minorHAnsi"/>
          <w:szCs w:val="24"/>
        </w:rPr>
      </w:pPr>
      <w:r>
        <w:rPr>
          <w:rFonts w:eastAsia="Calibri Light" w:cstheme="minorHAnsi"/>
          <w:szCs w:val="24"/>
        </w:rPr>
        <w:lastRenderedPageBreak/>
        <w:t xml:space="preserve"> - </w:t>
      </w:r>
      <w:r w:rsidR="00DF6DAB" w:rsidRPr="003F1A8C">
        <w:rPr>
          <w:rFonts w:eastAsia="Calibri Light" w:cstheme="minorHAnsi"/>
          <w:szCs w:val="24"/>
        </w:rPr>
        <w:t>pripreme prezentacija za učešće na domaćim i međunarodnim skupovima.</w:t>
      </w:r>
    </w:p>
    <w:p w:rsidR="00DF6DAB" w:rsidRPr="003F1A8C" w:rsidRDefault="00DF6DAB" w:rsidP="003F1A8C">
      <w:pPr>
        <w:spacing w:before="0" w:after="0" w:line="240" w:lineRule="auto"/>
        <w:rPr>
          <w:rFonts w:cstheme="minorHAnsi"/>
          <w:szCs w:val="24"/>
        </w:rPr>
      </w:pPr>
    </w:p>
    <w:p w:rsidR="00DF6DAB" w:rsidRPr="003F1A8C" w:rsidRDefault="00DF6DAB" w:rsidP="003F1A8C">
      <w:pPr>
        <w:spacing w:before="0" w:after="0" w:line="240" w:lineRule="auto"/>
        <w:rPr>
          <w:rFonts w:cstheme="minorHAnsi"/>
          <w:b/>
          <w:szCs w:val="24"/>
        </w:rPr>
      </w:pPr>
      <w:bookmarkStart w:id="220" w:name="_Toc71288843"/>
      <w:r w:rsidRPr="003F1A8C">
        <w:rPr>
          <w:rFonts w:cstheme="minorHAnsi"/>
          <w:b/>
          <w:szCs w:val="24"/>
        </w:rPr>
        <w:t>12.2. PRAVILNICI</w:t>
      </w:r>
      <w:bookmarkEnd w:id="220"/>
    </w:p>
    <w:p w:rsidR="00DF6DAB" w:rsidRPr="003F1A8C" w:rsidRDefault="00DF6DAB" w:rsidP="003F1A8C">
      <w:pPr>
        <w:spacing w:after="0" w:line="240" w:lineRule="auto"/>
        <w:ind w:firstLine="709"/>
        <w:rPr>
          <w:rFonts w:cstheme="minorHAnsi"/>
          <w:szCs w:val="24"/>
        </w:rPr>
      </w:pPr>
      <w:r w:rsidRPr="003F1A8C">
        <w:rPr>
          <w:rFonts w:cstheme="minorHAnsi"/>
          <w:szCs w:val="24"/>
        </w:rPr>
        <w:t>U to</w:t>
      </w:r>
      <w:bookmarkStart w:id="221" w:name="OLE_LINK178"/>
      <w:bookmarkStart w:id="222" w:name="OLE_LINK179"/>
      <w:r w:rsidR="003F1A8C">
        <w:rPr>
          <w:rFonts w:cstheme="minorHAnsi"/>
          <w:szCs w:val="24"/>
        </w:rPr>
        <w:t xml:space="preserve">ku 2020. godine pripremljen je </w:t>
      </w:r>
      <w:r w:rsidRPr="003F1A8C">
        <w:rPr>
          <w:rFonts w:cstheme="minorHAnsi"/>
          <w:szCs w:val="24"/>
        </w:rPr>
        <w:t xml:space="preserve">Nacrt Pravilnika o državnom premjeru i katastru nepokretnosti koji je objedinio </w:t>
      </w:r>
      <w:bookmarkEnd w:id="221"/>
      <w:bookmarkEnd w:id="222"/>
      <w:r w:rsidRPr="003F1A8C">
        <w:rPr>
          <w:rFonts w:cstheme="minorHAnsi"/>
          <w:szCs w:val="24"/>
        </w:rPr>
        <w:t>sljedeće:</w:t>
      </w:r>
    </w:p>
    <w:p w:rsidR="00DF6DAB" w:rsidRPr="003F1A8C" w:rsidRDefault="003F1A8C" w:rsidP="003F1A8C">
      <w:pPr>
        <w:spacing w:before="0" w:after="0" w:line="240" w:lineRule="auto"/>
        <w:rPr>
          <w:rFonts w:cstheme="minorHAnsi"/>
          <w:szCs w:val="24"/>
        </w:rPr>
      </w:pPr>
      <w:r>
        <w:rPr>
          <w:rFonts w:cstheme="minorHAnsi"/>
          <w:szCs w:val="24"/>
        </w:rPr>
        <w:t xml:space="preserve"> - </w:t>
      </w:r>
      <w:r w:rsidR="00DF6DAB" w:rsidRPr="003F1A8C">
        <w:rPr>
          <w:rFonts w:cstheme="minorHAnsi"/>
          <w:szCs w:val="24"/>
        </w:rPr>
        <w:t>Pravilnik o upisu prava na nepokretnostima i postupak upisa,</w:t>
      </w:r>
    </w:p>
    <w:p w:rsidR="00DF6DAB" w:rsidRPr="003F1A8C" w:rsidRDefault="003F1A8C" w:rsidP="003F1A8C">
      <w:pPr>
        <w:spacing w:before="0" w:after="0" w:line="240" w:lineRule="auto"/>
        <w:rPr>
          <w:rFonts w:cstheme="minorHAnsi"/>
          <w:szCs w:val="24"/>
        </w:rPr>
      </w:pPr>
      <w:r>
        <w:rPr>
          <w:rFonts w:cstheme="minorHAnsi"/>
          <w:szCs w:val="24"/>
        </w:rPr>
        <w:t xml:space="preserve"> - </w:t>
      </w:r>
      <w:r w:rsidR="00DF6DAB" w:rsidRPr="003F1A8C">
        <w:rPr>
          <w:rFonts w:cstheme="minorHAnsi"/>
          <w:szCs w:val="24"/>
        </w:rPr>
        <w:t>Pravilnik o tehničkim normativima, metodama i načinu rada kod izrade katastra nepokretnosti i njegovo održavanje i upisa prava na nepokretnostima,</w:t>
      </w:r>
    </w:p>
    <w:p w:rsidR="00DF6DAB" w:rsidRPr="003F1A8C" w:rsidRDefault="003F1A8C" w:rsidP="003F1A8C">
      <w:pPr>
        <w:spacing w:before="0" w:after="0" w:line="240" w:lineRule="auto"/>
        <w:rPr>
          <w:rFonts w:cstheme="minorHAnsi"/>
          <w:szCs w:val="24"/>
        </w:rPr>
      </w:pPr>
      <w:r>
        <w:rPr>
          <w:rFonts w:cstheme="minorHAnsi"/>
          <w:szCs w:val="24"/>
        </w:rPr>
        <w:t xml:space="preserve"> - </w:t>
      </w:r>
      <w:r w:rsidR="00DF6DAB" w:rsidRPr="003F1A8C">
        <w:rPr>
          <w:rFonts w:cstheme="minorHAnsi"/>
          <w:szCs w:val="24"/>
        </w:rPr>
        <w:t>Pravilnik o načinu i postupku vršenja kontrole, pregleda i prijema radova u postupku održavanja katastra nepokretnosti,</w:t>
      </w:r>
    </w:p>
    <w:p w:rsidR="00DF6DAB" w:rsidRPr="003F1A8C" w:rsidRDefault="003F1A8C" w:rsidP="003F1A8C">
      <w:pPr>
        <w:spacing w:before="0" w:after="0" w:line="240" w:lineRule="auto"/>
        <w:rPr>
          <w:rFonts w:cstheme="minorHAnsi"/>
          <w:szCs w:val="24"/>
        </w:rPr>
      </w:pPr>
      <w:r>
        <w:rPr>
          <w:rFonts w:cstheme="minorHAnsi"/>
          <w:szCs w:val="24"/>
        </w:rPr>
        <w:t xml:space="preserve"> - </w:t>
      </w:r>
      <w:r w:rsidR="00DF6DAB" w:rsidRPr="003F1A8C">
        <w:rPr>
          <w:rFonts w:cstheme="minorHAnsi"/>
          <w:szCs w:val="24"/>
        </w:rPr>
        <w:t>Pravilnik o tehničkim normativima, metodama i načinu rada koji se primjenjuje u premjeru i njegovom održavanju (geodetska osnova, katastarsko klasiranje i bonitiranje zemljišta, katastarski planovi, metrološko obezbjeđenje geodetskih radova),</w:t>
      </w:r>
    </w:p>
    <w:p w:rsidR="00DF6DAB" w:rsidRPr="003F1A8C" w:rsidRDefault="003F1A8C" w:rsidP="003F1A8C">
      <w:pPr>
        <w:spacing w:before="0" w:after="0" w:line="240" w:lineRule="auto"/>
        <w:rPr>
          <w:rFonts w:cstheme="minorHAnsi"/>
          <w:szCs w:val="24"/>
        </w:rPr>
      </w:pPr>
      <w:r>
        <w:rPr>
          <w:rFonts w:cstheme="minorHAnsi"/>
          <w:szCs w:val="24"/>
        </w:rPr>
        <w:t xml:space="preserve"> - </w:t>
      </w:r>
      <w:r w:rsidR="00DF6DAB" w:rsidRPr="003F1A8C">
        <w:rPr>
          <w:rFonts w:cstheme="minorHAnsi"/>
          <w:szCs w:val="24"/>
        </w:rPr>
        <w:t>Pravilnik o tehničkim normativima, metodama i načinu rada u oblasti državnog premjera i katastra nepokretnosti.</w:t>
      </w:r>
    </w:p>
    <w:p w:rsidR="00DF6DAB" w:rsidRPr="003F1A8C" w:rsidRDefault="00DF6DAB" w:rsidP="003F1A8C">
      <w:pPr>
        <w:spacing w:before="0" w:after="0" w:line="240" w:lineRule="auto"/>
        <w:rPr>
          <w:rFonts w:cstheme="minorHAnsi"/>
          <w:szCs w:val="24"/>
          <w:highlight w:val="green"/>
        </w:rPr>
      </w:pPr>
    </w:p>
    <w:p w:rsidR="00DF6DAB" w:rsidRPr="003F1A8C" w:rsidRDefault="00DF6DAB" w:rsidP="003F1A8C">
      <w:pPr>
        <w:spacing w:before="0" w:after="0" w:line="240" w:lineRule="auto"/>
        <w:rPr>
          <w:rFonts w:cstheme="minorHAnsi"/>
          <w:b/>
          <w:szCs w:val="24"/>
        </w:rPr>
      </w:pPr>
      <w:bookmarkStart w:id="223" w:name="_Toc71288844"/>
      <w:r w:rsidRPr="003F1A8C">
        <w:rPr>
          <w:rFonts w:cstheme="minorHAnsi"/>
          <w:b/>
          <w:szCs w:val="24"/>
        </w:rPr>
        <w:t>12.3. UREDBE</w:t>
      </w:r>
      <w:bookmarkEnd w:id="223"/>
    </w:p>
    <w:p w:rsidR="00DF6DAB" w:rsidRPr="003F1A8C" w:rsidRDefault="00DF6DAB" w:rsidP="003F1A8C">
      <w:pPr>
        <w:spacing w:after="0" w:line="240" w:lineRule="auto"/>
        <w:rPr>
          <w:rFonts w:cstheme="minorHAnsi"/>
          <w:szCs w:val="24"/>
        </w:rPr>
      </w:pPr>
      <w:r w:rsidRPr="003F1A8C">
        <w:rPr>
          <w:rFonts w:cstheme="minorHAnsi"/>
          <w:szCs w:val="24"/>
        </w:rPr>
        <w:tab/>
        <w:t>U toku 2020. godine pripremljena je konačna verzija Izmjene Uredbe o visini naknade za korištenje podataka državnog premjera i katastra nepokretnosti i predlog dostavljen Ministarstvu finansija na dalje postupanje.</w:t>
      </w:r>
    </w:p>
    <w:p w:rsidR="00DF6DAB" w:rsidRPr="003F1A8C" w:rsidRDefault="00DF6DAB" w:rsidP="003F1A8C">
      <w:pPr>
        <w:spacing w:before="0" w:after="0" w:line="240" w:lineRule="auto"/>
        <w:rPr>
          <w:rFonts w:cstheme="minorHAnsi"/>
          <w:szCs w:val="24"/>
          <w:highlight w:val="yellow"/>
        </w:rPr>
      </w:pPr>
    </w:p>
    <w:p w:rsidR="00DF6DAB" w:rsidRPr="003F1A8C" w:rsidRDefault="00DF6DAB" w:rsidP="003F1A8C">
      <w:pPr>
        <w:spacing w:before="0" w:after="0" w:line="240" w:lineRule="auto"/>
        <w:rPr>
          <w:rFonts w:cstheme="minorHAnsi"/>
          <w:b/>
          <w:szCs w:val="24"/>
        </w:rPr>
      </w:pPr>
      <w:bookmarkStart w:id="224" w:name="_Toc71288845"/>
      <w:r w:rsidRPr="003F1A8C">
        <w:rPr>
          <w:rFonts w:cstheme="minorHAnsi"/>
          <w:b/>
          <w:szCs w:val="24"/>
        </w:rPr>
        <w:t>12.4. OSTALE AKTIVNOSTI</w:t>
      </w:r>
      <w:bookmarkEnd w:id="224"/>
    </w:p>
    <w:p w:rsidR="00DF6DAB" w:rsidRPr="003F1A8C" w:rsidRDefault="00DF6DAB" w:rsidP="002E48D4">
      <w:pPr>
        <w:spacing w:after="0" w:line="240" w:lineRule="auto"/>
        <w:ind w:firstLine="709"/>
        <w:rPr>
          <w:rFonts w:cstheme="minorHAnsi"/>
          <w:szCs w:val="24"/>
        </w:rPr>
      </w:pPr>
      <w:r w:rsidRPr="003F1A8C">
        <w:rPr>
          <w:rFonts w:cstheme="minorHAnsi"/>
          <w:szCs w:val="24"/>
        </w:rPr>
        <w:t>U toku 2020. godine Uprava je aktivno učestvovala, redovno dostavljala i obrađivala izvještaje za potrebe izrade:</w:t>
      </w:r>
    </w:p>
    <w:p w:rsidR="00DF6DAB" w:rsidRPr="003F1A8C" w:rsidRDefault="002E48D4" w:rsidP="003F1A8C">
      <w:pPr>
        <w:spacing w:before="0" w:after="0" w:line="240" w:lineRule="auto"/>
        <w:rPr>
          <w:rFonts w:cstheme="minorHAnsi"/>
          <w:szCs w:val="24"/>
        </w:rPr>
      </w:pPr>
      <w:r>
        <w:rPr>
          <w:rFonts w:cstheme="minorHAnsi"/>
          <w:szCs w:val="24"/>
        </w:rPr>
        <w:t xml:space="preserve"> -  </w:t>
      </w:r>
      <w:r w:rsidR="00DF6DAB" w:rsidRPr="003F1A8C">
        <w:rPr>
          <w:rFonts w:cstheme="minorHAnsi"/>
          <w:szCs w:val="24"/>
        </w:rPr>
        <w:t>Akcionog plana za sprovođenje strategije borbe protiv korupcije i organizovanog kriminala;</w:t>
      </w:r>
    </w:p>
    <w:p w:rsidR="00DF6DAB" w:rsidRPr="003F1A8C" w:rsidRDefault="002E48D4" w:rsidP="003F1A8C">
      <w:pPr>
        <w:spacing w:before="0" w:after="0" w:line="240" w:lineRule="auto"/>
        <w:rPr>
          <w:rFonts w:cstheme="minorHAnsi"/>
          <w:szCs w:val="24"/>
        </w:rPr>
      </w:pPr>
      <w:r>
        <w:rPr>
          <w:rFonts w:cstheme="minorHAnsi"/>
          <w:szCs w:val="24"/>
        </w:rPr>
        <w:t xml:space="preserve"> - </w:t>
      </w:r>
      <w:r w:rsidR="00DF6DAB" w:rsidRPr="003F1A8C">
        <w:rPr>
          <w:rFonts w:cstheme="minorHAnsi"/>
          <w:szCs w:val="24"/>
        </w:rPr>
        <w:t>Akcionog plana za unaprjeđenje poslovnog ambijenta;</w:t>
      </w:r>
    </w:p>
    <w:p w:rsidR="00DF6DAB" w:rsidRPr="003F1A8C" w:rsidRDefault="002E48D4" w:rsidP="003F1A8C">
      <w:pPr>
        <w:spacing w:before="0" w:after="0" w:line="240" w:lineRule="auto"/>
        <w:rPr>
          <w:rFonts w:cstheme="minorHAnsi"/>
          <w:szCs w:val="24"/>
        </w:rPr>
      </w:pPr>
      <w:r>
        <w:rPr>
          <w:rFonts w:cstheme="minorHAnsi"/>
          <w:szCs w:val="24"/>
        </w:rPr>
        <w:t xml:space="preserve"> - </w:t>
      </w:r>
      <w:r w:rsidR="00DF6DAB" w:rsidRPr="003F1A8C">
        <w:rPr>
          <w:rFonts w:cstheme="minorHAnsi"/>
          <w:szCs w:val="24"/>
        </w:rPr>
        <w:t>Akcioni plan za sprovodjenje strategije malih i mikro preduzeća;</w:t>
      </w:r>
    </w:p>
    <w:p w:rsidR="00DF6DAB" w:rsidRPr="003F1A8C" w:rsidRDefault="002E48D4" w:rsidP="003F1A8C">
      <w:pPr>
        <w:spacing w:before="0" w:after="0" w:line="240" w:lineRule="auto"/>
        <w:rPr>
          <w:rFonts w:cstheme="minorHAnsi"/>
          <w:szCs w:val="24"/>
        </w:rPr>
      </w:pPr>
      <w:r>
        <w:rPr>
          <w:rFonts w:cstheme="minorHAnsi"/>
          <w:szCs w:val="24"/>
        </w:rPr>
        <w:t xml:space="preserve"> - </w:t>
      </w:r>
      <w:r w:rsidR="00DF6DAB" w:rsidRPr="003F1A8C">
        <w:rPr>
          <w:rFonts w:cstheme="minorHAnsi"/>
          <w:szCs w:val="24"/>
        </w:rPr>
        <w:t>Akcioni plan za sprovodjenje industrijske politike;</w:t>
      </w:r>
    </w:p>
    <w:p w:rsidR="00DF6DAB" w:rsidRPr="003F1A8C" w:rsidRDefault="002E48D4" w:rsidP="003F1A8C">
      <w:pPr>
        <w:spacing w:before="0" w:after="0" w:line="240" w:lineRule="auto"/>
        <w:rPr>
          <w:rFonts w:cstheme="minorHAnsi"/>
          <w:szCs w:val="24"/>
        </w:rPr>
      </w:pPr>
      <w:r>
        <w:rPr>
          <w:rFonts w:cstheme="minorHAnsi"/>
          <w:szCs w:val="24"/>
        </w:rPr>
        <w:t xml:space="preserve"> - </w:t>
      </w:r>
      <w:r w:rsidR="00DF6DAB" w:rsidRPr="003F1A8C">
        <w:rPr>
          <w:rFonts w:cstheme="minorHAnsi"/>
          <w:szCs w:val="24"/>
        </w:rPr>
        <w:t>Strategija za smanjenje rizika od katastrofa sa Dinamičkim planom 2018.-2023.;</w:t>
      </w:r>
    </w:p>
    <w:p w:rsidR="00DF6DAB" w:rsidRPr="003F1A8C" w:rsidRDefault="002E48D4" w:rsidP="003F1A8C">
      <w:pPr>
        <w:spacing w:before="0" w:after="0" w:line="240" w:lineRule="auto"/>
        <w:rPr>
          <w:rFonts w:cstheme="minorHAnsi"/>
          <w:szCs w:val="24"/>
        </w:rPr>
      </w:pPr>
      <w:r>
        <w:rPr>
          <w:rFonts w:cstheme="minorHAnsi"/>
          <w:szCs w:val="24"/>
        </w:rPr>
        <w:t xml:space="preserve"> - </w:t>
      </w:r>
      <w:r w:rsidR="00DF6DAB" w:rsidRPr="003F1A8C">
        <w:rPr>
          <w:rFonts w:cstheme="minorHAnsi"/>
          <w:szCs w:val="24"/>
        </w:rPr>
        <w:t>Izvještaja o uređenju prostora;</w:t>
      </w:r>
    </w:p>
    <w:p w:rsidR="00DF6DAB" w:rsidRPr="003F1A8C" w:rsidRDefault="002E48D4" w:rsidP="003F1A8C">
      <w:pPr>
        <w:spacing w:before="0" w:after="0" w:line="240" w:lineRule="auto"/>
        <w:rPr>
          <w:rFonts w:cstheme="minorHAnsi"/>
          <w:szCs w:val="24"/>
        </w:rPr>
      </w:pPr>
      <w:r>
        <w:rPr>
          <w:rFonts w:cstheme="minorHAnsi"/>
          <w:szCs w:val="24"/>
        </w:rPr>
        <w:t xml:space="preserve"> - </w:t>
      </w:r>
      <w:r w:rsidR="00DF6DAB" w:rsidRPr="003F1A8C">
        <w:rPr>
          <w:rFonts w:cstheme="minorHAnsi"/>
          <w:szCs w:val="24"/>
        </w:rPr>
        <w:t>Izvještaj o realizaciji u  okviru Programa reformskih mjera;</w:t>
      </w:r>
    </w:p>
    <w:p w:rsidR="00DF6DAB" w:rsidRPr="003F1A8C" w:rsidRDefault="002E48D4" w:rsidP="003F1A8C">
      <w:pPr>
        <w:spacing w:before="0" w:after="0" w:line="240" w:lineRule="auto"/>
        <w:rPr>
          <w:rFonts w:cstheme="minorHAnsi"/>
          <w:szCs w:val="24"/>
        </w:rPr>
      </w:pPr>
      <w:r>
        <w:rPr>
          <w:rFonts w:cstheme="minorHAnsi"/>
          <w:szCs w:val="24"/>
        </w:rPr>
        <w:t xml:space="preserve"> - i dr saglasno zahtjevima.</w:t>
      </w:r>
    </w:p>
    <w:p w:rsidR="00DF6DAB" w:rsidRPr="003F1A8C" w:rsidRDefault="00DF6DAB" w:rsidP="003F1A8C">
      <w:pPr>
        <w:spacing w:before="0" w:after="0" w:line="240" w:lineRule="auto"/>
        <w:rPr>
          <w:rFonts w:cstheme="minorHAnsi"/>
          <w:szCs w:val="24"/>
        </w:rPr>
      </w:pPr>
    </w:p>
    <w:p w:rsidR="00DF6DAB" w:rsidRPr="003F1A8C" w:rsidRDefault="00DF6DAB" w:rsidP="003F1A8C">
      <w:pPr>
        <w:spacing w:before="0" w:after="0" w:line="240" w:lineRule="auto"/>
        <w:rPr>
          <w:rFonts w:cstheme="minorHAnsi"/>
          <w:b/>
          <w:szCs w:val="24"/>
        </w:rPr>
      </w:pPr>
      <w:bookmarkStart w:id="225" w:name="_Toc504910756"/>
      <w:bookmarkStart w:id="226" w:name="_Toc71288846"/>
      <w:r w:rsidRPr="003F1A8C">
        <w:rPr>
          <w:rFonts w:cstheme="minorHAnsi"/>
          <w:b/>
          <w:szCs w:val="24"/>
        </w:rPr>
        <w:t>13. REALIZACIJA AKTIVNOSTI U OKVIRU MEĐUNARODNIH PROJEKATA</w:t>
      </w:r>
      <w:bookmarkEnd w:id="225"/>
      <w:bookmarkEnd w:id="226"/>
      <w:r w:rsidRPr="003F1A8C">
        <w:rPr>
          <w:rFonts w:cstheme="minorHAnsi"/>
          <w:b/>
          <w:szCs w:val="24"/>
        </w:rPr>
        <w:t xml:space="preserve"> </w:t>
      </w:r>
    </w:p>
    <w:p w:rsidR="00DF6DAB" w:rsidRPr="003F1A8C" w:rsidRDefault="00DF6DAB" w:rsidP="002E48D4">
      <w:pPr>
        <w:spacing w:after="0" w:line="240" w:lineRule="auto"/>
        <w:ind w:firstLine="709"/>
        <w:rPr>
          <w:rFonts w:cstheme="minorHAnsi"/>
          <w:szCs w:val="24"/>
        </w:rPr>
      </w:pPr>
      <w:r w:rsidRPr="003F1A8C">
        <w:rPr>
          <w:rFonts w:cstheme="minorHAnsi"/>
          <w:szCs w:val="24"/>
        </w:rPr>
        <w:t xml:space="preserve">Uprava je u proteklom periodu ostvarila dobru saradnju na međunarodnom nivo kroz članstvo i aktivno djelovanje u asocijacijama Eurogeographics, EUPOS, UNGEGN i posebno na regionalnom nivou. </w:t>
      </w:r>
    </w:p>
    <w:p w:rsidR="00DF6DAB" w:rsidRPr="003F1A8C" w:rsidRDefault="00DF6DAB" w:rsidP="002E48D4">
      <w:pPr>
        <w:spacing w:before="0" w:after="0" w:line="240" w:lineRule="auto"/>
        <w:ind w:firstLine="709"/>
        <w:rPr>
          <w:rFonts w:cstheme="minorHAnsi"/>
          <w:szCs w:val="24"/>
        </w:rPr>
      </w:pPr>
      <w:r w:rsidRPr="003F1A8C">
        <w:rPr>
          <w:rFonts w:cstheme="minorHAnsi"/>
          <w:szCs w:val="24"/>
        </w:rPr>
        <w:t>Učešće u međunarodnim projektima, omogućilo je da se dobra praksa i iskustvo iz oblasti nadležnosti Uprave primjenjuje u kontinuitetu.</w:t>
      </w:r>
    </w:p>
    <w:p w:rsidR="00DF6DAB" w:rsidRPr="003F1A8C" w:rsidRDefault="00DF6DAB" w:rsidP="002E48D4">
      <w:pPr>
        <w:spacing w:before="0" w:after="0" w:line="240" w:lineRule="auto"/>
        <w:ind w:firstLine="709"/>
        <w:rPr>
          <w:rFonts w:cstheme="minorHAnsi"/>
          <w:szCs w:val="24"/>
        </w:rPr>
      </w:pPr>
      <w:r w:rsidRPr="003F1A8C">
        <w:rPr>
          <w:rFonts w:cstheme="minorHAnsi"/>
          <w:szCs w:val="24"/>
        </w:rPr>
        <w:t>Uprava je u toku 2020. godine, nastavila aktivnost na međunarodnoj saradnji saglasno situacij</w:t>
      </w:r>
      <w:r w:rsidR="002E48D4">
        <w:rPr>
          <w:rFonts w:cstheme="minorHAnsi"/>
          <w:szCs w:val="24"/>
        </w:rPr>
        <w:t>i izazvanoj pandemijom COVOD19.</w:t>
      </w:r>
    </w:p>
    <w:p w:rsidR="00DF6DAB" w:rsidRPr="003F1A8C" w:rsidRDefault="00DF6DAB" w:rsidP="003F1A8C">
      <w:pPr>
        <w:spacing w:before="0" w:after="0" w:line="240" w:lineRule="auto"/>
        <w:rPr>
          <w:rFonts w:cstheme="minorHAnsi"/>
          <w:szCs w:val="24"/>
          <w:highlight w:val="yellow"/>
        </w:rPr>
      </w:pPr>
    </w:p>
    <w:p w:rsidR="00DF6DAB" w:rsidRPr="003F1A8C" w:rsidRDefault="00DF6DAB" w:rsidP="003F1A8C">
      <w:pPr>
        <w:spacing w:before="0" w:after="0" w:line="240" w:lineRule="auto"/>
        <w:rPr>
          <w:rFonts w:cstheme="minorHAnsi"/>
          <w:b/>
          <w:szCs w:val="24"/>
        </w:rPr>
      </w:pPr>
      <w:bookmarkStart w:id="227" w:name="_Toc71288847"/>
      <w:r w:rsidRPr="003F1A8C">
        <w:rPr>
          <w:rFonts w:cstheme="minorHAnsi"/>
          <w:b/>
          <w:szCs w:val="24"/>
        </w:rPr>
        <w:t>13.1. EUROGEOGRAPHICS</w:t>
      </w:r>
      <w:bookmarkEnd w:id="227"/>
    </w:p>
    <w:p w:rsidR="002E48D4" w:rsidRDefault="00DF6DAB" w:rsidP="002E48D4">
      <w:pPr>
        <w:spacing w:after="0" w:line="240" w:lineRule="auto"/>
        <w:ind w:firstLine="709"/>
        <w:rPr>
          <w:rFonts w:cstheme="minorHAnsi"/>
          <w:szCs w:val="24"/>
        </w:rPr>
      </w:pPr>
      <w:r w:rsidRPr="003F1A8C">
        <w:rPr>
          <w:rFonts w:cstheme="minorHAnsi"/>
          <w:szCs w:val="24"/>
        </w:rPr>
        <w:t>U toku 2020. godine nastavljene su aktivnosti, na međunarodnoj saradnji u okviru  EuroGeographics organizacije.</w:t>
      </w:r>
    </w:p>
    <w:p w:rsidR="00DF6DAB" w:rsidRPr="003F1A8C" w:rsidRDefault="00DF6DAB" w:rsidP="002E48D4">
      <w:pPr>
        <w:spacing w:after="0" w:line="240" w:lineRule="auto"/>
        <w:ind w:firstLine="709"/>
        <w:rPr>
          <w:rFonts w:cstheme="minorHAnsi"/>
          <w:szCs w:val="24"/>
        </w:rPr>
      </w:pPr>
      <w:r w:rsidRPr="003F1A8C">
        <w:rPr>
          <w:rFonts w:cstheme="minorHAnsi"/>
          <w:szCs w:val="24"/>
        </w:rPr>
        <w:lastRenderedPageBreak/>
        <w:t>Zbog neobezbjeđivanja finansijskih sredstava, Uprava u posljednje četiri godine nije učestvovala na godišnjim sastancima i Generalnoj skupštini, ali je nastavljen rad na pripremi Eurogeographics proizvoda.</w:t>
      </w:r>
    </w:p>
    <w:p w:rsidR="00DF6DAB" w:rsidRPr="003F1A8C" w:rsidRDefault="00DF6DAB" w:rsidP="003F1A8C">
      <w:pPr>
        <w:spacing w:before="0" w:after="0" w:line="240" w:lineRule="auto"/>
        <w:rPr>
          <w:rFonts w:cstheme="minorHAnsi"/>
          <w:szCs w:val="24"/>
        </w:rPr>
      </w:pPr>
    </w:p>
    <w:p w:rsidR="00DF6DAB" w:rsidRPr="003F1A8C" w:rsidRDefault="00DF6DAB" w:rsidP="003F1A8C">
      <w:pPr>
        <w:spacing w:before="0" w:after="0" w:line="240" w:lineRule="auto"/>
        <w:rPr>
          <w:rFonts w:cstheme="minorHAnsi"/>
          <w:b/>
          <w:szCs w:val="24"/>
        </w:rPr>
      </w:pPr>
      <w:bookmarkStart w:id="228" w:name="_Toc71288848"/>
      <w:r w:rsidRPr="003F1A8C">
        <w:rPr>
          <w:rFonts w:cstheme="minorHAnsi"/>
          <w:b/>
          <w:szCs w:val="24"/>
        </w:rPr>
        <w:t>13.2. PROJEKAT VLADE NORVEŠKE</w:t>
      </w:r>
      <w:bookmarkEnd w:id="228"/>
      <w:r w:rsidRPr="003F1A8C">
        <w:rPr>
          <w:rFonts w:cstheme="minorHAnsi"/>
          <w:b/>
          <w:szCs w:val="24"/>
        </w:rPr>
        <w:t xml:space="preserve"> </w:t>
      </w:r>
    </w:p>
    <w:p w:rsidR="00DF6DAB" w:rsidRPr="003F1A8C" w:rsidRDefault="00DF6DAB" w:rsidP="002E48D4">
      <w:pPr>
        <w:spacing w:after="0" w:line="240" w:lineRule="auto"/>
        <w:ind w:firstLine="709"/>
        <w:rPr>
          <w:rFonts w:cstheme="minorHAnsi"/>
          <w:szCs w:val="24"/>
        </w:rPr>
      </w:pPr>
      <w:r w:rsidRPr="003F1A8C">
        <w:rPr>
          <w:rFonts w:cstheme="minorHAnsi"/>
          <w:szCs w:val="24"/>
        </w:rPr>
        <w:t>U toku 2020. godine nastavljene su aktivnosti Ugovora o donaciji Vlade Norveške, potpisanog 2018. godine, koji je baziranna dvije komponente: Projekat Adresni registar i Projekat kartografski model podataka.</w:t>
      </w:r>
    </w:p>
    <w:p w:rsidR="00DF6DAB" w:rsidRPr="003F1A8C" w:rsidRDefault="00DF6DAB" w:rsidP="003F1A8C">
      <w:pPr>
        <w:spacing w:before="0" w:after="0" w:line="240" w:lineRule="auto"/>
        <w:rPr>
          <w:rFonts w:cstheme="minorHAnsi"/>
          <w:szCs w:val="24"/>
        </w:rPr>
      </w:pPr>
      <w:r w:rsidRPr="003F1A8C">
        <w:rPr>
          <w:rFonts w:cstheme="minorHAnsi"/>
          <w:szCs w:val="24"/>
        </w:rPr>
        <w:tab/>
        <w:t>Aktivnosti vezane za ovaj Projekat opisane su u prethodnim poglavljijma.</w:t>
      </w:r>
    </w:p>
    <w:p w:rsidR="00DF6DAB" w:rsidRPr="003F1A8C" w:rsidRDefault="00DF6DAB" w:rsidP="003F1A8C">
      <w:pPr>
        <w:spacing w:before="0" w:after="0" w:line="240" w:lineRule="auto"/>
        <w:rPr>
          <w:rFonts w:cstheme="minorHAnsi"/>
          <w:szCs w:val="24"/>
        </w:rPr>
      </w:pPr>
    </w:p>
    <w:p w:rsidR="00DF6DAB" w:rsidRPr="002E48D4" w:rsidRDefault="00DF6DAB" w:rsidP="003F1A8C">
      <w:pPr>
        <w:spacing w:before="0" w:after="0" w:line="240" w:lineRule="auto"/>
        <w:rPr>
          <w:rFonts w:cstheme="minorHAnsi"/>
          <w:b/>
          <w:szCs w:val="24"/>
        </w:rPr>
      </w:pPr>
      <w:bookmarkStart w:id="229" w:name="_Toc71288849"/>
      <w:r w:rsidRPr="003F1A8C">
        <w:rPr>
          <w:rFonts w:cstheme="minorHAnsi"/>
          <w:b/>
          <w:szCs w:val="24"/>
        </w:rPr>
        <w:t>13.3. SPATIAL PROJEKAT</w:t>
      </w:r>
      <w:bookmarkEnd w:id="229"/>
      <w:r w:rsidR="002E48D4">
        <w:rPr>
          <w:rFonts w:cstheme="minorHAnsi"/>
          <w:b/>
          <w:szCs w:val="24"/>
        </w:rPr>
        <w:t xml:space="preserve"> </w:t>
      </w:r>
    </w:p>
    <w:p w:rsidR="00DF6DAB" w:rsidRPr="003F1A8C" w:rsidRDefault="00DF6DAB" w:rsidP="002E48D4">
      <w:pPr>
        <w:spacing w:after="0" w:line="240" w:lineRule="auto"/>
        <w:rPr>
          <w:rFonts w:cstheme="minorHAnsi"/>
          <w:szCs w:val="24"/>
        </w:rPr>
      </w:pPr>
      <w:r w:rsidRPr="003F1A8C">
        <w:rPr>
          <w:rFonts w:cstheme="minorHAnsi"/>
          <w:szCs w:val="24"/>
        </w:rPr>
        <w:tab/>
        <w:t>Cilj Spatial projekta je da se ojača profesionalni pristup informacijama o zemljištu u regionu Zapadnog Balkana kao i jačanje institucionalnog i organizacionog kapaciteta organizacija u ulozi programera, menadžera i saradnika na platformi Nacionalne Infrastrukture Prostornih Podataka.</w:t>
      </w:r>
    </w:p>
    <w:p w:rsidR="00DF6DAB" w:rsidRPr="003F1A8C" w:rsidRDefault="00DF6DAB" w:rsidP="003F1A8C">
      <w:pPr>
        <w:spacing w:before="0" w:after="0" w:line="240" w:lineRule="auto"/>
        <w:rPr>
          <w:rFonts w:cstheme="minorHAnsi"/>
          <w:szCs w:val="24"/>
        </w:rPr>
      </w:pPr>
    </w:p>
    <w:p w:rsidR="00DF6DAB" w:rsidRPr="002E48D4" w:rsidRDefault="00DF6DAB" w:rsidP="003F1A8C">
      <w:pPr>
        <w:spacing w:before="0" w:after="0" w:line="240" w:lineRule="auto"/>
        <w:rPr>
          <w:rFonts w:cstheme="minorHAnsi"/>
          <w:b/>
          <w:szCs w:val="24"/>
        </w:rPr>
      </w:pPr>
      <w:bookmarkStart w:id="230" w:name="_Toc71288850"/>
      <w:r w:rsidRPr="003F1A8C">
        <w:rPr>
          <w:rFonts w:cstheme="minorHAnsi"/>
          <w:b/>
          <w:szCs w:val="24"/>
        </w:rPr>
        <w:t>13.4. REGIONALNA SARADANJA</w:t>
      </w:r>
      <w:bookmarkEnd w:id="230"/>
    </w:p>
    <w:p w:rsidR="00DF6DAB" w:rsidRPr="003F1A8C" w:rsidRDefault="00DF6DAB" w:rsidP="002E48D4">
      <w:pPr>
        <w:spacing w:after="0" w:line="240" w:lineRule="auto"/>
        <w:rPr>
          <w:rFonts w:cstheme="minorHAnsi"/>
          <w:szCs w:val="24"/>
        </w:rPr>
      </w:pPr>
      <w:r w:rsidRPr="003F1A8C">
        <w:rPr>
          <w:rFonts w:cstheme="minorHAnsi"/>
          <w:szCs w:val="24"/>
        </w:rPr>
        <w:tab/>
        <w:t>U toku 2020. godine, shodno situaciji izazavanoj pandemijom COVID19 nije održana Regionala konferencija.</w:t>
      </w:r>
    </w:p>
    <w:p w:rsidR="00DF6DAB" w:rsidRPr="003F1A8C" w:rsidRDefault="00DF6DAB" w:rsidP="003F1A8C">
      <w:pPr>
        <w:spacing w:before="0" w:after="0" w:line="240" w:lineRule="auto"/>
        <w:rPr>
          <w:rFonts w:eastAsia="Calibri Light" w:cstheme="minorHAnsi"/>
          <w:szCs w:val="24"/>
        </w:rPr>
      </w:pPr>
    </w:p>
    <w:p w:rsidR="00DF6DAB" w:rsidRPr="003F1A8C" w:rsidRDefault="00DF6DAB" w:rsidP="003F1A8C">
      <w:pPr>
        <w:spacing w:before="0" w:after="0" w:line="240" w:lineRule="auto"/>
        <w:rPr>
          <w:rFonts w:cstheme="minorHAnsi"/>
          <w:b/>
          <w:szCs w:val="24"/>
        </w:rPr>
      </w:pPr>
      <w:bookmarkStart w:id="231" w:name="_Toc71288851"/>
      <w:bookmarkEnd w:id="219"/>
      <w:r w:rsidRPr="003F1A8C">
        <w:rPr>
          <w:rFonts w:cstheme="minorHAnsi"/>
          <w:b/>
          <w:szCs w:val="24"/>
        </w:rPr>
        <w:t>14. OSTVARENI PRIHOD</w:t>
      </w:r>
      <w:bookmarkEnd w:id="231"/>
    </w:p>
    <w:p w:rsidR="00DF6DAB" w:rsidRPr="003F1A8C" w:rsidRDefault="00DF6DAB" w:rsidP="002E48D4">
      <w:pPr>
        <w:spacing w:after="0" w:line="240" w:lineRule="auto"/>
        <w:ind w:firstLine="709"/>
        <w:rPr>
          <w:rFonts w:cstheme="minorHAnsi"/>
          <w:szCs w:val="24"/>
        </w:rPr>
      </w:pPr>
      <w:r w:rsidRPr="003F1A8C">
        <w:rPr>
          <w:rFonts w:cstheme="minorHAnsi"/>
          <w:szCs w:val="24"/>
        </w:rPr>
        <w:t>U toku 2020. godine ukupno ostvareni prihod je 1.588.026,00 € i to:</w:t>
      </w:r>
    </w:p>
    <w:p w:rsidR="00DF6DAB" w:rsidRPr="003F1A8C" w:rsidRDefault="00DF6DAB" w:rsidP="003F1A8C">
      <w:pPr>
        <w:spacing w:before="0" w:after="0" w:line="240" w:lineRule="auto"/>
        <w:rPr>
          <w:rFonts w:cstheme="minorHAnsi"/>
          <w:szCs w:val="24"/>
        </w:rPr>
      </w:pPr>
      <w:r w:rsidRPr="003F1A8C">
        <w:rPr>
          <w:rFonts w:cstheme="minorHAnsi"/>
          <w:szCs w:val="24"/>
        </w:rPr>
        <w:t>-  od djelatnosti Uprave za nekretnine  -  1.458.121,30 €</w:t>
      </w:r>
    </w:p>
    <w:p w:rsidR="00DF6DAB" w:rsidRPr="003F1A8C" w:rsidRDefault="00DF6DAB" w:rsidP="003F1A8C">
      <w:pPr>
        <w:spacing w:before="0" w:after="0" w:line="240" w:lineRule="auto"/>
        <w:rPr>
          <w:rFonts w:cstheme="minorHAnsi"/>
          <w:szCs w:val="24"/>
        </w:rPr>
      </w:pPr>
      <w:r w:rsidRPr="003F1A8C">
        <w:rPr>
          <w:rFonts w:cstheme="minorHAnsi"/>
          <w:szCs w:val="24"/>
        </w:rPr>
        <w:t>-  A.T.  -  423.479,36 €</w:t>
      </w:r>
    </w:p>
    <w:p w:rsidR="00DF6DAB" w:rsidRPr="003F1A8C" w:rsidRDefault="00DF6DAB" w:rsidP="003F1A8C">
      <w:pPr>
        <w:spacing w:before="0" w:after="0" w:line="240" w:lineRule="auto"/>
        <w:rPr>
          <w:rFonts w:cstheme="minorHAnsi"/>
          <w:szCs w:val="24"/>
        </w:rPr>
      </w:pPr>
    </w:p>
    <w:p w:rsidR="00DF6DAB" w:rsidRPr="003F1A8C" w:rsidRDefault="00DF6DAB" w:rsidP="002E48D4">
      <w:pPr>
        <w:spacing w:before="0" w:after="0" w:line="240" w:lineRule="auto"/>
        <w:ind w:firstLine="709"/>
        <w:rPr>
          <w:rFonts w:cstheme="minorHAnsi"/>
          <w:szCs w:val="24"/>
        </w:rPr>
      </w:pPr>
      <w:r w:rsidRPr="003F1A8C">
        <w:rPr>
          <w:rFonts w:cstheme="minorHAnsi"/>
          <w:szCs w:val="24"/>
        </w:rPr>
        <w:t>Za potrebe državnih organa, organa lokalne samouprave i javnih preduzeća, podaci se dostavljaju bez naknada.</w:t>
      </w:r>
    </w:p>
    <w:p w:rsidR="00DF6DAB" w:rsidRPr="003F1A8C" w:rsidRDefault="00DF6DAB" w:rsidP="003F1A8C">
      <w:pPr>
        <w:spacing w:before="0" w:after="0" w:line="240" w:lineRule="auto"/>
        <w:rPr>
          <w:rFonts w:cstheme="minorHAnsi"/>
          <w:szCs w:val="24"/>
        </w:rPr>
      </w:pPr>
    </w:p>
    <w:p w:rsidR="00DF6DAB" w:rsidRPr="003F1A8C" w:rsidRDefault="00DF6DAB" w:rsidP="003F1A8C">
      <w:pPr>
        <w:spacing w:before="0" w:after="0" w:line="240" w:lineRule="auto"/>
        <w:rPr>
          <w:rFonts w:cstheme="minorHAnsi"/>
          <w:szCs w:val="24"/>
        </w:rPr>
      </w:pPr>
      <w:r w:rsidRPr="003F1A8C">
        <w:rPr>
          <w:rFonts w:cstheme="minorHAnsi"/>
          <w:szCs w:val="24"/>
        </w:rPr>
        <w:tab/>
        <w:t>Planirani Budžet za 2020. godinu iznosio je  5.170.718,64 €, a tekući Budžet za 2020. godinu iznosio je  je  4.524.029,80 €.</w:t>
      </w:r>
    </w:p>
    <w:p w:rsidR="00DF6DAB" w:rsidRPr="003F1A8C" w:rsidRDefault="00DF6DAB" w:rsidP="003F1A8C">
      <w:pPr>
        <w:spacing w:before="0" w:after="0" w:line="240" w:lineRule="auto"/>
        <w:rPr>
          <w:rFonts w:cstheme="minorHAnsi"/>
          <w:szCs w:val="24"/>
        </w:rPr>
      </w:pPr>
      <w:r w:rsidRPr="003F1A8C">
        <w:rPr>
          <w:rFonts w:cstheme="minorHAnsi"/>
          <w:szCs w:val="24"/>
        </w:rPr>
        <w:t xml:space="preserve"> </w:t>
      </w:r>
      <w:r w:rsidRPr="003F1A8C">
        <w:rPr>
          <w:rFonts w:cstheme="minorHAnsi"/>
          <w:szCs w:val="24"/>
        </w:rPr>
        <w:tab/>
      </w:r>
    </w:p>
    <w:p w:rsidR="00DF6DAB" w:rsidRPr="003F1A8C" w:rsidRDefault="00DF6DAB" w:rsidP="003F1A8C">
      <w:pPr>
        <w:spacing w:before="0" w:after="0" w:line="240" w:lineRule="auto"/>
        <w:rPr>
          <w:rFonts w:cstheme="minorHAnsi"/>
          <w:szCs w:val="24"/>
        </w:rPr>
      </w:pPr>
      <w:r w:rsidRPr="003F1A8C">
        <w:rPr>
          <w:rFonts w:cstheme="minorHAnsi"/>
          <w:szCs w:val="24"/>
        </w:rPr>
        <w:tab/>
        <w:t xml:space="preserve">Urađeno je usklađivanje knjigovodstvenog i stvarnog stanja osnovnih sredstava. </w:t>
      </w:r>
      <w:bookmarkStart w:id="232" w:name="_Toc172082064"/>
    </w:p>
    <w:p w:rsidR="00DF6DAB" w:rsidRPr="003F1A8C" w:rsidRDefault="00DF6DAB" w:rsidP="003F1A8C">
      <w:pPr>
        <w:spacing w:before="0" w:after="0" w:line="240" w:lineRule="auto"/>
        <w:rPr>
          <w:rFonts w:cstheme="minorHAnsi"/>
          <w:szCs w:val="24"/>
        </w:rPr>
      </w:pPr>
    </w:p>
    <w:p w:rsidR="00DF6DAB" w:rsidRPr="003F1A8C" w:rsidRDefault="00DF6DAB" w:rsidP="003F1A8C">
      <w:pPr>
        <w:spacing w:before="0" w:after="0" w:line="240" w:lineRule="auto"/>
        <w:rPr>
          <w:rFonts w:cstheme="minorHAnsi"/>
          <w:b/>
          <w:szCs w:val="24"/>
        </w:rPr>
      </w:pPr>
      <w:bookmarkStart w:id="233" w:name="_Toc71288852"/>
      <w:r w:rsidRPr="003F1A8C">
        <w:rPr>
          <w:rFonts w:cstheme="minorHAnsi"/>
          <w:b/>
          <w:szCs w:val="24"/>
        </w:rPr>
        <w:t>15. KADROVSKA STRUKTURA</w:t>
      </w:r>
      <w:bookmarkEnd w:id="233"/>
    </w:p>
    <w:p w:rsidR="00DF6DAB" w:rsidRPr="003F1A8C" w:rsidRDefault="00DF6DAB" w:rsidP="002E48D4">
      <w:pPr>
        <w:spacing w:after="0" w:line="240" w:lineRule="auto"/>
        <w:ind w:firstLine="709"/>
        <w:rPr>
          <w:rFonts w:cstheme="minorHAnsi"/>
          <w:szCs w:val="24"/>
        </w:rPr>
      </w:pPr>
      <w:r w:rsidRPr="003F1A8C">
        <w:rPr>
          <w:rFonts w:cstheme="minorHAnsi"/>
          <w:szCs w:val="24"/>
        </w:rPr>
        <w:t>U toku 2020. godine usvojen je Pravilnik o unutrašnjoj organizaciji i sistematizaciji Uprave. Od ukupno sistematizovanih 423 radna mjesta, u stalnom radnom odnosu je zaposleno 323 izvršioca, od kojih je 9 zaposlenih  steklo pravo na otpremninu.</w:t>
      </w:r>
    </w:p>
    <w:p w:rsidR="00DF6DAB" w:rsidRPr="003F1A8C" w:rsidRDefault="00DF6DAB" w:rsidP="002E48D4">
      <w:pPr>
        <w:spacing w:before="0" w:after="0" w:line="240" w:lineRule="auto"/>
        <w:ind w:firstLine="709"/>
        <w:rPr>
          <w:rFonts w:cstheme="minorHAnsi"/>
          <w:szCs w:val="24"/>
        </w:rPr>
      </w:pPr>
      <w:r w:rsidRPr="003F1A8C">
        <w:rPr>
          <w:rFonts w:cstheme="minorHAnsi"/>
          <w:szCs w:val="24"/>
        </w:rPr>
        <w:t>Shodno realizaciji Projekata osnivanja katastra nepokretnosti na nepremjerenom dijelu teritorije Crne Gore u radu Komisija za izlaganje uključeni su u rad zaposleni koji nemaju stalni radni odnos.</w:t>
      </w:r>
    </w:p>
    <w:p w:rsidR="00DF6DAB" w:rsidRPr="003F1A8C" w:rsidRDefault="00DF6DAB" w:rsidP="003F1A8C">
      <w:pPr>
        <w:spacing w:before="0" w:after="0" w:line="240" w:lineRule="auto"/>
        <w:rPr>
          <w:rFonts w:cstheme="minorHAnsi"/>
          <w:szCs w:val="24"/>
        </w:rPr>
      </w:pPr>
    </w:p>
    <w:p w:rsidR="00DF6DAB" w:rsidRPr="003F1A8C" w:rsidRDefault="00DF6DAB" w:rsidP="003F1A8C">
      <w:pPr>
        <w:spacing w:before="0" w:after="0" w:line="240" w:lineRule="auto"/>
        <w:rPr>
          <w:rFonts w:cstheme="minorHAnsi"/>
          <w:b/>
          <w:szCs w:val="24"/>
        </w:rPr>
      </w:pPr>
      <w:bookmarkStart w:id="234" w:name="_Toc71288853"/>
      <w:r w:rsidRPr="003F1A8C">
        <w:rPr>
          <w:rFonts w:cstheme="minorHAnsi"/>
          <w:b/>
          <w:szCs w:val="24"/>
        </w:rPr>
        <w:t>16. POSLOVNI PROSTORI</w:t>
      </w:r>
      <w:bookmarkEnd w:id="234"/>
    </w:p>
    <w:p w:rsidR="00DF6DAB" w:rsidRPr="003F1A8C" w:rsidRDefault="00DF6DAB" w:rsidP="002E48D4">
      <w:pPr>
        <w:spacing w:after="0" w:line="240" w:lineRule="auto"/>
        <w:ind w:firstLine="709"/>
        <w:rPr>
          <w:rFonts w:cstheme="minorHAnsi"/>
          <w:szCs w:val="24"/>
        </w:rPr>
      </w:pPr>
      <w:r w:rsidRPr="003F1A8C">
        <w:rPr>
          <w:rFonts w:cstheme="minorHAnsi"/>
          <w:szCs w:val="24"/>
        </w:rPr>
        <w:t>U cilju realizacije zakonske regulative i projekata iz nadležnosti Uprave, kao i poboljšanja kvaliteta usluga korisnicima i poboljšanja uslova rada zaposlenih, u toku 2020. godine, predloženo je obezbjeđivanje prostorija za PJ Tuzi.</w:t>
      </w:r>
    </w:p>
    <w:p w:rsidR="00DF6DAB" w:rsidRPr="003F1A8C" w:rsidRDefault="00DF6DAB" w:rsidP="003F1A8C">
      <w:pPr>
        <w:spacing w:before="0" w:after="0" w:line="240" w:lineRule="auto"/>
        <w:rPr>
          <w:rFonts w:cstheme="minorHAnsi"/>
          <w:szCs w:val="24"/>
        </w:rPr>
      </w:pPr>
    </w:p>
    <w:p w:rsidR="002E48D4" w:rsidRDefault="00DF6DAB" w:rsidP="003F1A8C">
      <w:pPr>
        <w:spacing w:before="0" w:after="0" w:line="240" w:lineRule="auto"/>
        <w:rPr>
          <w:rFonts w:cstheme="minorHAnsi"/>
          <w:b/>
          <w:szCs w:val="24"/>
        </w:rPr>
      </w:pPr>
      <w:bookmarkStart w:id="235" w:name="_Toc71288854"/>
      <w:r w:rsidRPr="003F1A8C">
        <w:rPr>
          <w:rFonts w:cstheme="minorHAnsi"/>
          <w:b/>
          <w:szCs w:val="24"/>
        </w:rPr>
        <w:t xml:space="preserve">17. </w:t>
      </w:r>
      <w:bookmarkEnd w:id="232"/>
      <w:r w:rsidRPr="003F1A8C">
        <w:rPr>
          <w:rFonts w:cstheme="minorHAnsi"/>
          <w:b/>
          <w:szCs w:val="24"/>
        </w:rPr>
        <w:t>IZRADA, PRIPREMANJE  I  USTUPANJE  PODATAKA  PO ZAHTJEVIMA</w:t>
      </w:r>
      <w:bookmarkEnd w:id="235"/>
    </w:p>
    <w:p w:rsidR="00DF6DAB" w:rsidRPr="002E48D4" w:rsidRDefault="00DF6DAB" w:rsidP="002E48D4">
      <w:pPr>
        <w:spacing w:after="0" w:line="240" w:lineRule="auto"/>
        <w:ind w:firstLine="709"/>
        <w:rPr>
          <w:rFonts w:cstheme="minorHAnsi"/>
          <w:b/>
          <w:szCs w:val="24"/>
        </w:rPr>
      </w:pPr>
      <w:r w:rsidRPr="003F1A8C">
        <w:rPr>
          <w:rFonts w:cstheme="minorHAnsi"/>
          <w:szCs w:val="24"/>
        </w:rPr>
        <w:lastRenderedPageBreak/>
        <w:t>U toku 2020. godine Uprava je radila po zahtjevima za potrebe državnih institucija,  organa lokalne samouprave i na lični zahtjev, a odnosi se na:</w:t>
      </w:r>
    </w:p>
    <w:p w:rsidR="00DF6DAB" w:rsidRPr="003F1A8C" w:rsidRDefault="002E48D4" w:rsidP="003F1A8C">
      <w:pPr>
        <w:spacing w:before="0" w:after="0" w:line="240" w:lineRule="auto"/>
        <w:rPr>
          <w:rFonts w:eastAsia="Calibri" w:cstheme="minorHAnsi"/>
          <w:szCs w:val="24"/>
        </w:rPr>
      </w:pPr>
      <w:r>
        <w:rPr>
          <w:rFonts w:cstheme="minorHAnsi"/>
          <w:szCs w:val="24"/>
        </w:rPr>
        <w:t xml:space="preserve"> - </w:t>
      </w:r>
      <w:r w:rsidR="00DF6DAB" w:rsidRPr="003F1A8C">
        <w:rPr>
          <w:rFonts w:eastAsia="Calibri" w:cstheme="minorHAnsi"/>
          <w:szCs w:val="24"/>
        </w:rPr>
        <w:t>pripremu raspoloživih podataka katastarsko-kartografskih evidencija;</w:t>
      </w:r>
    </w:p>
    <w:p w:rsidR="00DF6DAB" w:rsidRPr="003F1A8C" w:rsidRDefault="002E48D4" w:rsidP="003F1A8C">
      <w:pPr>
        <w:spacing w:before="0" w:after="0" w:line="240" w:lineRule="auto"/>
        <w:rPr>
          <w:rFonts w:eastAsia="Calibri" w:cstheme="minorHAnsi"/>
          <w:szCs w:val="24"/>
        </w:rPr>
      </w:pPr>
      <w:r>
        <w:rPr>
          <w:rFonts w:eastAsia="Calibri" w:cstheme="minorHAnsi"/>
          <w:szCs w:val="24"/>
        </w:rPr>
        <w:t xml:space="preserve"> - </w:t>
      </w:r>
      <w:r w:rsidR="00DF6DAB" w:rsidRPr="003F1A8C">
        <w:rPr>
          <w:rFonts w:eastAsia="Calibri" w:cstheme="minorHAnsi"/>
          <w:szCs w:val="24"/>
        </w:rPr>
        <w:t>pripremu podataka po specifičnim vrstama zahtjeva vezano za hronologiju upisa nepokretnosti i pravima na njima;</w:t>
      </w:r>
    </w:p>
    <w:p w:rsidR="00DF6DAB" w:rsidRPr="002E48D4" w:rsidRDefault="002E48D4" w:rsidP="003F1A8C">
      <w:pPr>
        <w:spacing w:before="0" w:after="0" w:line="240" w:lineRule="auto"/>
        <w:rPr>
          <w:rFonts w:eastAsia="Calibri" w:cstheme="minorHAnsi"/>
          <w:szCs w:val="24"/>
        </w:rPr>
      </w:pPr>
      <w:r>
        <w:rPr>
          <w:rFonts w:eastAsia="Calibri" w:cstheme="minorHAnsi"/>
          <w:szCs w:val="24"/>
        </w:rPr>
        <w:t xml:space="preserve"> - </w:t>
      </w:r>
      <w:r w:rsidR="00DF6DAB" w:rsidRPr="003F1A8C">
        <w:rPr>
          <w:rFonts w:eastAsia="Calibri" w:cstheme="minorHAnsi"/>
          <w:szCs w:val="24"/>
        </w:rPr>
        <w:t>pripremu podataka po specifičnim vrstama zahtjeva za koje nije omogućena automatska obrada podataka i za koje je potrebna slo</w:t>
      </w:r>
      <w:r>
        <w:rPr>
          <w:rFonts w:eastAsia="Calibri" w:cstheme="minorHAnsi"/>
          <w:szCs w:val="24"/>
        </w:rPr>
        <w:t>ženija i duža vremenska obrada.</w:t>
      </w:r>
    </w:p>
    <w:p w:rsidR="00DF6DAB" w:rsidRPr="003F1A8C" w:rsidRDefault="00DF6DAB" w:rsidP="003F1A8C">
      <w:pPr>
        <w:spacing w:before="0" w:after="0" w:line="240" w:lineRule="auto"/>
        <w:rPr>
          <w:rFonts w:cstheme="minorHAnsi"/>
          <w:szCs w:val="24"/>
        </w:rPr>
      </w:pPr>
    </w:p>
    <w:p w:rsidR="00DF6DAB" w:rsidRPr="003F1A8C" w:rsidRDefault="00DF6DAB" w:rsidP="002E48D4">
      <w:pPr>
        <w:spacing w:before="0" w:after="0" w:line="240" w:lineRule="auto"/>
        <w:jc w:val="center"/>
        <w:rPr>
          <w:rFonts w:cstheme="minorHAnsi"/>
          <w:szCs w:val="24"/>
        </w:rPr>
      </w:pPr>
      <w:r w:rsidRPr="003F1A8C">
        <w:rPr>
          <w:rFonts w:cstheme="minorHAnsi"/>
          <w:szCs w:val="24"/>
        </w:rPr>
        <w:t>Tabela 17.1. Pregled pripremljenih podataka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6"/>
        <w:gridCol w:w="2190"/>
        <w:gridCol w:w="1620"/>
      </w:tblGrid>
      <w:tr w:rsidR="00DF6DAB" w:rsidRPr="003F1A8C" w:rsidTr="00DF6DAB">
        <w:trPr>
          <w:trHeight w:val="727"/>
          <w:jc w:val="center"/>
        </w:trPr>
        <w:tc>
          <w:tcPr>
            <w:tcW w:w="9176" w:type="dxa"/>
            <w:gridSpan w:val="3"/>
            <w:tcBorders>
              <w:top w:val="single" w:sz="12" w:space="0" w:color="auto"/>
              <w:left w:val="single" w:sz="12" w:space="0" w:color="auto"/>
              <w:bottom w:val="single" w:sz="12"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Priprema podataka za  izdavanja uvjerenja o vlasništvu na teritoriji Crne Gore za potrebe državnih institucija,  organa lokalne samouprave i na lični zahtjev</w:t>
            </w:r>
          </w:p>
        </w:tc>
      </w:tr>
      <w:tr w:rsidR="00DF6DAB" w:rsidRPr="003F1A8C" w:rsidTr="00DF6DAB">
        <w:trPr>
          <w:jc w:val="center"/>
        </w:trPr>
        <w:tc>
          <w:tcPr>
            <w:tcW w:w="5366" w:type="dxa"/>
            <w:tcBorders>
              <w:top w:val="single" w:sz="12" w:space="0" w:color="auto"/>
              <w:left w:val="single" w:sz="12" w:space="0" w:color="auto"/>
              <w:bottom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Naziv institucije</w:t>
            </w:r>
          </w:p>
        </w:tc>
        <w:tc>
          <w:tcPr>
            <w:tcW w:w="2190" w:type="dxa"/>
            <w:tcBorders>
              <w:top w:val="single" w:sz="12" w:space="0" w:color="auto"/>
              <w:bottom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Br. Zahtjeva</w:t>
            </w:r>
          </w:p>
        </w:tc>
        <w:tc>
          <w:tcPr>
            <w:tcW w:w="1620" w:type="dxa"/>
            <w:tcBorders>
              <w:top w:val="single" w:sz="12" w:space="0" w:color="auto"/>
              <w:bottom w:val="single" w:sz="12"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Br. lica</w:t>
            </w:r>
          </w:p>
        </w:tc>
      </w:tr>
      <w:tr w:rsidR="00DF6DAB" w:rsidRPr="003F1A8C" w:rsidTr="00DF6DAB">
        <w:trPr>
          <w:jc w:val="center"/>
        </w:trPr>
        <w:tc>
          <w:tcPr>
            <w:tcW w:w="5366" w:type="dxa"/>
            <w:tcBorders>
              <w:top w:val="single" w:sz="6" w:space="0" w:color="auto"/>
              <w:left w:val="single" w:sz="12" w:space="0" w:color="auto"/>
              <w:bottom w:val="single" w:sz="6" w:space="0" w:color="auto"/>
            </w:tcBorders>
            <w:vAlign w:val="center"/>
          </w:tcPr>
          <w:p w:rsidR="00DF6DAB" w:rsidRPr="003F1A8C" w:rsidRDefault="00DF6DAB" w:rsidP="003F1A8C">
            <w:pPr>
              <w:spacing w:before="0" w:after="0" w:line="240" w:lineRule="auto"/>
              <w:rPr>
                <w:rFonts w:eastAsia="Calibri Light" w:cstheme="minorHAnsi"/>
                <w:szCs w:val="24"/>
              </w:rPr>
            </w:pPr>
            <w:bookmarkStart w:id="236" w:name="_Hlk527928241"/>
            <w:r w:rsidRPr="003F1A8C">
              <w:rPr>
                <w:rFonts w:eastAsia="Calibri Light" w:cstheme="minorHAnsi"/>
                <w:szCs w:val="24"/>
              </w:rPr>
              <w:t xml:space="preserve">Ministarstvo vanjskih poslova </w:t>
            </w:r>
          </w:p>
        </w:tc>
        <w:tc>
          <w:tcPr>
            <w:tcW w:w="2190" w:type="dxa"/>
            <w:tcBorders>
              <w:top w:val="single" w:sz="6" w:space="0" w:color="auto"/>
              <w:bottom w:val="single" w:sz="6"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1</w:t>
            </w:r>
          </w:p>
        </w:tc>
        <w:tc>
          <w:tcPr>
            <w:tcW w:w="1620" w:type="dxa"/>
            <w:tcBorders>
              <w:top w:val="single" w:sz="6"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1</w:t>
            </w:r>
          </w:p>
        </w:tc>
      </w:tr>
      <w:tr w:rsidR="00DF6DAB" w:rsidRPr="003F1A8C" w:rsidTr="00DF6DAB">
        <w:trPr>
          <w:jc w:val="center"/>
        </w:trPr>
        <w:tc>
          <w:tcPr>
            <w:tcW w:w="5366" w:type="dxa"/>
            <w:tcBorders>
              <w:top w:val="single" w:sz="6" w:space="0" w:color="auto"/>
              <w:left w:val="single" w:sz="12" w:space="0" w:color="auto"/>
              <w:bottom w:val="single" w:sz="6"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Poreska uprava PJ Podgorica</w:t>
            </w:r>
          </w:p>
        </w:tc>
        <w:tc>
          <w:tcPr>
            <w:tcW w:w="2190" w:type="dxa"/>
            <w:tcBorders>
              <w:top w:val="single" w:sz="6" w:space="0" w:color="auto"/>
              <w:bottom w:val="single" w:sz="6"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7</w:t>
            </w:r>
          </w:p>
        </w:tc>
        <w:tc>
          <w:tcPr>
            <w:tcW w:w="1620" w:type="dxa"/>
            <w:tcBorders>
              <w:top w:val="single" w:sz="6"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40</w:t>
            </w:r>
          </w:p>
        </w:tc>
      </w:tr>
      <w:tr w:rsidR="00DF6DAB" w:rsidRPr="003F1A8C" w:rsidTr="00DF6DAB">
        <w:trPr>
          <w:jc w:val="center"/>
        </w:trPr>
        <w:tc>
          <w:tcPr>
            <w:tcW w:w="5366" w:type="dxa"/>
            <w:tcBorders>
              <w:top w:val="single" w:sz="6" w:space="0" w:color="auto"/>
              <w:left w:val="single" w:sz="12" w:space="0" w:color="auto"/>
              <w:bottom w:val="single" w:sz="6"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Prijestonica Cetinje</w:t>
            </w:r>
          </w:p>
        </w:tc>
        <w:tc>
          <w:tcPr>
            <w:tcW w:w="2190" w:type="dxa"/>
            <w:tcBorders>
              <w:top w:val="single" w:sz="6" w:space="0" w:color="auto"/>
              <w:bottom w:val="single" w:sz="6"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3</w:t>
            </w:r>
          </w:p>
        </w:tc>
        <w:tc>
          <w:tcPr>
            <w:tcW w:w="1620" w:type="dxa"/>
            <w:tcBorders>
              <w:top w:val="single" w:sz="6"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5</w:t>
            </w:r>
          </w:p>
        </w:tc>
      </w:tr>
      <w:tr w:rsidR="00DF6DAB" w:rsidRPr="003F1A8C" w:rsidTr="00DF6DAB">
        <w:trPr>
          <w:trHeight w:val="64"/>
          <w:jc w:val="center"/>
        </w:trPr>
        <w:tc>
          <w:tcPr>
            <w:tcW w:w="5366" w:type="dxa"/>
            <w:tcBorders>
              <w:top w:val="single" w:sz="6" w:space="0" w:color="auto"/>
              <w:left w:val="single" w:sz="12" w:space="0" w:color="auto"/>
              <w:bottom w:val="single" w:sz="6"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Stečajni upravnici</w:t>
            </w:r>
          </w:p>
        </w:tc>
        <w:tc>
          <w:tcPr>
            <w:tcW w:w="2190" w:type="dxa"/>
            <w:tcBorders>
              <w:top w:val="single" w:sz="6" w:space="0" w:color="auto"/>
              <w:bottom w:val="single" w:sz="6"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6</w:t>
            </w:r>
          </w:p>
        </w:tc>
        <w:tc>
          <w:tcPr>
            <w:tcW w:w="1620" w:type="dxa"/>
            <w:tcBorders>
              <w:top w:val="single" w:sz="6"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6</w:t>
            </w:r>
          </w:p>
        </w:tc>
      </w:tr>
      <w:tr w:rsidR="00DF6DAB" w:rsidRPr="003F1A8C" w:rsidTr="00DF6DAB">
        <w:trPr>
          <w:trHeight w:val="64"/>
          <w:jc w:val="center"/>
        </w:trPr>
        <w:tc>
          <w:tcPr>
            <w:tcW w:w="5366" w:type="dxa"/>
            <w:tcBorders>
              <w:top w:val="single" w:sz="6" w:space="0" w:color="auto"/>
              <w:left w:val="single" w:sz="12" w:space="0" w:color="auto"/>
              <w:bottom w:val="single" w:sz="6"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Univerzitet CG</w:t>
            </w:r>
          </w:p>
        </w:tc>
        <w:tc>
          <w:tcPr>
            <w:tcW w:w="2190" w:type="dxa"/>
            <w:tcBorders>
              <w:top w:val="single" w:sz="6" w:space="0" w:color="auto"/>
              <w:bottom w:val="single" w:sz="6"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9</w:t>
            </w:r>
          </w:p>
        </w:tc>
        <w:tc>
          <w:tcPr>
            <w:tcW w:w="1620" w:type="dxa"/>
            <w:tcBorders>
              <w:top w:val="single" w:sz="6"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12</w:t>
            </w:r>
          </w:p>
        </w:tc>
      </w:tr>
      <w:tr w:rsidR="00DF6DAB" w:rsidRPr="003F1A8C" w:rsidTr="00DF6DAB">
        <w:trPr>
          <w:jc w:val="center"/>
        </w:trPr>
        <w:tc>
          <w:tcPr>
            <w:tcW w:w="5366" w:type="dxa"/>
            <w:tcBorders>
              <w:top w:val="single" w:sz="6" w:space="0" w:color="auto"/>
              <w:left w:val="single" w:sz="12" w:space="0" w:color="auto"/>
              <w:bottom w:val="single" w:sz="6"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Advokatske kancelarije i notari</w:t>
            </w:r>
          </w:p>
        </w:tc>
        <w:tc>
          <w:tcPr>
            <w:tcW w:w="2190" w:type="dxa"/>
            <w:tcBorders>
              <w:top w:val="single" w:sz="6" w:space="0" w:color="auto"/>
              <w:bottom w:val="single" w:sz="6"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8</w:t>
            </w:r>
          </w:p>
        </w:tc>
        <w:tc>
          <w:tcPr>
            <w:tcW w:w="1620" w:type="dxa"/>
            <w:tcBorders>
              <w:top w:val="single" w:sz="6"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10</w:t>
            </w:r>
          </w:p>
        </w:tc>
      </w:tr>
      <w:tr w:rsidR="00DF6DAB" w:rsidRPr="003F1A8C" w:rsidTr="00DF6DAB">
        <w:trPr>
          <w:trHeight w:val="64"/>
          <w:jc w:val="center"/>
        </w:trPr>
        <w:tc>
          <w:tcPr>
            <w:tcW w:w="5366" w:type="dxa"/>
            <w:tcBorders>
              <w:top w:val="single" w:sz="6" w:space="0" w:color="auto"/>
              <w:left w:val="single" w:sz="12" w:space="0" w:color="auto"/>
              <w:bottom w:val="single" w:sz="6"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Ambasada Srbije</w:t>
            </w:r>
          </w:p>
        </w:tc>
        <w:tc>
          <w:tcPr>
            <w:tcW w:w="2190" w:type="dxa"/>
            <w:tcBorders>
              <w:top w:val="single" w:sz="6" w:space="0" w:color="auto"/>
              <w:bottom w:val="single" w:sz="6"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3</w:t>
            </w:r>
          </w:p>
        </w:tc>
        <w:tc>
          <w:tcPr>
            <w:tcW w:w="1620" w:type="dxa"/>
            <w:tcBorders>
              <w:top w:val="single" w:sz="6"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3</w:t>
            </w:r>
          </w:p>
        </w:tc>
      </w:tr>
      <w:tr w:rsidR="00DF6DAB" w:rsidRPr="003F1A8C" w:rsidTr="00DF6DAB">
        <w:trPr>
          <w:trHeight w:val="64"/>
          <w:jc w:val="center"/>
        </w:trPr>
        <w:tc>
          <w:tcPr>
            <w:tcW w:w="5366" w:type="dxa"/>
            <w:tcBorders>
              <w:top w:val="single" w:sz="6" w:space="0" w:color="auto"/>
              <w:left w:val="single" w:sz="12" w:space="0" w:color="auto"/>
              <w:bottom w:val="single" w:sz="6"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Zaštitnik imovinsko pravnih interesa</w:t>
            </w:r>
          </w:p>
        </w:tc>
        <w:tc>
          <w:tcPr>
            <w:tcW w:w="2190" w:type="dxa"/>
            <w:tcBorders>
              <w:top w:val="single" w:sz="6" w:space="0" w:color="auto"/>
              <w:bottom w:val="single" w:sz="6"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1</w:t>
            </w:r>
          </w:p>
        </w:tc>
        <w:tc>
          <w:tcPr>
            <w:tcW w:w="1620" w:type="dxa"/>
            <w:tcBorders>
              <w:top w:val="single" w:sz="6"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1</w:t>
            </w:r>
          </w:p>
        </w:tc>
      </w:tr>
      <w:tr w:rsidR="00DF6DAB" w:rsidRPr="003F1A8C" w:rsidTr="00DF6DAB">
        <w:trPr>
          <w:trHeight w:val="255"/>
          <w:jc w:val="center"/>
        </w:trPr>
        <w:tc>
          <w:tcPr>
            <w:tcW w:w="5366" w:type="dxa"/>
            <w:tcBorders>
              <w:top w:val="single" w:sz="6" w:space="0" w:color="auto"/>
              <w:left w:val="single" w:sz="12" w:space="0" w:color="auto"/>
              <w:bottom w:val="single" w:sz="6"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MORT - 1000 +</w:t>
            </w:r>
          </w:p>
        </w:tc>
        <w:tc>
          <w:tcPr>
            <w:tcW w:w="2190" w:type="dxa"/>
            <w:tcBorders>
              <w:top w:val="single" w:sz="6" w:space="0" w:color="auto"/>
              <w:bottom w:val="single" w:sz="6"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25</w:t>
            </w:r>
          </w:p>
        </w:tc>
        <w:tc>
          <w:tcPr>
            <w:tcW w:w="1620" w:type="dxa"/>
            <w:tcBorders>
              <w:top w:val="single" w:sz="6"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1785</w:t>
            </w:r>
          </w:p>
        </w:tc>
      </w:tr>
      <w:tr w:rsidR="00DF6DAB" w:rsidRPr="003F1A8C" w:rsidTr="00DF6DAB">
        <w:trPr>
          <w:jc w:val="center"/>
        </w:trPr>
        <w:tc>
          <w:tcPr>
            <w:tcW w:w="5366" w:type="dxa"/>
            <w:tcBorders>
              <w:top w:val="single" w:sz="6" w:space="0" w:color="auto"/>
              <w:left w:val="single" w:sz="12" w:space="0" w:color="auto"/>
              <w:bottom w:val="single" w:sz="6"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Fizička lica</w:t>
            </w:r>
          </w:p>
        </w:tc>
        <w:tc>
          <w:tcPr>
            <w:tcW w:w="2190" w:type="dxa"/>
            <w:tcBorders>
              <w:top w:val="single" w:sz="6" w:space="0" w:color="auto"/>
              <w:bottom w:val="single" w:sz="6"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38</w:t>
            </w:r>
          </w:p>
        </w:tc>
        <w:tc>
          <w:tcPr>
            <w:tcW w:w="1620" w:type="dxa"/>
            <w:tcBorders>
              <w:top w:val="single" w:sz="6"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89</w:t>
            </w:r>
          </w:p>
        </w:tc>
      </w:tr>
      <w:bookmarkEnd w:id="236"/>
      <w:tr w:rsidR="00DF6DAB" w:rsidRPr="003F1A8C" w:rsidTr="00DF6DAB">
        <w:trPr>
          <w:trHeight w:val="64"/>
          <w:jc w:val="center"/>
        </w:trPr>
        <w:tc>
          <w:tcPr>
            <w:tcW w:w="5366" w:type="dxa"/>
            <w:tcBorders>
              <w:top w:val="single" w:sz="12" w:space="0" w:color="auto"/>
              <w:left w:val="single" w:sz="12" w:space="0" w:color="auto"/>
              <w:bottom w:val="single" w:sz="12" w:space="0" w:color="auto"/>
              <w:right w:val="single" w:sz="8" w:space="0" w:color="auto"/>
            </w:tcBorders>
            <w:shd w:val="pct10" w:color="auto" w:fill="auto"/>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Ukupno</w:t>
            </w:r>
          </w:p>
        </w:tc>
        <w:tc>
          <w:tcPr>
            <w:tcW w:w="2190" w:type="dxa"/>
            <w:tcBorders>
              <w:top w:val="single" w:sz="12" w:space="0" w:color="auto"/>
              <w:left w:val="single" w:sz="8" w:space="0" w:color="auto"/>
              <w:bottom w:val="single" w:sz="12" w:space="0" w:color="auto"/>
              <w:right w:val="single" w:sz="8" w:space="0" w:color="auto"/>
            </w:tcBorders>
            <w:shd w:val="pct10" w:color="auto" w:fill="auto"/>
            <w:vAlign w:val="center"/>
          </w:tcPr>
          <w:p w:rsidR="00DF6DAB" w:rsidRPr="003F1A8C" w:rsidRDefault="00DF6DAB" w:rsidP="003F1A8C">
            <w:pPr>
              <w:spacing w:before="0" w:after="0" w:line="240" w:lineRule="auto"/>
              <w:rPr>
                <w:rFonts w:eastAsia="Calibri Light" w:cstheme="minorHAnsi"/>
                <w:szCs w:val="24"/>
              </w:rPr>
            </w:pPr>
          </w:p>
        </w:tc>
        <w:tc>
          <w:tcPr>
            <w:tcW w:w="1620" w:type="dxa"/>
            <w:tcBorders>
              <w:top w:val="single" w:sz="12" w:space="0" w:color="auto"/>
              <w:left w:val="single" w:sz="8" w:space="0" w:color="auto"/>
              <w:bottom w:val="single" w:sz="12" w:space="0" w:color="auto"/>
              <w:right w:val="single" w:sz="12" w:space="0" w:color="auto"/>
            </w:tcBorders>
            <w:shd w:val="pct10" w:color="auto" w:fill="auto"/>
            <w:vAlign w:val="center"/>
          </w:tcPr>
          <w:p w:rsidR="00DF6DAB" w:rsidRPr="003F1A8C" w:rsidRDefault="00DF6DAB" w:rsidP="003F1A8C">
            <w:pPr>
              <w:spacing w:before="0" w:after="0" w:line="240" w:lineRule="auto"/>
              <w:rPr>
                <w:rFonts w:eastAsia="Calibri Light" w:cstheme="minorHAnsi"/>
                <w:szCs w:val="24"/>
              </w:rPr>
            </w:pPr>
          </w:p>
        </w:tc>
      </w:tr>
    </w:tbl>
    <w:p w:rsidR="00DF6DAB" w:rsidRPr="003F1A8C" w:rsidRDefault="00DF6DAB" w:rsidP="003F1A8C">
      <w:pPr>
        <w:spacing w:before="0" w:after="0" w:line="240" w:lineRule="auto"/>
        <w:rPr>
          <w:rFonts w:eastAsia="Calibri Light" w:cstheme="minorHAnsi"/>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2"/>
        <w:gridCol w:w="2156"/>
        <w:gridCol w:w="1620"/>
      </w:tblGrid>
      <w:tr w:rsidR="00DF6DAB" w:rsidRPr="003F1A8C" w:rsidTr="00DF6DAB">
        <w:trPr>
          <w:jc w:val="center"/>
        </w:trPr>
        <w:tc>
          <w:tcPr>
            <w:tcW w:w="5332" w:type="dxa"/>
            <w:tcBorders>
              <w:top w:val="single" w:sz="12" w:space="0" w:color="auto"/>
              <w:left w:val="single" w:sz="12" w:space="0" w:color="auto"/>
            </w:tcBorders>
            <w:vAlign w:val="center"/>
          </w:tcPr>
          <w:p w:rsidR="00DF6DAB" w:rsidRPr="003F1A8C" w:rsidRDefault="00DF6DAB" w:rsidP="003F1A8C">
            <w:pPr>
              <w:spacing w:before="0" w:after="0" w:line="240" w:lineRule="auto"/>
              <w:rPr>
                <w:rFonts w:eastAsia="Calibri Light" w:cstheme="minorHAnsi"/>
                <w:szCs w:val="24"/>
              </w:rPr>
            </w:pPr>
            <w:bookmarkStart w:id="237" w:name="_Hlk527928197"/>
            <w:r w:rsidRPr="003F1A8C">
              <w:rPr>
                <w:rFonts w:eastAsia="Calibri Light" w:cstheme="minorHAnsi"/>
                <w:szCs w:val="24"/>
              </w:rPr>
              <w:t>Ministarstvo unutrašnjih poslova</w:t>
            </w:r>
          </w:p>
        </w:tc>
        <w:tc>
          <w:tcPr>
            <w:tcW w:w="2156" w:type="dxa"/>
            <w:tcBorders>
              <w:top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68</w:t>
            </w:r>
          </w:p>
        </w:tc>
        <w:tc>
          <w:tcPr>
            <w:tcW w:w="1620" w:type="dxa"/>
            <w:tcBorders>
              <w:top w:val="single" w:sz="12"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225</w:t>
            </w:r>
          </w:p>
        </w:tc>
      </w:tr>
      <w:tr w:rsidR="00DF6DAB" w:rsidRPr="003F1A8C" w:rsidTr="00DF6DAB">
        <w:trPr>
          <w:jc w:val="center"/>
        </w:trPr>
        <w:tc>
          <w:tcPr>
            <w:tcW w:w="5332" w:type="dxa"/>
            <w:tcBorders>
              <w:lef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Agencija za sprečavanje korupcije</w:t>
            </w:r>
          </w:p>
        </w:tc>
        <w:tc>
          <w:tcPr>
            <w:tcW w:w="2156" w:type="dxa"/>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2</w:t>
            </w:r>
          </w:p>
        </w:tc>
        <w:tc>
          <w:tcPr>
            <w:tcW w:w="1620" w:type="dxa"/>
            <w:tcBorders>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2</w:t>
            </w:r>
          </w:p>
        </w:tc>
      </w:tr>
      <w:tr w:rsidR="00DF6DAB" w:rsidRPr="003F1A8C" w:rsidTr="00DF6DAB">
        <w:trPr>
          <w:jc w:val="center"/>
        </w:trPr>
        <w:tc>
          <w:tcPr>
            <w:tcW w:w="5332" w:type="dxa"/>
            <w:tcBorders>
              <w:lef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Specijalno državno tužilaštvo</w:t>
            </w:r>
          </w:p>
        </w:tc>
        <w:tc>
          <w:tcPr>
            <w:tcW w:w="2156" w:type="dxa"/>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37</w:t>
            </w:r>
          </w:p>
        </w:tc>
        <w:tc>
          <w:tcPr>
            <w:tcW w:w="1620" w:type="dxa"/>
            <w:tcBorders>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137</w:t>
            </w:r>
          </w:p>
        </w:tc>
      </w:tr>
      <w:tr w:rsidR="00DF6DAB" w:rsidRPr="003F1A8C" w:rsidTr="00DF6DAB">
        <w:trPr>
          <w:jc w:val="center"/>
        </w:trPr>
        <w:tc>
          <w:tcPr>
            <w:tcW w:w="5332" w:type="dxa"/>
            <w:tcBorders>
              <w:top w:val="single" w:sz="4" w:space="0" w:color="auto"/>
              <w:left w:val="single" w:sz="12" w:space="0" w:color="auto"/>
              <w:bottom w:val="single" w:sz="4" w:space="0" w:color="auto"/>
              <w:right w:val="single" w:sz="4"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Više državno tužilaštvo</w:t>
            </w:r>
          </w:p>
        </w:tc>
        <w:tc>
          <w:tcPr>
            <w:tcW w:w="2156" w:type="dxa"/>
            <w:tcBorders>
              <w:top w:val="single" w:sz="4" w:space="0" w:color="auto"/>
              <w:left w:val="single" w:sz="4" w:space="0" w:color="auto"/>
              <w:bottom w:val="single" w:sz="4" w:space="0" w:color="auto"/>
              <w:right w:val="single" w:sz="4"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4</w:t>
            </w:r>
          </w:p>
        </w:tc>
        <w:tc>
          <w:tcPr>
            <w:tcW w:w="1620" w:type="dxa"/>
            <w:tcBorders>
              <w:top w:val="single" w:sz="4" w:space="0" w:color="auto"/>
              <w:left w:val="single" w:sz="4" w:space="0" w:color="auto"/>
              <w:bottom w:val="single" w:sz="4"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4</w:t>
            </w:r>
          </w:p>
        </w:tc>
      </w:tr>
      <w:tr w:rsidR="00DF6DAB" w:rsidRPr="003F1A8C" w:rsidTr="00DF6DAB">
        <w:trPr>
          <w:jc w:val="center"/>
        </w:trPr>
        <w:tc>
          <w:tcPr>
            <w:tcW w:w="5332" w:type="dxa"/>
            <w:tcBorders>
              <w:top w:val="single" w:sz="4" w:space="0" w:color="auto"/>
              <w:left w:val="single" w:sz="12" w:space="0" w:color="auto"/>
              <w:bottom w:val="single" w:sz="4" w:space="0" w:color="auto"/>
              <w:right w:val="single" w:sz="4"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Osnovni sudovi</w:t>
            </w:r>
          </w:p>
        </w:tc>
        <w:tc>
          <w:tcPr>
            <w:tcW w:w="2156" w:type="dxa"/>
            <w:tcBorders>
              <w:top w:val="single" w:sz="4" w:space="0" w:color="auto"/>
              <w:left w:val="single" w:sz="4" w:space="0" w:color="auto"/>
              <w:bottom w:val="single" w:sz="4" w:space="0" w:color="auto"/>
              <w:right w:val="single" w:sz="4"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6</w:t>
            </w:r>
          </w:p>
        </w:tc>
        <w:tc>
          <w:tcPr>
            <w:tcW w:w="1620" w:type="dxa"/>
            <w:tcBorders>
              <w:top w:val="single" w:sz="4" w:space="0" w:color="auto"/>
              <w:left w:val="single" w:sz="4" w:space="0" w:color="auto"/>
              <w:bottom w:val="single" w:sz="4"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9</w:t>
            </w:r>
          </w:p>
        </w:tc>
      </w:tr>
      <w:tr w:rsidR="00DF6DAB" w:rsidRPr="003F1A8C" w:rsidTr="00DF6DAB">
        <w:trPr>
          <w:jc w:val="center"/>
        </w:trPr>
        <w:tc>
          <w:tcPr>
            <w:tcW w:w="5332" w:type="dxa"/>
            <w:tcBorders>
              <w:top w:val="single" w:sz="4" w:space="0" w:color="auto"/>
              <w:left w:val="single" w:sz="12" w:space="0" w:color="auto"/>
              <w:bottom w:val="single" w:sz="6" w:space="0" w:color="auto"/>
              <w:right w:val="single" w:sz="4"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Viši sud</w:t>
            </w:r>
          </w:p>
        </w:tc>
        <w:tc>
          <w:tcPr>
            <w:tcW w:w="2156" w:type="dxa"/>
            <w:tcBorders>
              <w:top w:val="single" w:sz="4" w:space="0" w:color="auto"/>
              <w:left w:val="single" w:sz="4" w:space="0" w:color="auto"/>
              <w:bottom w:val="single" w:sz="6" w:space="0" w:color="auto"/>
              <w:right w:val="single" w:sz="4"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1</w:t>
            </w:r>
          </w:p>
        </w:tc>
        <w:tc>
          <w:tcPr>
            <w:tcW w:w="1620" w:type="dxa"/>
            <w:tcBorders>
              <w:top w:val="single" w:sz="4" w:space="0" w:color="auto"/>
              <w:left w:val="single" w:sz="4"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1</w:t>
            </w:r>
          </w:p>
        </w:tc>
      </w:tr>
      <w:tr w:rsidR="00DF6DAB" w:rsidRPr="003F1A8C" w:rsidTr="00DF6DAB">
        <w:trPr>
          <w:jc w:val="center"/>
        </w:trPr>
        <w:tc>
          <w:tcPr>
            <w:tcW w:w="5332" w:type="dxa"/>
            <w:tcBorders>
              <w:top w:val="single" w:sz="12" w:space="0" w:color="auto"/>
              <w:left w:val="single" w:sz="12" w:space="0" w:color="auto"/>
              <w:bottom w:val="single" w:sz="12" w:space="0" w:color="auto"/>
              <w:right w:val="single" w:sz="6" w:space="0" w:color="auto"/>
            </w:tcBorders>
            <w:shd w:val="pct10" w:color="auto" w:fill="auto"/>
            <w:vAlign w:val="center"/>
          </w:tcPr>
          <w:p w:rsidR="00DF6DAB" w:rsidRPr="003F1A8C" w:rsidRDefault="00DF6DAB" w:rsidP="003F1A8C">
            <w:pPr>
              <w:spacing w:before="0" w:after="0" w:line="240" w:lineRule="auto"/>
              <w:rPr>
                <w:rFonts w:eastAsia="Calibri Light" w:cstheme="minorHAnsi"/>
                <w:szCs w:val="24"/>
              </w:rPr>
            </w:pPr>
            <w:bookmarkStart w:id="238" w:name="OLE_LINK150"/>
            <w:bookmarkStart w:id="239" w:name="OLE_LINK151"/>
            <w:bookmarkStart w:id="240" w:name="OLE_LINK152"/>
            <w:bookmarkEnd w:id="237"/>
            <w:r w:rsidRPr="003F1A8C">
              <w:rPr>
                <w:rFonts w:eastAsia="Calibri Light" w:cstheme="minorHAnsi"/>
                <w:szCs w:val="24"/>
              </w:rPr>
              <w:t>Ukupno</w:t>
            </w:r>
            <w:bookmarkEnd w:id="238"/>
            <w:bookmarkEnd w:id="239"/>
            <w:bookmarkEnd w:id="240"/>
          </w:p>
        </w:tc>
        <w:tc>
          <w:tcPr>
            <w:tcW w:w="2156" w:type="dxa"/>
            <w:tcBorders>
              <w:top w:val="single" w:sz="12" w:space="0" w:color="auto"/>
              <w:left w:val="single" w:sz="6" w:space="0" w:color="auto"/>
              <w:bottom w:val="single" w:sz="12" w:space="0" w:color="auto"/>
              <w:right w:val="single" w:sz="6" w:space="0" w:color="auto"/>
            </w:tcBorders>
            <w:shd w:val="pct10" w:color="auto" w:fill="auto"/>
            <w:vAlign w:val="center"/>
          </w:tcPr>
          <w:p w:rsidR="00DF6DAB" w:rsidRPr="003F1A8C" w:rsidRDefault="00DF6DAB" w:rsidP="003F1A8C">
            <w:pPr>
              <w:spacing w:before="0" w:after="0" w:line="240" w:lineRule="auto"/>
              <w:rPr>
                <w:rFonts w:eastAsia="Calibri Light" w:cstheme="minorHAnsi"/>
                <w:szCs w:val="24"/>
              </w:rPr>
            </w:pPr>
          </w:p>
        </w:tc>
        <w:tc>
          <w:tcPr>
            <w:tcW w:w="1620" w:type="dxa"/>
            <w:tcBorders>
              <w:top w:val="single" w:sz="12" w:space="0" w:color="auto"/>
              <w:left w:val="single" w:sz="6" w:space="0" w:color="auto"/>
              <w:bottom w:val="single" w:sz="12" w:space="0" w:color="auto"/>
              <w:right w:val="single" w:sz="12" w:space="0" w:color="auto"/>
            </w:tcBorders>
            <w:shd w:val="pct10" w:color="auto" w:fill="auto"/>
            <w:vAlign w:val="center"/>
          </w:tcPr>
          <w:p w:rsidR="00DF6DAB" w:rsidRPr="003F1A8C" w:rsidRDefault="00DF6DAB" w:rsidP="003F1A8C">
            <w:pPr>
              <w:spacing w:before="0" w:after="0" w:line="240" w:lineRule="auto"/>
              <w:rPr>
                <w:rFonts w:eastAsia="Calibri Light" w:cstheme="minorHAnsi"/>
                <w:szCs w:val="24"/>
              </w:rPr>
            </w:pPr>
          </w:p>
        </w:tc>
      </w:tr>
    </w:tbl>
    <w:p w:rsidR="00DF6DAB" w:rsidRPr="003F1A8C" w:rsidRDefault="00DF6DAB" w:rsidP="003F1A8C">
      <w:pPr>
        <w:spacing w:before="0" w:after="0" w:line="240" w:lineRule="auto"/>
        <w:rPr>
          <w:rFonts w:eastAsia="Calibri Light" w:cstheme="minorHAnsi"/>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4"/>
        <w:gridCol w:w="2289"/>
      </w:tblGrid>
      <w:tr w:rsidR="00DF6DAB" w:rsidRPr="003F1A8C" w:rsidTr="00DF6DAB">
        <w:trPr>
          <w:jc w:val="center"/>
        </w:trPr>
        <w:tc>
          <w:tcPr>
            <w:tcW w:w="9083" w:type="dxa"/>
            <w:gridSpan w:val="2"/>
            <w:tcBorders>
              <w:top w:val="single" w:sz="12" w:space="0" w:color="auto"/>
              <w:left w:val="single" w:sz="12" w:space="0" w:color="auto"/>
              <w:bottom w:val="single" w:sz="12" w:space="0" w:color="auto"/>
              <w:right w:val="single" w:sz="12" w:space="0" w:color="auto"/>
            </w:tcBorders>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Priprema podataka (izvoda iz digitalnog plana, kopija planova, skica sa kordinatama, raznih statističkih podataka iz baze podataka, i dr.) za potrebe državnih institucija,  organa lokalne samouprave, privatnih geodetskih firmi, područnih jedinica i na lični zahtjev</w:t>
            </w:r>
          </w:p>
        </w:tc>
      </w:tr>
      <w:tr w:rsidR="00DF6DAB" w:rsidRPr="003F1A8C" w:rsidTr="00DF6DAB">
        <w:trPr>
          <w:jc w:val="center"/>
        </w:trPr>
        <w:tc>
          <w:tcPr>
            <w:tcW w:w="6794" w:type="dxa"/>
            <w:tcBorders>
              <w:top w:val="single" w:sz="12" w:space="0" w:color="auto"/>
              <w:left w:val="single" w:sz="12" w:space="0" w:color="auto"/>
              <w:bottom w:val="single" w:sz="12" w:space="0" w:color="auto"/>
            </w:tcBorders>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Naziv institucije</w:t>
            </w:r>
          </w:p>
        </w:tc>
        <w:tc>
          <w:tcPr>
            <w:tcW w:w="2289" w:type="dxa"/>
            <w:tcBorders>
              <w:top w:val="single" w:sz="12" w:space="0" w:color="auto"/>
              <w:bottom w:val="single" w:sz="12" w:space="0" w:color="auto"/>
              <w:right w:val="single" w:sz="12" w:space="0" w:color="auto"/>
            </w:tcBorders>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Br. Zahtjeva</w:t>
            </w:r>
          </w:p>
        </w:tc>
      </w:tr>
      <w:tr w:rsidR="00DF6DAB" w:rsidRPr="003F1A8C" w:rsidTr="00DF6DAB">
        <w:trPr>
          <w:jc w:val="center"/>
        </w:trPr>
        <w:tc>
          <w:tcPr>
            <w:tcW w:w="6794" w:type="dxa"/>
            <w:tcBorders>
              <w:top w:val="single" w:sz="12" w:space="0" w:color="auto"/>
              <w:left w:val="single" w:sz="12" w:space="0" w:color="auto"/>
              <w:bottom w:val="single" w:sz="6" w:space="0" w:color="auto"/>
            </w:tcBorders>
            <w:vAlign w:val="center"/>
          </w:tcPr>
          <w:p w:rsidR="00DF6DAB" w:rsidRPr="003F1A8C" w:rsidRDefault="00DF6DAB" w:rsidP="003F1A8C">
            <w:pPr>
              <w:spacing w:before="0" w:after="0" w:line="240" w:lineRule="auto"/>
              <w:rPr>
                <w:rFonts w:eastAsia="Calibri Light" w:cstheme="minorHAnsi"/>
                <w:szCs w:val="24"/>
              </w:rPr>
            </w:pPr>
            <w:bookmarkStart w:id="241" w:name="_Hlk527929480"/>
            <w:r w:rsidRPr="003F1A8C">
              <w:rPr>
                <w:rFonts w:eastAsia="Calibri Light" w:cstheme="minorHAnsi"/>
                <w:szCs w:val="24"/>
              </w:rPr>
              <w:t>Ministarstvo finansija</w:t>
            </w:r>
          </w:p>
        </w:tc>
        <w:tc>
          <w:tcPr>
            <w:tcW w:w="2289" w:type="dxa"/>
            <w:tcBorders>
              <w:top w:val="single" w:sz="12"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14</w:t>
            </w:r>
          </w:p>
        </w:tc>
      </w:tr>
      <w:tr w:rsidR="00DF6DAB" w:rsidRPr="003F1A8C" w:rsidTr="00DF6DAB">
        <w:trPr>
          <w:jc w:val="center"/>
        </w:trPr>
        <w:tc>
          <w:tcPr>
            <w:tcW w:w="6794" w:type="dxa"/>
            <w:tcBorders>
              <w:top w:val="single" w:sz="6" w:space="0" w:color="auto"/>
              <w:left w:val="single" w:sz="12" w:space="0" w:color="auto"/>
              <w:bottom w:val="single" w:sz="6" w:space="0" w:color="auto"/>
              <w:right w:val="single" w:sz="4"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Ministarstvo održivog razvoja i turizma</w:t>
            </w:r>
          </w:p>
        </w:tc>
        <w:tc>
          <w:tcPr>
            <w:tcW w:w="2289" w:type="dxa"/>
            <w:tcBorders>
              <w:top w:val="single" w:sz="6" w:space="0" w:color="auto"/>
              <w:left w:val="single" w:sz="4"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28</w:t>
            </w:r>
          </w:p>
        </w:tc>
      </w:tr>
      <w:tr w:rsidR="00DF6DAB" w:rsidRPr="003F1A8C" w:rsidTr="00DF6DAB">
        <w:trPr>
          <w:jc w:val="center"/>
        </w:trPr>
        <w:tc>
          <w:tcPr>
            <w:tcW w:w="6794" w:type="dxa"/>
            <w:tcBorders>
              <w:top w:val="single" w:sz="6" w:space="0" w:color="auto"/>
              <w:left w:val="single" w:sz="12" w:space="0" w:color="auto"/>
              <w:bottom w:val="single" w:sz="6" w:space="0" w:color="auto"/>
              <w:right w:val="single" w:sz="4"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Ministarstvo održivog razvoja i turizma - planska dokumenta</w:t>
            </w:r>
          </w:p>
        </w:tc>
        <w:tc>
          <w:tcPr>
            <w:tcW w:w="2289" w:type="dxa"/>
            <w:tcBorders>
              <w:top w:val="single" w:sz="6" w:space="0" w:color="auto"/>
              <w:left w:val="single" w:sz="4"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16</w:t>
            </w:r>
          </w:p>
        </w:tc>
      </w:tr>
      <w:tr w:rsidR="00DF6DAB" w:rsidRPr="003F1A8C" w:rsidTr="00DF6DAB">
        <w:trPr>
          <w:jc w:val="center"/>
        </w:trPr>
        <w:tc>
          <w:tcPr>
            <w:tcW w:w="6794" w:type="dxa"/>
            <w:tcBorders>
              <w:top w:val="single" w:sz="6" w:space="0" w:color="auto"/>
              <w:left w:val="single" w:sz="12" w:space="0" w:color="auto"/>
              <w:bottom w:val="single" w:sz="6" w:space="0" w:color="auto"/>
              <w:right w:val="single" w:sz="4"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Ministarstvo poljoprivrede i ruralnog razvoja</w:t>
            </w:r>
          </w:p>
        </w:tc>
        <w:tc>
          <w:tcPr>
            <w:tcW w:w="2289" w:type="dxa"/>
            <w:tcBorders>
              <w:top w:val="single" w:sz="6" w:space="0" w:color="auto"/>
              <w:left w:val="single" w:sz="4"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5</w:t>
            </w:r>
          </w:p>
        </w:tc>
      </w:tr>
      <w:tr w:rsidR="00DF6DAB" w:rsidRPr="003F1A8C" w:rsidTr="00DF6DAB">
        <w:trPr>
          <w:jc w:val="center"/>
        </w:trPr>
        <w:tc>
          <w:tcPr>
            <w:tcW w:w="6794" w:type="dxa"/>
            <w:tcBorders>
              <w:top w:val="single" w:sz="6" w:space="0" w:color="auto"/>
              <w:left w:val="single" w:sz="12" w:space="0" w:color="auto"/>
              <w:bottom w:val="single" w:sz="6" w:space="0" w:color="auto"/>
              <w:right w:val="single" w:sz="4"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 xml:space="preserve">Ministarstvo odbrane </w:t>
            </w:r>
          </w:p>
        </w:tc>
        <w:tc>
          <w:tcPr>
            <w:tcW w:w="2289" w:type="dxa"/>
            <w:tcBorders>
              <w:top w:val="single" w:sz="6" w:space="0" w:color="auto"/>
              <w:left w:val="single" w:sz="4"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1</w:t>
            </w:r>
          </w:p>
        </w:tc>
      </w:tr>
      <w:tr w:rsidR="00DF6DAB" w:rsidRPr="003F1A8C" w:rsidTr="00DF6DAB">
        <w:trPr>
          <w:jc w:val="center"/>
        </w:trPr>
        <w:tc>
          <w:tcPr>
            <w:tcW w:w="6794" w:type="dxa"/>
            <w:tcBorders>
              <w:top w:val="single" w:sz="6" w:space="0" w:color="auto"/>
              <w:left w:val="single" w:sz="12" w:space="0" w:color="auto"/>
              <w:bottom w:val="single" w:sz="6" w:space="0" w:color="auto"/>
              <w:right w:val="single" w:sz="4"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Ministarstvo javne uprave</w:t>
            </w:r>
          </w:p>
        </w:tc>
        <w:tc>
          <w:tcPr>
            <w:tcW w:w="2289" w:type="dxa"/>
            <w:tcBorders>
              <w:top w:val="single" w:sz="6" w:space="0" w:color="auto"/>
              <w:left w:val="single" w:sz="4"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2</w:t>
            </w:r>
          </w:p>
        </w:tc>
      </w:tr>
      <w:tr w:rsidR="00DF6DAB" w:rsidRPr="003F1A8C" w:rsidTr="00DF6DAB">
        <w:trPr>
          <w:jc w:val="center"/>
        </w:trPr>
        <w:tc>
          <w:tcPr>
            <w:tcW w:w="6794" w:type="dxa"/>
            <w:tcBorders>
              <w:top w:val="single" w:sz="6" w:space="0" w:color="auto"/>
              <w:left w:val="single" w:sz="12" w:space="0" w:color="auto"/>
              <w:bottom w:val="single" w:sz="6" w:space="0" w:color="auto"/>
              <w:right w:val="single" w:sz="4"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Ministarstvo ekonomije</w:t>
            </w:r>
          </w:p>
        </w:tc>
        <w:tc>
          <w:tcPr>
            <w:tcW w:w="2289" w:type="dxa"/>
            <w:tcBorders>
              <w:top w:val="single" w:sz="6" w:space="0" w:color="auto"/>
              <w:left w:val="single" w:sz="4"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3</w:t>
            </w:r>
          </w:p>
        </w:tc>
      </w:tr>
      <w:tr w:rsidR="00DF6DAB" w:rsidRPr="003F1A8C" w:rsidTr="00DF6DAB">
        <w:trPr>
          <w:jc w:val="center"/>
        </w:trPr>
        <w:tc>
          <w:tcPr>
            <w:tcW w:w="6794" w:type="dxa"/>
            <w:tcBorders>
              <w:top w:val="single" w:sz="6" w:space="0" w:color="auto"/>
              <w:left w:val="single" w:sz="12" w:space="0" w:color="auto"/>
              <w:bottom w:val="single" w:sz="6" w:space="0" w:color="auto"/>
              <w:right w:val="single" w:sz="4"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Ministarstvo unutrašnjih poslova</w:t>
            </w:r>
          </w:p>
        </w:tc>
        <w:tc>
          <w:tcPr>
            <w:tcW w:w="2289" w:type="dxa"/>
            <w:tcBorders>
              <w:top w:val="single" w:sz="6" w:space="0" w:color="auto"/>
              <w:left w:val="single" w:sz="4" w:space="0" w:color="auto"/>
              <w:bottom w:val="single" w:sz="6" w:space="0" w:color="auto"/>
              <w:right w:val="single" w:sz="12" w:space="0" w:color="auto"/>
            </w:tcBorders>
            <w:vAlign w:val="center"/>
          </w:tcPr>
          <w:p w:rsidR="00DF6DAB" w:rsidRPr="003F1A8C" w:rsidDel="002E048B" w:rsidRDefault="00DF6DAB" w:rsidP="003F1A8C">
            <w:pPr>
              <w:spacing w:before="0" w:after="0" w:line="240" w:lineRule="auto"/>
              <w:rPr>
                <w:rFonts w:eastAsia="Calibri Light" w:cstheme="minorHAnsi"/>
                <w:szCs w:val="24"/>
              </w:rPr>
            </w:pPr>
            <w:r w:rsidRPr="003F1A8C">
              <w:rPr>
                <w:rFonts w:eastAsia="Calibri Light" w:cstheme="minorHAnsi"/>
                <w:szCs w:val="24"/>
              </w:rPr>
              <w:t>4</w:t>
            </w:r>
          </w:p>
        </w:tc>
      </w:tr>
      <w:tr w:rsidR="00DF6DAB" w:rsidRPr="003F1A8C" w:rsidTr="00DF6DAB">
        <w:trPr>
          <w:jc w:val="center"/>
        </w:trPr>
        <w:tc>
          <w:tcPr>
            <w:tcW w:w="6794" w:type="dxa"/>
            <w:tcBorders>
              <w:top w:val="single" w:sz="6" w:space="0" w:color="auto"/>
              <w:left w:val="single" w:sz="12" w:space="0" w:color="auto"/>
              <w:bottom w:val="single" w:sz="6" w:space="0" w:color="auto"/>
              <w:right w:val="single" w:sz="4"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Ministarstvo nauke</w:t>
            </w:r>
          </w:p>
        </w:tc>
        <w:tc>
          <w:tcPr>
            <w:tcW w:w="2289" w:type="dxa"/>
            <w:tcBorders>
              <w:top w:val="single" w:sz="6" w:space="0" w:color="auto"/>
              <w:left w:val="single" w:sz="4"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1</w:t>
            </w:r>
          </w:p>
        </w:tc>
      </w:tr>
      <w:tr w:rsidR="00DF6DAB" w:rsidRPr="003F1A8C" w:rsidTr="00DF6DAB">
        <w:trPr>
          <w:jc w:val="center"/>
        </w:trPr>
        <w:tc>
          <w:tcPr>
            <w:tcW w:w="6794" w:type="dxa"/>
            <w:tcBorders>
              <w:top w:val="single" w:sz="6" w:space="0" w:color="auto"/>
              <w:left w:val="single" w:sz="12" w:space="0" w:color="auto"/>
              <w:bottom w:val="single" w:sz="6" w:space="0" w:color="auto"/>
              <w:right w:val="single" w:sz="4"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Ministarstvo kulture</w:t>
            </w:r>
          </w:p>
        </w:tc>
        <w:tc>
          <w:tcPr>
            <w:tcW w:w="2289" w:type="dxa"/>
            <w:tcBorders>
              <w:top w:val="single" w:sz="6" w:space="0" w:color="auto"/>
              <w:left w:val="single" w:sz="4"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1</w:t>
            </w:r>
          </w:p>
        </w:tc>
      </w:tr>
      <w:tr w:rsidR="00DF6DAB" w:rsidRPr="003F1A8C" w:rsidTr="00DF6DAB">
        <w:trPr>
          <w:jc w:val="center"/>
        </w:trPr>
        <w:tc>
          <w:tcPr>
            <w:tcW w:w="6794" w:type="dxa"/>
            <w:tcBorders>
              <w:top w:val="single" w:sz="6" w:space="0" w:color="auto"/>
              <w:left w:val="single" w:sz="12" w:space="0" w:color="auto"/>
              <w:bottom w:val="single" w:sz="6" w:space="0" w:color="auto"/>
              <w:right w:val="single" w:sz="4"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lastRenderedPageBreak/>
              <w:t>Ministarstvo vanjskih poslova</w:t>
            </w:r>
          </w:p>
        </w:tc>
        <w:tc>
          <w:tcPr>
            <w:tcW w:w="2289" w:type="dxa"/>
            <w:tcBorders>
              <w:top w:val="single" w:sz="6" w:space="0" w:color="auto"/>
              <w:left w:val="single" w:sz="4"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2</w:t>
            </w:r>
          </w:p>
        </w:tc>
      </w:tr>
      <w:tr w:rsidR="00DF6DAB" w:rsidRPr="003F1A8C" w:rsidTr="00DF6DAB">
        <w:trPr>
          <w:jc w:val="center"/>
        </w:trPr>
        <w:tc>
          <w:tcPr>
            <w:tcW w:w="6794" w:type="dxa"/>
            <w:tcBorders>
              <w:top w:val="single" w:sz="6" w:space="0" w:color="auto"/>
              <w:left w:val="single" w:sz="12" w:space="0" w:color="auto"/>
              <w:bottom w:val="single" w:sz="6" w:space="0" w:color="auto"/>
              <w:right w:val="single" w:sz="4"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Poreska Uprava</w:t>
            </w:r>
          </w:p>
        </w:tc>
        <w:tc>
          <w:tcPr>
            <w:tcW w:w="2289" w:type="dxa"/>
            <w:tcBorders>
              <w:top w:val="single" w:sz="6" w:space="0" w:color="auto"/>
              <w:left w:val="single" w:sz="4"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12</w:t>
            </w:r>
          </w:p>
        </w:tc>
      </w:tr>
      <w:tr w:rsidR="00DF6DAB" w:rsidRPr="003F1A8C" w:rsidTr="00DF6DAB">
        <w:trPr>
          <w:jc w:val="center"/>
        </w:trPr>
        <w:tc>
          <w:tcPr>
            <w:tcW w:w="6794" w:type="dxa"/>
            <w:tcBorders>
              <w:top w:val="single" w:sz="6" w:space="0" w:color="auto"/>
              <w:left w:val="single" w:sz="12" w:space="0" w:color="auto"/>
              <w:bottom w:val="single" w:sz="6" w:space="0" w:color="auto"/>
              <w:right w:val="single" w:sz="4"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JP Morsko dobro</w:t>
            </w:r>
          </w:p>
        </w:tc>
        <w:tc>
          <w:tcPr>
            <w:tcW w:w="2289" w:type="dxa"/>
            <w:tcBorders>
              <w:top w:val="single" w:sz="6" w:space="0" w:color="auto"/>
              <w:left w:val="single" w:sz="4"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2</w:t>
            </w:r>
          </w:p>
        </w:tc>
      </w:tr>
      <w:tr w:rsidR="00DF6DAB" w:rsidRPr="003F1A8C" w:rsidTr="00DF6DAB">
        <w:trPr>
          <w:jc w:val="center"/>
        </w:trPr>
        <w:tc>
          <w:tcPr>
            <w:tcW w:w="6794" w:type="dxa"/>
            <w:tcBorders>
              <w:top w:val="single" w:sz="6" w:space="0" w:color="auto"/>
              <w:left w:val="single" w:sz="12" w:space="0" w:color="auto"/>
              <w:bottom w:val="single" w:sz="6" w:space="0" w:color="auto"/>
              <w:right w:val="single" w:sz="4"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Agencija za zaštitu životne sredinu</w:t>
            </w:r>
            <w:r w:rsidRPr="003F1A8C">
              <w:rPr>
                <w:rFonts w:eastAsia="Calibri Light" w:cstheme="minorHAnsi"/>
                <w:szCs w:val="24"/>
              </w:rPr>
              <w:tab/>
            </w:r>
            <w:r w:rsidRPr="003F1A8C">
              <w:rPr>
                <w:rFonts w:eastAsia="Calibri Light" w:cstheme="minorHAnsi"/>
                <w:szCs w:val="24"/>
              </w:rPr>
              <w:tab/>
            </w:r>
          </w:p>
        </w:tc>
        <w:tc>
          <w:tcPr>
            <w:tcW w:w="2289" w:type="dxa"/>
            <w:tcBorders>
              <w:top w:val="single" w:sz="6" w:space="0" w:color="auto"/>
              <w:left w:val="single" w:sz="4"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1</w:t>
            </w:r>
          </w:p>
        </w:tc>
      </w:tr>
      <w:tr w:rsidR="00DF6DAB" w:rsidRPr="003F1A8C" w:rsidTr="00DF6DAB">
        <w:trPr>
          <w:jc w:val="center"/>
        </w:trPr>
        <w:tc>
          <w:tcPr>
            <w:tcW w:w="6794" w:type="dxa"/>
            <w:tcBorders>
              <w:top w:val="single" w:sz="6" w:space="0" w:color="auto"/>
              <w:left w:val="single" w:sz="12" w:space="0" w:color="auto"/>
              <w:bottom w:val="single" w:sz="6" w:space="0" w:color="auto"/>
              <w:right w:val="single" w:sz="4"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Uprava javnih radova</w:t>
            </w:r>
          </w:p>
        </w:tc>
        <w:tc>
          <w:tcPr>
            <w:tcW w:w="2289" w:type="dxa"/>
            <w:tcBorders>
              <w:top w:val="single" w:sz="6" w:space="0" w:color="auto"/>
              <w:left w:val="single" w:sz="4"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4</w:t>
            </w:r>
          </w:p>
        </w:tc>
      </w:tr>
      <w:tr w:rsidR="00DF6DAB" w:rsidRPr="003F1A8C" w:rsidTr="00DF6DAB">
        <w:trPr>
          <w:jc w:val="center"/>
        </w:trPr>
        <w:tc>
          <w:tcPr>
            <w:tcW w:w="6794" w:type="dxa"/>
            <w:tcBorders>
              <w:top w:val="single" w:sz="6" w:space="0" w:color="auto"/>
              <w:left w:val="single" w:sz="12" w:space="0" w:color="auto"/>
              <w:bottom w:val="single" w:sz="6" w:space="0" w:color="auto"/>
              <w:right w:val="single" w:sz="4"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Uprava za statistiku</w:t>
            </w:r>
          </w:p>
        </w:tc>
        <w:tc>
          <w:tcPr>
            <w:tcW w:w="2289" w:type="dxa"/>
            <w:tcBorders>
              <w:top w:val="single" w:sz="6" w:space="0" w:color="auto"/>
              <w:left w:val="single" w:sz="4"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3</w:t>
            </w:r>
          </w:p>
        </w:tc>
      </w:tr>
      <w:tr w:rsidR="00DF6DAB" w:rsidRPr="003F1A8C" w:rsidTr="00DF6DAB">
        <w:trPr>
          <w:jc w:val="center"/>
        </w:trPr>
        <w:tc>
          <w:tcPr>
            <w:tcW w:w="6794" w:type="dxa"/>
            <w:tcBorders>
              <w:top w:val="single" w:sz="6" w:space="0" w:color="auto"/>
              <w:left w:val="single" w:sz="12" w:space="0" w:color="auto"/>
              <w:bottom w:val="single" w:sz="6" w:space="0" w:color="auto"/>
              <w:right w:val="single" w:sz="4"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Uprava za šume</w:t>
            </w:r>
          </w:p>
        </w:tc>
        <w:tc>
          <w:tcPr>
            <w:tcW w:w="2289" w:type="dxa"/>
            <w:tcBorders>
              <w:top w:val="single" w:sz="6" w:space="0" w:color="auto"/>
              <w:left w:val="single" w:sz="4"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2</w:t>
            </w:r>
          </w:p>
        </w:tc>
      </w:tr>
      <w:tr w:rsidR="00DF6DAB" w:rsidRPr="003F1A8C" w:rsidTr="00DF6DAB">
        <w:trPr>
          <w:jc w:val="center"/>
        </w:trPr>
        <w:tc>
          <w:tcPr>
            <w:tcW w:w="6794" w:type="dxa"/>
            <w:tcBorders>
              <w:top w:val="single" w:sz="6" w:space="0" w:color="auto"/>
              <w:left w:val="single" w:sz="12" w:space="0" w:color="auto"/>
              <w:bottom w:val="single" w:sz="6" w:space="0" w:color="auto"/>
              <w:right w:val="single" w:sz="4"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Uprava za vode</w:t>
            </w:r>
          </w:p>
        </w:tc>
        <w:tc>
          <w:tcPr>
            <w:tcW w:w="2289" w:type="dxa"/>
            <w:tcBorders>
              <w:top w:val="single" w:sz="6" w:space="0" w:color="auto"/>
              <w:left w:val="single" w:sz="4"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1</w:t>
            </w:r>
          </w:p>
        </w:tc>
      </w:tr>
      <w:tr w:rsidR="00DF6DAB" w:rsidRPr="003F1A8C" w:rsidTr="00DF6DAB">
        <w:trPr>
          <w:jc w:val="center"/>
        </w:trPr>
        <w:tc>
          <w:tcPr>
            <w:tcW w:w="6794" w:type="dxa"/>
            <w:tcBorders>
              <w:top w:val="single" w:sz="6" w:space="0" w:color="auto"/>
              <w:left w:val="single" w:sz="12" w:space="0" w:color="auto"/>
              <w:bottom w:val="single" w:sz="6" w:space="0" w:color="auto"/>
              <w:right w:val="single" w:sz="4"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Glavni grad - Podgorica</w:t>
            </w:r>
          </w:p>
        </w:tc>
        <w:tc>
          <w:tcPr>
            <w:tcW w:w="2289" w:type="dxa"/>
            <w:tcBorders>
              <w:top w:val="single" w:sz="6" w:space="0" w:color="auto"/>
              <w:left w:val="single" w:sz="4"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2</w:t>
            </w:r>
          </w:p>
        </w:tc>
      </w:tr>
      <w:tr w:rsidR="00DF6DAB" w:rsidRPr="003F1A8C" w:rsidTr="00DF6DAB">
        <w:trPr>
          <w:jc w:val="center"/>
        </w:trPr>
        <w:tc>
          <w:tcPr>
            <w:tcW w:w="6794" w:type="dxa"/>
            <w:tcBorders>
              <w:top w:val="single" w:sz="6" w:space="0" w:color="auto"/>
              <w:left w:val="single" w:sz="12" w:space="0" w:color="auto"/>
              <w:bottom w:val="single" w:sz="6" w:space="0" w:color="auto"/>
              <w:right w:val="single" w:sz="4"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Agencija za elektronsku komunikaciju i poštansku djelatnost</w:t>
            </w:r>
          </w:p>
        </w:tc>
        <w:tc>
          <w:tcPr>
            <w:tcW w:w="2289" w:type="dxa"/>
            <w:tcBorders>
              <w:top w:val="single" w:sz="6" w:space="0" w:color="auto"/>
              <w:left w:val="single" w:sz="4"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1</w:t>
            </w:r>
          </w:p>
        </w:tc>
      </w:tr>
      <w:tr w:rsidR="00DF6DAB" w:rsidRPr="003F1A8C" w:rsidTr="00DF6DAB">
        <w:trPr>
          <w:jc w:val="center"/>
        </w:trPr>
        <w:tc>
          <w:tcPr>
            <w:tcW w:w="6794" w:type="dxa"/>
            <w:tcBorders>
              <w:top w:val="single" w:sz="6" w:space="0" w:color="auto"/>
              <w:left w:val="single" w:sz="12" w:space="0" w:color="auto"/>
              <w:bottom w:val="single" w:sz="6" w:space="0" w:color="auto"/>
              <w:right w:val="single" w:sz="4"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Agencija za zaštitu prirode i životne sredine</w:t>
            </w:r>
          </w:p>
        </w:tc>
        <w:tc>
          <w:tcPr>
            <w:tcW w:w="2289" w:type="dxa"/>
            <w:tcBorders>
              <w:top w:val="single" w:sz="6" w:space="0" w:color="auto"/>
              <w:left w:val="single" w:sz="4"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1</w:t>
            </w:r>
          </w:p>
        </w:tc>
      </w:tr>
      <w:tr w:rsidR="00DF6DAB" w:rsidRPr="003F1A8C" w:rsidTr="00DF6DAB">
        <w:trPr>
          <w:jc w:val="center"/>
        </w:trPr>
        <w:tc>
          <w:tcPr>
            <w:tcW w:w="6794" w:type="dxa"/>
            <w:tcBorders>
              <w:top w:val="single" w:sz="6" w:space="0" w:color="auto"/>
              <w:left w:val="single" w:sz="12" w:space="0" w:color="auto"/>
              <w:bottom w:val="single" w:sz="6" w:space="0" w:color="auto"/>
              <w:right w:val="single" w:sz="4"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Prijestonica Cetinje</w:t>
            </w:r>
          </w:p>
        </w:tc>
        <w:tc>
          <w:tcPr>
            <w:tcW w:w="2289" w:type="dxa"/>
            <w:tcBorders>
              <w:top w:val="single" w:sz="6" w:space="0" w:color="auto"/>
              <w:left w:val="single" w:sz="4"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10</w:t>
            </w:r>
          </w:p>
        </w:tc>
      </w:tr>
      <w:tr w:rsidR="00DF6DAB" w:rsidRPr="003F1A8C" w:rsidTr="00DF6DAB">
        <w:trPr>
          <w:jc w:val="center"/>
        </w:trPr>
        <w:tc>
          <w:tcPr>
            <w:tcW w:w="6794" w:type="dxa"/>
            <w:tcBorders>
              <w:top w:val="single" w:sz="6" w:space="0" w:color="auto"/>
              <w:left w:val="single" w:sz="12" w:space="0" w:color="auto"/>
              <w:bottom w:val="single" w:sz="6"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Lokalne samouprave</w:t>
            </w:r>
          </w:p>
        </w:tc>
        <w:tc>
          <w:tcPr>
            <w:tcW w:w="2289" w:type="dxa"/>
            <w:tcBorders>
              <w:top w:val="single" w:sz="6"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44</w:t>
            </w:r>
          </w:p>
        </w:tc>
      </w:tr>
      <w:tr w:rsidR="00DF6DAB" w:rsidRPr="003F1A8C" w:rsidTr="00DF6DAB">
        <w:trPr>
          <w:jc w:val="center"/>
        </w:trPr>
        <w:tc>
          <w:tcPr>
            <w:tcW w:w="6794" w:type="dxa"/>
            <w:tcBorders>
              <w:top w:val="single" w:sz="6" w:space="0" w:color="auto"/>
              <w:left w:val="single" w:sz="12" w:space="0" w:color="auto"/>
              <w:bottom w:val="single" w:sz="6" w:space="0" w:color="auto"/>
              <w:right w:val="single" w:sz="4"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Agencija za izgradnju Podgorice</w:t>
            </w:r>
          </w:p>
        </w:tc>
        <w:tc>
          <w:tcPr>
            <w:tcW w:w="2289" w:type="dxa"/>
            <w:tcBorders>
              <w:top w:val="single" w:sz="6" w:space="0" w:color="auto"/>
              <w:left w:val="single" w:sz="4"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4</w:t>
            </w:r>
          </w:p>
        </w:tc>
      </w:tr>
      <w:tr w:rsidR="00DF6DAB" w:rsidRPr="003F1A8C" w:rsidTr="00DF6DAB">
        <w:trPr>
          <w:jc w:val="center"/>
        </w:trPr>
        <w:tc>
          <w:tcPr>
            <w:tcW w:w="6794" w:type="dxa"/>
            <w:tcBorders>
              <w:top w:val="single" w:sz="6" w:space="0" w:color="auto"/>
              <w:left w:val="single" w:sz="12" w:space="0" w:color="auto"/>
              <w:bottom w:val="single" w:sz="6" w:space="0" w:color="auto"/>
              <w:right w:val="single" w:sz="4"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"CEDIS"</w:t>
            </w:r>
          </w:p>
        </w:tc>
        <w:tc>
          <w:tcPr>
            <w:tcW w:w="2289" w:type="dxa"/>
            <w:tcBorders>
              <w:top w:val="single" w:sz="6" w:space="0" w:color="auto"/>
              <w:left w:val="single" w:sz="4"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14</w:t>
            </w:r>
          </w:p>
        </w:tc>
      </w:tr>
      <w:tr w:rsidR="00DF6DAB" w:rsidRPr="003F1A8C" w:rsidTr="00DF6DAB">
        <w:trPr>
          <w:jc w:val="center"/>
        </w:trPr>
        <w:tc>
          <w:tcPr>
            <w:tcW w:w="6794" w:type="dxa"/>
            <w:tcBorders>
              <w:top w:val="single" w:sz="6" w:space="0" w:color="auto"/>
              <w:left w:val="single" w:sz="12" w:space="0" w:color="auto"/>
              <w:bottom w:val="single" w:sz="6" w:space="0" w:color="auto"/>
              <w:right w:val="single" w:sz="4"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"CGES"</w:t>
            </w:r>
          </w:p>
        </w:tc>
        <w:tc>
          <w:tcPr>
            <w:tcW w:w="2289" w:type="dxa"/>
            <w:tcBorders>
              <w:top w:val="single" w:sz="6" w:space="0" w:color="auto"/>
              <w:left w:val="single" w:sz="4"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1</w:t>
            </w:r>
          </w:p>
        </w:tc>
      </w:tr>
      <w:tr w:rsidR="00DF6DAB" w:rsidRPr="003F1A8C" w:rsidTr="00DF6DAB">
        <w:trPr>
          <w:jc w:val="center"/>
        </w:trPr>
        <w:tc>
          <w:tcPr>
            <w:tcW w:w="6794" w:type="dxa"/>
            <w:tcBorders>
              <w:top w:val="single" w:sz="6" w:space="0" w:color="auto"/>
              <w:left w:val="single" w:sz="12" w:space="0" w:color="auto"/>
              <w:bottom w:val="single" w:sz="6" w:space="0" w:color="auto"/>
              <w:right w:val="single" w:sz="4"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Skijališta Crne Gore</w:t>
            </w:r>
          </w:p>
        </w:tc>
        <w:tc>
          <w:tcPr>
            <w:tcW w:w="2289" w:type="dxa"/>
            <w:tcBorders>
              <w:top w:val="single" w:sz="6" w:space="0" w:color="auto"/>
              <w:left w:val="single" w:sz="4"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1</w:t>
            </w:r>
          </w:p>
        </w:tc>
      </w:tr>
      <w:tr w:rsidR="00DF6DAB" w:rsidRPr="003F1A8C" w:rsidTr="00DF6DAB">
        <w:trPr>
          <w:jc w:val="center"/>
        </w:trPr>
        <w:tc>
          <w:tcPr>
            <w:tcW w:w="6794" w:type="dxa"/>
            <w:tcBorders>
              <w:top w:val="single" w:sz="6" w:space="0" w:color="auto"/>
              <w:left w:val="single" w:sz="12" w:space="0" w:color="auto"/>
              <w:bottom w:val="single" w:sz="6" w:space="0" w:color="auto"/>
              <w:right w:val="single" w:sz="4"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Vodovod i kanalizacija  Podgorica doo</w:t>
            </w:r>
          </w:p>
        </w:tc>
        <w:tc>
          <w:tcPr>
            <w:tcW w:w="2289" w:type="dxa"/>
            <w:tcBorders>
              <w:top w:val="single" w:sz="6" w:space="0" w:color="auto"/>
              <w:left w:val="single" w:sz="4"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5</w:t>
            </w:r>
          </w:p>
        </w:tc>
      </w:tr>
      <w:tr w:rsidR="00DF6DAB" w:rsidRPr="003F1A8C" w:rsidTr="00DF6DAB">
        <w:trPr>
          <w:jc w:val="center"/>
        </w:trPr>
        <w:tc>
          <w:tcPr>
            <w:tcW w:w="6794" w:type="dxa"/>
            <w:tcBorders>
              <w:top w:val="single" w:sz="6" w:space="0" w:color="auto"/>
              <w:left w:val="single" w:sz="12" w:space="0" w:color="auto"/>
              <w:bottom w:val="single" w:sz="6" w:space="0" w:color="auto"/>
              <w:right w:val="single" w:sz="4"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 xml:space="preserve">Centri za socijalni rad </w:t>
            </w:r>
          </w:p>
        </w:tc>
        <w:tc>
          <w:tcPr>
            <w:tcW w:w="2289" w:type="dxa"/>
            <w:tcBorders>
              <w:top w:val="single" w:sz="6" w:space="0" w:color="auto"/>
              <w:left w:val="single" w:sz="4"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5</w:t>
            </w:r>
          </w:p>
        </w:tc>
      </w:tr>
      <w:tr w:rsidR="00DF6DAB" w:rsidRPr="003F1A8C" w:rsidTr="00DF6DAB">
        <w:trPr>
          <w:trHeight w:val="64"/>
          <w:jc w:val="center"/>
        </w:trPr>
        <w:tc>
          <w:tcPr>
            <w:tcW w:w="6794" w:type="dxa"/>
            <w:tcBorders>
              <w:top w:val="single" w:sz="6" w:space="0" w:color="auto"/>
              <w:left w:val="single" w:sz="12" w:space="0" w:color="auto"/>
              <w:bottom w:val="single" w:sz="6"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Željeznička infrastruktura</w:t>
            </w:r>
          </w:p>
        </w:tc>
        <w:tc>
          <w:tcPr>
            <w:tcW w:w="2289" w:type="dxa"/>
            <w:tcBorders>
              <w:top w:val="single" w:sz="6"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1</w:t>
            </w:r>
          </w:p>
        </w:tc>
      </w:tr>
      <w:tr w:rsidR="00DF6DAB" w:rsidRPr="003F1A8C" w:rsidTr="00DF6DAB">
        <w:trPr>
          <w:trHeight w:val="64"/>
          <w:jc w:val="center"/>
        </w:trPr>
        <w:tc>
          <w:tcPr>
            <w:tcW w:w="6794" w:type="dxa"/>
            <w:tcBorders>
              <w:top w:val="single" w:sz="6" w:space="0" w:color="auto"/>
              <w:left w:val="single" w:sz="12" w:space="0" w:color="auto"/>
              <w:bottom w:val="single" w:sz="6"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Geodetske firme</w:t>
            </w:r>
          </w:p>
        </w:tc>
        <w:tc>
          <w:tcPr>
            <w:tcW w:w="2289" w:type="dxa"/>
            <w:tcBorders>
              <w:top w:val="single" w:sz="6"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36</w:t>
            </w:r>
          </w:p>
        </w:tc>
      </w:tr>
      <w:tr w:rsidR="00DF6DAB" w:rsidRPr="003F1A8C" w:rsidTr="00DF6DAB">
        <w:trPr>
          <w:trHeight w:val="64"/>
          <w:jc w:val="center"/>
        </w:trPr>
        <w:tc>
          <w:tcPr>
            <w:tcW w:w="6794" w:type="dxa"/>
            <w:tcBorders>
              <w:top w:val="single" w:sz="6" w:space="0" w:color="auto"/>
              <w:left w:val="single" w:sz="12" w:space="0" w:color="auto"/>
              <w:bottom w:val="single" w:sz="6"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Pravna lica</w:t>
            </w:r>
          </w:p>
        </w:tc>
        <w:tc>
          <w:tcPr>
            <w:tcW w:w="2289" w:type="dxa"/>
            <w:tcBorders>
              <w:top w:val="single" w:sz="6" w:space="0" w:color="auto"/>
              <w:bottom w:val="single" w:sz="6"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21</w:t>
            </w:r>
          </w:p>
        </w:tc>
      </w:tr>
      <w:tr w:rsidR="00DF6DAB" w:rsidRPr="003F1A8C" w:rsidTr="00DF6DAB">
        <w:trPr>
          <w:jc w:val="center"/>
        </w:trPr>
        <w:tc>
          <w:tcPr>
            <w:tcW w:w="6794" w:type="dxa"/>
            <w:tcBorders>
              <w:top w:val="single" w:sz="6" w:space="0" w:color="auto"/>
              <w:left w:val="single" w:sz="12" w:space="0" w:color="auto"/>
              <w:bottom w:val="single" w:sz="12" w:space="0" w:color="auto"/>
              <w:right w:val="single" w:sz="4"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Fizička lica</w:t>
            </w:r>
          </w:p>
        </w:tc>
        <w:tc>
          <w:tcPr>
            <w:tcW w:w="2289" w:type="dxa"/>
            <w:tcBorders>
              <w:top w:val="single" w:sz="6" w:space="0" w:color="auto"/>
              <w:left w:val="single" w:sz="4" w:space="0" w:color="auto"/>
              <w:bottom w:val="single" w:sz="12" w:space="0" w:color="auto"/>
              <w:right w:val="single" w:sz="12" w:space="0" w:color="auto"/>
            </w:tcBorders>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10</w:t>
            </w:r>
          </w:p>
        </w:tc>
      </w:tr>
      <w:bookmarkEnd w:id="241"/>
      <w:tr w:rsidR="00DF6DAB" w:rsidRPr="003F1A8C" w:rsidTr="00DF6DAB">
        <w:trPr>
          <w:trHeight w:val="64"/>
          <w:jc w:val="center"/>
        </w:trPr>
        <w:tc>
          <w:tcPr>
            <w:tcW w:w="6794" w:type="dxa"/>
            <w:tcBorders>
              <w:top w:val="single" w:sz="12" w:space="0" w:color="auto"/>
              <w:left w:val="single" w:sz="12" w:space="0" w:color="auto"/>
              <w:bottom w:val="single" w:sz="12" w:space="0" w:color="auto"/>
              <w:right w:val="single" w:sz="8" w:space="0" w:color="auto"/>
            </w:tcBorders>
            <w:shd w:val="pct10" w:color="auto" w:fill="auto"/>
            <w:vAlign w:val="center"/>
          </w:tcPr>
          <w:p w:rsidR="00DF6DAB" w:rsidRPr="003F1A8C" w:rsidRDefault="00DF6DAB" w:rsidP="003F1A8C">
            <w:pPr>
              <w:spacing w:before="0" w:after="0" w:line="240" w:lineRule="auto"/>
              <w:rPr>
                <w:rFonts w:eastAsia="Calibri Light" w:cstheme="minorHAnsi"/>
                <w:szCs w:val="24"/>
              </w:rPr>
            </w:pPr>
            <w:r w:rsidRPr="003F1A8C">
              <w:rPr>
                <w:rFonts w:eastAsia="Calibri Light" w:cstheme="minorHAnsi"/>
                <w:szCs w:val="24"/>
              </w:rPr>
              <w:t>Ukupno</w:t>
            </w:r>
          </w:p>
        </w:tc>
        <w:tc>
          <w:tcPr>
            <w:tcW w:w="2289" w:type="dxa"/>
            <w:tcBorders>
              <w:top w:val="single" w:sz="12" w:space="0" w:color="auto"/>
              <w:left w:val="single" w:sz="8" w:space="0" w:color="auto"/>
              <w:bottom w:val="single" w:sz="12" w:space="0" w:color="auto"/>
              <w:right w:val="single" w:sz="12" w:space="0" w:color="auto"/>
            </w:tcBorders>
            <w:shd w:val="pct10" w:color="auto" w:fill="auto"/>
            <w:vAlign w:val="center"/>
          </w:tcPr>
          <w:p w:rsidR="00DF6DAB" w:rsidRPr="003F1A8C" w:rsidRDefault="00DF6DAB" w:rsidP="003F1A8C">
            <w:pPr>
              <w:spacing w:before="0" w:after="0" w:line="240" w:lineRule="auto"/>
              <w:rPr>
                <w:rFonts w:eastAsia="Calibri Light" w:cstheme="minorHAnsi"/>
                <w:szCs w:val="24"/>
              </w:rPr>
            </w:pPr>
          </w:p>
        </w:tc>
      </w:tr>
    </w:tbl>
    <w:p w:rsidR="00DF6DAB" w:rsidRPr="003F1A8C" w:rsidRDefault="00DF6DAB" w:rsidP="003F1A8C">
      <w:pPr>
        <w:spacing w:before="0" w:after="0" w:line="240" w:lineRule="auto"/>
        <w:rPr>
          <w:rFonts w:eastAsia="Calibri Light" w:cstheme="minorHAnsi"/>
          <w:szCs w:val="24"/>
        </w:rPr>
      </w:pPr>
    </w:p>
    <w:p w:rsidR="00DF6DAB" w:rsidRDefault="00DF6DAB" w:rsidP="003F1A8C">
      <w:pPr>
        <w:spacing w:before="0" w:after="0" w:line="240" w:lineRule="auto"/>
        <w:rPr>
          <w:rFonts w:cstheme="minorHAnsi"/>
          <w:szCs w:val="24"/>
        </w:rPr>
      </w:pPr>
    </w:p>
    <w:p w:rsidR="00C76FE8" w:rsidRPr="003F1A8C" w:rsidRDefault="00C76FE8" w:rsidP="003F1A8C">
      <w:pPr>
        <w:spacing w:before="0" w:after="0" w:line="240" w:lineRule="auto"/>
        <w:rPr>
          <w:rFonts w:cstheme="minorHAnsi"/>
          <w:szCs w:val="24"/>
        </w:rPr>
      </w:pPr>
    </w:p>
    <w:p w:rsidR="00DF6DAB" w:rsidRPr="00C76FE8" w:rsidRDefault="00C76FE8" w:rsidP="00C76FE8">
      <w:pPr>
        <w:shd w:val="clear" w:color="auto" w:fill="EE8C69" w:themeFill="accent1" w:themeFillTint="99"/>
        <w:spacing w:before="0" w:after="0" w:line="240" w:lineRule="auto"/>
        <w:jc w:val="center"/>
        <w:rPr>
          <w:rFonts w:cstheme="minorHAnsi"/>
          <w:b/>
          <w:szCs w:val="24"/>
        </w:rPr>
      </w:pPr>
      <w:r w:rsidRPr="00C76FE8">
        <w:rPr>
          <w:rFonts w:cstheme="minorHAnsi"/>
          <w:b/>
          <w:szCs w:val="24"/>
        </w:rPr>
        <w:t>XI IZVJEŠTAJ O RADU UPRAVE ZA IMOVINU</w:t>
      </w:r>
    </w:p>
    <w:p w:rsidR="00C76FE8" w:rsidRPr="00C76FE8" w:rsidRDefault="00C76FE8" w:rsidP="00C76FE8">
      <w:pPr>
        <w:spacing w:before="0" w:after="0" w:line="240" w:lineRule="auto"/>
        <w:rPr>
          <w:rFonts w:ascii="Calibri" w:eastAsia="Times New Roman" w:hAnsi="Calibri" w:cs="Calibri"/>
          <w:szCs w:val="24"/>
          <w:lang w:val="en-US"/>
        </w:rPr>
      </w:pPr>
    </w:p>
    <w:p w:rsidR="00C76FE8" w:rsidRPr="00C76FE8" w:rsidRDefault="00C76FE8" w:rsidP="00C76FE8">
      <w:pPr>
        <w:spacing w:before="0" w:after="0" w:line="240" w:lineRule="auto"/>
        <w:rPr>
          <w:rFonts w:ascii="Calibri" w:eastAsia="Times New Roman" w:hAnsi="Calibri" w:cs="Calibri"/>
          <w:b/>
          <w:szCs w:val="24"/>
          <w:lang w:val="en-US"/>
        </w:rPr>
      </w:pPr>
      <w:r w:rsidRPr="00C76FE8">
        <w:rPr>
          <w:rFonts w:ascii="Calibri" w:eastAsia="Times New Roman" w:hAnsi="Calibri" w:cs="Calibri"/>
          <w:b/>
          <w:szCs w:val="24"/>
          <w:lang w:val="en-US"/>
        </w:rPr>
        <w:t xml:space="preserve">NADLEŽNOST I ORGANIZACIJA RADA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r>
        <w:rPr>
          <w:rFonts w:ascii="Calibri" w:eastAsia="Times New Roman" w:hAnsi="Calibri" w:cs="Calibri"/>
          <w:szCs w:val="24"/>
          <w:lang w:val="en-US"/>
        </w:rPr>
        <w:tab/>
      </w:r>
      <w:r w:rsidRPr="00C76FE8">
        <w:rPr>
          <w:rFonts w:ascii="Calibri" w:eastAsia="Times New Roman" w:hAnsi="Calibri" w:cs="Calibri"/>
          <w:szCs w:val="24"/>
          <w:lang w:val="en-US"/>
        </w:rPr>
        <w:t>Djelokr</w:t>
      </w:r>
      <w:r>
        <w:rPr>
          <w:rFonts w:ascii="Calibri" w:eastAsia="Times New Roman" w:hAnsi="Calibri" w:cs="Calibri"/>
          <w:szCs w:val="24"/>
          <w:lang w:val="en-US"/>
        </w:rPr>
        <w:t>ug rada Uprave za imovinu utvrđ</w:t>
      </w:r>
      <w:r w:rsidRPr="00C76FE8">
        <w:rPr>
          <w:rFonts w:ascii="Calibri" w:eastAsia="Times New Roman" w:hAnsi="Calibri" w:cs="Calibri"/>
          <w:szCs w:val="24"/>
          <w:lang w:val="en-US"/>
        </w:rPr>
        <w:t>en je Uredbom o organizaciji i načinu rada  državne uprave. Poslovi koji se vrš</w:t>
      </w:r>
      <w:r>
        <w:rPr>
          <w:rFonts w:ascii="Calibri" w:eastAsia="Times New Roman" w:hAnsi="Calibri" w:cs="Calibri"/>
          <w:szCs w:val="24"/>
          <w:lang w:val="en-US"/>
        </w:rPr>
        <w:t>e  u Upravi  odnose se na : vođ</w:t>
      </w:r>
      <w:r w:rsidRPr="00C76FE8">
        <w:rPr>
          <w:rFonts w:ascii="Calibri" w:eastAsia="Times New Roman" w:hAnsi="Calibri" w:cs="Calibri"/>
          <w:szCs w:val="24"/>
          <w:lang w:val="en-US"/>
        </w:rPr>
        <w:t xml:space="preserve">enje jedinstvene evidencije </w:t>
      </w:r>
      <w:r>
        <w:rPr>
          <w:rFonts w:ascii="Calibri" w:eastAsia="Times New Roman" w:hAnsi="Calibri" w:cs="Calibri"/>
          <w:szCs w:val="24"/>
          <w:lang w:val="en-US"/>
        </w:rPr>
        <w:t>državne imovine u skladu sa međ</w:t>
      </w:r>
      <w:r w:rsidRPr="00C76FE8">
        <w:rPr>
          <w:rFonts w:ascii="Calibri" w:eastAsia="Times New Roman" w:hAnsi="Calibri" w:cs="Calibri"/>
          <w:szCs w:val="24"/>
          <w:lang w:val="en-US"/>
        </w:rPr>
        <w:t>unarodn</w:t>
      </w:r>
      <w:r>
        <w:rPr>
          <w:rFonts w:ascii="Calibri" w:eastAsia="Times New Roman" w:hAnsi="Calibri" w:cs="Calibri"/>
          <w:szCs w:val="24"/>
          <w:lang w:val="en-US"/>
        </w:rPr>
        <w:t>im računovodstvenim standardima; vođ</w:t>
      </w:r>
      <w:r w:rsidRPr="00C76FE8">
        <w:rPr>
          <w:rFonts w:ascii="Calibri" w:eastAsia="Times New Roman" w:hAnsi="Calibri" w:cs="Calibri"/>
          <w:szCs w:val="24"/>
          <w:lang w:val="en-US"/>
        </w:rPr>
        <w:t>enje reg</w:t>
      </w:r>
      <w:r>
        <w:rPr>
          <w:rFonts w:ascii="Calibri" w:eastAsia="Times New Roman" w:hAnsi="Calibri" w:cs="Calibri"/>
          <w:szCs w:val="24"/>
          <w:lang w:val="en-US"/>
        </w:rPr>
        <w:t>istra državne imovine; staranje</w:t>
      </w:r>
      <w:r w:rsidRPr="00C76FE8">
        <w:rPr>
          <w:rFonts w:ascii="Calibri" w:eastAsia="Times New Roman" w:hAnsi="Calibri" w:cs="Calibri"/>
          <w:szCs w:val="24"/>
          <w:lang w:val="en-US"/>
        </w:rPr>
        <w:t xml:space="preserve"> o namjenskom korišćenju državne imovine; brigu o imovini koja po sili zakona postaje državna imovina upravljanje oduzetom imovinskom koristi koje obuhvata:izvršenje privremenih mjera obezbjeđenja, u skladu sa zakonom kojim se uređuje oduzimanje imovinske koristi stečene kriminalnom djelatnošću, odnosno zakonom kojim se uređuje krivični postupak; izvršavanje odluka o privremenom oduzimanju pokretne imovine i trajnom oduzimanju imovinske koristi stečene  kriminalnom djelatnošću; izvršavanje odluka o oduzimanju imovinske koristi pribavljene krivičnim djelom, predmeta krivičnog djela i predmeta privremeno oduzetih u krivičnom i prekršajnom postupku i odluke o imovini datoj na ime jemstva; procjenu vrijednosti oduzete imovinske koristi za potrebe upravljanja imovinskom koristi, davanje u zakup oduzete imovinske koristi ili povjeravanje na upravljanje, u skladu sa zakonom kojim se utvrđuje oduzimanje imovinske koristi stečene kriminalnom djelatnošću, davanje oduzete imovinske koristi na korišćenje bez naknade; čuvanje, skladištenje, prodaju i povraćaj oduzete imovinske koristi; deponovanje oduzetih novčanih sredstava i sredstava dobijenih od prodaje oduzete imovinske koristi, u skladu sa zakonom;uništavanje oduzete imovinske koristi u skladu sa zakonom; vođenje evidencije o oduzetoj imovinskoj koristi i sudskim postupcima u kojima je oduzeta, kao i o privremenim mjerama </w:t>
      </w:r>
      <w:r w:rsidRPr="00C76FE8">
        <w:rPr>
          <w:rFonts w:ascii="Calibri" w:eastAsia="Times New Roman" w:hAnsi="Calibri" w:cs="Calibri"/>
          <w:szCs w:val="24"/>
          <w:lang w:val="en-US"/>
        </w:rPr>
        <w:lastRenderedPageBreak/>
        <w:t>obezbjeđenja; investiciono i tekuće održavanje zgrada državnih organa, reprezentativnih objekata državnih organa, i  diplomatsko konzularnih predstavništava Crne Gore u inostranstvu;</w:t>
      </w:r>
      <w:r>
        <w:rPr>
          <w:rFonts w:ascii="Calibri" w:eastAsia="Times New Roman" w:hAnsi="Calibri" w:cs="Calibri"/>
          <w:szCs w:val="24"/>
          <w:lang w:val="en-US"/>
        </w:rPr>
        <w:t xml:space="preserve"> </w:t>
      </w:r>
      <w:r w:rsidRPr="00C76FE8">
        <w:rPr>
          <w:rFonts w:ascii="Calibri" w:eastAsia="Times New Roman" w:hAnsi="Calibri" w:cs="Calibri"/>
          <w:szCs w:val="24"/>
          <w:lang w:val="en-US"/>
        </w:rPr>
        <w:t xml:space="preserve">organizaciju i finansiranje izgradnje, rekonstrukcije, modernizacije i održavanje  objekata koji su potrebni za nesmetano i bezbjedno odvijanje saobraćaja i za vršenje granične kontrole i drugih graničnih poslova; davanje u zakup zemljišta i objekata ili djelova objekata na graničnim prelazima; podnošenje zahtjeva i praćenje poslova upisa u katastar koji se odnose na parcelaciju, razgraničenje i  razmjenu državne imovine, pripremanje nacrta ugovora i praćenje njihove realizacije; vršenje naplate zakupa; obezbjedjivanje uslova za zaštitu imovine;usaglašavanje podataka iz svoje evidencije sa podacima iz katastra nepokretnosti; popis imovine bivših društveno političkih organizacija i obezbjeđivanje njenog upisa u katastar nepokretnosti; staranje o upisu imovine u svojini Crne Gore u katastar nepokretnosti; vođenje evidencije zaključenih ugovora o sticanju i raspolaganju nepokretnim i pokretnim stvarima i drugim dobrima veće vrijednosti u državnoj imovini; dostavljanje izvještaja organu državne uprave nadležnom za poslove finansija u elektronskoj formi u rokovima predviđenim zakonom; vrši pomoćne poslove neophodne za funkcionisanje i rad državnih organa,  kao i druge poslove koji su joj odredjeni u nadležnost.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r>
        <w:rPr>
          <w:rFonts w:ascii="Calibri" w:eastAsia="Times New Roman" w:hAnsi="Calibri" w:cs="Calibri"/>
          <w:szCs w:val="24"/>
          <w:lang w:val="en-US"/>
        </w:rPr>
        <w:tab/>
      </w:r>
      <w:r w:rsidRPr="00C76FE8">
        <w:rPr>
          <w:rFonts w:ascii="Calibri" w:eastAsia="Times New Roman" w:hAnsi="Calibri" w:cs="Calibri"/>
          <w:szCs w:val="24"/>
          <w:lang w:val="en-US"/>
        </w:rPr>
        <w:t xml:space="preserve">U  Upravi   poslovi se organizuju u okviru tri Sektora, tri Službe i jednog Odjeljenja: Sektor za vođenje Registra nepokretnosti evidenciju pokretnih stvari i poslova za pripremu podataka za uknjižbu državne imovine u okviru kog su Odsjek za vođenje Registra nepokretnosti, Odsjek za pripremu podataka za uknjižbu državne imvine, Sektor za upravljanje i zaštitu državne imovine u okviru kog su Odsjek za korišćenje i upravljanje državnom imovinom i Odsjek za investiciono i tekuće održavanje državne imovine, Sektor za upravljanje oduzetom imovinom u okviru kojeg su  Odsjeku za izvršavanje odluka o privremenim mjerama obezbjeđenja i upravljanje nad nepokretnom imovinom i Odsjek za izvršavanje odluka i upravljanje privremeno oduzetom pokretnom  imovinom stečenom kriminalnom djelatnošću. Takođje tri službe -Služba za javne nabavke, Služba za vršenje pomoćnih poslova neophodnih za funkcionisanje i rad državnih organa u okvuru koje funkcioniše Biro za ugostiteljstvo i Biro za higijenu, Služba za opšte i kadrovske poslove i Služba za finansiranje i računovodstvene poslove, kao i Odjeljenje za unutrašnju reviziju.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C76FE8">
      <w:pPr>
        <w:spacing w:before="0" w:after="0" w:line="240" w:lineRule="auto"/>
        <w:rPr>
          <w:rFonts w:ascii="Calibri" w:eastAsia="Times New Roman" w:hAnsi="Calibri" w:cs="Calibri"/>
          <w:szCs w:val="24"/>
          <w:lang w:val="en-US"/>
        </w:rPr>
      </w:pPr>
      <w:r w:rsidRPr="00D348A9">
        <w:rPr>
          <w:rFonts w:ascii="Calibri" w:eastAsia="Times New Roman" w:hAnsi="Calibri" w:cs="Calibri"/>
          <w:b/>
          <w:szCs w:val="24"/>
          <w:lang w:val="en-US"/>
        </w:rPr>
        <w:t>1.</w:t>
      </w:r>
      <w:r w:rsidRPr="00C76FE8">
        <w:rPr>
          <w:rFonts w:ascii="Calibri" w:eastAsia="Times New Roman" w:hAnsi="Calibri" w:cs="Calibri"/>
          <w:szCs w:val="24"/>
          <w:lang w:val="en-US"/>
        </w:rPr>
        <w:t xml:space="preserve"> </w:t>
      </w:r>
      <w:r w:rsidRPr="00D348A9">
        <w:rPr>
          <w:rFonts w:ascii="Calibri" w:eastAsia="Times New Roman" w:hAnsi="Calibri" w:cs="Calibri"/>
          <w:b/>
          <w:szCs w:val="24"/>
          <w:lang w:val="en-US"/>
        </w:rPr>
        <w:t>Sektor za vođenje Registra nepokretnosti, evidenciju pokretnih stvari i poslove za pripremu podataka za uknjižbu državne imovine</w:t>
      </w:r>
      <w:r w:rsidRPr="00C76FE8">
        <w:rPr>
          <w:rFonts w:ascii="Calibri" w:eastAsia="Times New Roman" w:hAnsi="Calibri" w:cs="Calibri"/>
          <w:szCs w:val="24"/>
          <w:lang w:val="en-US"/>
        </w:rPr>
        <w:t xml:space="preserv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r>
        <w:rPr>
          <w:rFonts w:ascii="Calibri" w:eastAsia="Times New Roman" w:hAnsi="Calibri" w:cs="Calibri"/>
          <w:szCs w:val="24"/>
          <w:lang w:val="en-US"/>
        </w:rPr>
        <w:tab/>
      </w:r>
      <w:r w:rsidRPr="00C76FE8">
        <w:rPr>
          <w:rFonts w:ascii="Calibri" w:eastAsia="Times New Roman" w:hAnsi="Calibri" w:cs="Calibri"/>
          <w:szCs w:val="24"/>
          <w:lang w:val="en-US"/>
        </w:rPr>
        <w:t>U Sektoru za</w:t>
      </w:r>
      <w:r>
        <w:rPr>
          <w:rFonts w:ascii="Calibri" w:eastAsia="Times New Roman" w:hAnsi="Calibri" w:cs="Calibri"/>
          <w:szCs w:val="24"/>
          <w:lang w:val="en-US"/>
        </w:rPr>
        <w:t xml:space="preserve"> vođenje Registra nepokretnosti</w:t>
      </w:r>
      <w:r w:rsidRPr="00C76FE8">
        <w:rPr>
          <w:rFonts w:ascii="Calibri" w:eastAsia="Times New Roman" w:hAnsi="Calibri" w:cs="Calibri"/>
          <w:szCs w:val="24"/>
          <w:lang w:val="en-US"/>
        </w:rPr>
        <w:t xml:space="preserve">, evidenciju pokretnih stvari i poslove za pripremu podataka za uknjižbu državne imovine vrše se poslovi koji se odnose na: vođenje jedinstvene evidencije državne imovine u skladu sa međunarodnim računovodstvenim standardima; vođenje Registra nepokretnosti u državnoj imovini; vođenje evidencije imovine koja po sili zakona postaje državna imovina;podnošenje zahtjeva i praćenje poslova upisa u katastar koji se odnose na parcelaciju, razgraničenje, razmjenu,obavljanje i drugih poslova u vezi sa evidencijom državne imovine; usaglašavanje podataka iz svoje evidencije sa podacima iz katastra nepokretnosti; popis imovine bivših društveno političkih organizacija i obezbjeđivanje njenog upisa u katastar nepokretnosti; staranje o upisu imovine u svojini Crne Gore u katastar nepokretnosti, priprema podataka o stanju i kretanju sredstava u državnoj svojini kroz ažuriranje podataka iz evidencije dobijenih od strane korisnika sredstava u državnoj svojini koje su stečene po sili zakona, dostavljanje izvještaja organu državne uprave nadležnom za poslove finansija u elektronskoj formi u rokovima predviđenim zakonom; održavanje jedinstvene evidencije nepokretnosti i zbirne evidencije pokretnih stvari , analiza podataka , otklanjanje uočenih nepravilnosti, pružanje stručne pomoći korisnicima u pogledu vođenja evidencije, izrada analiza elaborata i izvještaja   kao i drugi poslovi u vezi sa djelatnostima Sektora.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Default="00C76FE8" w:rsidP="00C76FE8">
      <w:pPr>
        <w:spacing w:before="0" w:after="0" w:line="240" w:lineRule="auto"/>
        <w:rPr>
          <w:rFonts w:ascii="Calibri" w:eastAsia="Arial" w:hAnsi="Calibri" w:cs="Calibri"/>
          <w:szCs w:val="24"/>
          <w:lang w:val="en-US"/>
        </w:rPr>
      </w:pPr>
      <w:r w:rsidRPr="00C76FE8">
        <w:rPr>
          <w:rFonts w:ascii="Calibri" w:eastAsia="Times New Roman" w:hAnsi="Calibri" w:cs="Calibri"/>
          <w:szCs w:val="24"/>
          <w:lang w:val="en-US"/>
        </w:rPr>
        <w:t>1.1</w:t>
      </w:r>
      <w:r w:rsidRPr="00C76FE8">
        <w:rPr>
          <w:rFonts w:ascii="Calibri" w:eastAsia="Arial" w:hAnsi="Calibri" w:cs="Calibri"/>
          <w:szCs w:val="24"/>
          <w:lang w:val="en-US"/>
        </w:rPr>
        <w:t xml:space="preserve"> </w:t>
      </w:r>
      <w:r>
        <w:rPr>
          <w:rFonts w:ascii="Calibri" w:eastAsia="Times New Roman" w:hAnsi="Calibri" w:cs="Calibri"/>
          <w:szCs w:val="24"/>
          <w:lang w:val="en-US"/>
        </w:rPr>
        <w:t>Odsjek</w:t>
      </w:r>
      <w:r w:rsidRPr="00C76FE8">
        <w:rPr>
          <w:rFonts w:ascii="Calibri" w:eastAsia="Times New Roman" w:hAnsi="Calibri" w:cs="Calibri"/>
          <w:szCs w:val="24"/>
          <w:lang w:val="en-US"/>
        </w:rPr>
        <w:t xml:space="preserve"> za  vođenje Registra nepokretnosti i evidencije pokretnih stvari</w:t>
      </w:r>
    </w:p>
    <w:p w:rsidR="00C76FE8" w:rsidRPr="00C76FE8" w:rsidRDefault="00C76FE8" w:rsidP="00C76FE8">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lastRenderedPageBreak/>
        <w:t xml:space="preserve">U Odsjeku za  vođenje Registra nepokretnosti i evidencije pokretnih stvari   vrše se poslovi koji se odnose na: vođenje jedinstvene evidencije državne imovine u skladu sa međunarodnim računovodstvenim standardima; vođenje Registra nepokretnosti u državnoj imovini; vođenje evidencije imovine koja po sili zakona postaje državna imovina; priprema podataka o stanju i kretanju sredstava u državnoj svojini kroz ažuriranje podataka iz evidencije dobijenih od strane korisnika sredstava u državnoj svojini, dostavljanje izvještaja organu državne uprave nadležnom za poslove finansija u elektronskoj formi u rokovima predviđenim zakonom; održavanje jedinstvene evidencije nepokretnosti i zbirne evidencije pokretnih stvari , analiza podataka , otklanjanje uočenih nepravilnosti, pružanje stručne pomoći korisnicima u pogledu vođenja evidencije, izrada analiza elaborata i izvještaja, usaglašavanje podataka iz  Registra nepokretnosti sa podacima i pratećom dokumentacijom koju su dužni da obezbijede i dostave organi u čijoj su nadležnosti ove nepokretnosti.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D348A9">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U prethodnom izvještajnom periodu, u ovom Sektoru su vršene sledeće aktivnosti:  </w:t>
      </w:r>
    </w:p>
    <w:p w:rsidR="00C76FE8" w:rsidRPr="00C76FE8" w:rsidRDefault="00D348A9"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 </w:t>
      </w:r>
      <w:r w:rsidR="00C76FE8" w:rsidRPr="00C76FE8">
        <w:rPr>
          <w:rFonts w:ascii="Calibri" w:eastAsia="Times New Roman" w:hAnsi="Calibri" w:cs="Calibri"/>
          <w:szCs w:val="24"/>
          <w:lang w:val="en-US"/>
        </w:rPr>
        <w:t xml:space="preserve">Implementatori ARS aplikacije izvšili su unos indirektnih budžetskih korisnika, Opština i njihovih organa u ARS – u, tj. u jedinstvenom registru državne imovine; </w:t>
      </w:r>
    </w:p>
    <w:p w:rsidR="00C76FE8" w:rsidRPr="00C76FE8" w:rsidRDefault="00D348A9"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 </w:t>
      </w:r>
      <w:r w:rsidR="00C76FE8" w:rsidRPr="00C76FE8">
        <w:rPr>
          <w:rFonts w:ascii="Calibri" w:eastAsia="Times New Roman" w:hAnsi="Calibri" w:cs="Calibri"/>
          <w:szCs w:val="24"/>
          <w:lang w:val="en-US"/>
        </w:rPr>
        <w:t xml:space="preserve">Određene su vrijednosti za polja potrebna za evidentiranje indirektnih budžetskih korisnika (funkcionalna oblast, potrošačka jedinica); </w:t>
      </w:r>
    </w:p>
    <w:p w:rsidR="00C76FE8" w:rsidRPr="00C76FE8" w:rsidRDefault="00D348A9"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 </w:t>
      </w:r>
      <w:r w:rsidR="00C76FE8" w:rsidRPr="00C76FE8">
        <w:rPr>
          <w:rFonts w:ascii="Calibri" w:eastAsia="Times New Roman" w:hAnsi="Calibri" w:cs="Calibri"/>
          <w:szCs w:val="24"/>
          <w:lang w:val="en-US"/>
        </w:rPr>
        <w:t xml:space="preserve">Određene su vrijednosti za polja potrebna za evidentiranje Opština i opštinskih organa (funkcionalna oblast, potrošačka jedinica); </w:t>
      </w:r>
    </w:p>
    <w:p w:rsidR="00C76FE8" w:rsidRPr="00C76FE8" w:rsidRDefault="00D348A9"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 </w:t>
      </w:r>
      <w:r w:rsidR="00C76FE8" w:rsidRPr="00C76FE8">
        <w:rPr>
          <w:rFonts w:ascii="Calibri" w:eastAsia="Times New Roman" w:hAnsi="Calibri" w:cs="Calibri"/>
          <w:szCs w:val="24"/>
          <w:lang w:val="en-US"/>
        </w:rPr>
        <w:t xml:space="preserve">Unapređenje ARS-a po dvije specifikacije je završeno. Zaposleni Sektora za vođenje registra nepokretnosti, evidenciju pokretnih stvari i poslove za pripremu podataka za uknjižbu državne imovine su izvršili testiranje i konstatovano je da su unapređenja funkcionalna. </w:t>
      </w:r>
    </w:p>
    <w:p w:rsidR="00C76FE8" w:rsidRPr="00C76FE8" w:rsidRDefault="00D348A9"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 </w:t>
      </w:r>
      <w:r w:rsidR="00C76FE8" w:rsidRPr="00C76FE8">
        <w:rPr>
          <w:rFonts w:ascii="Calibri" w:eastAsia="Times New Roman" w:hAnsi="Calibri" w:cs="Calibri"/>
          <w:szCs w:val="24"/>
          <w:lang w:val="en-US"/>
        </w:rPr>
        <w:t xml:space="preserve">ARS aplikacija - registar državne imovine je dopunjena i oblikovana za potrebe migracije podataka iz Uprave za nekretnine. Stekli su se uslovi da se podaci iz softvera Uprave za nekretnine migriraju u ARS aplikaciju. Očekuje se migracija podataka u prvom kvartalu 2021. godine. </w:t>
      </w:r>
    </w:p>
    <w:p w:rsidR="00C76FE8" w:rsidRPr="00C76FE8" w:rsidRDefault="00D348A9"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 </w:t>
      </w:r>
      <w:r w:rsidR="00C76FE8" w:rsidRPr="00C76FE8">
        <w:rPr>
          <w:rFonts w:ascii="Calibri" w:eastAsia="Times New Roman" w:hAnsi="Calibri" w:cs="Calibri"/>
          <w:szCs w:val="24"/>
          <w:lang w:val="en-US"/>
        </w:rPr>
        <w:t xml:space="preserve">Testirana je funkcija Popisne liste u testnoj verziji Ars-a; </w:t>
      </w:r>
    </w:p>
    <w:p w:rsidR="00C76FE8" w:rsidRPr="00C76FE8" w:rsidRDefault="00D348A9"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 </w:t>
      </w:r>
      <w:r w:rsidR="00C76FE8" w:rsidRPr="00C76FE8">
        <w:rPr>
          <w:rFonts w:ascii="Calibri" w:eastAsia="Times New Roman" w:hAnsi="Calibri" w:cs="Calibri"/>
          <w:szCs w:val="24"/>
          <w:lang w:val="en-US"/>
        </w:rPr>
        <w:t xml:space="preserve">Državni organi kojih ima 99 su dostavili tabele, koje su testirane, filtrirane i spremne za migraciju u ARS aplikaciju. </w:t>
      </w:r>
    </w:p>
    <w:p w:rsidR="00C76FE8" w:rsidRPr="00C76FE8" w:rsidRDefault="00D348A9"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 </w:t>
      </w:r>
      <w:r w:rsidR="00C76FE8" w:rsidRPr="00C76FE8">
        <w:rPr>
          <w:rFonts w:ascii="Calibri" w:eastAsia="Times New Roman" w:hAnsi="Calibri" w:cs="Calibri"/>
          <w:szCs w:val="24"/>
          <w:lang w:val="en-US"/>
        </w:rPr>
        <w:t xml:space="preserve">Indirektni budžetski korisnici i Opštine su bili  po planu  obuka  od marta 2020. ali zbog situacije sa </w:t>
      </w:r>
      <w:r>
        <w:rPr>
          <w:rFonts w:ascii="Calibri" w:eastAsia="Times New Roman" w:hAnsi="Calibri" w:cs="Calibri"/>
          <w:szCs w:val="24"/>
          <w:lang w:val="en-US"/>
        </w:rPr>
        <w:t xml:space="preserve"> </w:t>
      </w:r>
      <w:r w:rsidR="00C76FE8" w:rsidRPr="00C76FE8">
        <w:rPr>
          <w:rFonts w:ascii="Calibri" w:eastAsia="Times New Roman" w:hAnsi="Calibri" w:cs="Calibri"/>
          <w:szCs w:val="24"/>
          <w:lang w:val="en-US"/>
        </w:rPr>
        <w:t xml:space="preserve">Covid pandemijom su odložene i počele su 23.06.2020. Obukama su prisustvovali indirektni budžetski korisnici sa teritorije Opštine Podgorica. </w:t>
      </w:r>
    </w:p>
    <w:p w:rsidR="00C76FE8" w:rsidRPr="00C76FE8" w:rsidRDefault="00C76FE8" w:rsidP="00D348A9">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Migraciju podataka putem Excel tabele na testnu verziju ARS aplikacije, Sektor za vođenje Registra nepokretnosti, evidenciju pokretnih stvari i poslove za pripremu podataka za uknjižbu državne imovine, vrši samo jednom, čime se evidentira imovina do datuma migracije podataka o imovini. Nakon ove migracije krajnji korisnici će koristiti ARS aplikaciju za svako novonabavljeno sredstvo, kao novi način vođenja jedinstvene evidencije državne imovine. Godina 2020. je planirana kao testna godina u kojoj smo, u saradnji sa korisnicima, dorađivali i implementirali polja u ARS aplikaciji. Planirani prelazak sa testnog okruženja na produkciju je u toku 2021. godine.           </w:t>
      </w:r>
    </w:p>
    <w:p w:rsidR="00C76FE8" w:rsidRPr="00C76FE8" w:rsidRDefault="00D348A9"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w:t>
      </w:r>
      <w:r>
        <w:rPr>
          <w:rFonts w:ascii="Calibri" w:eastAsia="Times New Roman" w:hAnsi="Calibri" w:cs="Calibri"/>
          <w:szCs w:val="24"/>
          <w:lang w:val="en-US"/>
        </w:rPr>
        <w:tab/>
      </w:r>
      <w:r w:rsidR="00C76FE8" w:rsidRPr="00C76FE8">
        <w:rPr>
          <w:rFonts w:ascii="Calibri" w:eastAsia="Times New Roman" w:hAnsi="Calibri" w:cs="Calibri"/>
          <w:szCs w:val="24"/>
          <w:lang w:val="en-US"/>
        </w:rPr>
        <w:t>Uprava za imovinu odnosno odsjek za vođenje Registra nepokretnosti i evidenciju pokretnih stvari je riješila probleme koji su nastali u situaciji izazvanoj pandemijom Covid – 19 na sljedeći način: -</w:t>
      </w:r>
      <w:r w:rsidR="00C76FE8" w:rsidRPr="00C76FE8">
        <w:rPr>
          <w:rFonts w:ascii="Calibri" w:eastAsia="Arial" w:hAnsi="Calibri" w:cs="Calibri"/>
          <w:szCs w:val="24"/>
          <w:lang w:val="en-US"/>
        </w:rPr>
        <w:t xml:space="preserve"> </w:t>
      </w:r>
      <w:r w:rsidR="00C76FE8" w:rsidRPr="00C76FE8">
        <w:rPr>
          <w:rFonts w:ascii="Calibri" w:eastAsia="Times New Roman" w:hAnsi="Calibri" w:cs="Calibri"/>
          <w:szCs w:val="24"/>
          <w:lang w:val="en-US"/>
        </w:rPr>
        <w:t xml:space="preserve">Video prezentacija obuka za rad na web aplikaciji ARS (Asset Registry System) je snimljena. Link video obuka je dostavljen svim budućim korisnicima, kako bi obuke bile sprovedene u cjelosti a u cilju prevazilaženja prepreka koje su nastale zbog situacije sa virusom Covid 19. Obuke za indirektne budžetske korisnike koje su počele u junu 2020 – te godine su prekinute, zbog preporuka NKT ali su sprovedene do kraja preko linka. U daljem radu implementacije podataka o državnoj imovini u jedinstvenu bazu podataka ARS, očekujemo punu saradnju i učestvovanje organa koji će se naći u evidenciji. </w:t>
      </w:r>
    </w:p>
    <w:p w:rsidR="00C76FE8" w:rsidRPr="00C76FE8" w:rsidRDefault="00C76FE8" w:rsidP="00D348A9">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lastRenderedPageBreak/>
        <w:t xml:space="preserve">Odsjek za vođenje Registra nepokretnosti i evidenciju pokretnih stvari je Excel migracione tabele od organa koji su dostavili tabele testirao, filtrirao i probno migrirao u ARS – u. </w:t>
      </w:r>
    </w:p>
    <w:p w:rsidR="00C76FE8" w:rsidRPr="00C76FE8" w:rsidRDefault="00C76FE8" w:rsidP="00D348A9">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U zadnjem kvartalu 2020. godine su poslati mailovi obavještenja svim korisnicima (javnim službama, lokalnoj samoupravi i organima Opštine) kojima su otvoreni nalozi za korišćenje ARS aplikacije, koji nisu mogli da prisustvuju obukama zbog situacije izazvane virusom Covid – 19 sa linkom video prezentacije obuke, uputstvom za korišćenjem ARS aplikacije i Excel migracione tabele. Isti su bili u obavezi da nam dostave Excel migracione tabele do kraja 2020. godine. </w:t>
      </w:r>
    </w:p>
    <w:p w:rsidR="00C76FE8" w:rsidRPr="00C76FE8" w:rsidRDefault="00D348A9"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w:t>
      </w:r>
      <w:r>
        <w:rPr>
          <w:rFonts w:ascii="Calibri" w:eastAsia="Times New Roman" w:hAnsi="Calibri" w:cs="Calibri"/>
          <w:szCs w:val="24"/>
          <w:lang w:val="en-US"/>
        </w:rPr>
        <w:tab/>
      </w:r>
      <w:r w:rsidR="00C76FE8" w:rsidRPr="00C76FE8">
        <w:rPr>
          <w:rFonts w:ascii="Calibri" w:eastAsia="Times New Roman" w:hAnsi="Calibri" w:cs="Calibri"/>
          <w:szCs w:val="24"/>
          <w:lang w:val="en-US"/>
        </w:rPr>
        <w:t xml:space="preserve">Nakon završenih obuka, biće prikupljene i migrirane na produkciju sve tabele korisnika, nakon čega slijedi i krajnje puštanje ARS aplikacije registra imovine u produktivni rad.  </w:t>
      </w:r>
    </w:p>
    <w:p w:rsidR="00C76FE8" w:rsidRPr="00C76FE8" w:rsidRDefault="00C76FE8" w:rsidP="00D348A9">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Očekivanja su nam bila da će projekat u potpunosti biti realizovan do kraja 2020 - te godine i pušten u produktivan rad u toku 2021 - te godine. Bilo bi nezahvalno u ovoj situaciji Covid pandemije određivati datume završetka projekta. </w:t>
      </w:r>
    </w:p>
    <w:p w:rsidR="00C76FE8" w:rsidRPr="00C76FE8" w:rsidRDefault="00C76FE8" w:rsidP="00D348A9">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Posao i izazovi koji nas očekuju u daljem radu, implementacije podataka o državnoj imovini u jedinstvenu bazu podataka ARS, u potpunosti zavise od organa koji će se naći u evidenciji, pa time očekujemo njihovu punu saradnju i učestvovanje sa predlozima i sugestijama. </w:t>
      </w:r>
    </w:p>
    <w:p w:rsidR="00C76FE8" w:rsidRPr="00C76FE8" w:rsidRDefault="00D348A9"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w:t>
      </w:r>
    </w:p>
    <w:p w:rsidR="00C76FE8" w:rsidRPr="00D348A9" w:rsidRDefault="00C76FE8" w:rsidP="00C76FE8">
      <w:pPr>
        <w:spacing w:before="0" w:after="0" w:line="240" w:lineRule="auto"/>
        <w:rPr>
          <w:rFonts w:ascii="Calibri" w:eastAsia="Times New Roman" w:hAnsi="Calibri" w:cs="Calibri"/>
          <w:szCs w:val="24"/>
          <w:lang w:val="en-US"/>
        </w:rPr>
      </w:pPr>
      <w:r w:rsidRPr="00D348A9">
        <w:rPr>
          <w:rFonts w:ascii="Calibri" w:eastAsia="Times New Roman" w:hAnsi="Calibri" w:cs="Calibri"/>
          <w:szCs w:val="24"/>
          <w:lang w:val="en-US"/>
        </w:rPr>
        <w:t>1.2.Odsjek za pripremu podataka za uknjižbu državne im</w:t>
      </w:r>
      <w:r w:rsidR="00D348A9">
        <w:rPr>
          <w:rFonts w:ascii="Calibri" w:eastAsia="Times New Roman" w:hAnsi="Calibri" w:cs="Calibri"/>
          <w:szCs w:val="24"/>
          <w:lang w:val="en-US"/>
        </w:rPr>
        <w:t>o</w:t>
      </w:r>
      <w:r w:rsidRPr="00D348A9">
        <w:rPr>
          <w:rFonts w:ascii="Calibri" w:eastAsia="Times New Roman" w:hAnsi="Calibri" w:cs="Calibri"/>
          <w:szCs w:val="24"/>
          <w:lang w:val="en-US"/>
        </w:rPr>
        <w:t xml:space="preserve">vine   </w:t>
      </w:r>
    </w:p>
    <w:p w:rsidR="00C76FE8" w:rsidRPr="00C76FE8" w:rsidRDefault="00C76FE8" w:rsidP="00D348A9">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U Odsjeku za pripremu podataka za uknjižbu državne imovine vrše se poslovi koji se odnose na: podnošenje zahtjeva i praćenje poslova upisa u katastar koji se odnose na parcelaciju, razgraničenje, razmjenu,obavljanje i drugih poslova u vezi sa evidencijom državne imovine; usaglašavanje podataka iz svoje evidencije sa podacima iz katastra nepokretnosti; popis imovine bivših društveno političkih organizacija i obezbjeđivanje njenog upisa u katastar nepokretnosti; staranje o upisu imovine u svojini Crne Gore u katastar nepokretnosti, priprema podataka o stanju i kretanju sredstava u državnoj svojini kroz ažuriranje podataka iz evidencije dobijenih od strane korisnika sredstava u državnoj svojini koje su stečene po sili zakona. </w:t>
      </w:r>
    </w:p>
    <w:p w:rsidR="00C76FE8" w:rsidRPr="00C76FE8" w:rsidRDefault="00D348A9"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w:t>
      </w:r>
      <w:r>
        <w:rPr>
          <w:rFonts w:ascii="Calibri" w:eastAsia="Times New Roman" w:hAnsi="Calibri" w:cs="Calibri"/>
          <w:szCs w:val="24"/>
          <w:lang w:val="en-US"/>
        </w:rPr>
        <w:tab/>
      </w:r>
      <w:r w:rsidR="00C76FE8" w:rsidRPr="00C76FE8">
        <w:rPr>
          <w:rFonts w:ascii="Calibri" w:eastAsia="Times New Roman" w:hAnsi="Calibri" w:cs="Calibri"/>
          <w:szCs w:val="24"/>
          <w:lang w:val="en-US"/>
        </w:rPr>
        <w:t>U periodu od 01.01. do 31.12.2020 godine u ovom Odsjeku su obavljeni sl</w:t>
      </w:r>
      <w:r w:rsidR="00DF4520">
        <w:rPr>
          <w:rFonts w:ascii="Calibri" w:eastAsia="Times New Roman" w:hAnsi="Calibri" w:cs="Calibri"/>
          <w:szCs w:val="24"/>
          <w:lang w:val="en-US"/>
        </w:rPr>
        <w:t>j</w:t>
      </w:r>
      <w:r w:rsidR="00C76FE8" w:rsidRPr="00C76FE8">
        <w:rPr>
          <w:rFonts w:ascii="Calibri" w:eastAsia="Times New Roman" w:hAnsi="Calibri" w:cs="Calibri"/>
          <w:szCs w:val="24"/>
          <w:lang w:val="en-US"/>
        </w:rPr>
        <w:t xml:space="preserve">edeći poslovi: </w:t>
      </w:r>
    </w:p>
    <w:p w:rsidR="00C76FE8" w:rsidRPr="00C76FE8" w:rsidRDefault="00D348A9"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w:t>
      </w:r>
      <w:r>
        <w:rPr>
          <w:rFonts w:ascii="Calibri" w:eastAsia="Times New Roman" w:hAnsi="Calibri" w:cs="Calibri"/>
          <w:szCs w:val="24"/>
          <w:lang w:val="en-US"/>
        </w:rPr>
        <w:tab/>
      </w:r>
      <w:r w:rsidR="00C76FE8" w:rsidRPr="00C76FE8">
        <w:rPr>
          <w:rFonts w:ascii="Calibri" w:eastAsia="Times New Roman" w:hAnsi="Calibri" w:cs="Calibri"/>
          <w:szCs w:val="24"/>
          <w:lang w:val="en-US"/>
        </w:rPr>
        <w:t>U skladu sa Zaključkom Vlade Crne Gore i ovlašćenjem prenešenim na drugo lice u septembru 2020.</w:t>
      </w:r>
      <w:r>
        <w:rPr>
          <w:rFonts w:ascii="Calibri" w:eastAsia="Times New Roman" w:hAnsi="Calibri" w:cs="Calibri"/>
          <w:szCs w:val="24"/>
          <w:lang w:val="en-US"/>
        </w:rPr>
        <w:t xml:space="preserve"> </w:t>
      </w:r>
      <w:r w:rsidR="00C76FE8" w:rsidRPr="00C76FE8">
        <w:rPr>
          <w:rFonts w:ascii="Calibri" w:eastAsia="Times New Roman" w:hAnsi="Calibri" w:cs="Calibri"/>
          <w:szCs w:val="24"/>
          <w:lang w:val="en-US"/>
        </w:rPr>
        <w:t>godine, shodno odlukama/rješenjima  o dodjeli stanova,  pred nadležnim notarom u periodu 2020.</w:t>
      </w:r>
      <w:r>
        <w:rPr>
          <w:rFonts w:ascii="Calibri" w:eastAsia="Times New Roman" w:hAnsi="Calibri" w:cs="Calibri"/>
          <w:szCs w:val="24"/>
          <w:lang w:val="en-US"/>
        </w:rPr>
        <w:t xml:space="preserve"> </w:t>
      </w:r>
      <w:r w:rsidR="00C76FE8" w:rsidRPr="00C76FE8">
        <w:rPr>
          <w:rFonts w:ascii="Calibri" w:eastAsia="Times New Roman" w:hAnsi="Calibri" w:cs="Calibri"/>
          <w:szCs w:val="24"/>
          <w:lang w:val="en-US"/>
        </w:rPr>
        <w:t>godine, završeno je 35 p</w:t>
      </w:r>
      <w:r>
        <w:rPr>
          <w:rFonts w:ascii="Calibri" w:eastAsia="Times New Roman" w:hAnsi="Calibri" w:cs="Calibri"/>
          <w:szCs w:val="24"/>
          <w:lang w:val="en-US"/>
        </w:rPr>
        <w:t>redmeta, odnosno  zaključeno je</w:t>
      </w:r>
      <w:r w:rsidR="00C76FE8" w:rsidRPr="00C76FE8">
        <w:rPr>
          <w:rFonts w:ascii="Calibri" w:eastAsia="Times New Roman" w:hAnsi="Calibri" w:cs="Calibri"/>
          <w:szCs w:val="24"/>
          <w:lang w:val="en-US"/>
        </w:rPr>
        <w:t xml:space="preserve"> 19 (devetnaest) ugovora o kupovini stana pod povoljnijim uslovima, 6 (šest) aneksa ranije zaključenih ugovora radi unošenja katastarskih podataka i otkupa razlike kvadrata i 10 (deset) ugovora ranije dodijeljenih a  neotkupljenih iz razloga neuknjiženja zgrade na</w:t>
      </w:r>
      <w:r>
        <w:rPr>
          <w:rFonts w:ascii="Calibri" w:eastAsia="Times New Roman" w:hAnsi="Calibri" w:cs="Calibri"/>
          <w:szCs w:val="24"/>
          <w:lang w:val="en-US"/>
        </w:rPr>
        <w:t xml:space="preserve"> starom aerodromu. S obzirom na stavljanje van snage ovlašćenja/ punomoćja </w:t>
      </w:r>
      <w:r w:rsidR="00C76FE8" w:rsidRPr="00C76FE8">
        <w:rPr>
          <w:rFonts w:ascii="Calibri" w:eastAsia="Times New Roman" w:hAnsi="Calibri" w:cs="Calibri"/>
          <w:szCs w:val="24"/>
          <w:lang w:val="en-US"/>
        </w:rPr>
        <w:t xml:space="preserve">licima koja su bila ovlašćena za zaključivanje ugovora pred nadležnim notarom datog  od strane direktora Uprave za imovinu, usljed novonastale situacije  spajanja dva organa i prestanka mandata istog, ne mogu se privesti kraju  započete procedure  niti postupiti po  zahtjevima koji pristižu. </w:t>
      </w:r>
    </w:p>
    <w:p w:rsidR="00C76FE8" w:rsidRPr="00C76FE8" w:rsidRDefault="00C76FE8" w:rsidP="00D348A9">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Shodno odlukama/rješenji</w:t>
      </w:r>
      <w:r w:rsidR="00D348A9">
        <w:rPr>
          <w:rFonts w:ascii="Calibri" w:eastAsia="Times New Roman" w:hAnsi="Calibri" w:cs="Calibri"/>
          <w:szCs w:val="24"/>
          <w:lang w:val="en-US"/>
        </w:rPr>
        <w:t xml:space="preserve">ma realizovano je odnosno </w:t>
      </w:r>
      <w:r w:rsidRPr="00C76FE8">
        <w:rPr>
          <w:rFonts w:ascii="Calibri" w:eastAsia="Times New Roman" w:hAnsi="Calibri" w:cs="Calibri"/>
          <w:szCs w:val="24"/>
          <w:lang w:val="en-US"/>
        </w:rPr>
        <w:t xml:space="preserve">zaključeno 41 ugovor o vraćanju kredita  sa korisnicima kredita. </w:t>
      </w:r>
    </w:p>
    <w:p w:rsidR="00C76FE8" w:rsidRPr="00C76FE8" w:rsidRDefault="00C76FE8" w:rsidP="00D348A9">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Uprava je zaključila i prati realizaciju 25 ugovora o razgraničenju triškova shodno Odluci o kriterijumima i uslovima za razgraničenje troškova izmedju Republike i jedinica lokalne samouprave po osnovu korišćenja poslovnog prostora od strane republičkih organa (sl.list RCG“ br. 27/07 od 17.05.2007.godine). </w:t>
      </w:r>
    </w:p>
    <w:p w:rsidR="00C76FE8" w:rsidRDefault="00C76FE8" w:rsidP="00D348A9">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U toku izvještajnog perioda, u Sektoru za vođenje registra nepokretnosti, evidenciju pokretnih i nepokretnih stvari i poslove priprema podataka za ukjnižbu državne imovine – Odsjek za pripremu podataka za uknjižbu državne imovine postupano je po zahtjevima državnih organa, lokalnih samouprava, javnih službi, fizičkih i pravnih lica, pa je po tom osnovu primljeno ukupno 174 predmeta, od čega je realizovano 123 predme</w:t>
      </w:r>
      <w:r w:rsidR="00D348A9">
        <w:rPr>
          <w:rFonts w:ascii="Calibri" w:eastAsia="Times New Roman" w:hAnsi="Calibri" w:cs="Calibri"/>
          <w:szCs w:val="24"/>
          <w:lang w:val="en-US"/>
        </w:rPr>
        <w:t xml:space="preserve">ta, dok je u radu 47 predmeta. </w:t>
      </w:r>
    </w:p>
    <w:p w:rsidR="00D348A9" w:rsidRPr="00C76FE8" w:rsidRDefault="00D348A9" w:rsidP="00D348A9">
      <w:pPr>
        <w:spacing w:before="0" w:after="0" w:line="240" w:lineRule="auto"/>
        <w:ind w:firstLine="709"/>
        <w:rPr>
          <w:rFonts w:ascii="Calibri" w:eastAsia="Times New Roman" w:hAnsi="Calibri" w:cs="Calibri"/>
          <w:szCs w:val="24"/>
          <w:lang w:val="en-US"/>
        </w:rPr>
      </w:pPr>
    </w:p>
    <w:p w:rsidR="00C76FE8" w:rsidRPr="00C76FE8" w:rsidRDefault="00C76FE8" w:rsidP="00C76FE8">
      <w:pPr>
        <w:spacing w:before="0" w:after="0" w:line="240" w:lineRule="auto"/>
        <w:rPr>
          <w:rFonts w:ascii="Calibri" w:eastAsia="Times New Roman" w:hAnsi="Calibri" w:cs="Calibri"/>
          <w:b/>
          <w:szCs w:val="24"/>
          <w:lang w:val="en-US"/>
        </w:rPr>
      </w:pPr>
      <w:r w:rsidRPr="00C76FE8">
        <w:rPr>
          <w:rFonts w:ascii="Calibri" w:eastAsia="Times New Roman" w:hAnsi="Calibri" w:cs="Calibri"/>
          <w:b/>
          <w:szCs w:val="24"/>
          <w:lang w:val="en-US"/>
        </w:rPr>
        <w:t xml:space="preserve">2. Sektor za upravljanje i zaštitu državne imovine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lastRenderedPageBreak/>
        <w:t xml:space="preserve"> </w:t>
      </w:r>
    </w:p>
    <w:p w:rsidR="00C76FE8" w:rsidRPr="00C76FE8" w:rsidRDefault="00C76FE8" w:rsidP="00D348A9">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U Sektoru za upravljanje i zaštitu državne imovine  vrše se poslovi koji se odnose na: upravljanje i zaštitu državne imovine; brigu o imovini koja po sili zakona postaje državna imovina; staranje o namjenskom korišćenju državne imovine; zakonito i ekonomično upravljanje i korišćenje poslovnih prostora evidentiranih kao državna imovina; održavanje službenih stanova evidentiranih kao državna imovina; opremanje službenih stanova; vršenje naplate zakupa; održavanje i opremanje stambenih fondova iz kvote službenih stanova Crne Gore, davanje na korišćenje, zakup, prodaja državne imovine, raspoređivanje i davanje na korišćenje poslovne prostorije, poslove vazane za zakup državne imovine, garaža i garažnih mjesta, davanje u zakup ili otuđenje zemljišta,  izrada tehničkih izvještaja o stanju na zgradama u državnoj svojini, izrada planova poslovnih zgrada i službenih prostorija radi sprovođenja postupka raspoređivanja na korišćenje po zahtjevima državnih organa i organizacija, primopredaju imovine, preuzimanje nepokretnih i pokretnih stvari stečenih naplatom poreskog duga imovinom  poreskih dužnika, postupku stečaja ili po drugom zakonskom osnovu kada imovina po sili zakona postaje državna imovina, davanja u zakup zemljišta i objekata ili djelova objekata na graničnim prelazima, investiciono i tekuće održavanje objekata  državnih organa, reprezentativnih objekata državnih organa i diplomatsko konzularnih predstavništava Crne Gore u inostranstvu;  adaptaciju poslovnih prostora u državnoj svojini Crne Gore kao i objekata za reprezentaciju; organizovanje i ugovaranje izrade investiciono-tekuće dokumentacije za poslove investicija; stručni nadzor nad ugovorenim radovima sa svim pripremnim i završnim radovima tekuće održavanje objekata Crne Gore sa svim instalacijama ( vodovod, kanalizacija, elektro instalacije, građevinsko-zanatski i sl.poslovi); održavanje sistema centralnog grijanja, sistema rashlađivanja, sistema za dojavu požara, PTT uređaja, radioaktivnih gromobrana i sl; ugovaranje i sprovođenje poslova sa privrednim društvima za određene vrste poslova; održavanje zelenih površina; održavanje inventara, preduzimanje i predlaganje upravnih mjera i radnji za koje je Uprava ovlašćena. </w:t>
      </w:r>
    </w:p>
    <w:p w:rsidR="00C76FE8" w:rsidRPr="00C76FE8" w:rsidRDefault="0059217F"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2.1 Odsjek za korišćenje i upravljanje državnom imovinom     </w:t>
      </w:r>
    </w:p>
    <w:p w:rsidR="00C76FE8" w:rsidRPr="00C76FE8" w:rsidRDefault="00C76FE8" w:rsidP="0059217F">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U Odsjeku za korišćenje i upravljanje državnom imovinom vrše se poslovi koji se odnose na: upravljanje i zaštitu državne imovine; brigu o imovini koja po sili zakona postaje državna imovina; staranje o namjenskom korišćenju državne imovine; zakonito i ekonomično upravljanje i korišćenje poslovnih prostora evidentiranih kao državna imovina; održavanje službenih stanova evidentiranih kao državna imovina; opremanje službenih stanova; vršenje naplate zakupa; održavanje i opremanje stambenih fondova iz kvote službenih stanova Crne Gore, davanje na korišćenje, zakup, prodaja državne imovine, raspoređivanje i davanje na korišćenje poslovne prostorije, poslove vazane za zakup državne imovine, garaža i garažnih mjesta, davanje u zakup ili otuđenje zemljišta, , izrada izvještaja o stanju na zgradama u državnoj svojini, izrada planova poslovnih zgrada i službenih prostorija radi sprovođenja postupka raspoređivanja na korišćenje po zahtjevima državnih organa i organizacija, primopredaju imovine, preuzimanje nepokretnih i pokretnih stvari stečenih naplatom poreskog duga imovinom  poreskih dužnika, postupku stečaja ili po drugom zakonskom osnovu kada imovina po sili zakona postaje državna imovina, davanja u zakup zemljišta i objekata ili djelova objekata na graničnim prelazima, preuzimanje nepokretnih i pokretnih stvari stečenih naplatom poreskog duga imovinom  poreskih dužnika, postupku stečaja ili po drugom zakonskom osnovu kada imovina po sili zakona postaje državna imovina, davanja u zakup zemljišta i objekata ili djelova objekata na graničnim prelazima. </w:t>
      </w:r>
    </w:p>
    <w:p w:rsidR="00C76FE8" w:rsidRPr="00C76FE8" w:rsidRDefault="00C76FE8" w:rsidP="00C76FE8">
      <w:pPr>
        <w:spacing w:before="0" w:after="0" w:line="240" w:lineRule="auto"/>
        <w:rPr>
          <w:rFonts w:ascii="Calibri" w:eastAsia="Times New Roman" w:hAnsi="Calibri" w:cs="Calibri"/>
          <w:szCs w:val="24"/>
          <w:lang w:val="en-US"/>
        </w:rPr>
      </w:pPr>
    </w:p>
    <w:p w:rsidR="00C76FE8" w:rsidRPr="0059217F" w:rsidRDefault="00C76FE8" w:rsidP="00C76FE8">
      <w:pPr>
        <w:spacing w:before="0" w:after="0" w:line="240" w:lineRule="auto"/>
        <w:rPr>
          <w:rFonts w:ascii="Calibri" w:eastAsia="Times New Roman" w:hAnsi="Calibri" w:cs="Calibri"/>
          <w:b/>
          <w:szCs w:val="24"/>
          <w:lang w:val="en-US"/>
        </w:rPr>
      </w:pPr>
      <w:r w:rsidRPr="00C76FE8">
        <w:rPr>
          <w:rFonts w:ascii="Calibri" w:eastAsia="Times New Roman" w:hAnsi="Calibri" w:cs="Calibri"/>
          <w:b/>
          <w:szCs w:val="24"/>
          <w:lang w:val="en-US"/>
        </w:rPr>
        <w:t>Nadležnosti Sektora za upravljanje i zašt</w:t>
      </w:r>
      <w:r w:rsidR="0059217F">
        <w:rPr>
          <w:rFonts w:ascii="Calibri" w:eastAsia="Times New Roman" w:hAnsi="Calibri" w:cs="Calibri"/>
          <w:b/>
          <w:szCs w:val="24"/>
          <w:lang w:val="en-US"/>
        </w:rPr>
        <w:t xml:space="preserve">itu državne imovne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Zakona o svojinsko pravnim odnosima, ("Službeni list Crne Gore", br. 19/09 )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Zakona o državnoj imovini, (Službeni list Crne Gore", br. 21/09 40/11)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lastRenderedPageBreak/>
        <w:t>Zakona o državnom premjeru i katastru nepokretnosti, (Službeni list Republike Crne G</w:t>
      </w:r>
      <w:r w:rsidR="0059217F">
        <w:rPr>
          <w:rFonts w:ascii="Calibri" w:eastAsia="Times New Roman" w:hAnsi="Calibri" w:cs="Calibri"/>
          <w:szCs w:val="24"/>
          <w:lang w:val="en-US"/>
        </w:rPr>
        <w:t>ore", br. 29/07</w:t>
      </w:r>
      <w:r w:rsidRPr="00C76FE8">
        <w:rPr>
          <w:rFonts w:ascii="Calibri" w:eastAsia="Times New Roman" w:hAnsi="Calibri" w:cs="Calibri"/>
          <w:szCs w:val="24"/>
          <w:lang w:val="en-US"/>
        </w:rPr>
        <w:t>, "Službeni list Crne Gore", br. 73/10, 32/11 , 40/11, 43/15, 37/17, 037/17, 17/18)  -</w:t>
      </w:r>
      <w:r w:rsidRPr="00C76FE8">
        <w:rPr>
          <w:rFonts w:ascii="Calibri" w:eastAsia="Arial" w:hAnsi="Calibri" w:cs="Calibri"/>
          <w:szCs w:val="24"/>
          <w:lang w:val="en-US"/>
        </w:rPr>
        <w:t xml:space="preserve"> </w:t>
      </w:r>
      <w:r w:rsidRPr="00C76FE8">
        <w:rPr>
          <w:rFonts w:ascii="Calibri" w:eastAsia="Times New Roman" w:hAnsi="Calibri" w:cs="Calibri"/>
          <w:szCs w:val="24"/>
          <w:lang w:val="en-US"/>
        </w:rPr>
        <w:t>Zakona o Morskom dobru ("Službeni list Republike Crne G</w:t>
      </w:r>
      <w:r w:rsidR="0059217F">
        <w:rPr>
          <w:rFonts w:ascii="Calibri" w:eastAsia="Times New Roman" w:hAnsi="Calibri" w:cs="Calibri"/>
          <w:szCs w:val="24"/>
          <w:lang w:val="en-US"/>
        </w:rPr>
        <w:t xml:space="preserve">ore", br. 21/04, 49/07, 60/07, </w:t>
      </w:r>
      <w:r w:rsidRPr="00C76FE8">
        <w:rPr>
          <w:rFonts w:ascii="Calibri" w:eastAsia="Times New Roman" w:hAnsi="Calibri" w:cs="Calibri"/>
          <w:szCs w:val="24"/>
          <w:lang w:val="en-US"/>
        </w:rPr>
        <w:t xml:space="preserve">"Službeni list Crne Gore", </w:t>
      </w:r>
      <w:r w:rsidR="0059217F">
        <w:rPr>
          <w:rFonts w:ascii="Calibri" w:eastAsia="Times New Roman" w:hAnsi="Calibri" w:cs="Calibri"/>
          <w:szCs w:val="24"/>
          <w:lang w:val="en-US"/>
        </w:rPr>
        <w:t>br. 12/07, 73/10, 30/17, 70/17);</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Zakon o upravnom postupku (Sl list CG br.56/20</w:t>
      </w:r>
      <w:r w:rsidR="0059217F">
        <w:rPr>
          <w:rFonts w:ascii="Calibri" w:eastAsia="Times New Roman" w:hAnsi="Calibri" w:cs="Calibri"/>
          <w:szCs w:val="24"/>
          <w:lang w:val="en-US"/>
        </w:rPr>
        <w:t>14, 20/2015, 40/2016 i 37/2017);</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Zakon o planiranju prostora i izgradnji objekata (Sl list CG br.064/17 od 06.10.2017);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59217F" w:rsidRDefault="0059217F"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O</w:t>
      </w:r>
      <w:r w:rsidR="00C76FE8" w:rsidRPr="00C76FE8">
        <w:rPr>
          <w:rFonts w:ascii="Calibri" w:eastAsia="Times New Roman" w:hAnsi="Calibri" w:cs="Calibri"/>
          <w:szCs w:val="24"/>
          <w:lang w:val="en-US"/>
        </w:rPr>
        <w:t xml:space="preserve">dnosno poslovi u vezi sa: </w:t>
      </w:r>
    </w:p>
    <w:p w:rsidR="00C76FE8" w:rsidRPr="00C76FE8" w:rsidRDefault="0059217F"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 </w:t>
      </w:r>
      <w:r w:rsidR="00C76FE8" w:rsidRPr="00C76FE8">
        <w:rPr>
          <w:rFonts w:ascii="Calibri" w:eastAsia="Times New Roman" w:hAnsi="Calibri" w:cs="Calibri"/>
          <w:szCs w:val="24"/>
          <w:lang w:val="en-US"/>
        </w:rPr>
        <w:t>staranje o n</w:t>
      </w:r>
      <w:r>
        <w:rPr>
          <w:rFonts w:ascii="Calibri" w:eastAsia="Times New Roman" w:hAnsi="Calibri" w:cs="Calibri"/>
          <w:szCs w:val="24"/>
          <w:lang w:val="en-US"/>
        </w:rPr>
        <w:t xml:space="preserve">amjenskom korišćenju državne  </w:t>
      </w:r>
      <w:r w:rsidR="00C76FE8" w:rsidRPr="00C76FE8">
        <w:rPr>
          <w:rFonts w:ascii="Calibri" w:eastAsia="Times New Roman" w:hAnsi="Calibri" w:cs="Calibri"/>
          <w:szCs w:val="24"/>
          <w:lang w:val="en-US"/>
        </w:rPr>
        <w:t xml:space="preserve">imovine,  </w:t>
      </w:r>
    </w:p>
    <w:p w:rsidR="00C76FE8" w:rsidRPr="00C76FE8" w:rsidRDefault="0059217F"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 </w:t>
      </w:r>
      <w:r w:rsidR="00C76FE8" w:rsidRPr="00C76FE8">
        <w:rPr>
          <w:rFonts w:ascii="Calibri" w:eastAsia="Times New Roman" w:hAnsi="Calibri" w:cs="Calibri"/>
          <w:szCs w:val="24"/>
          <w:lang w:val="en-US"/>
        </w:rPr>
        <w:t xml:space="preserve">upravljanjem državnom imovinom Crne Gore;  </w:t>
      </w:r>
    </w:p>
    <w:p w:rsidR="0059217F" w:rsidRDefault="0059217F"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w:t>
      </w:r>
      <w:r w:rsidR="00C76FE8" w:rsidRPr="00C76FE8">
        <w:rPr>
          <w:rFonts w:ascii="Calibri" w:eastAsia="Times New Roman" w:hAnsi="Calibri" w:cs="Calibri"/>
          <w:szCs w:val="24"/>
          <w:lang w:val="en-US"/>
        </w:rPr>
        <w:t xml:space="preserve">učestvovanje u prvostepenim upravnim postupcima iz oblasti imovinsko pravnih odnosa i katastra;  </w:t>
      </w:r>
      <w:r>
        <w:rPr>
          <w:rFonts w:ascii="Calibri" w:eastAsia="Times New Roman" w:hAnsi="Calibri" w:cs="Calibri"/>
          <w:szCs w:val="24"/>
          <w:lang w:val="en-US"/>
        </w:rPr>
        <w:t xml:space="preserve"> - </w:t>
      </w:r>
      <w:r w:rsidR="00C76FE8" w:rsidRPr="00C76FE8">
        <w:rPr>
          <w:rFonts w:ascii="Calibri" w:eastAsia="Times New Roman" w:hAnsi="Calibri" w:cs="Calibri"/>
          <w:szCs w:val="24"/>
          <w:lang w:val="en-US"/>
        </w:rPr>
        <w:t xml:space="preserve">unapredjenjem upravljanja državnom imovinom i imovinskim pravima; </w:t>
      </w:r>
    </w:p>
    <w:p w:rsidR="0059217F" w:rsidRDefault="0059217F"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 </w:t>
      </w:r>
      <w:r w:rsidR="00C76FE8" w:rsidRPr="00C76FE8">
        <w:rPr>
          <w:rFonts w:ascii="Calibri" w:eastAsia="Times New Roman" w:hAnsi="Calibri" w:cs="Calibri"/>
          <w:szCs w:val="24"/>
          <w:lang w:val="en-US"/>
        </w:rPr>
        <w:t xml:space="preserve">davanje u zakup zemljišta i objekata ili dijelova objekta na graničnim prelazima; </w:t>
      </w:r>
    </w:p>
    <w:p w:rsidR="0059217F"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w:t>
      </w:r>
      <w:r w:rsidRPr="00C76FE8">
        <w:rPr>
          <w:rFonts w:ascii="Calibri" w:eastAsia="Arial" w:hAnsi="Calibri" w:cs="Calibri"/>
          <w:szCs w:val="24"/>
          <w:lang w:val="en-US"/>
        </w:rPr>
        <w:t xml:space="preserve"> </w:t>
      </w:r>
      <w:r w:rsidRPr="00C76FE8">
        <w:rPr>
          <w:rFonts w:ascii="Calibri" w:eastAsia="Times New Roman" w:hAnsi="Calibri" w:cs="Calibri"/>
          <w:szCs w:val="24"/>
          <w:lang w:val="en-US"/>
        </w:rPr>
        <w:t>vršenje naplate zakupa; obezbjeđivanje uslo</w:t>
      </w:r>
      <w:r w:rsidR="0059217F">
        <w:rPr>
          <w:rFonts w:ascii="Calibri" w:eastAsia="Times New Roman" w:hAnsi="Calibri" w:cs="Calibri"/>
          <w:szCs w:val="24"/>
          <w:lang w:val="en-US"/>
        </w:rPr>
        <w:t xml:space="preserve">va za zaštitu državne imovine; </w:t>
      </w:r>
      <w:r w:rsidRPr="00C76FE8">
        <w:rPr>
          <w:rFonts w:ascii="Calibri" w:eastAsia="Times New Roman" w:hAnsi="Calibri" w:cs="Calibri"/>
          <w:szCs w:val="24"/>
          <w:lang w:val="en-US"/>
        </w:rPr>
        <w:t xml:space="preserve"> </w:t>
      </w:r>
    </w:p>
    <w:p w:rsidR="00C76FE8" w:rsidRPr="00C76FE8" w:rsidRDefault="0059217F"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 </w:t>
      </w:r>
      <w:r w:rsidR="00C76FE8" w:rsidRPr="00C76FE8">
        <w:rPr>
          <w:rFonts w:ascii="Calibri" w:eastAsia="Times New Roman" w:hAnsi="Calibri" w:cs="Calibri"/>
          <w:szCs w:val="24"/>
          <w:lang w:val="en-US"/>
        </w:rPr>
        <w:t>iniciranje zahtjeva prema područnim jedinicama Uprave za nekrtenine koji se odnose na  promjenu upisa, sprovođenje parcel</w:t>
      </w:r>
      <w:r>
        <w:rPr>
          <w:rFonts w:ascii="Calibri" w:eastAsia="Times New Roman" w:hAnsi="Calibri" w:cs="Calibri"/>
          <w:szCs w:val="24"/>
          <w:lang w:val="en-US"/>
        </w:rPr>
        <w:t xml:space="preserve">acije, kao i upis zabilježbi.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59217F">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U periodu od 10.01. – 25.12.2020. godine, u Sektoru za upravljanje i zaštitu životne sredine  za imovinsko pravne poslove ukupno je zaprimljeno 417 predmeta, a  realizovano 257. I dalje je u radu 142 predmet.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Sektor za upravljanje i zaštitu državne imovine     </w:t>
      </w:r>
    </w:p>
    <w:p w:rsidR="00C76FE8" w:rsidRPr="00C76FE8" w:rsidRDefault="0059217F" w:rsidP="0059217F">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w:t>
      </w:r>
      <w:r>
        <w:rPr>
          <w:rFonts w:ascii="Calibri" w:eastAsia="Times New Roman" w:hAnsi="Calibri" w:cs="Calibri"/>
          <w:szCs w:val="24"/>
          <w:lang w:val="en-US"/>
        </w:rPr>
        <w:tab/>
      </w:r>
      <w:r w:rsidR="00C76FE8" w:rsidRPr="00C76FE8">
        <w:rPr>
          <w:rFonts w:ascii="Calibri" w:eastAsia="Times New Roman" w:hAnsi="Calibri" w:cs="Calibri"/>
          <w:szCs w:val="24"/>
          <w:lang w:val="en-US"/>
        </w:rPr>
        <w:t>U toku izvještajnog perioda, u Sektoru za zaštitu i upravljanje državnom imovinom postupano je  po zahtjevima državnih organa, lokalnih samouprava, javnih službi, fizičkih i pravnih lica, pa je po tom osnovu zaprimljeno  ukupno 417  predmeta, od čega je realizovano  257 predmeta</w:t>
      </w:r>
      <w:r>
        <w:rPr>
          <w:rFonts w:ascii="Calibri" w:eastAsia="Times New Roman" w:hAnsi="Calibri" w:cs="Calibri"/>
          <w:szCs w:val="24"/>
          <w:lang w:val="en-US"/>
        </w:rPr>
        <w:t xml:space="preserve">, dok je u radu 142  predmeta. </w:t>
      </w:r>
    </w:p>
    <w:p w:rsidR="00C76FE8" w:rsidRPr="00C76FE8" w:rsidRDefault="00C76FE8" w:rsidP="00C76FE8">
      <w:pPr>
        <w:spacing w:before="0" w:after="0" w:line="240" w:lineRule="auto"/>
        <w:jc w:val="left"/>
        <w:rPr>
          <w:rFonts w:ascii="Calibri" w:eastAsia="Times New Roman" w:hAnsi="Calibri" w:cs="Calibri"/>
          <w:szCs w:val="24"/>
          <w:lang w:val="en-US"/>
        </w:rPr>
      </w:pPr>
      <w:r w:rsidRPr="00C76FE8">
        <w:rPr>
          <w:rFonts w:ascii="Calibri" w:eastAsia="Times New Roman" w:hAnsi="Calibri" w:cs="Calibri"/>
          <w:szCs w:val="24"/>
          <w:lang w:val="en-US"/>
        </w:rPr>
        <w:t>-</w:t>
      </w:r>
      <w:r w:rsidRPr="00C76FE8">
        <w:rPr>
          <w:rFonts w:ascii="Calibri" w:eastAsia="Arial" w:hAnsi="Calibri" w:cs="Calibri"/>
          <w:szCs w:val="24"/>
          <w:lang w:val="en-US"/>
        </w:rPr>
        <w:t xml:space="preserve"> </w:t>
      </w:r>
      <w:r w:rsidRPr="00C76FE8">
        <w:rPr>
          <w:rFonts w:ascii="Calibri" w:eastAsia="Arial" w:hAnsi="Calibri" w:cs="Calibri"/>
          <w:szCs w:val="24"/>
          <w:lang w:val="en-US"/>
        </w:rPr>
        <w:tab/>
      </w:r>
      <w:r w:rsidRPr="00C76FE8">
        <w:rPr>
          <w:rFonts w:ascii="Calibri" w:eastAsia="Times New Roman" w:hAnsi="Calibri" w:cs="Calibri"/>
          <w:szCs w:val="24"/>
          <w:lang w:val="en-US"/>
        </w:rPr>
        <w:t>Zahtjevi za prodaju nepokretnosti:                            realizovano 20, u radu 61 ,</w:t>
      </w:r>
    </w:p>
    <w:p w:rsidR="00C76FE8" w:rsidRPr="00C76FE8" w:rsidRDefault="00C76FE8" w:rsidP="00C76FE8">
      <w:pPr>
        <w:spacing w:before="0" w:after="0" w:line="240" w:lineRule="auto"/>
        <w:jc w:val="left"/>
        <w:rPr>
          <w:rFonts w:ascii="Calibri" w:eastAsia="Times New Roman" w:hAnsi="Calibri" w:cs="Calibri"/>
          <w:szCs w:val="24"/>
          <w:lang w:val="en-US"/>
        </w:rPr>
      </w:pPr>
      <w:r w:rsidRPr="00C76FE8">
        <w:rPr>
          <w:rFonts w:ascii="Calibri" w:eastAsia="Times New Roman" w:hAnsi="Calibri" w:cs="Calibri"/>
          <w:szCs w:val="24"/>
          <w:lang w:val="en-US"/>
        </w:rPr>
        <w:t>-</w:t>
      </w:r>
      <w:r w:rsidRPr="00C76FE8">
        <w:rPr>
          <w:rFonts w:ascii="Calibri" w:eastAsia="Arial" w:hAnsi="Calibri" w:cs="Calibri"/>
          <w:szCs w:val="24"/>
          <w:lang w:val="en-US"/>
        </w:rPr>
        <w:t xml:space="preserve"> </w:t>
      </w:r>
      <w:r w:rsidRPr="00C76FE8">
        <w:rPr>
          <w:rFonts w:ascii="Calibri" w:eastAsia="Arial" w:hAnsi="Calibri" w:cs="Calibri"/>
          <w:szCs w:val="24"/>
          <w:lang w:val="en-US"/>
        </w:rPr>
        <w:tab/>
      </w:r>
      <w:r w:rsidRPr="00C76FE8">
        <w:rPr>
          <w:rFonts w:ascii="Calibri" w:eastAsia="Times New Roman" w:hAnsi="Calibri" w:cs="Calibri"/>
          <w:szCs w:val="24"/>
          <w:lang w:val="en-US"/>
        </w:rPr>
        <w:t>Zahtjevi za zakup nepokretnosti:                               realizovano 2, u radu 4,</w:t>
      </w:r>
    </w:p>
    <w:p w:rsidR="00C76FE8" w:rsidRPr="00C76FE8" w:rsidRDefault="00C76FE8" w:rsidP="00C76FE8">
      <w:pPr>
        <w:spacing w:before="0" w:after="0" w:line="240" w:lineRule="auto"/>
        <w:jc w:val="left"/>
        <w:rPr>
          <w:rFonts w:ascii="Calibri" w:eastAsia="Times New Roman" w:hAnsi="Calibri" w:cs="Calibri"/>
          <w:szCs w:val="24"/>
          <w:lang w:val="en-US"/>
        </w:rPr>
      </w:pPr>
      <w:r w:rsidRPr="00C76FE8">
        <w:rPr>
          <w:rFonts w:ascii="Calibri" w:eastAsia="Times New Roman" w:hAnsi="Calibri" w:cs="Calibri"/>
          <w:szCs w:val="24"/>
          <w:lang w:val="en-US"/>
        </w:rPr>
        <w:t>Zahtjevi za ustanovljenje službenosti:                                 realizovano 1, u radu 1</w:t>
      </w:r>
    </w:p>
    <w:p w:rsidR="00C76FE8" w:rsidRPr="00C76FE8" w:rsidRDefault="00C76FE8" w:rsidP="00C76FE8">
      <w:pPr>
        <w:spacing w:before="0" w:after="0" w:line="240" w:lineRule="auto"/>
        <w:jc w:val="left"/>
        <w:rPr>
          <w:rFonts w:ascii="Calibri" w:eastAsia="Times New Roman" w:hAnsi="Calibri" w:cs="Calibri"/>
          <w:szCs w:val="24"/>
          <w:lang w:val="en-US"/>
        </w:rPr>
      </w:pPr>
    </w:p>
    <w:p w:rsidR="00C76FE8" w:rsidRPr="00C76FE8" w:rsidRDefault="00C76FE8" w:rsidP="0059217F">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Materijali Uprave za imovinu koji su dostavljeni Ministarstvu finansija i socijalnog staranja radi daljeg procesuiranja prema radnim tijelima Vlade Crne Gore na razmatranje i usvajanje i to: </w:t>
      </w:r>
    </w:p>
    <w:p w:rsidR="00C76FE8" w:rsidRPr="00C76FE8" w:rsidRDefault="0059217F"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w:t>
      </w:r>
      <w:r w:rsidR="00C76FE8" w:rsidRPr="00C76FE8">
        <w:rPr>
          <w:rFonts w:ascii="Calibri" w:eastAsia="Times New Roman" w:hAnsi="Calibri" w:cs="Calibri"/>
          <w:szCs w:val="24"/>
          <w:lang w:val="en-US"/>
        </w:rPr>
        <w:t xml:space="preserve">Prijedlozi za prodaju nepokretnosti: 20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Informacije za pravo preče kupovine: 15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Informacije na ustupanje i korišćenje bez nadoknade: 2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Informacije o poklonu: 1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Prenos prava raspolaganja na nepokretnostima: 2 </w:t>
      </w:r>
    </w:p>
    <w:p w:rsidR="00C76FE8" w:rsidRPr="00C76FE8" w:rsidRDefault="00C76FE8" w:rsidP="0059217F">
      <w:pPr>
        <w:spacing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(Prijedlog Odluke o prenosu prava raspolaganja na nepokretnosti Opštini Danilovgrad, radi ostvarivanja javnog interesa - rekonstrukcije i adaptacije objekta, koji je Ministarstvu finansija dostavila Uprava za imovinu, objavljena u Službenom </w:t>
      </w:r>
      <w:r w:rsidR="0059217F">
        <w:rPr>
          <w:rFonts w:ascii="Calibri" w:eastAsia="Times New Roman" w:hAnsi="Calibri" w:cs="Calibri"/>
          <w:szCs w:val="24"/>
          <w:lang w:val="en-US"/>
        </w:rPr>
        <w:t xml:space="preserve">listu Crne Gore, broj 92/20 od </w:t>
      </w:r>
      <w:r w:rsidRPr="00C76FE8">
        <w:rPr>
          <w:rFonts w:ascii="Calibri" w:eastAsia="Times New Roman" w:hAnsi="Calibri" w:cs="Calibri"/>
          <w:szCs w:val="24"/>
          <w:lang w:val="en-US"/>
        </w:rPr>
        <w:t xml:space="preserve">09.09.2020.godine) </w:t>
      </w:r>
    </w:p>
    <w:p w:rsidR="00C76FE8" w:rsidRPr="00C76FE8" w:rsidRDefault="0059217F" w:rsidP="0059217F">
      <w:pPr>
        <w:spacing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w:t>
      </w:r>
      <w:r w:rsidR="00C76FE8" w:rsidRPr="00C76FE8">
        <w:rPr>
          <w:rFonts w:ascii="Calibri" w:eastAsia="Times New Roman" w:hAnsi="Calibri" w:cs="Calibri"/>
          <w:szCs w:val="24"/>
          <w:lang w:val="en-US"/>
        </w:rPr>
        <w:t xml:space="preserve">Prijedlog Odluke o prenosu prava raspolaganja na nepokretnosti Glavnom gradu Podgorica, radi ostvarivanja javnog interesa – razvoja kulture u Glavnom gradu Podgorica, koji je Ministarstvu finansija dostavila Uprava za imovinu, objavljena u Službenom listu Crne Gore", br. 58/20 od 19.06.2020.godine) </w:t>
      </w:r>
    </w:p>
    <w:p w:rsidR="00C76FE8" w:rsidRPr="00C76FE8" w:rsidRDefault="0059217F"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w:t>
      </w:r>
    </w:p>
    <w:p w:rsidR="0059217F" w:rsidRDefault="00C76FE8" w:rsidP="00C76FE8">
      <w:pPr>
        <w:spacing w:before="0" w:after="0" w:line="240" w:lineRule="auto"/>
        <w:rPr>
          <w:rFonts w:ascii="Calibri" w:eastAsia="Times New Roman" w:hAnsi="Calibri" w:cs="Calibri"/>
          <w:szCs w:val="24"/>
          <w:lang w:val="en-US"/>
        </w:rPr>
      </w:pPr>
      <w:r w:rsidRPr="0059217F">
        <w:rPr>
          <w:rFonts w:ascii="Calibri" w:eastAsia="Times New Roman" w:hAnsi="Calibri" w:cs="Calibri"/>
          <w:szCs w:val="24"/>
          <w:lang w:val="en-US"/>
        </w:rPr>
        <w:t xml:space="preserve">2.2. Odsjek za investiciono i tekuće održavanje  </w:t>
      </w:r>
    </w:p>
    <w:p w:rsidR="00C76FE8" w:rsidRPr="00C76FE8" w:rsidRDefault="00C76FE8" w:rsidP="0059217F">
      <w:pPr>
        <w:spacing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lastRenderedPageBreak/>
        <w:t xml:space="preserve">U Odsjeku za investiciono i tekuće održavanje državne imovine vrše se poslovi koji se odnose na: investiciono i tekuće održavanje objekata  državnih organa, reprezentativnih objekata državnih organa i diplomatsko konzularnih predstavništava Crne Gore u inostranstvu;sprovodi mjere energetske efikasnosti; adaptaciju poslovnog prostora u državnoj svojini Crne Gore kao i objekata za reprezentaciju; organizovanje i ugovaranje izrade investiciono-tekuće dokumentacije za poslove investicija; tehnički uvid nad ugovorenim radovima uključujući pripremne i završne radove kao i tekuće održavanje objekata državnih organa Crne Gore sa svim instalacijama( vodovod, kanalizacija, elektro instalacije slabe i jake struje, građevinsko-zanatski i sl.poslovi); održavanje sistema centralnog grijanja, sistema rashlađivanja, sistema za dojavu požara, PTT uređaja, radioaktivnih gromobrana i sl; ugovaranje i sprovođenje poslova sa privrednim društvima za određene vrste poslova; održavanje zelenih površina; održavanje inventara. </w:t>
      </w:r>
    </w:p>
    <w:p w:rsidR="00C76FE8" w:rsidRPr="00C76FE8" w:rsidRDefault="0059217F"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w:t>
      </w:r>
      <w:r>
        <w:rPr>
          <w:rFonts w:ascii="Calibri" w:eastAsia="Times New Roman" w:hAnsi="Calibri" w:cs="Calibri"/>
          <w:szCs w:val="24"/>
          <w:lang w:val="en-US"/>
        </w:rPr>
        <w:tab/>
      </w:r>
      <w:r w:rsidR="00C76FE8" w:rsidRPr="00C76FE8">
        <w:rPr>
          <w:rFonts w:ascii="Calibri" w:eastAsia="Times New Roman" w:hAnsi="Calibri" w:cs="Calibri"/>
          <w:szCs w:val="24"/>
          <w:lang w:val="en-US"/>
        </w:rPr>
        <w:t xml:space="preserve">U Odsjeku za investiciono i tekuće održavanje objekata obavljaju se poslovi investicionog i tekućeg održavanja objekata državne uprave uključujući i objekte Uprave policije, reprezentativnih objekata državnih organa, diplomatsko-konzularnih predstavništava Crne Gore u inostranstvu, kao i izvođenje radova na adaptaciji pomenutih objekata.  </w:t>
      </w:r>
    </w:p>
    <w:p w:rsidR="00C76FE8" w:rsidRPr="00C76FE8" w:rsidRDefault="00C76FE8" w:rsidP="0059217F">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Poslovi organizovanja izrade projektne dokumentacije za potrebe izvođenja radova adaptacija i tehnički uvid, praćenje i koordiniranje radova za sve faze izvođenja, takođe je dio poslova koje obavlja Odsjek za investiciono i tekuće održavanje objekata.  </w:t>
      </w:r>
    </w:p>
    <w:p w:rsidR="00C76FE8" w:rsidRPr="00C76FE8" w:rsidRDefault="00C76FE8" w:rsidP="0059217F">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Radovi po fazama izvođenja obuhvataju: građevinsko-zanatske radove, elektoinstalaterske radove jake i slabe struje, radove na termotehničkim instalacijama i elektro-mašinskoj opremi, radove na vodovodnoj i kanalizaciono mreži, radove na hidrantskoj mreži i protivpožarnoj opremi i radove na uređenju terena.  </w:t>
      </w:r>
    </w:p>
    <w:p w:rsidR="00C76FE8" w:rsidRPr="00C76FE8" w:rsidRDefault="00C76FE8" w:rsidP="0059217F">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Uprava za imovinu održava  garažne prostore u zgradi ministarstava na Rimskom trgu, zgradi vlade Crne Gore i upravlja parking prostorom ispred poslovnog objekta u Ul. Jovana Tomaševića br.2 u Podgorici. </w:t>
      </w:r>
    </w:p>
    <w:p w:rsidR="00C76FE8" w:rsidRPr="00C76FE8" w:rsidRDefault="00C76FE8" w:rsidP="0059217F">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U okviru tekućeg održavanja objekata, u periodu januar/decembar 2020.godine, izvršeno je 1820 intervencija na objektima koje održava Uprava za imovinu, sa sopstvenim kadrom i uz prethodnu nabavku elektroinstalaterskog, stolarsko-bravarskog i vodoinstalaterskog potrošnog materijala. </w:t>
      </w:r>
    </w:p>
    <w:p w:rsidR="00C76FE8" w:rsidRPr="00C76FE8" w:rsidRDefault="0059217F"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w:t>
      </w:r>
      <w:r>
        <w:rPr>
          <w:rFonts w:ascii="Calibri" w:eastAsia="Times New Roman" w:hAnsi="Calibri" w:cs="Calibri"/>
          <w:szCs w:val="24"/>
          <w:lang w:val="en-US"/>
        </w:rPr>
        <w:tab/>
      </w:r>
      <w:r w:rsidR="00C76FE8" w:rsidRPr="00C76FE8">
        <w:rPr>
          <w:rFonts w:ascii="Calibri" w:eastAsia="Times New Roman" w:hAnsi="Calibri" w:cs="Calibri"/>
          <w:szCs w:val="24"/>
          <w:lang w:val="en-US"/>
        </w:rPr>
        <w:t xml:space="preserve">Tokom 2020. godine Odsjek za investiciono i tekuće održavanje objekata realizovao je sledeće nabavke: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Zamjenu fasadne stolarije na objektu CB Nikšić;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Izrada hidroizolacije ravnog krova na zgradi Skupštine CG;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Sanacija polustrukturalne fasade na zgradi ministarstava – Vektri;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Adaptacija objekta CB Bar;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Adaptacija server sobe u Ministarstvu finansija;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Adaptacija krovne terase ambasade CG u Beogradu;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Sanacija krova i ulazne nadstrešnice objekta Uprave za nekretnine;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Adaptacija zaštitne ograde u dvorištu zgrade SDT-a;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Izrada unutrašnjeg i spoljašnjeg video-nadzora objekta Ministarstva finansija i Ministarstva vanjskih poslova;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Nabavka opreme i postavljanje računarske mreže za objekat SDT-a;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Adaptacija enterijera kongresne sale u staroj zgradi Vlade Crne Gore;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Nabavka i postavljanje podnih obloga u staroj zgradi Vlade Crne Gore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Sanacija zaštitne staklene zavjese zgrade Uprave za nekretnine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Adaptacija holova za kancelarijski prostor u zgradi Osnovnog suda u Podgorici;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Sanacija krovnog pokrivača na objektu Zavoda za statistiku u Podgorici;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Adaptacija poslovnog prostora Uprave policije u Podgorici;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Izvođenje radova na obilježavanju i prilagođavanju objekata osobama sa smanjenom pokretljivošću;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lastRenderedPageBreak/>
        <w:t xml:space="preserve">Adaptacija poslovnog prostora na St. Aerodromu u PG za potrebe SDT-a;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Zamjena dekinga i servisiranje škura na objektu Vila Topliš;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Nabavka i ugradnja klima uređaja u objektima državnih organa;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Nabavka aktivne opreme za izradu wi-fi mreže u staroj zgradi Vlade Crne Gore;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Izrada spoljašnjeg video-nadzora u staroj zgradi Vlade Crne Gore; </w:t>
      </w:r>
    </w:p>
    <w:p w:rsidR="00C76FE8" w:rsidRPr="00C76FE8" w:rsidRDefault="00C76FE8" w:rsidP="00C76FE8">
      <w:pPr>
        <w:spacing w:before="0" w:after="0" w:line="240" w:lineRule="auto"/>
        <w:rPr>
          <w:rFonts w:ascii="Calibri" w:eastAsia="Arial" w:hAnsi="Calibri" w:cs="Calibri"/>
          <w:szCs w:val="24"/>
          <w:lang w:val="en-US"/>
        </w:rPr>
      </w:pPr>
      <w:r w:rsidRPr="00C76FE8">
        <w:rPr>
          <w:rFonts w:ascii="Calibri" w:eastAsia="Times New Roman" w:hAnsi="Calibri" w:cs="Calibri"/>
          <w:szCs w:val="24"/>
          <w:lang w:val="en-US"/>
        </w:rPr>
        <w:t>Zamjena svjetlosnih kupola na zgradi Osnovnog suda u Podgorici; -</w:t>
      </w:r>
      <w:r w:rsidRPr="00C76FE8">
        <w:rPr>
          <w:rFonts w:ascii="Calibri" w:eastAsia="Arial" w:hAnsi="Calibri" w:cs="Calibri"/>
          <w:szCs w:val="24"/>
          <w:lang w:val="en-US"/>
        </w:rPr>
        <w:t xml:space="preserve"> </w:t>
      </w:r>
      <w:r w:rsidRPr="00C76FE8">
        <w:rPr>
          <w:rFonts w:ascii="Calibri" w:eastAsia="Arial" w:hAnsi="Calibri" w:cs="Calibri"/>
          <w:szCs w:val="24"/>
          <w:lang w:val="en-US"/>
        </w:rPr>
        <w:tab/>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Nabavka i montaža jarbola za isticanje zastava na državnim objektima;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Izrada i postavljanje tabli sa oznakama naziva organa državne uprave;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Arhitektonsko snimanje i izrada orjentacionih planova za slabovida lica;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Usluge čišćenja teško dostupnih pozicija na objektima;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Usluge mašinskog čišćenja podnih, zidnih i plafonskih obloga na objektima;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Usluge projektovanja i revizije tehničke dokumentacije;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Usluge vršenja stručnog nadzora nad izvođenjem radova;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Geodetske usluge;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Usluge dobijanja atesta za elektroinstalacije i elektromašinsku opremu;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59217F">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U dijelu tekućeg održavanja objekata na godišnjem nivou, relizovani su i sledeće nabavke po vrstama radova: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građevinsko-zanatski radovi (hidroizolaterski, krovopokrivački, fasaderski, limarski, bravarski, stolarski, staklorezački, molerski, farbarski, keramičarski, parketarski, podopolagački, gipsarski radovi);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radovi na termotehničkim instalacijama i opremi (održavanje sistema grijanja, hlađenja i ventilacije, sa zamjenom neispravnih djelova sistema);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radovi na elektroinstalacijama jake struje (održavanje i servisiranje razvodnih tabli i instalacija opšte potrošnje i rasvjete);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radovi na elektroinstalacijama slabe struje (održavanje i servisiranje telefonskih centrala, sistema za dojavu požara, video nadzora, video interfona, rampi, sistema kontrole pristupa);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radovi na uređajima i opremi za rezervno i neprekidno napajanje električnom energijom (održavanje i servisiranje DEA i UPS-a);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radovi na održavanju vodovodne i kanalizacione mreže u objektima i do mjernih mjesta, </w:t>
      </w:r>
      <w:r w:rsidRPr="00C76FE8">
        <w:rPr>
          <w:rFonts w:ascii="Calibri" w:eastAsia="Times New Roman" w:hAnsi="Calibri" w:cs="Calibri"/>
          <w:szCs w:val="24"/>
          <w:lang w:val="en-US"/>
        </w:rPr>
        <w:tab/>
        <w:t xml:space="preserve"> sa servisiranjem uređaja na mreži;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radovi na održavanju i servisiranju liftova i podiznih platformi, sa zamjenom neispravnih  djelova;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servisiranje protivpožarnih aparata;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radovi na uređenju zelenih površima (održavanje drveća, travnjaka, sezonskog cvijeća, sadnog materijala, živih ograda, platoa i staza, sa zaštitom od biljnih bolesti i štetočina i sa održavan</w:t>
      </w:r>
      <w:r w:rsidR="0059217F">
        <w:rPr>
          <w:rFonts w:ascii="Calibri" w:eastAsia="Times New Roman" w:hAnsi="Calibri" w:cs="Calibri"/>
          <w:szCs w:val="24"/>
          <w:lang w:val="en-US"/>
        </w:rPr>
        <w:t>jem sistema za navodnjavanje).</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C76FE8">
      <w:pPr>
        <w:spacing w:before="0" w:after="0" w:line="240" w:lineRule="auto"/>
        <w:rPr>
          <w:rFonts w:ascii="Calibri" w:eastAsia="Times New Roman" w:hAnsi="Calibri" w:cs="Calibri"/>
          <w:b/>
          <w:szCs w:val="24"/>
          <w:lang w:val="en-US"/>
        </w:rPr>
      </w:pPr>
      <w:r w:rsidRPr="00C76FE8">
        <w:rPr>
          <w:rFonts w:ascii="Calibri" w:eastAsia="Times New Roman" w:hAnsi="Calibri" w:cs="Calibri"/>
          <w:b/>
          <w:szCs w:val="24"/>
          <w:lang w:val="en-US"/>
        </w:rPr>
        <w:t xml:space="preserve">3. Sektor za upravljanje oduzetom imovinom  </w:t>
      </w:r>
    </w:p>
    <w:p w:rsidR="00C76FE8" w:rsidRPr="00C76FE8" w:rsidRDefault="0059217F"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w:t>
      </w:r>
      <w:r>
        <w:rPr>
          <w:rFonts w:ascii="Calibri" w:eastAsia="Times New Roman" w:hAnsi="Calibri" w:cs="Calibri"/>
          <w:szCs w:val="24"/>
          <w:lang w:val="en-US"/>
        </w:rPr>
        <w:tab/>
      </w:r>
      <w:r w:rsidR="00C76FE8" w:rsidRPr="00C76FE8">
        <w:rPr>
          <w:rFonts w:ascii="Calibri" w:eastAsia="Times New Roman" w:hAnsi="Calibri" w:cs="Calibri"/>
          <w:szCs w:val="24"/>
          <w:lang w:val="en-US"/>
        </w:rPr>
        <w:t xml:space="preserve">U Sektoru za upravljanje oduzetom imovinom vrše se poslovi koji se odnose na: izvršavanje privremenih mjera obezbjeđenja, u skladu sa zakonom kojim se uređuje oduzimanje imovinske koristi stečene kriminalnom djelatnošću, odnosno zakonom kojim se uređuje krivični postupak; izvršavanje odluka o privremenom oduzimanju pokretne imovine i trajnom oduzimanju imovinske koristi stečene kriminalnom djelatnošću; izvršavanje odluka o oduzimanju imovinske koristi pribavljene krivičnim djelom, predmeta krivičnog djela i predmeta privremeno oduzetih u krivičnom i prekršajnom postupku i odluke o imovini datoj na ime jemstva; procjenu vrijednosti oduzete imovinske koristi za potrebe upravljanja imovinskom koristi; davanje u zakup oduzete imovinske koristi ili povjeravanje na upravljanje, u skladu sa zakonom kojim se uređuje oduzimanje imovinske koristi stečene kriminalnom djelatnošću; davanje oduzete imovinske koristi na korišćenje bez naknade; čuvanje, skladištenje, prodaju i povraćaj oduzete imovinske koristi; deponovanje oduzetih </w:t>
      </w:r>
      <w:r w:rsidR="00C76FE8" w:rsidRPr="00C76FE8">
        <w:rPr>
          <w:rFonts w:ascii="Calibri" w:eastAsia="Times New Roman" w:hAnsi="Calibri" w:cs="Calibri"/>
          <w:szCs w:val="24"/>
          <w:lang w:val="en-US"/>
        </w:rPr>
        <w:lastRenderedPageBreak/>
        <w:t xml:space="preserve">novčanih sredstava i sredstava dobijenih od prodaje oduzete imovinske koristi, u skladu sa zakonom; uništavanje oduzete imovinske koristi, u skladu sa zakonom; vođenje evidencije o oduzetoj imovinskoj koristi i sudskim postupcima u kojima je oduzeta, kao i o privremenim mjerama obezbjeđenja. </w:t>
      </w:r>
    </w:p>
    <w:p w:rsidR="00C76FE8" w:rsidRPr="00C76FE8" w:rsidRDefault="0059217F"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w:t>
      </w:r>
      <w:r>
        <w:rPr>
          <w:rFonts w:ascii="Calibri" w:eastAsia="Times New Roman" w:hAnsi="Calibri" w:cs="Calibri"/>
          <w:szCs w:val="24"/>
          <w:lang w:val="en-US"/>
        </w:rPr>
        <w:tab/>
      </w:r>
      <w:r w:rsidR="00C76FE8" w:rsidRPr="00C76FE8">
        <w:rPr>
          <w:rFonts w:ascii="Calibri" w:eastAsia="Times New Roman" w:hAnsi="Calibri" w:cs="Calibri"/>
          <w:szCs w:val="24"/>
          <w:lang w:val="en-US"/>
        </w:rPr>
        <w:t>Sektor za upravljanje oduzetom imovinom u izvještajnom period s</w:t>
      </w:r>
      <w:r>
        <w:rPr>
          <w:rFonts w:ascii="Calibri" w:eastAsia="Times New Roman" w:hAnsi="Calibri" w:cs="Calibri"/>
          <w:szCs w:val="24"/>
          <w:lang w:val="en-US"/>
        </w:rPr>
        <w:t xml:space="preserve">proveo je sljedeće aktivnosti: </w:t>
      </w:r>
    </w:p>
    <w:p w:rsidR="00C76FE8" w:rsidRPr="00C76FE8" w:rsidRDefault="00C76FE8" w:rsidP="00EF0078">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Po osnovu rješenja Osnovnog suda u Rožajama Kri.br.2/20 od dana 13.01.2020.godine, Uprava za imovinu je preuzela sljedeću privremeno oduzetu pokretnu imovinu i to: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5980 flaša alkoholnog pića - piva Haineken od po 0.25l  </w:t>
      </w:r>
    </w:p>
    <w:p w:rsidR="00C76FE8" w:rsidRPr="00C76FE8" w:rsidRDefault="00C76FE8" w:rsidP="00EF0078">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Za predmetnu imovinu izvršena je prodaja - Odlukom o prodaji lako kvarljive robe br.020/1974 od 05.03.2020.godine. </w:t>
      </w:r>
    </w:p>
    <w:p w:rsidR="00C76FE8" w:rsidRPr="00C76FE8" w:rsidRDefault="00C76FE8" w:rsidP="00EF0078">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Po osnovu rješenja Višeg suda u Podgorici Kv.br.770/19 od dana 20.01.2020.godine kojim je izrečena mjera bezbjednosti trajno oduzimanje novca u iznosu od 10.927,00€, Uprava za imovinu je izvršila preuzimanje oduzetog novca </w:t>
      </w:r>
      <w:r w:rsidR="0059217F">
        <w:rPr>
          <w:rFonts w:ascii="Calibri" w:eastAsia="Times New Roman" w:hAnsi="Calibri" w:cs="Calibri"/>
          <w:szCs w:val="24"/>
          <w:lang w:val="en-US"/>
        </w:rPr>
        <w:t xml:space="preserve">i uplatila u Budžet Crne Gore. </w:t>
      </w:r>
    </w:p>
    <w:p w:rsidR="00C76FE8" w:rsidRPr="00C76FE8" w:rsidRDefault="00C76FE8" w:rsidP="00EF0078">
      <w:pPr>
        <w:spacing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Po osnovu rješenja Osnovnog suda u Rožajama Kri.br.13/20 od dana 27.01.2020.godine, Uprava za imovinu je preuzela sljedeću privremeno o</w:t>
      </w:r>
      <w:r w:rsidR="0059217F">
        <w:rPr>
          <w:rFonts w:ascii="Calibri" w:eastAsia="Times New Roman" w:hAnsi="Calibri" w:cs="Calibri"/>
          <w:szCs w:val="24"/>
          <w:lang w:val="en-US"/>
        </w:rPr>
        <w:t xml:space="preserve">duzetu pokretnu imovinu i to: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kutija vate</w:t>
      </w:r>
      <w:r w:rsidR="00EF0078">
        <w:rPr>
          <w:rFonts w:ascii="Calibri" w:eastAsia="Times New Roman" w:hAnsi="Calibri" w:cs="Calibri"/>
          <w:szCs w:val="24"/>
          <w:lang w:val="en-US"/>
        </w:rPr>
        <w:t xml:space="preserve"> (Flaster) "Fucidin Intertulle"</w:t>
      </w:r>
      <w:r w:rsidRPr="00C76FE8">
        <w:rPr>
          <w:rFonts w:ascii="Calibri" w:eastAsia="Times New Roman" w:hAnsi="Calibri" w:cs="Calibri"/>
          <w:szCs w:val="24"/>
          <w:lang w:val="en-US"/>
        </w:rPr>
        <w:t>; 10 kutija tečnosti za liječenje  (360ml) "Renu" ;10 kutija tečnosti za liječenje (120ml) "Renu" ; 8 kutija tableta (300ml) "Propaten" ; 8 kut</w:t>
      </w:r>
      <w:r w:rsidR="00EF0078">
        <w:rPr>
          <w:rFonts w:ascii="Calibri" w:eastAsia="Times New Roman" w:hAnsi="Calibri" w:cs="Calibri"/>
          <w:szCs w:val="24"/>
          <w:lang w:val="en-US"/>
        </w:rPr>
        <w:t>ija kapsula (600mg) "Berlithin"</w:t>
      </w:r>
      <w:r w:rsidRPr="00C76FE8">
        <w:rPr>
          <w:rFonts w:ascii="Calibri" w:eastAsia="Times New Roman" w:hAnsi="Calibri" w:cs="Calibri"/>
          <w:szCs w:val="24"/>
          <w:lang w:val="en-US"/>
        </w:rPr>
        <w:t>; 18 kutija tableta (15mg) "Trittico retard" ; 10 komada kapi za oč</w:t>
      </w:r>
      <w:r w:rsidR="00EF0078">
        <w:rPr>
          <w:rFonts w:ascii="Calibri" w:eastAsia="Times New Roman" w:hAnsi="Calibri" w:cs="Calibri"/>
          <w:szCs w:val="24"/>
          <w:lang w:val="en-US"/>
        </w:rPr>
        <w:t>i (5ml), manje bočice "Fulucon"</w:t>
      </w:r>
      <w:r w:rsidRPr="00C76FE8">
        <w:rPr>
          <w:rFonts w:ascii="Calibri" w:eastAsia="Times New Roman" w:hAnsi="Calibri" w:cs="Calibri"/>
          <w:szCs w:val="24"/>
          <w:lang w:val="en-US"/>
        </w:rPr>
        <w:t xml:space="preserve">; 2 kutije tableta (5gm/80mg) "Exforge" ; 58 kutija kapsula "Cefaleksin HF" ; 20 kutija tableta (4mg) "Medrol" ; 19 kutija tableta (300mg) "Clindamycin MIP" ;25 kutija tableta (600mg) "Clindamycin MIP" ; 20 kutija (300mg) ampula "Clindamycin" ; 50 kutija (4mg) tableta  "Cintrom";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10 </w:t>
      </w:r>
      <w:r w:rsidR="00EF0078">
        <w:rPr>
          <w:rFonts w:ascii="Calibri" w:eastAsia="Times New Roman" w:hAnsi="Calibri" w:cs="Calibri"/>
          <w:szCs w:val="24"/>
          <w:lang w:val="en-US"/>
        </w:rPr>
        <w:t>kutija (10mg) tableta "Frisium"</w:t>
      </w:r>
      <w:r w:rsidRPr="00C76FE8">
        <w:rPr>
          <w:rFonts w:ascii="Calibri" w:eastAsia="Times New Roman" w:hAnsi="Calibri" w:cs="Calibri"/>
          <w:szCs w:val="24"/>
          <w:lang w:val="en-US"/>
        </w:rPr>
        <w:t>; 30 ku</w:t>
      </w:r>
      <w:r w:rsidR="00EF0078">
        <w:rPr>
          <w:rFonts w:ascii="Calibri" w:eastAsia="Times New Roman" w:hAnsi="Calibri" w:cs="Calibri"/>
          <w:szCs w:val="24"/>
          <w:lang w:val="en-US"/>
        </w:rPr>
        <w:t>tija (5mg) kapi za oči "Cospot"</w:t>
      </w:r>
      <w:r w:rsidRPr="00C76FE8">
        <w:rPr>
          <w:rFonts w:ascii="Calibri" w:eastAsia="Times New Roman" w:hAnsi="Calibri" w:cs="Calibri"/>
          <w:szCs w:val="24"/>
          <w:lang w:val="en-US"/>
        </w:rPr>
        <w:t>; 3 kutije (20m</w:t>
      </w:r>
      <w:r w:rsidR="00EF0078">
        <w:rPr>
          <w:rFonts w:ascii="Calibri" w:eastAsia="Times New Roman" w:hAnsi="Calibri" w:cs="Calibri"/>
          <w:szCs w:val="24"/>
          <w:lang w:val="en-US"/>
        </w:rPr>
        <w:t>g) "Hydrocortisone"</w:t>
      </w:r>
      <w:r w:rsidRPr="00C76FE8">
        <w:rPr>
          <w:rFonts w:ascii="Calibri" w:eastAsia="Times New Roman" w:hAnsi="Calibri" w:cs="Calibri"/>
          <w:szCs w:val="24"/>
          <w:lang w:val="en-US"/>
        </w:rPr>
        <w:t>; 40 kutija (500mg) film tableta "Ciprocinal" ; 29 kutija (50</w:t>
      </w:r>
      <w:r w:rsidR="00EF0078">
        <w:rPr>
          <w:rFonts w:ascii="Calibri" w:eastAsia="Times New Roman" w:hAnsi="Calibri" w:cs="Calibri"/>
          <w:szCs w:val="24"/>
          <w:lang w:val="en-US"/>
        </w:rPr>
        <w:t>mg) gela 1% "Voltaren Emvlegel"</w:t>
      </w:r>
      <w:r w:rsidRPr="00C76FE8">
        <w:rPr>
          <w:rFonts w:ascii="Calibri" w:eastAsia="Times New Roman" w:hAnsi="Calibri" w:cs="Calibri"/>
          <w:szCs w:val="24"/>
          <w:lang w:val="en-US"/>
        </w:rPr>
        <w:t xml:space="preserve">; 10 </w:t>
      </w:r>
      <w:r w:rsidR="00EF0078">
        <w:rPr>
          <w:rFonts w:ascii="Calibri" w:eastAsia="Times New Roman" w:hAnsi="Calibri" w:cs="Calibri"/>
          <w:szCs w:val="24"/>
          <w:lang w:val="en-US"/>
        </w:rPr>
        <w:t>kutija (25mg) tableta "Prazine"</w:t>
      </w:r>
      <w:r w:rsidRPr="00C76FE8">
        <w:rPr>
          <w:rFonts w:ascii="Calibri" w:eastAsia="Times New Roman" w:hAnsi="Calibri" w:cs="Calibri"/>
          <w:szCs w:val="24"/>
          <w:lang w:val="en-US"/>
        </w:rPr>
        <w:t>; 101 kutija (</w:t>
      </w:r>
      <w:r w:rsidR="00EF0078">
        <w:rPr>
          <w:rFonts w:ascii="Calibri" w:eastAsia="Times New Roman" w:hAnsi="Calibri" w:cs="Calibri"/>
          <w:szCs w:val="24"/>
          <w:lang w:val="en-US"/>
        </w:rPr>
        <w:t>o,5mg/1mg/10mg) masti "Triderm"</w:t>
      </w:r>
      <w:r w:rsidRPr="00C76FE8">
        <w:rPr>
          <w:rFonts w:ascii="Calibri" w:eastAsia="Times New Roman" w:hAnsi="Calibri" w:cs="Calibri"/>
          <w:szCs w:val="24"/>
          <w:lang w:val="en-US"/>
        </w:rPr>
        <w:t>;</w:t>
      </w:r>
      <w:r w:rsidR="00EF0078">
        <w:rPr>
          <w:rFonts w:ascii="Calibri" w:eastAsia="Times New Roman" w:hAnsi="Calibri" w:cs="Calibri"/>
          <w:szCs w:val="24"/>
          <w:lang w:val="en-US"/>
        </w:rPr>
        <w:t xml:space="preserve"> </w:t>
      </w:r>
      <w:r w:rsidRPr="00C76FE8">
        <w:rPr>
          <w:rFonts w:ascii="Calibri" w:eastAsia="Times New Roman" w:hAnsi="Calibri" w:cs="Calibri"/>
          <w:szCs w:val="24"/>
          <w:lang w:val="en-US"/>
        </w:rPr>
        <w:t>5 kutija hrane za posebne</w:t>
      </w:r>
      <w:r w:rsidR="00EF0078">
        <w:rPr>
          <w:rFonts w:ascii="Calibri" w:eastAsia="Times New Roman" w:hAnsi="Calibri" w:cs="Calibri"/>
          <w:szCs w:val="24"/>
          <w:lang w:val="en-US"/>
        </w:rPr>
        <w:t xml:space="preserve"> medicinske namjene "Cartinorm"</w:t>
      </w:r>
      <w:r w:rsidRPr="00C76FE8">
        <w:rPr>
          <w:rFonts w:ascii="Calibri" w:eastAsia="Times New Roman" w:hAnsi="Calibri" w:cs="Calibri"/>
          <w:szCs w:val="24"/>
          <w:lang w:val="en-US"/>
        </w:rPr>
        <w:t>; 3 ku</w:t>
      </w:r>
      <w:r w:rsidR="00EF0078">
        <w:rPr>
          <w:rFonts w:ascii="Calibri" w:eastAsia="Times New Roman" w:hAnsi="Calibri" w:cs="Calibri"/>
          <w:szCs w:val="24"/>
          <w:lang w:val="en-US"/>
        </w:rPr>
        <w:t>tije gel 2%  "Voltaren Emulgel"</w:t>
      </w:r>
      <w:r w:rsidRPr="00C76FE8">
        <w:rPr>
          <w:rFonts w:ascii="Calibri" w:eastAsia="Times New Roman" w:hAnsi="Calibri" w:cs="Calibri"/>
          <w:szCs w:val="24"/>
          <w:lang w:val="en-US"/>
        </w:rPr>
        <w:t>; 3 kutije (150mg) tableta "Irbenida" 106 ku</w:t>
      </w:r>
      <w:r w:rsidR="00EF0078">
        <w:rPr>
          <w:rFonts w:ascii="Calibri" w:eastAsia="Times New Roman" w:hAnsi="Calibri" w:cs="Calibri"/>
          <w:szCs w:val="24"/>
          <w:lang w:val="en-US"/>
        </w:rPr>
        <w:t>tija masti 0,1% (15mg) "Elocom"</w:t>
      </w:r>
      <w:r w:rsidRPr="00C76FE8">
        <w:rPr>
          <w:rFonts w:ascii="Calibri" w:eastAsia="Times New Roman" w:hAnsi="Calibri" w:cs="Calibri"/>
          <w:szCs w:val="24"/>
          <w:lang w:val="en-US"/>
        </w:rPr>
        <w:t>; 5 kutija tableta (60mg) "Diaprel MR" ; 48 kutija ka</w:t>
      </w:r>
      <w:r w:rsidR="00EF0078">
        <w:rPr>
          <w:rFonts w:ascii="Calibri" w:eastAsia="Times New Roman" w:hAnsi="Calibri" w:cs="Calibri"/>
          <w:szCs w:val="24"/>
          <w:lang w:val="en-US"/>
        </w:rPr>
        <w:t xml:space="preserve">pi za oči (5ml) 0,2% "Alphagan"; 5 kutija ampula "Deposelin"; 9 kutija tableta </w:t>
      </w:r>
      <w:r w:rsidRPr="00C76FE8">
        <w:rPr>
          <w:rFonts w:ascii="Calibri" w:eastAsia="Times New Roman" w:hAnsi="Calibri" w:cs="Calibri"/>
          <w:szCs w:val="24"/>
          <w:lang w:val="en-US"/>
        </w:rPr>
        <w:t>(2mg) "Ri</w:t>
      </w:r>
      <w:r w:rsidR="00EF0078">
        <w:rPr>
          <w:rFonts w:ascii="Calibri" w:eastAsia="Times New Roman" w:hAnsi="Calibri" w:cs="Calibri"/>
          <w:szCs w:val="24"/>
          <w:lang w:val="en-US"/>
        </w:rPr>
        <w:t>ssar"</w:t>
      </w:r>
      <w:r w:rsidRPr="00C76FE8">
        <w:rPr>
          <w:rFonts w:ascii="Calibri" w:eastAsia="Times New Roman" w:hAnsi="Calibri" w:cs="Calibri"/>
          <w:szCs w:val="24"/>
          <w:lang w:val="en-US"/>
        </w:rPr>
        <w:t>; 5 kutija tableta (75mg) "Velafax" ; 7 kutija kapsula (150mg) "Diflucan" 2 kutij</w:t>
      </w:r>
      <w:r w:rsidR="00EF0078">
        <w:rPr>
          <w:rFonts w:ascii="Calibri" w:eastAsia="Times New Roman" w:hAnsi="Calibri" w:cs="Calibri"/>
          <w:szCs w:val="24"/>
          <w:lang w:val="en-US"/>
        </w:rPr>
        <w:t>e tableta (2mg/0,03mg) "Jeanin"</w:t>
      </w:r>
      <w:r w:rsidRPr="00C76FE8">
        <w:rPr>
          <w:rFonts w:ascii="Calibri" w:eastAsia="Times New Roman" w:hAnsi="Calibri" w:cs="Calibri"/>
          <w:szCs w:val="24"/>
          <w:lang w:val="en-US"/>
        </w:rPr>
        <w:t xml:space="preserve">; 2 </w:t>
      </w:r>
      <w:r w:rsidR="00EF0078">
        <w:rPr>
          <w:rFonts w:ascii="Calibri" w:eastAsia="Times New Roman" w:hAnsi="Calibri" w:cs="Calibri"/>
          <w:szCs w:val="24"/>
          <w:lang w:val="en-US"/>
        </w:rPr>
        <w:t>kutije tableta (37,5) "Velafax"</w:t>
      </w:r>
      <w:r w:rsidRPr="00C76FE8">
        <w:rPr>
          <w:rFonts w:ascii="Calibri" w:eastAsia="Times New Roman" w:hAnsi="Calibri" w:cs="Calibri"/>
          <w:szCs w:val="24"/>
          <w:lang w:val="en-US"/>
        </w:rPr>
        <w:t>; 5n kutija tableta (500mg) "Sumamed" ; 2 k</w:t>
      </w:r>
      <w:r w:rsidR="00EF0078">
        <w:rPr>
          <w:rFonts w:ascii="Calibri" w:eastAsia="Times New Roman" w:hAnsi="Calibri" w:cs="Calibri"/>
          <w:szCs w:val="24"/>
          <w:lang w:val="en-US"/>
        </w:rPr>
        <w:t>utije tableta (20mg) "Hollesta"</w:t>
      </w:r>
      <w:r w:rsidRPr="00C76FE8">
        <w:rPr>
          <w:rFonts w:ascii="Calibri" w:eastAsia="Times New Roman" w:hAnsi="Calibri" w:cs="Calibri"/>
          <w:szCs w:val="24"/>
          <w:lang w:val="en-US"/>
        </w:rPr>
        <w:t>; 10 kutija kapi za oči (1</w:t>
      </w:r>
      <w:r w:rsidR="00EF0078">
        <w:rPr>
          <w:rFonts w:ascii="Calibri" w:eastAsia="Times New Roman" w:hAnsi="Calibri" w:cs="Calibri"/>
          <w:szCs w:val="24"/>
          <w:lang w:val="en-US"/>
        </w:rPr>
        <w:t>mg/ml) "Nevanac"</w:t>
      </w:r>
      <w:r w:rsidRPr="00C76FE8">
        <w:rPr>
          <w:rFonts w:ascii="Calibri" w:eastAsia="Times New Roman" w:hAnsi="Calibri" w:cs="Calibri"/>
          <w:szCs w:val="24"/>
          <w:lang w:val="en-US"/>
        </w:rPr>
        <w:t>; 14 kutija tableta (400mg) "Pancef" ; 100 kutija tableta (400mg) "Bactrim" ; 5 kutija tableta (160mg/12,5mg) "Valsacombi" ; 13 kutija tableta (50mg) "Zoloft" ; 24 kutije tableta (35mg) "Productal MR" ; 5 kutija tableta (2,5mg/6,25mg) "Lodoz"; 3</w:t>
      </w:r>
      <w:r w:rsidR="00EF0078">
        <w:rPr>
          <w:rFonts w:ascii="Calibri" w:eastAsia="Times New Roman" w:hAnsi="Calibri" w:cs="Calibri"/>
          <w:szCs w:val="24"/>
          <w:lang w:val="en-US"/>
        </w:rPr>
        <w:t xml:space="preserve"> kutije kapsula (75mg) "Lyrica"</w:t>
      </w:r>
      <w:r w:rsidRPr="00C76FE8">
        <w:rPr>
          <w:rFonts w:ascii="Calibri" w:eastAsia="Times New Roman" w:hAnsi="Calibri" w:cs="Calibri"/>
          <w:szCs w:val="24"/>
          <w:lang w:val="en-US"/>
        </w:rPr>
        <w:t>; 10 kutija tableta (2mg) "Rivatril" ; 5 kutija tableta (5mg) "Norvasc" ; 8 kutija tableta (10mg) "Norvasc" ; 6 kutija tableta (40mg) "Sortis" ; 6 kutija tableta (20mg) "Sortis" ; 29 kutija rastvora za inhalaciju (5mg/</w:t>
      </w:r>
      <w:r w:rsidR="00EF0078">
        <w:rPr>
          <w:rFonts w:ascii="Calibri" w:eastAsia="Times New Roman" w:hAnsi="Calibri" w:cs="Calibri"/>
          <w:szCs w:val="24"/>
          <w:lang w:val="en-US"/>
        </w:rPr>
        <w:t>ml) "Spalmotil"</w:t>
      </w:r>
      <w:r w:rsidRPr="00C76FE8">
        <w:rPr>
          <w:rFonts w:ascii="Calibri" w:eastAsia="Times New Roman" w:hAnsi="Calibri" w:cs="Calibri"/>
          <w:szCs w:val="24"/>
          <w:lang w:val="en-US"/>
        </w:rPr>
        <w:t>; 14 k</w:t>
      </w:r>
      <w:r w:rsidR="00EF0078">
        <w:rPr>
          <w:rFonts w:ascii="Calibri" w:eastAsia="Times New Roman" w:hAnsi="Calibri" w:cs="Calibri"/>
          <w:szCs w:val="24"/>
          <w:lang w:val="en-US"/>
        </w:rPr>
        <w:t>utija tableta (500mg) "Orvagil"</w:t>
      </w:r>
      <w:r w:rsidRPr="00C76FE8">
        <w:rPr>
          <w:rFonts w:ascii="Calibri" w:eastAsia="Times New Roman" w:hAnsi="Calibri" w:cs="Calibri"/>
          <w:szCs w:val="24"/>
          <w:lang w:val="en-US"/>
        </w:rPr>
        <w:t xml:space="preserve">; 40 kutija </w:t>
      </w:r>
      <w:r w:rsidR="00EF0078">
        <w:rPr>
          <w:rFonts w:ascii="Calibri" w:eastAsia="Times New Roman" w:hAnsi="Calibri" w:cs="Calibri"/>
          <w:szCs w:val="24"/>
          <w:lang w:val="en-US"/>
        </w:rPr>
        <w:t>kapsula (100mg) "Gabagamma 100"</w:t>
      </w:r>
      <w:r w:rsidRPr="00C76FE8">
        <w:rPr>
          <w:rFonts w:ascii="Calibri" w:eastAsia="Times New Roman" w:hAnsi="Calibri" w:cs="Calibri"/>
          <w:szCs w:val="24"/>
          <w:lang w:val="en-US"/>
        </w:rPr>
        <w:t xml:space="preserve">; 2 kutije tableta (75mg) "Velafax" ; 5 kutija kapsula "Rowachol" ; 20 </w:t>
      </w:r>
      <w:r w:rsidR="00EF0078">
        <w:rPr>
          <w:rFonts w:ascii="Calibri" w:eastAsia="Times New Roman" w:hAnsi="Calibri" w:cs="Calibri"/>
          <w:szCs w:val="24"/>
          <w:lang w:val="en-US"/>
        </w:rPr>
        <w:t>kutija tableta (30mg) "Calixta"</w:t>
      </w:r>
      <w:r w:rsidRPr="00C76FE8">
        <w:rPr>
          <w:rFonts w:ascii="Calibri" w:eastAsia="Times New Roman" w:hAnsi="Calibri" w:cs="Calibri"/>
          <w:szCs w:val="24"/>
          <w:lang w:val="en-US"/>
        </w:rPr>
        <w:t>; 50 kutija tableta (5mg) "Xyzal" ; 8 kutija kapsula (10mg) "Roaccutan" ; 15 kutija kapsula (20mg) "Roacuttan" ; 5 kutija kapsula (120mg) "Xenical" ; 6 kutija tableta (4mg) "Sirdalud" ; 4 kutije masti (1x50g) "Bengal" ; 4 kutije tableta "Nimulid MD" ; 10 k</w:t>
      </w:r>
      <w:r w:rsidR="00EF0078">
        <w:rPr>
          <w:rFonts w:ascii="Calibri" w:eastAsia="Times New Roman" w:hAnsi="Calibri" w:cs="Calibri"/>
          <w:szCs w:val="24"/>
          <w:lang w:val="en-US"/>
        </w:rPr>
        <w:t>utija tableta (250mg) "Orvagil"</w:t>
      </w:r>
      <w:r w:rsidRPr="00C76FE8">
        <w:rPr>
          <w:rFonts w:ascii="Calibri" w:eastAsia="Times New Roman" w:hAnsi="Calibri" w:cs="Calibri"/>
          <w:szCs w:val="24"/>
          <w:lang w:val="en-US"/>
        </w:rPr>
        <w:t>; 10 kutija tableta (50</w:t>
      </w:r>
      <w:r w:rsidR="00EF0078">
        <w:rPr>
          <w:rFonts w:ascii="Calibri" w:eastAsia="Times New Roman" w:hAnsi="Calibri" w:cs="Calibri"/>
          <w:szCs w:val="24"/>
          <w:lang w:val="en-US"/>
        </w:rPr>
        <w:t>mg) "Hemopres"</w:t>
      </w:r>
      <w:r w:rsidRPr="00C76FE8">
        <w:rPr>
          <w:rFonts w:ascii="Calibri" w:eastAsia="Times New Roman" w:hAnsi="Calibri" w:cs="Calibri"/>
          <w:szCs w:val="24"/>
          <w:lang w:val="en-US"/>
        </w:rPr>
        <w:t>; 10 kut</w:t>
      </w:r>
      <w:r w:rsidR="00EF0078">
        <w:rPr>
          <w:rFonts w:ascii="Calibri" w:eastAsia="Times New Roman" w:hAnsi="Calibri" w:cs="Calibri"/>
          <w:szCs w:val="24"/>
          <w:lang w:val="en-US"/>
        </w:rPr>
        <w:t>ija gela 1% (20mg) "Clindasome"</w:t>
      </w:r>
      <w:r w:rsidRPr="00C76FE8">
        <w:rPr>
          <w:rFonts w:ascii="Calibri" w:eastAsia="Times New Roman" w:hAnsi="Calibri" w:cs="Calibri"/>
          <w:szCs w:val="24"/>
          <w:lang w:val="en-US"/>
        </w:rPr>
        <w:t>; 20 kutija</w:t>
      </w:r>
      <w:r w:rsidR="00EF0078">
        <w:rPr>
          <w:rFonts w:ascii="Calibri" w:eastAsia="Times New Roman" w:hAnsi="Calibri" w:cs="Calibri"/>
          <w:szCs w:val="24"/>
          <w:lang w:val="en-US"/>
        </w:rPr>
        <w:t xml:space="preserve"> tableta (60mg/2,5mg) "Rinasek"</w:t>
      </w:r>
      <w:r w:rsidRPr="00C76FE8">
        <w:rPr>
          <w:rFonts w:ascii="Calibri" w:eastAsia="Times New Roman" w:hAnsi="Calibri" w:cs="Calibri"/>
          <w:szCs w:val="24"/>
          <w:lang w:val="en-US"/>
        </w:rPr>
        <w:t>; 40 ku</w:t>
      </w:r>
      <w:r w:rsidR="00EF0078">
        <w:rPr>
          <w:rFonts w:ascii="Calibri" w:eastAsia="Times New Roman" w:hAnsi="Calibri" w:cs="Calibri"/>
          <w:szCs w:val="24"/>
          <w:lang w:val="en-US"/>
        </w:rPr>
        <w:t>tija tableta (2mg) "Klonazepam Remedica"</w:t>
      </w:r>
      <w:r w:rsidRPr="00C76FE8">
        <w:rPr>
          <w:rFonts w:ascii="Calibri" w:eastAsia="Times New Roman" w:hAnsi="Calibri" w:cs="Calibri"/>
          <w:szCs w:val="24"/>
          <w:lang w:val="en-US"/>
        </w:rPr>
        <w:t>; 70 kutija tableta (20mg) "Famatidin HF" ; 40 kutija kapi za oči (1mg/ml 3,5mg) "Neodeksacin" ; 30 kutija masti za</w:t>
      </w:r>
      <w:r w:rsidR="00EF0078">
        <w:rPr>
          <w:rFonts w:ascii="Calibri" w:eastAsia="Times New Roman" w:hAnsi="Calibri" w:cs="Calibri"/>
          <w:szCs w:val="24"/>
          <w:lang w:val="en-US"/>
        </w:rPr>
        <w:t xml:space="preserve"> oči 1% (5g)  "Chloramphenicol"</w:t>
      </w:r>
      <w:r w:rsidRPr="00C76FE8">
        <w:rPr>
          <w:rFonts w:ascii="Calibri" w:eastAsia="Times New Roman" w:hAnsi="Calibri" w:cs="Calibri"/>
          <w:szCs w:val="24"/>
          <w:lang w:val="en-US"/>
        </w:rPr>
        <w:t xml:space="preserve">; 46 kutija tableta (5mg) "Diazepam HF" ; 40 kutija masti (10ml) "Dexamethason" ; 10 kutija tableta (20mg) "Cialis" ; 10 kutija tableta (50mg) "Imigran" ; 20 kutija tableta (5mg) "Nebilet" ; 18 kutija </w:t>
      </w:r>
      <w:r w:rsidR="00EF0078">
        <w:rPr>
          <w:rFonts w:ascii="Calibri" w:eastAsia="Times New Roman" w:hAnsi="Calibri" w:cs="Calibri"/>
          <w:szCs w:val="24"/>
          <w:lang w:val="en-US"/>
        </w:rPr>
        <w:t>sprejeva za nos (18g) "Nasonex"</w:t>
      </w:r>
      <w:r w:rsidRPr="00C76FE8">
        <w:rPr>
          <w:rFonts w:ascii="Calibri" w:eastAsia="Times New Roman" w:hAnsi="Calibri" w:cs="Calibri"/>
          <w:szCs w:val="24"/>
          <w:lang w:val="en-US"/>
        </w:rPr>
        <w:t>; 4 bočice za ublaža</w:t>
      </w:r>
      <w:r w:rsidR="00EF0078">
        <w:rPr>
          <w:rFonts w:ascii="Calibri" w:eastAsia="Times New Roman" w:hAnsi="Calibri" w:cs="Calibri"/>
          <w:szCs w:val="24"/>
          <w:lang w:val="en-US"/>
        </w:rPr>
        <w:t>vanje bolova (59ml) "Biofreeze"</w:t>
      </w:r>
      <w:r w:rsidRPr="00C76FE8">
        <w:rPr>
          <w:rFonts w:ascii="Calibri" w:eastAsia="Times New Roman" w:hAnsi="Calibri" w:cs="Calibri"/>
          <w:szCs w:val="24"/>
          <w:lang w:val="en-US"/>
        </w:rPr>
        <w:t xml:space="preserve">; 5 </w:t>
      </w:r>
      <w:r w:rsidR="00EF0078">
        <w:rPr>
          <w:rFonts w:ascii="Calibri" w:eastAsia="Times New Roman" w:hAnsi="Calibri" w:cs="Calibri"/>
          <w:szCs w:val="24"/>
          <w:lang w:val="en-US"/>
        </w:rPr>
        <w:t>kutija sprejeva za nos "Avamys"</w:t>
      </w:r>
      <w:r w:rsidRPr="00C76FE8">
        <w:rPr>
          <w:rFonts w:ascii="Calibri" w:eastAsia="Times New Roman" w:hAnsi="Calibri" w:cs="Calibri"/>
          <w:szCs w:val="24"/>
          <w:lang w:val="en-US"/>
        </w:rPr>
        <w:t>; 50 kutija tableta (5mg/25mg) "Tritace" ; 11</w:t>
      </w:r>
      <w:r w:rsidR="00EF0078">
        <w:rPr>
          <w:rFonts w:ascii="Calibri" w:eastAsia="Times New Roman" w:hAnsi="Calibri" w:cs="Calibri"/>
          <w:szCs w:val="24"/>
          <w:lang w:val="en-US"/>
        </w:rPr>
        <w:t xml:space="preserve"> kutija tableta (75mg) "Plavix"</w:t>
      </w:r>
      <w:r w:rsidRPr="00C76FE8">
        <w:rPr>
          <w:rFonts w:ascii="Calibri" w:eastAsia="Times New Roman" w:hAnsi="Calibri" w:cs="Calibri"/>
          <w:szCs w:val="24"/>
          <w:lang w:val="en-US"/>
        </w:rPr>
        <w:t xml:space="preserve">; 5 kutija </w:t>
      </w:r>
      <w:r w:rsidR="00EF0078">
        <w:rPr>
          <w:rFonts w:ascii="Calibri" w:eastAsia="Times New Roman" w:hAnsi="Calibri" w:cs="Calibri"/>
          <w:szCs w:val="24"/>
          <w:lang w:val="en-US"/>
        </w:rPr>
        <w:lastRenderedPageBreak/>
        <w:t>tableta (5mg) "Vazotal"</w:t>
      </w:r>
      <w:r w:rsidRPr="00C76FE8">
        <w:rPr>
          <w:rFonts w:ascii="Calibri" w:eastAsia="Times New Roman" w:hAnsi="Calibri" w:cs="Calibri"/>
          <w:szCs w:val="24"/>
          <w:lang w:val="en-US"/>
        </w:rPr>
        <w:t>; 15 kutija tableta (5mg</w:t>
      </w:r>
      <w:r w:rsidR="00EF0078">
        <w:rPr>
          <w:rFonts w:ascii="Calibri" w:eastAsia="Times New Roman" w:hAnsi="Calibri" w:cs="Calibri"/>
          <w:szCs w:val="24"/>
          <w:lang w:val="en-US"/>
        </w:rPr>
        <w:t>) "Aerius"</w:t>
      </w:r>
      <w:r w:rsidRPr="00C76FE8">
        <w:rPr>
          <w:rFonts w:ascii="Calibri" w:eastAsia="Times New Roman" w:hAnsi="Calibri" w:cs="Calibri"/>
          <w:szCs w:val="24"/>
          <w:lang w:val="en-US"/>
        </w:rPr>
        <w:t>; 40 k</w:t>
      </w:r>
      <w:r w:rsidR="00EF0078">
        <w:rPr>
          <w:rFonts w:ascii="Calibri" w:eastAsia="Times New Roman" w:hAnsi="Calibri" w:cs="Calibri"/>
          <w:szCs w:val="24"/>
          <w:lang w:val="en-US"/>
        </w:rPr>
        <w:t>utija tableta (100mg) "Nimulid"</w:t>
      </w:r>
      <w:r w:rsidRPr="00C76FE8">
        <w:rPr>
          <w:rFonts w:ascii="Calibri" w:eastAsia="Times New Roman" w:hAnsi="Calibri" w:cs="Calibri"/>
          <w:szCs w:val="24"/>
          <w:lang w:val="en-US"/>
        </w:rPr>
        <w:t>; 10 kuti</w:t>
      </w:r>
      <w:r w:rsidR="00EF0078">
        <w:rPr>
          <w:rFonts w:ascii="Calibri" w:eastAsia="Times New Roman" w:hAnsi="Calibri" w:cs="Calibri"/>
          <w:szCs w:val="24"/>
          <w:lang w:val="en-US"/>
        </w:rPr>
        <w:t>ja tableta (6,25mg) "Dilatrend"</w:t>
      </w:r>
      <w:r w:rsidRPr="00C76FE8">
        <w:rPr>
          <w:rFonts w:ascii="Calibri" w:eastAsia="Times New Roman" w:hAnsi="Calibri" w:cs="Calibri"/>
          <w:szCs w:val="24"/>
          <w:lang w:val="en-US"/>
        </w:rPr>
        <w:t>; 5 ku</w:t>
      </w:r>
      <w:r w:rsidR="00EF0078">
        <w:rPr>
          <w:rFonts w:ascii="Calibri" w:eastAsia="Times New Roman" w:hAnsi="Calibri" w:cs="Calibri"/>
          <w:szCs w:val="24"/>
          <w:lang w:val="en-US"/>
        </w:rPr>
        <w:t>tija tableta (50mg) "Letrox 50"</w:t>
      </w:r>
      <w:r w:rsidRPr="00C76FE8">
        <w:rPr>
          <w:rFonts w:ascii="Calibri" w:eastAsia="Times New Roman" w:hAnsi="Calibri" w:cs="Calibri"/>
          <w:szCs w:val="24"/>
          <w:lang w:val="en-US"/>
        </w:rPr>
        <w:t xml:space="preserve">; 10 kutija tableta (200mg) </w:t>
      </w:r>
    </w:p>
    <w:p w:rsidR="00C76FE8" w:rsidRPr="00C76FE8" w:rsidRDefault="00EF0078"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"Febricet"</w:t>
      </w:r>
      <w:r w:rsidR="00C76FE8" w:rsidRPr="00C76FE8">
        <w:rPr>
          <w:rFonts w:ascii="Calibri" w:eastAsia="Times New Roman" w:hAnsi="Calibri" w:cs="Calibri"/>
          <w:szCs w:val="24"/>
          <w:lang w:val="en-US"/>
        </w:rPr>
        <w:t>; 3 k</w:t>
      </w:r>
      <w:r>
        <w:rPr>
          <w:rFonts w:ascii="Calibri" w:eastAsia="Times New Roman" w:hAnsi="Calibri" w:cs="Calibri"/>
          <w:szCs w:val="24"/>
          <w:lang w:val="en-US"/>
        </w:rPr>
        <w:t>utije tableta (300mg) "Irbenid"</w:t>
      </w:r>
      <w:r w:rsidR="00C76FE8" w:rsidRPr="00C76FE8">
        <w:rPr>
          <w:rFonts w:ascii="Calibri" w:eastAsia="Times New Roman" w:hAnsi="Calibri" w:cs="Calibri"/>
          <w:szCs w:val="24"/>
          <w:lang w:val="en-US"/>
        </w:rPr>
        <w:t>; 3 kuti</w:t>
      </w:r>
      <w:r>
        <w:rPr>
          <w:rFonts w:ascii="Calibri" w:eastAsia="Times New Roman" w:hAnsi="Calibri" w:cs="Calibri"/>
          <w:szCs w:val="24"/>
          <w:lang w:val="en-US"/>
        </w:rPr>
        <w:t>je kapsula (22% gama) "Alanerv"</w:t>
      </w:r>
      <w:r w:rsidR="00C76FE8" w:rsidRPr="00C76FE8">
        <w:rPr>
          <w:rFonts w:ascii="Calibri" w:eastAsia="Times New Roman" w:hAnsi="Calibri" w:cs="Calibri"/>
          <w:szCs w:val="24"/>
          <w:lang w:val="en-US"/>
        </w:rPr>
        <w:t xml:space="preserve">; 5 kutija tableta (24mg) "Betaserc" ; 9 kutija kapi za oči (2,5ml) "Xalatan" ; 80 </w:t>
      </w:r>
      <w:r>
        <w:rPr>
          <w:rFonts w:ascii="Calibri" w:eastAsia="Times New Roman" w:hAnsi="Calibri" w:cs="Calibri"/>
          <w:szCs w:val="24"/>
          <w:lang w:val="en-US"/>
        </w:rPr>
        <w:t>kutija tableta (500mg) "Edemid"</w:t>
      </w:r>
      <w:r w:rsidR="00C76FE8" w:rsidRPr="00C76FE8">
        <w:rPr>
          <w:rFonts w:ascii="Calibri" w:eastAsia="Times New Roman" w:hAnsi="Calibri" w:cs="Calibri"/>
          <w:szCs w:val="24"/>
          <w:lang w:val="en-US"/>
        </w:rPr>
        <w:t xml:space="preserve">; 2 kutije sirupa (o,5mg/ml) "Aerius"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Segoe UI Symbol" w:hAnsi="Calibri" w:cs="Calibri"/>
          <w:szCs w:val="24"/>
          <w:lang w:val="en-US"/>
        </w:rPr>
        <w:t></w:t>
      </w:r>
      <w:r w:rsidRPr="00C76FE8">
        <w:rPr>
          <w:rFonts w:ascii="Calibri" w:eastAsia="Arial" w:hAnsi="Calibri" w:cs="Calibri"/>
          <w:szCs w:val="24"/>
          <w:lang w:val="en-US"/>
        </w:rPr>
        <w:t xml:space="preserve"> </w:t>
      </w:r>
      <w:r w:rsidRPr="00C76FE8">
        <w:rPr>
          <w:rFonts w:ascii="Calibri" w:eastAsia="Times New Roman" w:hAnsi="Calibri" w:cs="Calibri"/>
          <w:szCs w:val="24"/>
          <w:lang w:val="en-US"/>
        </w:rPr>
        <w:t>366 kom. razne muške i ženske  garderobe – koja je Odlukom o donaciji u humanitarne svrhe br.0201/4266 od dana 18.05.2020.godine donirana Crvenom krstu u Rožajama. 4)</w:t>
      </w:r>
      <w:r w:rsidRPr="00C76FE8">
        <w:rPr>
          <w:rFonts w:ascii="Calibri" w:eastAsia="Arial" w:hAnsi="Calibri" w:cs="Calibri"/>
          <w:szCs w:val="24"/>
          <w:lang w:val="en-US"/>
        </w:rPr>
        <w:t xml:space="preserve"> </w:t>
      </w:r>
      <w:r w:rsidRPr="00C76FE8">
        <w:rPr>
          <w:rFonts w:ascii="Calibri" w:eastAsia="Times New Roman" w:hAnsi="Calibri" w:cs="Calibri"/>
          <w:szCs w:val="24"/>
          <w:lang w:val="en-US"/>
        </w:rPr>
        <w:t>Uprava za</w:t>
      </w:r>
      <w:r w:rsidR="0046766A">
        <w:rPr>
          <w:rFonts w:ascii="Calibri" w:eastAsia="Times New Roman" w:hAnsi="Calibri" w:cs="Calibri"/>
          <w:szCs w:val="24"/>
          <w:lang w:val="en-US"/>
        </w:rPr>
        <w:t xml:space="preserve"> imovinu je sprovela izvršenje </w:t>
      </w:r>
      <w:r w:rsidRPr="00C76FE8">
        <w:rPr>
          <w:rFonts w:ascii="Calibri" w:eastAsia="Times New Roman" w:hAnsi="Calibri" w:cs="Calibri"/>
          <w:szCs w:val="24"/>
          <w:lang w:val="en-US"/>
        </w:rPr>
        <w:t>rješenja Osnovnog suda u Podgorici K.br.509/19 od 11.02.2020.</w:t>
      </w:r>
      <w:r w:rsidR="0046766A">
        <w:rPr>
          <w:rFonts w:ascii="Calibri" w:eastAsia="Times New Roman" w:hAnsi="Calibri" w:cs="Calibri"/>
          <w:szCs w:val="24"/>
          <w:lang w:val="en-US"/>
        </w:rPr>
        <w:t xml:space="preserve"> </w:t>
      </w:r>
      <w:r w:rsidRPr="00C76FE8">
        <w:rPr>
          <w:rFonts w:ascii="Calibri" w:eastAsia="Times New Roman" w:hAnsi="Calibri" w:cs="Calibri"/>
          <w:szCs w:val="24"/>
          <w:lang w:val="en-US"/>
        </w:rPr>
        <w:t xml:space="preserve">godine na osnovu kojeg je u Budžetu Crne Gore uplaćen iznos od  242,00€ koji se smatra kao stečena protiv pravna imovinska korist.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Po osnovu rješenja Višeg suda u Podgorici Kv.br.6/20 od  12.02.2020.godine kojim je izrečena mjera bezbjednosti trajno oduzimanje novca u iznosu od 1.650,00€, Uprava za imovinu je izvršila preuzimanje oduzetog novca i uplatila u Budžet Crne Gore.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Po osnovu rješenja Osnovnog suda u Rožajama Kv.br.39/20 od dana 25.02.2020.godine, Uprava za imovinu je preuzela trajno oduzetu pokretnu imovinu i to: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336 kutija raznih cigareta bez akcizne markice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Po osnovu rješenja Osnovnog suda u Nikšiću Kri.br.40/20 od dana 02.03.2020.godine, Uprava za imovinu je preuzela privremeno oduzetu pokretnu imovinu i to: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2 kom. samouslužnih terminala sa ser.brojevima T1GLD0059 I T1GLD00G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Po osnovu rješenja Osnovnog suda u Kotoru Posl.br.Kri.31/20 od dana 09.03.2020.godine, Uprava za imovinu je preuzela privremeno oduzetu pokretnu imovinu i to: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 kom. Samouslužni terminal bez serijskog broja;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18 km. Gaminatora-slot aparata sa sljedećim ser.brojevima: 618602, 618047, 679007,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679009, 444912, 444926, 444946, 300377, 300368, 300389, 300384, 388377, 388376, 444786, 444836, 444860, 444471, 388379 ; </w:t>
      </w:r>
      <w:r w:rsidRPr="00C76FE8">
        <w:rPr>
          <w:rFonts w:ascii="Calibri" w:eastAsia="Segoe UI Symbol" w:hAnsi="Calibri" w:cs="Calibri"/>
          <w:szCs w:val="24"/>
          <w:lang w:val="en-US"/>
        </w:rPr>
        <w:t></w:t>
      </w:r>
      <w:r w:rsidRPr="00C76FE8">
        <w:rPr>
          <w:rFonts w:ascii="Calibri" w:eastAsia="Arial" w:hAnsi="Calibri" w:cs="Calibri"/>
          <w:szCs w:val="24"/>
          <w:lang w:val="en-US"/>
        </w:rPr>
        <w:t xml:space="preserve"> </w:t>
      </w:r>
      <w:r w:rsidRPr="00C76FE8">
        <w:rPr>
          <w:rFonts w:ascii="Calibri" w:eastAsia="Times New Roman" w:hAnsi="Calibri" w:cs="Calibri"/>
          <w:szCs w:val="24"/>
          <w:lang w:val="en-US"/>
        </w:rPr>
        <w:t xml:space="preserve">1 kom. elektronski sto za osam igrača ser.broja 63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Po osnovu rješenja Osnovnog suda u Kotoru Posl.br.Kri.30/20 od dana 09.03.2020.godine, Uprava za imovinu je preuzela privremeno oduzetu pokretnu imovinu i to: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10 kom. terminal bez ser.broja i bez marke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10 kom.gaminatora Cobra sa sljedećim ser.brojevima: 363975, 363967, 364031, 143385, 239972, 143374, 380711, 355528, 380702, 364050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6 kom. super gaminatora sa sljedećim ser.brojevima: 444363, 618606, 474369, 618044, 618597, 174346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 kom. elektronski rulet sa 8 igračkih mjesta, tip Gaming machine american roullet, ser.broja 919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 kom. sto za Teksas Hold Em Pocker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 kom. multiscreen gaminator serijskig broja 300388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2 kom. blue liner sa sljedećim  ser.brojevima 0001062, 0001018, 0001075, 0001049 ; </w:t>
      </w:r>
      <w:r w:rsidRPr="00C76FE8">
        <w:rPr>
          <w:rFonts w:ascii="Calibri" w:eastAsia="Segoe UI Symbol" w:hAnsi="Calibri" w:cs="Calibri"/>
          <w:szCs w:val="24"/>
          <w:lang w:val="en-US"/>
        </w:rPr>
        <w:t></w:t>
      </w:r>
      <w:r w:rsidRPr="00C76FE8">
        <w:rPr>
          <w:rFonts w:ascii="Calibri" w:eastAsia="Arial" w:hAnsi="Calibri" w:cs="Calibri"/>
          <w:szCs w:val="24"/>
          <w:lang w:val="en-US"/>
        </w:rPr>
        <w:t xml:space="preserve"> </w:t>
      </w:r>
      <w:r w:rsidRPr="00C76FE8">
        <w:rPr>
          <w:rFonts w:ascii="Calibri" w:eastAsia="Times New Roman" w:hAnsi="Calibri" w:cs="Calibri"/>
          <w:szCs w:val="24"/>
          <w:lang w:val="en-US"/>
        </w:rPr>
        <w:t xml:space="preserve">2 kom. high flyer sa sljedećim  ser.brojevima 6094200119 i 6094200130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Po osnovu rješenja Višeg suda u Podgorici, Pom.br.45/20 od 12.03.2020.godine i zamolnice Knježevine Lihtenštajn br.13 UR.2019.102 , Uprava za imovinu je donijela naredbu o izvršenju  kojom se nalaže Universal Capital banci da uskrati isplatu novčanog iznosa od 1.375.000,00€.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lastRenderedPageBreak/>
        <w:t xml:space="preserve">Po osnovu potvrde o privremeno oduzetim stvarima Uprave policije-Odsjek za suzbijanje privrednog kriminaliteta broj 03/2042-8375 od dana 18.03.2020.godine, Uprava za imovinu je preuzela privremeno oduzetu pokretnu imovinu i to: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19 plastičnih boca medicinskog alkohola, 96℅ Etanol, zapremine 5L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28 plastičnih boca medicinskog alkohola, 96℅ Etanol, zapremine 1L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Nakon sprovođenja labaratorijskih analiza od strane Centra za ekotoksikološka ispitivanja Podgorica br.149/10/1 i br.150/10/1 uzeti uzorci odgovaraju uslovima standarda JUS E.M3.020 Etil akohola koji je ispravan za upotrebu. U skladu sa tim Uprava za imovinu je donijela Odluku o korišćenju medicinskog alkohola br.0201-2684 od dana 19.03.2020.godine za potrebe državne uprave i Karantina. </w:t>
      </w:r>
    </w:p>
    <w:p w:rsidR="00C76FE8" w:rsidRPr="00C76FE8" w:rsidRDefault="00C76FE8" w:rsidP="0046766A">
      <w:pPr>
        <w:spacing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Po osnovu rješenja Osnovnog suda u Rožajama Kri.br.27/20 od dana 09.04.2020.godine, Uprava za imovinu je preuzela privremeno oduzetu pokretnu imovinu i to: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1040 flaša gaziranih sokova Coca Cola od po 2L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72 flaše gaziranih sokova Fanta od po 2L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27 flaša gaziranih sokova Fanta Shokata od po 1,5L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42 flaše gaziranih sokova Remix kruška od po 1,5L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15 flaša gaziranih sokova Sprite od po 1,5L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144 flaša gaziranih sokova Coca Cola od po 0,5L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96 flaše gaziranih sokova Fanta od po 0,5L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24 flaša gaziranih sokova Fanta Shokata od po 0,5L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48 kom. limenki Guarane od po 0,33L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72 kom. limenki Ultra od po 0,33L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Nakon sprovođenja labaratorijskih analiza od strane Centra za ekotoksikološka ispitivanja Podgorica br.1905/02/1 , 1906/02/1 , 1904/2 i 1903/2 utvrđeno je  da se predmetna roba može koristiti. U skladu sa tim Uprava za imovinu je donijela Odluke  o poklonu u humanitarne svrhe br. 0201-3861 i 020-3862 od dana 04.05.2020.godine kojom se privremeno oduzeta pokretna imovina donira Upravi policije – Odjeljenju bezbjednosti u Rožajama i Crvenom krstu u Rožajama. 13) Po osnovu rješenja Višeg suda u Podgorici, Kri.br.74/20 od 29.04.2020.godine, Uprava za imovinu je preuzela sljedeću privremeno oduzetu pokretnu imovinu i to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Novac u iznosu od 3.444,50€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Po osnovu rješenja Osnovnog suda u Rožajama Kri.br.29/20 od dana  07.05.2020.godine i Kri.br.31/20 od dana 20.05.2020.godine, Uprava za imovinu je preuzela privremeno oduzetu pokretnu imovinu i to: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1.160 flaša gaziranih sokova Coca Cole od po 2L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616 flaša gaziranih sokova Fanta od po 2L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480 flaša gaziranih sokova Coca Cole od po 0,5L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360 flaša gaziranih sokova Fanta od po 0,5L ; </w:t>
      </w:r>
      <w:r w:rsidRPr="00C76FE8">
        <w:rPr>
          <w:rFonts w:ascii="Calibri" w:eastAsia="Segoe UI Symbol" w:hAnsi="Calibri" w:cs="Calibri"/>
          <w:szCs w:val="24"/>
          <w:lang w:val="en-US"/>
        </w:rPr>
        <w:t></w:t>
      </w:r>
      <w:r w:rsidRPr="00C76FE8">
        <w:rPr>
          <w:rFonts w:ascii="Calibri" w:eastAsia="Arial" w:hAnsi="Calibri" w:cs="Calibri"/>
          <w:szCs w:val="24"/>
          <w:lang w:val="en-US"/>
        </w:rPr>
        <w:t xml:space="preserve"> </w:t>
      </w:r>
      <w:r w:rsidRPr="00C76FE8">
        <w:rPr>
          <w:rFonts w:ascii="Calibri" w:eastAsia="Times New Roman" w:hAnsi="Calibri" w:cs="Calibri"/>
          <w:szCs w:val="24"/>
          <w:lang w:val="en-US"/>
        </w:rPr>
        <w:t xml:space="preserve">292 limenke Coca Cole od po 0,33L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423 flaše gaziranih sokova Coca Cole od po 1,5L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Nakon sprovođenja labaratorijskih analiza od strane Centra za ekotoksikološka ispitivanja Podgorica br.2514/02/01 i 2516/02/01 , utvrđeno je da se predmetna roba može koristiti. U skladu sa tim Uprava za imovinu je donijela Odluku  o poklonu u humanitarne svrhe br. 0201-6098 od dana 29.06.2020.godine kojim se privremeno oduzeta pokretna imovina donira  Crvenom krstu u Rožajama i Odluku o korišćenju lako kvarljive robe br.0201-6097 od dana 29.06.2020.godine komercijali Uprave za imovinu za potrebe bifea državne uprave.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Po osnovu rješenja Višeg suda u Podgorici, Kri.br.89/20 od 18.05.2020.godine, Uprava za imovinu je preuzela sljedeću privremeno oduzetu pokretnu imovinu i to : </w:t>
      </w:r>
    </w:p>
    <w:p w:rsidR="00C76FE8" w:rsidRPr="00C76FE8" w:rsidRDefault="00DF4520"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 </w:t>
      </w:r>
      <w:r w:rsidR="00C76FE8" w:rsidRPr="00C76FE8">
        <w:rPr>
          <w:rFonts w:ascii="Calibri" w:eastAsia="Times New Roman" w:hAnsi="Calibri" w:cs="Calibri"/>
          <w:szCs w:val="24"/>
          <w:lang w:val="en-US"/>
        </w:rPr>
        <w:t xml:space="preserve">Novac u iznosu od 1.350,00€ ; </w:t>
      </w:r>
    </w:p>
    <w:p w:rsidR="00C76FE8" w:rsidRPr="00C76FE8" w:rsidRDefault="00DF4520"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lastRenderedPageBreak/>
        <w:t xml:space="preserve"> - </w:t>
      </w:r>
      <w:r w:rsidR="00C76FE8" w:rsidRPr="00C76FE8">
        <w:rPr>
          <w:rFonts w:ascii="Calibri" w:eastAsia="Times New Roman" w:hAnsi="Calibri" w:cs="Calibri"/>
          <w:szCs w:val="24"/>
          <w:lang w:val="en-US"/>
        </w:rPr>
        <w:t xml:space="preserve">Novac u iznosu od 1.250,00 USD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Po osnovu rješenja Osnovnog suda u Rožajama Kv.br.79/20 od dana  02.06.2020.godine, Uprava za imovinu je preuzela trajno oduzetu pokretnu imovinu i to : </w:t>
      </w:r>
    </w:p>
    <w:p w:rsidR="00C76FE8" w:rsidRPr="00C76FE8" w:rsidRDefault="00DF4520" w:rsidP="00C76FE8">
      <w:pPr>
        <w:spacing w:before="0" w:after="0" w:line="240" w:lineRule="auto"/>
        <w:rPr>
          <w:rFonts w:ascii="Calibri" w:eastAsia="Times New Roman" w:hAnsi="Calibri" w:cs="Calibri"/>
          <w:szCs w:val="24"/>
          <w:lang w:val="en-US"/>
        </w:rPr>
      </w:pPr>
      <w:r>
        <w:rPr>
          <w:rFonts w:ascii="Calibri" w:eastAsia="Segoe UI Symbol" w:hAnsi="Calibri" w:cs="Calibri"/>
          <w:szCs w:val="24"/>
          <w:lang w:val="en-US"/>
        </w:rPr>
        <w:t xml:space="preserve"> - </w:t>
      </w:r>
      <w:r w:rsidR="00C76FE8" w:rsidRPr="00C76FE8">
        <w:rPr>
          <w:rFonts w:ascii="Calibri" w:eastAsia="Segoe UI Symbol" w:hAnsi="Calibri" w:cs="Calibri"/>
          <w:szCs w:val="24"/>
          <w:lang w:val="en-US"/>
        </w:rPr>
        <w:t></w:t>
      </w:r>
      <w:r w:rsidR="00C76FE8" w:rsidRPr="00C76FE8">
        <w:rPr>
          <w:rFonts w:ascii="Calibri" w:eastAsia="Arial" w:hAnsi="Calibri" w:cs="Calibri"/>
          <w:szCs w:val="24"/>
          <w:lang w:val="en-US"/>
        </w:rPr>
        <w:t xml:space="preserve"> </w:t>
      </w:r>
      <w:r w:rsidR="00C76FE8" w:rsidRPr="00C76FE8">
        <w:rPr>
          <w:rFonts w:ascii="Calibri" w:eastAsia="Times New Roman" w:hAnsi="Calibri" w:cs="Calibri"/>
          <w:szCs w:val="24"/>
          <w:lang w:val="en-US"/>
        </w:rPr>
        <w:t xml:space="preserve">25 pari muške i ženske obuće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Predmetna roba je Odlukom o donaciji u humanitarne svrhe br.020-6096 od dana 29.06.2020.</w:t>
      </w:r>
      <w:r w:rsidR="0046766A">
        <w:rPr>
          <w:rFonts w:ascii="Calibri" w:eastAsia="Times New Roman" w:hAnsi="Calibri" w:cs="Calibri"/>
          <w:szCs w:val="24"/>
          <w:lang w:val="en-US"/>
        </w:rPr>
        <w:t xml:space="preserve"> </w:t>
      </w:r>
      <w:r w:rsidRPr="00C76FE8">
        <w:rPr>
          <w:rFonts w:ascii="Calibri" w:eastAsia="Times New Roman" w:hAnsi="Calibri" w:cs="Calibri"/>
          <w:szCs w:val="24"/>
          <w:lang w:val="en-US"/>
        </w:rPr>
        <w:t xml:space="preserve">godine donirana Crvenom krstu u Rožajama.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Po osnovu rješenja Višeg suda u Podgorici Kv.br.19/20 od  20.01.2020.godine kojim je izrečena mjera bezbjednosti trajno oduzimanje novca u iznosu od 5.520,00€ i 10,00 CHF, Uprava za imovinu je izvršila preuzimanje oduzetog novca i uplatila u Budžet Crne Gore.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Po osnovu rješenja Osnovnog suda u Rožajama Kri.br.35/20 od dana  11.06.2020.godine, Uprava za imovinu je preuzela privremenu oduzetu pokretnu imovinu i to : </w:t>
      </w:r>
    </w:p>
    <w:p w:rsidR="00C76FE8" w:rsidRPr="00C76FE8" w:rsidRDefault="00DF4520" w:rsidP="00C76FE8">
      <w:pPr>
        <w:spacing w:before="0" w:after="0" w:line="240" w:lineRule="auto"/>
        <w:rPr>
          <w:rFonts w:ascii="Calibri" w:eastAsia="Times New Roman" w:hAnsi="Calibri" w:cs="Calibri"/>
          <w:szCs w:val="24"/>
          <w:lang w:val="en-US"/>
        </w:rPr>
      </w:pPr>
      <w:r>
        <w:rPr>
          <w:rFonts w:ascii="Calibri" w:eastAsia="Segoe UI Symbol" w:hAnsi="Calibri" w:cs="Calibri"/>
          <w:szCs w:val="24"/>
          <w:lang w:val="en-US"/>
        </w:rPr>
        <w:t xml:space="preserve"> - </w:t>
      </w:r>
      <w:r w:rsidR="00C76FE8" w:rsidRPr="00C76FE8">
        <w:rPr>
          <w:rFonts w:ascii="Calibri" w:eastAsia="Segoe UI Symbol" w:hAnsi="Calibri" w:cs="Calibri"/>
          <w:szCs w:val="24"/>
          <w:lang w:val="en-US"/>
        </w:rPr>
        <w:t></w:t>
      </w:r>
      <w:r w:rsidR="00C76FE8" w:rsidRPr="00C76FE8">
        <w:rPr>
          <w:rFonts w:ascii="Calibri" w:eastAsia="Arial" w:hAnsi="Calibri" w:cs="Calibri"/>
          <w:szCs w:val="24"/>
          <w:lang w:val="en-US"/>
        </w:rPr>
        <w:t xml:space="preserve"> </w:t>
      </w:r>
      <w:r w:rsidR="00C76FE8" w:rsidRPr="00C76FE8">
        <w:rPr>
          <w:rFonts w:ascii="Calibri" w:eastAsia="Times New Roman" w:hAnsi="Calibri" w:cs="Calibri"/>
          <w:szCs w:val="24"/>
          <w:lang w:val="en-US"/>
        </w:rPr>
        <w:t xml:space="preserve">560 flaša gaziranih sokova Coca Cole od po 2L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Po osnovu rješenja Višeg suda u Podgorici, Kri-S.br.26/20 od 29.06.2020.godine, Uprava za imovinu je izvršila zabranu raspologanja nepokretnosti uz zabilježbu zabrane u katastru nepokretnosti: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Nepokretnosti upisane u LN 2551 KO Budva, kat.parcela 626/4, br.zgrade 1, nestambeni prostor PD I površine 179 m2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Nepokretnosti upisane u stambeno poslovnoj zgradi na kat.parceli 16902/2 u LN 2908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KO Budva, tri garaže: garaža PD 1 površine 11 m2, garaža PD 2 površine 17 m2 i garaža PD 27 površine 16 m2 ; 17 poslovnih prostora: PD 37 površine 70 m2, poslovni prostor PD 38 površine 159 m2, poslovni prostor PD 39 površine 43 m2, poslovni prostor PD 40 površine 30 m2, poslovni prostor PD 50 površine 46 m2, poslovni prostor PD 51 površine 11 m2, poslovni prostor PD 52 površine 35 m2, poslovni prostor PD 53 površine 22 m2, poslovni prostor PD 54 površine 18 m2, poslovni prostor PD 55 površine 17 m2, poslovni prostor PD 56 površine 21 m2, poslovni prostor PD 57 površine 36 m2, poslovni prostor PD 58 površine 37 m2, poslovni prostor PD 59 površine 43 m2, poslovni prostor PD 60 površine 36 m2, poslovni prostor PD 61 površine 28 m2, poslovni prostor PD 62 površine 54 m2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Nepokretnosti upisane na stambenom prostoru PD 64 površine 68 m2 na kat.parceli 2220/1 upisano u LN 219 KO Budva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Nepokretnosti upisane u LN 1515 KO Dobrota - PJ Kotor na kat.parceli 1694/2, stambeni prostor PD 35 površine 55 m2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Nepokretnosti upisane u LN 400 KO Lješevići – PJ Kotor na kat.parceli 1483/33, šuma površine 400 m2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Nepokretnosti upisane u LN 637 KO Podgorica II na kat.parceli 2198/1 – porodična stambena zgrada površine 143 m2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Nepokretnosti upisane u LN 2324 KO Podgorica II na kat.parceli 2253 i to: zgrada broj 2 – poslovni prostor u vanprivredi PD 9 površine 20 m2, nestambeni prostor PD 10 površine 8 m2, poslovni prostor u vanprivredi PD 11 površine 27 m2 i zgrada broj 5 – poslovni prostor u vanprivredi PD 25 površine 110 m2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Nepokretnosti upisane u LN 4341 KO Podgorica II na kat.parceli 2405/1, broj zgrade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 garaža kao dio zgrade PD 35 površine 18 m2, garaža kao dio zgrade PD 36 površine 18 m2, stambeni prostor PD 95 površine 82 m2, stambeni prostor PD 99 površine 117 m2;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Nepokretnosti upisane u stambenom prostoru PD 70 površine 33 m2 zgrada broj 1 i poslovnom prostoru u vanprivredi PD 123 površine 66 m2, zgrada broj 1, kat.parcela 2405 upisana u LN 4341 KO Podgorica I;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lastRenderedPageBreak/>
        <w:t xml:space="preserve">Nepokretnosti upisane u stambeno-poslovnoj zgradi na </w:t>
      </w:r>
      <w:r w:rsidR="0046766A">
        <w:rPr>
          <w:rFonts w:ascii="Calibri" w:eastAsia="Times New Roman" w:hAnsi="Calibri" w:cs="Calibri"/>
          <w:szCs w:val="24"/>
          <w:lang w:val="en-US"/>
        </w:rPr>
        <w:t xml:space="preserve">kat.parceli 102/2 upisane u LN </w:t>
      </w:r>
      <w:r w:rsidRPr="00C76FE8">
        <w:rPr>
          <w:rFonts w:ascii="Calibri" w:eastAsia="Times New Roman" w:hAnsi="Calibri" w:cs="Calibri"/>
          <w:szCs w:val="24"/>
          <w:lang w:val="en-US"/>
        </w:rPr>
        <w:t xml:space="preserve">4464 KO Podgorica I: stambenom prostoru PD 13 površine 100 m2, nestambenom prostoru PD 21 površine 3 m2, garaži PD 35 površine 15 m2 i garaži PD 36 površine 13 m2.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Uprava za imovinu je objavila i sprovela javni poziv za prikupljanje ponuda za prodaju pokretne imovine- robe- tenderska prodaja- licitacija I, br.0201/6882 od 17.07.2020.godine na osnovu Odluke o pokretanju postupka o prodaji pokretne imovine putem javnog nadmetanja br.0201/6880 od 17.07.2020.godine, u skladu sa članovima 30 i 40 Zakona o državnoj imovini (,,Službeni list CG,, broj 21/09 i 40/11) , i u vezi sa Uredbom o prodaji i davanju u zakup stvari u državnoj imovini (,,Službeni list CG,, broj 44/10)  i u skladu sa članom 61  Zakona o oduzimanju imovinske koristi stečene kriminalnom djelatnošću (,,Službeni list CG,, broj 58/15 od 09.10.2015.godine).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Po osnovu Rješenja Višeg suda u Podgorici Kri-S.br.71/20 od 20.07.2020.godine, Uprava za imovinu je donijela Naredbu o izvršenju predmetnog rješenja na osnovu kojeg je donijeta privremena mjera obezbeđenja - zabrana raspolaganja nepokretnosti uz zabilježbu zabrame u katastru nepokretnosti, a koja se odnosi na: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Nepokretnosti upisane u LN 313 KO Budva na kat.parceli br.1780 zgrada broj 1 i to stambeni prostor PD134 prizemlje površine 30m2, stambeni prostor PD141, prizemlje površine 27 m2, stambeni prostor PD142 prizemlje površine 31 m2 i stambeni prostor PD143 – prvi sprat površine 30 m2, upisane kao svojina pravnog lica ,,The old Bakery,, DOO PIB 03160955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Nepokretnosti upisane u LN 313 KO Budva na kat.parceli br.1780/1, zgrada broj 1 i to: stambeni prostor PD151, I sprat površine 31 m2, stambeni prostor PD214, prizemlje površine  30 m2 i stmabeni prostor PD 336, IV sprat – površine 97 m2, upisane kao svojina pravnog lica ,,The old Bakery,, DOO PIB 03160955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Nepokretnost upisana u LN 608 KO Sveti Stefan, opština Budva, na kat.parceli br.470, zgrada broj 1 stmabeni prostor PD 11,  I-sprat površine 62 m2, upisan kao svojina pravnog lica ,, Reno,, DOO PIB 02318032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Nepokretnost upisana u LN 413 KO Prijeradi, opština Kotor, na kat.parceli br.1575, i to: pašnjak II klase površine 1419 m2, i kat.parceli 1576 po kulturi njiva III klase površine 1949 m2, upisane kao svojina fizičkog lica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Po osnovu rješenja Osnovnog suda u Rožajama Kri.br.48/20,  Uprava za imovinu je 30.07.2020.</w:t>
      </w:r>
      <w:r w:rsidR="0046766A">
        <w:rPr>
          <w:rFonts w:ascii="Calibri" w:eastAsia="Times New Roman" w:hAnsi="Calibri" w:cs="Calibri"/>
          <w:szCs w:val="24"/>
          <w:lang w:val="en-US"/>
        </w:rPr>
        <w:t xml:space="preserve"> </w:t>
      </w:r>
      <w:r w:rsidRPr="00C76FE8">
        <w:rPr>
          <w:rFonts w:ascii="Calibri" w:eastAsia="Times New Roman" w:hAnsi="Calibri" w:cs="Calibri"/>
          <w:szCs w:val="24"/>
          <w:lang w:val="en-US"/>
        </w:rPr>
        <w:t xml:space="preserve">godine preuzela privremeno oduzetu pokretnu imovinu i to : </w:t>
      </w:r>
    </w:p>
    <w:p w:rsidR="00C76FE8" w:rsidRPr="00C76FE8" w:rsidRDefault="00DF4520" w:rsidP="00C76FE8">
      <w:pPr>
        <w:spacing w:before="0" w:after="0" w:line="240" w:lineRule="auto"/>
        <w:rPr>
          <w:rFonts w:ascii="Calibri" w:eastAsia="Times New Roman" w:hAnsi="Calibri" w:cs="Calibri"/>
          <w:szCs w:val="24"/>
          <w:lang w:val="en-US"/>
        </w:rPr>
      </w:pPr>
      <w:r>
        <w:rPr>
          <w:rFonts w:ascii="Calibri" w:eastAsia="Segoe UI Symbol" w:hAnsi="Calibri" w:cs="Calibri"/>
          <w:szCs w:val="24"/>
          <w:lang w:val="en-US"/>
        </w:rPr>
        <w:t xml:space="preserve"> - </w:t>
      </w:r>
      <w:r w:rsidR="00C76FE8" w:rsidRPr="00C76FE8">
        <w:rPr>
          <w:rFonts w:ascii="Calibri" w:eastAsia="Segoe UI Symbol" w:hAnsi="Calibri" w:cs="Calibri"/>
          <w:szCs w:val="24"/>
          <w:lang w:val="en-US"/>
        </w:rPr>
        <w:t></w:t>
      </w:r>
      <w:r w:rsidR="00C76FE8" w:rsidRPr="00C76FE8">
        <w:rPr>
          <w:rFonts w:ascii="Calibri" w:eastAsia="Arial" w:hAnsi="Calibri" w:cs="Calibri"/>
          <w:szCs w:val="24"/>
          <w:lang w:val="en-US"/>
        </w:rPr>
        <w:t xml:space="preserve"> </w:t>
      </w:r>
      <w:r w:rsidR="00C76FE8" w:rsidRPr="00C76FE8">
        <w:rPr>
          <w:rFonts w:ascii="Calibri" w:eastAsia="Times New Roman" w:hAnsi="Calibri" w:cs="Calibri"/>
          <w:szCs w:val="24"/>
          <w:lang w:val="en-US"/>
        </w:rPr>
        <w:t xml:space="preserve">20 najlonskih vreća u kojima se nalazila suva pečurka ukupne težine 170 kg ; Predmetna roba je nakon izvršene analize o ispravnosti prodata Odlukom o prodaji svrhe br.0201/7658 u iznosu od 2.805,00 eura.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Po osnovu Rješenja Višeg suda u Podgorici Kri-S.br.79/20 od 13.08.2020.godine, Uprava za imovinu je donijela Naredbu o izvršenju predmetnog rješenja na osnovu kojeg je donijeta privremena mjera obezbeđenja - zabrana raspolaganja nepokretnosti uz zabilježbu zabrane u katastru nepokretnosti, a koja se odnosi na: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Segoe UI Symbol" w:hAnsi="Calibri" w:cs="Calibri"/>
          <w:szCs w:val="24"/>
          <w:lang w:val="en-US"/>
        </w:rPr>
        <w:t></w:t>
      </w:r>
      <w:r w:rsidRPr="00C76FE8">
        <w:rPr>
          <w:rFonts w:ascii="Calibri" w:eastAsia="Arial" w:hAnsi="Calibri" w:cs="Calibri"/>
          <w:szCs w:val="24"/>
          <w:lang w:val="en-US"/>
        </w:rPr>
        <w:t xml:space="preserve"> </w:t>
      </w:r>
      <w:r w:rsidRPr="00C76FE8">
        <w:rPr>
          <w:rFonts w:ascii="Calibri" w:eastAsia="Times New Roman" w:hAnsi="Calibri" w:cs="Calibri"/>
          <w:szCs w:val="24"/>
          <w:lang w:val="en-US"/>
        </w:rPr>
        <w:t xml:space="preserve">Nepokretnosti upisane u LN 2903 KO Doljani – PJ Podgorica i to: kat.parcela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4349/2 –livada 2.klase površine 95 m2, kat.parcela 4349/3 – livada 2.klase površine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514 m2, kat.parcela 4350/2 – vinograd 2.klase površine 53 m2, kat.parcela 4350/3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vinograd 2.klase površine 193 m2 i stambeni objekat površine 209 m2 spratnosti ,,P,, na kat.parceli 4349/3, gdje je u listu nepokretnosti upisana zabilježba da je predmetni građevinski objekat izgrađen bez građevinske dozvole.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lastRenderedPageBreak/>
        <w:t xml:space="preserve">Uprava za imovinu je objavila i sprovela javni poziv za prikupljanje ponuda za prodaju pokretne imovine- robe- tenderska prodaja- licitacija II,  br.0201/8913 od 07.09.2020.godine na osnovu Odluke o pokretanju postupka o prodaji pokretne imovine putem javnog nadmetanja br.0201/6880 od 17.07.2020.godine, u skladu sa članovima 30 i 40 Zakona o državnoj imovini (,,Službeni list CG,, broj 21/09 i 40/11) , i u vezi sa Uredbom o prodaji i davanju u zakup stvari u državnoj imovini (,,Službeni list CG,, broj 44/10)  i u skladu sa članom 61  Zakona o oduzimanju imovinske koristi stečene kriminalnom djelatnošću (,,Službeni list CG,, broj 58/15 od 09.10.2015.godine).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Uprava za imovinu je objavila i sprovela javni poziv za prikupljanje ponuda za prodaju 57 motornih vozila-tenderska prodaja-licitacija I, br.0201/9243 od 16.09.2020.godine na osnovu Odluke o pokretanju postupka o prodaji pokretne imovine putem javnog nadmetanja br.0201/9241 od 16.09.2020.godine, , u skladu sa članovima 30 i 40 Zakona o državnoj imovini (,,Službeni list CG,, broj 21/09 i 40/11) , i u vezi sa Uredbom o prodaji i davanju u zakup stvari u državnoj imovini (,,Službeni list CG,, broj 44/10)  i u skladu sa članom 61  Zakona o oduzimanju imovinske koristi stečene kriminalnom djelatnošću (,,Službeni list CG,, broj 58/15 od 09.10.2015.godine).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Uprava za imovinu je objavila i sprovela javni poziv za prikupljanje ponuda za prodaju motornih vozila-tenderska prodaja licitacija II, br.0201/10459 od 09.10.2020.godine na osnovu Odluke o pokretanju postupka o prodaji pokretne imovine putem javnog nadmetanja br.0201/9241 od 16.09.2020.godine, , u skladu sa članovima 30 i 40 Zakona o državnoj imovini (,,Službeni list CG,, broj 21/09 i 40/11) , i u vezi sa Uredbom o prodaji i davanju u zakup stvari u državnoj imovini (,,Službeni list CG,, broj 44/10)  i u skladu sa članom 61  Zakona o oduzimanju imovinske koristi stečene kriminalnom djelatnošću (,,Službeni list CG,, broj 58/15 od 09.10.2015.godine).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Po osnovu rješenja Višeg suda u Podgorici, Kri.br.242/20 od 15.10.2020.godine, Uprava za imovinu je preuzela sljedeću privremeno oduzetu pokretnu imovinu i to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Segoe UI Symbol" w:hAnsi="Calibri" w:cs="Calibri"/>
          <w:szCs w:val="24"/>
          <w:lang w:val="en-US"/>
        </w:rPr>
        <w:t></w:t>
      </w:r>
      <w:r w:rsidRPr="00C76FE8">
        <w:rPr>
          <w:rFonts w:ascii="Calibri" w:eastAsia="Arial" w:hAnsi="Calibri" w:cs="Calibri"/>
          <w:szCs w:val="24"/>
          <w:lang w:val="en-US"/>
        </w:rPr>
        <w:t xml:space="preserve"> </w:t>
      </w:r>
      <w:r w:rsidRPr="00C76FE8">
        <w:rPr>
          <w:rFonts w:ascii="Calibri" w:eastAsia="Times New Roman" w:hAnsi="Calibri" w:cs="Calibri"/>
          <w:szCs w:val="24"/>
          <w:lang w:val="en-US"/>
        </w:rPr>
        <w:t xml:space="preserve">Novac u iznosu od 3.550,00€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46766A"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w:t>
      </w:r>
      <w:r>
        <w:rPr>
          <w:rFonts w:ascii="Calibri" w:eastAsia="Times New Roman" w:hAnsi="Calibri" w:cs="Calibri"/>
          <w:szCs w:val="24"/>
          <w:lang w:val="en-US"/>
        </w:rPr>
        <w:tab/>
      </w:r>
      <w:r w:rsidR="00C76FE8" w:rsidRPr="00C76FE8">
        <w:rPr>
          <w:rFonts w:ascii="Calibri" w:eastAsia="Times New Roman" w:hAnsi="Calibri" w:cs="Calibri"/>
          <w:szCs w:val="24"/>
          <w:lang w:val="en-US"/>
        </w:rPr>
        <w:t>Uprava za imovinu je objavila i sprovela javni poziv za prikupljanje ponuda za prodaju motornih vozila-tenderska prodaja-licitacija III br.0201/10869 od 20.10.2020.godine na osnovu Odluke o pokretanju postupka o prodaji pokretne imovine putem javnog nadmetanja br.0201/9241 od 16.09.2020.godine, , u skladu sa članovima 30 i 40 Zakona o državnoj imovini (,,Službeni list CG,, broj 21/09 i 40/11) , i u vezi sa Uredbom o pr</w:t>
      </w:r>
      <w:r>
        <w:rPr>
          <w:rFonts w:ascii="Calibri" w:eastAsia="Times New Roman" w:hAnsi="Calibri" w:cs="Calibri"/>
          <w:szCs w:val="24"/>
          <w:lang w:val="en-US"/>
        </w:rPr>
        <w:t xml:space="preserve">odaji i davanju u zakup stvari </w:t>
      </w:r>
      <w:r w:rsidR="00C76FE8" w:rsidRPr="00C76FE8">
        <w:rPr>
          <w:rFonts w:ascii="Calibri" w:eastAsia="Times New Roman" w:hAnsi="Calibri" w:cs="Calibri"/>
          <w:szCs w:val="24"/>
          <w:lang w:val="en-US"/>
        </w:rPr>
        <w:t>u državnoj imovini (,,Službeni list CG,, broj 44/10)  i u skladu sa članom 61  Zakona o oduzimanju imovinske koristi stečene kriminalnom djelatnošću (,,Službeni list CG,, bro</w:t>
      </w:r>
      <w:r>
        <w:rPr>
          <w:rFonts w:ascii="Calibri" w:eastAsia="Times New Roman" w:hAnsi="Calibri" w:cs="Calibri"/>
          <w:szCs w:val="24"/>
          <w:lang w:val="en-US"/>
        </w:rPr>
        <w:t xml:space="preserve">j 58/15 od 09.10.2015.godine). </w:t>
      </w:r>
      <w:r w:rsidR="00C76FE8" w:rsidRPr="00C76FE8">
        <w:rPr>
          <w:rFonts w:ascii="Calibri" w:eastAsia="Times New Roman" w:hAnsi="Calibri" w:cs="Calibri"/>
          <w:szCs w:val="24"/>
          <w:lang w:val="en-US"/>
        </w:rPr>
        <w:t xml:space="preserve">Na predmetnim licitacijama za prodaju vozila ostvaren je ukupan prihod u iznosu od 34.260,35 eura.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46766A" w:rsidRDefault="00C76FE8" w:rsidP="003E4671">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Po osnovu rješenja Osnovnog suda u Rožajama Kri.b</w:t>
      </w:r>
      <w:r w:rsidR="0046766A">
        <w:rPr>
          <w:rFonts w:ascii="Calibri" w:eastAsia="Times New Roman" w:hAnsi="Calibri" w:cs="Calibri"/>
          <w:szCs w:val="24"/>
          <w:lang w:val="en-US"/>
        </w:rPr>
        <w:t xml:space="preserve">r.60/20, Uprava za imovinu je </w:t>
      </w:r>
      <w:r w:rsidRPr="00C76FE8">
        <w:rPr>
          <w:rFonts w:ascii="Calibri" w:eastAsia="Times New Roman" w:hAnsi="Calibri" w:cs="Calibri"/>
          <w:szCs w:val="24"/>
          <w:lang w:val="en-US"/>
        </w:rPr>
        <w:t>27.10.2020.</w:t>
      </w:r>
      <w:r w:rsidR="0046766A">
        <w:rPr>
          <w:rFonts w:ascii="Calibri" w:eastAsia="Times New Roman" w:hAnsi="Calibri" w:cs="Calibri"/>
          <w:szCs w:val="24"/>
          <w:lang w:val="en-US"/>
        </w:rPr>
        <w:t xml:space="preserve"> </w:t>
      </w:r>
      <w:r w:rsidRPr="00C76FE8">
        <w:rPr>
          <w:rFonts w:ascii="Calibri" w:eastAsia="Times New Roman" w:hAnsi="Calibri" w:cs="Calibri"/>
          <w:szCs w:val="24"/>
          <w:lang w:val="en-US"/>
        </w:rPr>
        <w:t>godine preuzela privremeno oduzetu pokretnu imovinu i to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Segoe UI Symbol" w:hAnsi="Calibri" w:cs="Calibri"/>
          <w:szCs w:val="24"/>
          <w:lang w:val="en-US"/>
        </w:rPr>
        <w:t></w:t>
      </w:r>
      <w:r w:rsidRPr="00C76FE8">
        <w:rPr>
          <w:rFonts w:ascii="Calibri" w:eastAsia="Arial" w:hAnsi="Calibri" w:cs="Calibri"/>
          <w:szCs w:val="24"/>
          <w:lang w:val="en-US"/>
        </w:rPr>
        <w:t xml:space="preserve"> </w:t>
      </w:r>
      <w:r w:rsidRPr="00C76FE8">
        <w:rPr>
          <w:rFonts w:ascii="Calibri" w:eastAsia="Times New Roman" w:hAnsi="Calibri" w:cs="Calibri"/>
          <w:szCs w:val="24"/>
          <w:lang w:val="en-US"/>
        </w:rPr>
        <w:t xml:space="preserve">392 flaše coca-cole od po 2 litra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Segoe UI Symbol" w:hAnsi="Calibri" w:cs="Calibri"/>
          <w:szCs w:val="24"/>
          <w:lang w:val="en-US"/>
        </w:rPr>
        <w:t></w:t>
      </w:r>
      <w:r w:rsidRPr="00C76FE8">
        <w:rPr>
          <w:rFonts w:ascii="Calibri" w:eastAsia="Arial" w:hAnsi="Calibri" w:cs="Calibri"/>
          <w:szCs w:val="24"/>
          <w:lang w:val="en-US"/>
        </w:rPr>
        <w:t xml:space="preserve"> </w:t>
      </w:r>
      <w:r w:rsidRPr="00C76FE8">
        <w:rPr>
          <w:rFonts w:ascii="Calibri" w:eastAsia="Times New Roman" w:hAnsi="Calibri" w:cs="Calibri"/>
          <w:szCs w:val="24"/>
          <w:lang w:val="en-US"/>
        </w:rPr>
        <w:t xml:space="preserve">360 flaša fante od po 2 litra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Predmetna roba je nakon izvršene analize o ispravnosti Odlukama o donaciji u humanitarne svrhe br.0201-12391 i 0201-14589 donirana JU Zavodu ,,Komanski most,, u Podgorici i JU Dječji dom ,,Mladost,, u Bijeloj.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Po osnovu Rješenja područnog organa za prekršaje u Budvi br:0501-482-2, Uprava za imovinu je izvršila preuzimanje oduzete pokretne imovine – robe koja je trajno oduzeta zbog prekršaja iz čl.43 st.1.tačka 5 u vezi sa čl.32.st.1 Zakona o unutrašnjoj trgovini i  u skladu sa tim </w:t>
      </w:r>
      <w:r w:rsidRPr="00C76FE8">
        <w:rPr>
          <w:rFonts w:ascii="Calibri" w:eastAsia="Times New Roman" w:hAnsi="Calibri" w:cs="Calibri"/>
          <w:szCs w:val="24"/>
          <w:lang w:val="en-US"/>
        </w:rPr>
        <w:lastRenderedPageBreak/>
        <w:t xml:space="preserve">predmetna roba je Odlukom o donaciji u hhumanitarne svrhe br.0201-11245 od 28.10.2020.godine donirana ,,Crvenom krstu Crne Gore,,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Po osnovu rješenja Osnovnog suda  u Nikšiću Kv.br.354/19 i i rješenju Osnovnog državnog tužilaštva u Nikšiću Kt.br.478/19 , Uprava za imovinu je  30.10.2020.godine preuzela trajno oduzetu pokretnu imovinu i to: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500 paklica cigareta marke ,,Mančester crni,, ; </w:t>
      </w:r>
      <w:r w:rsidRPr="00C76FE8">
        <w:rPr>
          <w:rFonts w:ascii="Calibri" w:eastAsia="Segoe UI Symbol" w:hAnsi="Calibri" w:cs="Calibri"/>
          <w:szCs w:val="24"/>
          <w:lang w:val="en-US"/>
        </w:rPr>
        <w:t></w:t>
      </w:r>
      <w:r w:rsidRPr="00C76FE8">
        <w:rPr>
          <w:rFonts w:ascii="Calibri" w:eastAsia="Arial" w:hAnsi="Calibri" w:cs="Calibri"/>
          <w:szCs w:val="24"/>
          <w:lang w:val="en-US"/>
        </w:rPr>
        <w:t xml:space="preserve"> </w:t>
      </w:r>
      <w:r w:rsidRPr="00C76FE8">
        <w:rPr>
          <w:rFonts w:ascii="Calibri" w:eastAsia="Times New Roman" w:hAnsi="Calibri" w:cs="Calibri"/>
          <w:szCs w:val="24"/>
          <w:lang w:val="en-US"/>
        </w:rPr>
        <w:t xml:space="preserve">500 paklica cigareta marke ,,King crveni,,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15 šteka cigareta marke Merlin, Corset, Mančester, King, FM, Trokadero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Po osnovu rješenja Osnovnog suda u Pljevlja K.br.19/20 i K.br.121/19, Uprava za imovinu je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30.10.2020.godine preuzela trajno oduzetu pokretnu imovinu i to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Segoe UI Symbol" w:hAnsi="Calibri" w:cs="Calibri"/>
          <w:szCs w:val="24"/>
          <w:lang w:val="en-US"/>
        </w:rPr>
        <w:t></w:t>
      </w:r>
      <w:r w:rsidRPr="00C76FE8">
        <w:rPr>
          <w:rFonts w:ascii="Calibri" w:eastAsia="Arial" w:hAnsi="Calibri" w:cs="Calibri"/>
          <w:szCs w:val="24"/>
          <w:lang w:val="en-US"/>
        </w:rPr>
        <w:t xml:space="preserve"> </w:t>
      </w:r>
      <w:r w:rsidRPr="00C76FE8">
        <w:rPr>
          <w:rFonts w:ascii="Calibri" w:eastAsia="Times New Roman" w:hAnsi="Calibri" w:cs="Calibri"/>
          <w:szCs w:val="24"/>
          <w:lang w:val="en-US"/>
        </w:rPr>
        <w:t xml:space="preserve">1157 paklica cigareta razne marke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Po osnovu rješenja Osnovnog suda Kri.br.81/20 i rješenju Osnovnog državnog tužilaštva u Pljevljima br:27/20, Uprava za imovinu je 30.10.2020.godine preuzela privremenu oduzetu pokretnu imovinu i to : </w:t>
      </w:r>
      <w:r w:rsidRPr="00C76FE8">
        <w:rPr>
          <w:rFonts w:ascii="Calibri" w:eastAsia="Segoe UI Symbol" w:hAnsi="Calibri" w:cs="Calibri"/>
          <w:szCs w:val="24"/>
          <w:lang w:val="en-US"/>
        </w:rPr>
        <w:t></w:t>
      </w:r>
      <w:r w:rsidRPr="00C76FE8">
        <w:rPr>
          <w:rFonts w:ascii="Calibri" w:eastAsia="Arial" w:hAnsi="Calibri" w:cs="Calibri"/>
          <w:szCs w:val="24"/>
          <w:lang w:val="en-US"/>
        </w:rPr>
        <w:t xml:space="preserve"> </w:t>
      </w:r>
      <w:r w:rsidRPr="00C76FE8">
        <w:rPr>
          <w:rFonts w:ascii="Calibri" w:eastAsia="Times New Roman" w:hAnsi="Calibri" w:cs="Calibri"/>
          <w:szCs w:val="24"/>
          <w:lang w:val="en-US"/>
        </w:rPr>
        <w:t xml:space="preserve">498 šteka cigareta razne marke.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Po osnovu potvrde o privremenom oduzimanju Direktorata za ribarstvo – Ministarstva poljoprivrde i ruralnog razvoja broj:318/1-104/7, Uprava za imovinu</w:t>
      </w:r>
      <w:r w:rsidR="0046766A">
        <w:rPr>
          <w:rFonts w:ascii="Calibri" w:eastAsia="Times New Roman" w:hAnsi="Calibri" w:cs="Calibri"/>
          <w:szCs w:val="24"/>
          <w:lang w:val="en-US"/>
        </w:rPr>
        <w:t xml:space="preserve"> je  06.11.2020.godine preuzela</w:t>
      </w:r>
      <w:r w:rsidRPr="00C76FE8">
        <w:rPr>
          <w:rFonts w:ascii="Calibri" w:eastAsia="Times New Roman" w:hAnsi="Calibri" w:cs="Calibri"/>
          <w:szCs w:val="24"/>
          <w:lang w:val="en-US"/>
        </w:rPr>
        <w:t xml:space="preserv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Segoe UI Symbol" w:hAnsi="Calibri" w:cs="Calibri"/>
          <w:szCs w:val="24"/>
          <w:lang w:val="en-US"/>
        </w:rPr>
        <w:t></w:t>
      </w:r>
      <w:r w:rsidRPr="00C76FE8">
        <w:rPr>
          <w:rFonts w:ascii="Calibri" w:eastAsia="Arial" w:hAnsi="Calibri" w:cs="Calibri"/>
          <w:szCs w:val="24"/>
          <w:lang w:val="en-US"/>
        </w:rPr>
        <w:t xml:space="preserve"> </w:t>
      </w:r>
      <w:r w:rsidRPr="00C76FE8">
        <w:rPr>
          <w:rFonts w:ascii="Calibri" w:eastAsia="Times New Roman" w:hAnsi="Calibri" w:cs="Calibri"/>
          <w:szCs w:val="24"/>
          <w:lang w:val="en-US"/>
        </w:rPr>
        <w:t xml:space="preserve">152 kg.morske ribe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Predmetna roba je Odlukom o prodaji lako kvarljive robe br.0201/1716 prodata u iznosu od 380€. 35)</w:t>
      </w:r>
      <w:r w:rsidRPr="00C76FE8">
        <w:rPr>
          <w:rFonts w:ascii="Calibri" w:eastAsia="Arial" w:hAnsi="Calibri" w:cs="Calibri"/>
          <w:szCs w:val="24"/>
          <w:lang w:val="en-US"/>
        </w:rPr>
        <w:t xml:space="preserve"> </w:t>
      </w:r>
      <w:r w:rsidRPr="00C76FE8">
        <w:rPr>
          <w:rFonts w:ascii="Calibri" w:eastAsia="Times New Roman" w:hAnsi="Calibri" w:cs="Calibri"/>
          <w:szCs w:val="24"/>
          <w:lang w:val="en-US"/>
        </w:rPr>
        <w:t xml:space="preserve"> Po osnovu dopisa i zapisnika CB Berane br.24/4-3-4467, Uprava za imovinu je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13.11.2020.godine preuzela privremeno oduzetu pokretnu imovinu i to: </w:t>
      </w:r>
      <w:r w:rsidRPr="00C76FE8">
        <w:rPr>
          <w:rFonts w:ascii="Calibri" w:eastAsia="Segoe UI Symbol" w:hAnsi="Calibri" w:cs="Calibri"/>
          <w:szCs w:val="24"/>
          <w:lang w:val="en-US"/>
        </w:rPr>
        <w:t></w:t>
      </w:r>
      <w:r w:rsidRPr="00C76FE8">
        <w:rPr>
          <w:rFonts w:ascii="Calibri" w:eastAsia="Arial" w:hAnsi="Calibri" w:cs="Calibri"/>
          <w:szCs w:val="24"/>
          <w:lang w:val="en-US"/>
        </w:rPr>
        <w:t xml:space="preserve"> </w:t>
      </w:r>
      <w:r w:rsidRPr="00C76FE8">
        <w:rPr>
          <w:rFonts w:ascii="Calibri" w:eastAsia="Times New Roman" w:hAnsi="Calibri" w:cs="Calibri"/>
          <w:szCs w:val="24"/>
          <w:lang w:val="en-US"/>
        </w:rPr>
        <w:t xml:space="preserve">370 paketa cigareta marke ,,Cosmopolitan,, (u 1 paketu se nalazi 50 šteka cigareta)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Po osnovu potvrde o privremenom oduzimanju Direktorata za ribarstvo – Ministarstva poljoprivrde i ruralnog razvoja broj:325-3-309/1 , Uprava za imovin</w:t>
      </w:r>
      <w:r w:rsidR="0046766A">
        <w:rPr>
          <w:rFonts w:ascii="Calibri" w:eastAsia="Times New Roman" w:hAnsi="Calibri" w:cs="Calibri"/>
          <w:szCs w:val="24"/>
          <w:lang w:val="en-US"/>
        </w:rPr>
        <w:t>u je 16.11.2020.godine preuzela</w:t>
      </w:r>
      <w:r w:rsidRPr="00C76FE8">
        <w:rPr>
          <w:rFonts w:ascii="Calibri" w:eastAsia="Times New Roman" w:hAnsi="Calibri" w:cs="Calibri"/>
          <w:szCs w:val="24"/>
          <w:lang w:val="en-US"/>
        </w:rPr>
        <w:t xml:space="preserv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150 kg.morske ribe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Predmetna roba zbog izloženosti visokoj temperaturi nije u upotrebi i shodno tim donijeta je Odluka o uništenju oduzete imovine br.0201/12194  u skladu sa kojom je i sprovedeno unišetenje predmetne imovine.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Po osnovu Rješenja Višeg suda u Podgorici Kri-S.br.96/20 od 16.11.2020.godine, Uprava za imovinu je donijela Naredbu o izvršenju predmetnog rješenja na osnovu kojeg je donijeta privremena mjera obezbeđenja - zabrana raspolaganja nepokretnosti uz zabilježbu zabrane u katastru nepokretnosti i privremeno oduzimanje pokretne imovine, a što se odnosi na: </w:t>
      </w:r>
      <w:r w:rsidRPr="00C76FE8">
        <w:rPr>
          <w:rFonts w:ascii="Calibri" w:eastAsia="Segoe UI Symbol" w:hAnsi="Calibri" w:cs="Calibri"/>
          <w:szCs w:val="24"/>
          <w:lang w:val="en-US"/>
        </w:rPr>
        <w:t></w:t>
      </w:r>
      <w:r w:rsidRPr="00C76FE8">
        <w:rPr>
          <w:rFonts w:ascii="Calibri" w:eastAsia="Arial" w:hAnsi="Calibri" w:cs="Calibri"/>
          <w:szCs w:val="24"/>
          <w:lang w:val="en-US"/>
        </w:rPr>
        <w:t xml:space="preserve"> </w:t>
      </w:r>
      <w:r w:rsidRPr="00C76FE8">
        <w:rPr>
          <w:rFonts w:ascii="Calibri" w:eastAsia="Times New Roman" w:hAnsi="Calibri" w:cs="Calibri"/>
          <w:szCs w:val="24"/>
          <w:lang w:val="en-US"/>
        </w:rPr>
        <w:t xml:space="preserve">Nepokretnosti upisane u LN 2349 KO Novi Bar i to: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Br.zgrade 1 – pomoćna zgrada u privredi Odluka o povećanju kapitala, jedna soba, PD4, treći sprat površine 755 m2, vlasnik ,,Agreks,, DOO Kolašin, PIB 03299970, sa osnovom prava svojine u obimu 1/1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Br.zgrade 1 – pomoćna zgrada zu privredi Odluka o povećanju kapitala, jedna soba, PD5, četvrti sprat površine 755 m2, vlasnik ,,Agreks,, DOO Kolašin, PIB 03299970, sa osnovom prava svojine u obimu 1/1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Teretno motorno vozila marke ,,Scania,, i priključno vozilo marke ,,Krone,,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Teretno motorno vozilo marke ,,Man,, i priključno </w:t>
      </w:r>
      <w:r w:rsidR="0046766A">
        <w:rPr>
          <w:rFonts w:ascii="Calibri" w:eastAsia="Times New Roman" w:hAnsi="Calibri" w:cs="Calibri"/>
          <w:szCs w:val="24"/>
          <w:lang w:val="en-US"/>
        </w:rPr>
        <w:t>vozilo marke ,,Schwarzmuller,,</w:t>
      </w:r>
      <w:r w:rsidRPr="00C76FE8">
        <w:rPr>
          <w:rFonts w:ascii="Calibri" w:eastAsia="Times New Roman" w:hAnsi="Calibri" w:cs="Calibri"/>
          <w:szCs w:val="24"/>
          <w:lang w:val="en-US"/>
        </w:rPr>
        <w:t xml:space="preserv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Po osnovu rješenja Osnovnog suda u Rožajama Kri.br.67/20 od 02.12.2020.godine, Uprava za imovinu je preuzela sljedeću privremeno oduzetu  pokretnu imovinu i to: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Mašinu nareznica marke ,,Threading Machine,, model P100 sa dva noža-ureznice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lastRenderedPageBreak/>
        <w:t xml:space="preserve">Dva balona od po 5 litara domaćeg crnog vina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Jedan balon od 5 litara domaće rakije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Četiri flaše od po 1,5 l domaće rakije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Jedna flaša od 2 litra domaće rakije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Sedam kutija mješavine biljnog čaja ,,Hiper tea,,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Četiri pakovanja mesnih proizvoda od po 0,5kg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Po osnovu rješenja Osnovnog suda u Rožajama Kri.br.68/20 od 17.12.2020.godine, Uprava za imovinu je preuzela privremeno oduzetu pokretnu imovinu i to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656 flaša gaziranih sokova Coca cola od po 2 l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2.136 limenki gaziranih sokova Ivi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195 flaša sokova Fante od po 1.5 l ; </w:t>
      </w:r>
      <w:r w:rsidRPr="00C76FE8">
        <w:rPr>
          <w:rFonts w:ascii="Calibri" w:eastAsia="Segoe UI Symbol" w:hAnsi="Calibri" w:cs="Calibri"/>
          <w:szCs w:val="24"/>
          <w:lang w:val="en-US"/>
        </w:rPr>
        <w:t></w:t>
      </w:r>
      <w:r w:rsidRPr="00C76FE8">
        <w:rPr>
          <w:rFonts w:ascii="Calibri" w:eastAsia="Arial" w:hAnsi="Calibri" w:cs="Calibri"/>
          <w:szCs w:val="24"/>
          <w:lang w:val="en-US"/>
        </w:rPr>
        <w:t xml:space="preserve"> </w:t>
      </w:r>
      <w:r w:rsidRPr="00C76FE8">
        <w:rPr>
          <w:rFonts w:ascii="Calibri" w:eastAsia="Times New Roman" w:hAnsi="Calibri" w:cs="Calibri"/>
          <w:szCs w:val="24"/>
          <w:lang w:val="en-US"/>
        </w:rPr>
        <w:t xml:space="preserve">174 flaše gaziranih sokova Sprite od po 1.5l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U izvještajnom periodu Upravi za imovinu je dostavljeno 4 rješenja Višeg suda u Podgorici o ukidanju privremenih mjera obezbjeđenja na osnovu kojih je sproveden postupak brisanja zabilježbi tereta.  </w:t>
      </w:r>
    </w:p>
    <w:p w:rsidR="00C76FE8" w:rsidRPr="00C76FE8" w:rsidRDefault="0046766A"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w:t>
      </w:r>
      <w:r>
        <w:rPr>
          <w:rFonts w:ascii="Calibri" w:eastAsia="Times New Roman" w:hAnsi="Calibri" w:cs="Calibri"/>
          <w:szCs w:val="24"/>
          <w:lang w:val="en-US"/>
        </w:rPr>
        <w:tab/>
      </w:r>
      <w:r w:rsidR="00C76FE8" w:rsidRPr="00C76FE8">
        <w:rPr>
          <w:rFonts w:ascii="Calibri" w:eastAsia="Times New Roman" w:hAnsi="Calibri" w:cs="Calibri"/>
          <w:szCs w:val="24"/>
          <w:lang w:val="en-US"/>
        </w:rPr>
        <w:t xml:space="preserve">U izvještajnom periodu Uprava za imovinu je izvršila preuzimanje 79 privremeno oduzetih vozila, 7 trajno oduzeta vozila,  a u istom periodu nakon okončanja postupka izvršila povraćaj vlasnicima 88 vozila.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3.1 Odsjek za izvršavanje odluka o privremenim mjerama obezbjeđenja i upravljanje nad nepokretnom imovinom </w:t>
      </w:r>
    </w:p>
    <w:p w:rsidR="00C76FE8" w:rsidRPr="00C76FE8" w:rsidRDefault="00C76FE8" w:rsidP="0046766A">
      <w:pPr>
        <w:spacing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U Odsjeku za izvršavanje odluka o privremenim mjerama obezbjeđenja i upravljanje nad nepokretnom imovinom vrše se poslovi koji se odnose izvršavanje privremenih mjera obezbjeđenja, u skladu sa zakonom kojim se uređuje oduzimanje imovinske koristi stečene kriminalnom djelatnošću, odnosno zakonom kojim se uređuje krivični postupak; izvršavanje odluka o oduzimanju imovinske koristi pribavljene krivičnim djelom, predmeta krivičnog djela i predmeta privremeno oduzetih u krivičnom i prekršajnom postupku i odluke o imovini datoj na ime jemstva; procjenu vrijednosti oduzete imovinske koristi za potrebe upravljanja imovinskom koristi; davanje u zakup oduzete imovinske koristi ili povjeravanje na upravljanje, u skladu sa zakonom kojim se uređuje oduzimanje imovinske koristi stečene kriminalnom djelatnošću; davanje oduzete imovinske koristi na korišćenje bez naknade.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3.2 Odsjek za izvršavanje odluka i upravljanje privremeno oduzetom pokretnom imovinom stečenom kriminalnom djelatnošću </w:t>
      </w:r>
    </w:p>
    <w:p w:rsidR="00C76FE8" w:rsidRPr="00C76FE8" w:rsidRDefault="00C76FE8" w:rsidP="0046766A">
      <w:pPr>
        <w:spacing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U Odsjeku za izvršavanje odluka i upravljanje privremeno oduzetom pokretnom  imovinom stečenom kriminalnom djelatnošću izvršavanje odluka o privremenom oduzimanju pokretne imovine i trajnom oduzimanju imovinske koristi stečene kriminalnom djelatnošću; izvršavanje odluka o oduzimanju imovinske koristi pribavljene krivičnim djelom, predmeta krivičnog djela i predmeta privremeno oduzetih u krivičnom i prekršajnom postupku i odluke o imovini datoj na ime jemstva; procjenu vrijednosti oduzete imovinske koristi za potrebe upravljanja imovinskom koristi; čuvanje, skladištenje, prodaju i povraćaj oduzete imovinske koristi; deponovanje oduzetih novčanih sredstava i sredstava dobijenih od prodaje oduzete imovinske koristi, u skladu sa zakonom; uništavanje oduzete imovinske koristi, u skladu sa zakonom; vođenje evidencije o oduzetoj imovinskoj koristi i sudskim postupcima u kojima je oduzeta, kao i o privremenim mjerama obezbjeđenja.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C76FE8">
      <w:pPr>
        <w:spacing w:before="0" w:after="0" w:line="240" w:lineRule="auto"/>
        <w:rPr>
          <w:rFonts w:ascii="Calibri" w:eastAsia="Times New Roman" w:hAnsi="Calibri" w:cs="Calibri"/>
          <w:szCs w:val="24"/>
          <w:lang w:val="en-US"/>
        </w:rPr>
      </w:pPr>
    </w:p>
    <w:p w:rsidR="00C76FE8" w:rsidRPr="00C76FE8" w:rsidRDefault="00C76FE8" w:rsidP="00C76FE8">
      <w:pPr>
        <w:spacing w:before="0" w:after="0" w:line="240" w:lineRule="auto"/>
        <w:rPr>
          <w:rFonts w:ascii="Calibri" w:eastAsia="Times New Roman" w:hAnsi="Calibri" w:cs="Calibri"/>
          <w:b/>
          <w:szCs w:val="24"/>
          <w:lang w:val="en-US"/>
        </w:rPr>
      </w:pPr>
      <w:r w:rsidRPr="00C76FE8">
        <w:rPr>
          <w:rFonts w:ascii="Calibri" w:eastAsia="Times New Roman" w:hAnsi="Calibri" w:cs="Calibri"/>
          <w:b/>
          <w:szCs w:val="24"/>
          <w:lang w:val="en-US"/>
        </w:rPr>
        <w:t xml:space="preserve">4. Služba za javne nabavke  </w:t>
      </w:r>
    </w:p>
    <w:p w:rsidR="00C76FE8" w:rsidRPr="00C76FE8" w:rsidRDefault="0046766A" w:rsidP="0046766A">
      <w:pPr>
        <w:spacing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w:t>
      </w:r>
      <w:r>
        <w:rPr>
          <w:rFonts w:ascii="Calibri" w:eastAsia="Times New Roman" w:hAnsi="Calibri" w:cs="Calibri"/>
          <w:szCs w:val="24"/>
          <w:lang w:val="en-US"/>
        </w:rPr>
        <w:tab/>
      </w:r>
      <w:r w:rsidR="00C76FE8" w:rsidRPr="00C76FE8">
        <w:rPr>
          <w:rFonts w:ascii="Calibri" w:eastAsia="Times New Roman" w:hAnsi="Calibri" w:cs="Calibri"/>
          <w:szCs w:val="24"/>
          <w:lang w:val="en-US"/>
        </w:rPr>
        <w:t>U službi za javne nabavke vrši poslove uprave koji se odnose na:praćenje i primjenu zakonskih propisa iz oblasti javnih nabavki;pripremu plana i izmjene i dopune plana javnih nabavki; objedinjavanje javnih nabavki robe i usluga za potrebe organa državne uprave i državnih fondova;vođenje postupaka javnih nabavki u skladu sa zakonom i podzakonskim aktima; pripremu teksta odluke o pokretanju postupka javne nabavke;objavljivanje na zvaničnom portalu javnih nabavki tenderske dokumentacije za sprovođenje otvorenog postupka, prve faze ograničenog postupka, prve faze pregovaračkog postupka sa prethodnim objavljivanjem poziva za javno nadmetanje i konkursa i davanje pojašnjenja;oglašavanje i obavještavanje o postupku javne nabavke u jednom dnevnom štampanom mediju koji se izdaje i distribu</w:t>
      </w:r>
      <w:r>
        <w:rPr>
          <w:rFonts w:ascii="Calibri" w:eastAsia="Times New Roman" w:hAnsi="Calibri" w:cs="Calibri"/>
          <w:szCs w:val="24"/>
          <w:lang w:val="en-US"/>
        </w:rPr>
        <w:t xml:space="preserve">ira na cijeloj teritoriji Crne </w:t>
      </w:r>
      <w:r w:rsidR="00C76FE8" w:rsidRPr="00C76FE8">
        <w:rPr>
          <w:rFonts w:ascii="Calibri" w:eastAsia="Times New Roman" w:hAnsi="Calibri" w:cs="Calibri"/>
          <w:szCs w:val="24"/>
          <w:lang w:val="en-US"/>
        </w:rPr>
        <w:t xml:space="preserve">Gore, i koji je dostupan na internetu;pripremu dokumentacije i sprovođenje postupaka nabavke male vrijednosti i hitne nabavke;koordiniranje i nadzor nad zakonitošću teksta i zahtjeva tenderske dokumentacije sa instrukcijama za postupanje;izdavanje zainteresovanim licima dijela tenderske dokumentacije, koji sadrži tajne podatke, a u skladu sa propisima koji uređuju tajnost podataka;vršenje stručnih i administrativnih poslova u realizaciji postupka javne nabavke;saradnju sa nadležnim organima i službama za koje se vrši nabavka sve do okončanja postupka;izradu nacrta ugovora o javnim nabavkama;obavljanje upravnih i drugih stručnih poslova za potrebe postupka javne nabavke i za potrebe Službe;čuvanje dokumentacije javnih nabavki;vođenje evidencije javnih nabavki, pripremu i dostavljanje izvještaja o sprovedenim postupcima javnih nabavki;saradnju sa ostalim organima državne uprave i državnih fondova u cilju postizanja planom definisane dinamike realizacije plana javne nabavke i poslove stručnog savjetovanja istih;vrši stručno administrativne poslove u realizaciji postupka javne nabavke i druge poslove po nalogu starješine organa. </w:t>
      </w:r>
    </w:p>
    <w:p w:rsidR="00C76FE8" w:rsidRPr="00C76FE8" w:rsidRDefault="00C76FE8" w:rsidP="00C76FE8">
      <w:pPr>
        <w:spacing w:before="0" w:after="0" w:line="240" w:lineRule="auto"/>
        <w:rPr>
          <w:rFonts w:ascii="Arial" w:eastAsia="Times New Roman" w:hAnsi="Arial" w:cs="Arial"/>
          <w:szCs w:val="24"/>
          <w:lang w:val="en-US"/>
        </w:rPr>
      </w:pPr>
      <w:r w:rsidRPr="00C76FE8">
        <w:rPr>
          <w:rFonts w:ascii="Arial" w:eastAsia="Times New Roman" w:hAnsi="Arial" w:cs="Arial"/>
          <w:szCs w:val="24"/>
          <w:lang w:val="en-US"/>
        </w:rPr>
        <w:t xml:space="preserve"> </w:t>
      </w:r>
    </w:p>
    <w:p w:rsidR="00C76FE8" w:rsidRPr="00C76FE8" w:rsidRDefault="00C76FE8" w:rsidP="0046766A">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U toku 2020.godine Uprava za imovinu je raspisala otvorene postupake javne nabavke, pregovaračke postupke bez prethodnog objavljivanja poziva za javno nadmetanje, hitne nabavke i nabavke male vrijednosti, za nabavku roba, usluga i radova za potrebe Uprave za imovinu i drugih državnih organa, od kojih je do 07.07.2020.godine :                                   </w:t>
      </w:r>
    </w:p>
    <w:tbl>
      <w:tblPr>
        <w:tblW w:w="9182" w:type="dxa"/>
        <w:tblInd w:w="113" w:type="dxa"/>
        <w:tblCellMar>
          <w:top w:w="9" w:type="dxa"/>
          <w:right w:w="115" w:type="dxa"/>
        </w:tblCellMar>
        <w:tblLook w:val="04A0" w:firstRow="1" w:lastRow="0" w:firstColumn="1" w:lastColumn="0" w:noHBand="0" w:noVBand="1"/>
      </w:tblPr>
      <w:tblGrid>
        <w:gridCol w:w="8193"/>
        <w:gridCol w:w="989"/>
      </w:tblGrid>
      <w:tr w:rsidR="00C76FE8" w:rsidRPr="00C76FE8" w:rsidTr="00C76FE8">
        <w:trPr>
          <w:trHeight w:val="562"/>
        </w:trPr>
        <w:tc>
          <w:tcPr>
            <w:tcW w:w="8193"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Realizovanih otvorenih postupaka javnih nabavki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10 </w:t>
            </w:r>
          </w:p>
        </w:tc>
      </w:tr>
      <w:tr w:rsidR="00C76FE8" w:rsidRPr="00C76FE8" w:rsidTr="00C76FE8">
        <w:trPr>
          <w:trHeight w:val="562"/>
        </w:trPr>
        <w:tc>
          <w:tcPr>
            <w:tcW w:w="8193"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U cjelosti obustavljenih otvorenih postupaka javnih nabavki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2 </w:t>
            </w:r>
          </w:p>
        </w:tc>
      </w:tr>
      <w:tr w:rsidR="00C76FE8" w:rsidRPr="00C76FE8" w:rsidTr="00C76FE8">
        <w:trPr>
          <w:trHeight w:val="562"/>
        </w:trPr>
        <w:tc>
          <w:tcPr>
            <w:tcW w:w="8193"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Realizovanih nabavki male vrijednosti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69 </w:t>
            </w:r>
          </w:p>
        </w:tc>
      </w:tr>
      <w:tr w:rsidR="00C76FE8" w:rsidRPr="00C76FE8" w:rsidTr="00C76FE8">
        <w:trPr>
          <w:trHeight w:val="564"/>
        </w:trPr>
        <w:tc>
          <w:tcPr>
            <w:tcW w:w="8193"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Obustavljenih postupaka nabavki male vrijednosti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3 </w:t>
            </w:r>
          </w:p>
        </w:tc>
      </w:tr>
      <w:tr w:rsidR="00C76FE8" w:rsidRPr="00C76FE8" w:rsidTr="00C76FE8">
        <w:trPr>
          <w:trHeight w:val="562"/>
        </w:trPr>
        <w:tc>
          <w:tcPr>
            <w:tcW w:w="8193"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Realizovanih postupaka hitnih nabavki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13 </w:t>
            </w:r>
          </w:p>
        </w:tc>
      </w:tr>
      <w:tr w:rsidR="00C76FE8" w:rsidRPr="00C76FE8" w:rsidTr="00C76FE8">
        <w:trPr>
          <w:trHeight w:val="562"/>
        </w:trPr>
        <w:tc>
          <w:tcPr>
            <w:tcW w:w="8193"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Obustavljenih  postupaka hitnih nabavki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 </w:t>
            </w:r>
          </w:p>
        </w:tc>
      </w:tr>
      <w:tr w:rsidR="00C76FE8" w:rsidRPr="00C76FE8" w:rsidTr="00C76FE8">
        <w:trPr>
          <w:trHeight w:val="838"/>
        </w:trPr>
        <w:tc>
          <w:tcPr>
            <w:tcW w:w="8193"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Realizovanih pregovaračkih postupaka javne nabavke bez prethodnog  objavljivanja poziva za javno nadmetanje(objedinjene nabavke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2 </w:t>
            </w:r>
          </w:p>
        </w:tc>
      </w:tr>
      <w:tr w:rsidR="00C76FE8" w:rsidRPr="00C76FE8" w:rsidTr="00C76FE8">
        <w:trPr>
          <w:trHeight w:val="562"/>
        </w:trPr>
        <w:tc>
          <w:tcPr>
            <w:tcW w:w="8193"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Realizovanih otvorenih postupaka javnih nabavki (objedinjene nabavke )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5 </w:t>
            </w:r>
          </w:p>
        </w:tc>
      </w:tr>
      <w:tr w:rsidR="00C76FE8" w:rsidRPr="00C76FE8" w:rsidTr="00C76FE8">
        <w:trPr>
          <w:trHeight w:val="838"/>
        </w:trPr>
        <w:tc>
          <w:tcPr>
            <w:tcW w:w="8193"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Djelimično realizovanih otvorenih postupaka javnih nabavki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(objedinjene nabavke)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2 </w:t>
            </w:r>
          </w:p>
        </w:tc>
      </w:tr>
    </w:tbl>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lastRenderedPageBreak/>
        <w:t xml:space="preserve"> </w:t>
      </w:r>
    </w:p>
    <w:p w:rsidR="00C76FE8" w:rsidRPr="00C76FE8" w:rsidRDefault="00C76FE8" w:rsidP="00ED06BF">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U skladu sa novim Zakonom o javnim nabavkama (“Službeni list Crne Gore”, br. 074/19) od 07.07.2020.godine,</w:t>
      </w:r>
      <w:r w:rsidR="00ED06BF">
        <w:rPr>
          <w:rFonts w:ascii="Calibri" w:eastAsia="Times New Roman" w:hAnsi="Calibri" w:cs="Calibri"/>
          <w:szCs w:val="24"/>
          <w:lang w:val="en-US"/>
        </w:rPr>
        <w:t xml:space="preserve"> </w:t>
      </w:r>
      <w:r w:rsidRPr="00C76FE8">
        <w:rPr>
          <w:rFonts w:ascii="Calibri" w:eastAsia="Times New Roman" w:hAnsi="Calibri" w:cs="Calibri"/>
          <w:szCs w:val="24"/>
          <w:lang w:val="en-US"/>
        </w:rPr>
        <w:t>Uprava za imovinu je raspisala otvorene postupake javne nabavke,</w:t>
      </w:r>
      <w:r w:rsidR="00ED06BF">
        <w:rPr>
          <w:rFonts w:ascii="Calibri" w:eastAsia="Times New Roman" w:hAnsi="Calibri" w:cs="Calibri"/>
          <w:szCs w:val="24"/>
          <w:lang w:val="en-US"/>
        </w:rPr>
        <w:t xml:space="preserve"> </w:t>
      </w:r>
      <w:r w:rsidRPr="00C76FE8">
        <w:rPr>
          <w:rFonts w:ascii="Calibri" w:eastAsia="Times New Roman" w:hAnsi="Calibri" w:cs="Calibri"/>
          <w:szCs w:val="24"/>
          <w:lang w:val="en-US"/>
        </w:rPr>
        <w:t>pregovaračke postupke bez prethodnog objavljivanja poziva za javno nadmetanje i jednostavne nabavke, za nabavku roba, usluga i radova za potrebe Uprave za imovinu i drugih</w:t>
      </w:r>
      <w:r w:rsidR="00ED06BF">
        <w:rPr>
          <w:rFonts w:ascii="Calibri" w:eastAsia="Times New Roman" w:hAnsi="Calibri" w:cs="Calibri"/>
          <w:szCs w:val="24"/>
          <w:lang w:val="en-US"/>
        </w:rPr>
        <w:t xml:space="preserve"> državnih organa, od kojih je: </w:t>
      </w:r>
    </w:p>
    <w:tbl>
      <w:tblPr>
        <w:tblW w:w="9182" w:type="dxa"/>
        <w:tblInd w:w="113" w:type="dxa"/>
        <w:tblCellMar>
          <w:top w:w="9" w:type="dxa"/>
          <w:right w:w="115" w:type="dxa"/>
        </w:tblCellMar>
        <w:tblLook w:val="04A0" w:firstRow="1" w:lastRow="0" w:firstColumn="1" w:lastColumn="0" w:noHBand="0" w:noVBand="1"/>
      </w:tblPr>
      <w:tblGrid>
        <w:gridCol w:w="8193"/>
        <w:gridCol w:w="989"/>
      </w:tblGrid>
      <w:tr w:rsidR="00C76FE8" w:rsidRPr="00C76FE8" w:rsidTr="00C76FE8">
        <w:trPr>
          <w:trHeight w:val="562"/>
        </w:trPr>
        <w:tc>
          <w:tcPr>
            <w:tcW w:w="8193"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Realizovanih otvorenih postupaka javnih nabavki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2 </w:t>
            </w:r>
          </w:p>
        </w:tc>
      </w:tr>
      <w:tr w:rsidR="00C76FE8" w:rsidRPr="00C76FE8" w:rsidTr="00C76FE8">
        <w:trPr>
          <w:trHeight w:val="562"/>
        </w:trPr>
        <w:tc>
          <w:tcPr>
            <w:tcW w:w="8193"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Realizovanih jednostavnih nabavki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14 </w:t>
            </w:r>
          </w:p>
        </w:tc>
      </w:tr>
      <w:tr w:rsidR="00C76FE8" w:rsidRPr="00C76FE8" w:rsidTr="00C76FE8">
        <w:trPr>
          <w:trHeight w:val="562"/>
        </w:trPr>
        <w:tc>
          <w:tcPr>
            <w:tcW w:w="8193"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Obustavljenih jednostavnih  nabavki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 </w:t>
            </w:r>
          </w:p>
        </w:tc>
      </w:tr>
      <w:tr w:rsidR="00C76FE8" w:rsidRPr="00C76FE8" w:rsidTr="00C76FE8">
        <w:trPr>
          <w:trHeight w:val="838"/>
        </w:trPr>
        <w:tc>
          <w:tcPr>
            <w:tcW w:w="8193"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Realizovanih pregovaračkih postupaka javne nabavke bez prethodnog  objavljivanja poziva za javno nadmetanje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5 </w:t>
            </w:r>
          </w:p>
        </w:tc>
      </w:tr>
      <w:tr w:rsidR="00C76FE8" w:rsidRPr="00C76FE8" w:rsidTr="00C76FE8">
        <w:trPr>
          <w:trHeight w:val="562"/>
        </w:trPr>
        <w:tc>
          <w:tcPr>
            <w:tcW w:w="8193"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Otvorenih postupaka objedinjene  javne  nabavke čija je realizacija u toku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 </w:t>
            </w:r>
          </w:p>
        </w:tc>
      </w:tr>
    </w:tbl>
    <w:p w:rsidR="00C76FE8" w:rsidRPr="00C76FE8" w:rsidRDefault="00ED06BF"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w:t>
      </w:r>
      <w:r w:rsidR="00C76FE8" w:rsidRPr="00C76FE8">
        <w:rPr>
          <w:rFonts w:ascii="Calibri" w:eastAsia="Times New Roman" w:hAnsi="Calibri" w:cs="Calibri"/>
          <w:szCs w:val="24"/>
          <w:lang w:val="en-US"/>
        </w:rPr>
        <w:t xml:space="preserve">       </w:t>
      </w:r>
    </w:p>
    <w:p w:rsidR="00C76FE8" w:rsidRPr="00C76FE8" w:rsidRDefault="0046766A"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w:t>
      </w:r>
      <w:r>
        <w:rPr>
          <w:rFonts w:ascii="Calibri" w:eastAsia="Times New Roman" w:hAnsi="Calibri" w:cs="Calibri"/>
          <w:szCs w:val="24"/>
          <w:lang w:val="en-US"/>
        </w:rPr>
        <w:tab/>
      </w:r>
      <w:r w:rsidR="00C76FE8" w:rsidRPr="00C76FE8">
        <w:rPr>
          <w:rFonts w:ascii="Calibri" w:eastAsia="Times New Roman" w:hAnsi="Calibri" w:cs="Calibri"/>
          <w:szCs w:val="24"/>
          <w:lang w:val="en-US"/>
        </w:rPr>
        <w:t xml:space="preserve">Na osnovu okvirnih sporazuma zaključenih u 2019.godini Uprava za imovinu je sprovela zakonsku proceduru za 8 postupaka javnih nabavki za nabavku roba i usluga  i za iste zaključila ugovore za 2020.godinu. </w:t>
      </w:r>
    </w:p>
    <w:p w:rsidR="00C76FE8" w:rsidRPr="00C76FE8" w:rsidRDefault="0046766A"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w:t>
      </w:r>
      <w:r>
        <w:rPr>
          <w:rFonts w:ascii="Calibri" w:eastAsia="Times New Roman" w:hAnsi="Calibri" w:cs="Calibri"/>
          <w:szCs w:val="24"/>
          <w:lang w:val="en-US"/>
        </w:rPr>
        <w:tab/>
      </w:r>
      <w:r w:rsidR="00C76FE8" w:rsidRPr="00C76FE8">
        <w:rPr>
          <w:rFonts w:ascii="Calibri" w:eastAsia="Times New Roman" w:hAnsi="Calibri" w:cs="Calibri"/>
          <w:szCs w:val="24"/>
          <w:lang w:val="en-US"/>
        </w:rPr>
        <w:t>Na osnovu Pravilnika o sprovođenju postupaka nabavki za zakup zemljišta, građevinskih objekata ili druge nepokretne imovine broj 0201/6688  od 10.07.2020.godine Uprava za imovinu je sprovela zakonsku proceduru za nabavku usluga - zakupa poslovnih prostora za potrebe državnih orga</w:t>
      </w:r>
      <w:r>
        <w:rPr>
          <w:rFonts w:ascii="Calibri" w:eastAsia="Times New Roman" w:hAnsi="Calibri" w:cs="Calibri"/>
          <w:szCs w:val="24"/>
          <w:lang w:val="en-US"/>
        </w:rPr>
        <w:t xml:space="preserve">na i političkih partija i to : </w:t>
      </w:r>
    </w:p>
    <w:tbl>
      <w:tblPr>
        <w:tblW w:w="9290" w:type="dxa"/>
        <w:tblInd w:w="5" w:type="dxa"/>
        <w:tblCellMar>
          <w:top w:w="9" w:type="dxa"/>
          <w:right w:w="115" w:type="dxa"/>
        </w:tblCellMar>
        <w:tblLook w:val="04A0" w:firstRow="1" w:lastRow="0" w:firstColumn="1" w:lastColumn="0" w:noHBand="0" w:noVBand="1"/>
      </w:tblPr>
      <w:tblGrid>
        <w:gridCol w:w="7669"/>
        <w:gridCol w:w="1621"/>
      </w:tblGrid>
      <w:tr w:rsidR="00C76FE8" w:rsidRPr="00C76FE8" w:rsidTr="00C76FE8">
        <w:trPr>
          <w:trHeight w:val="562"/>
        </w:trPr>
        <w:tc>
          <w:tcPr>
            <w:tcW w:w="7669"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Zaključeni ugovori za potrebe državnih organa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162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19 </w:t>
            </w:r>
          </w:p>
        </w:tc>
      </w:tr>
      <w:tr w:rsidR="00C76FE8" w:rsidRPr="00C76FE8" w:rsidTr="00C76FE8">
        <w:trPr>
          <w:trHeight w:val="564"/>
        </w:trPr>
        <w:tc>
          <w:tcPr>
            <w:tcW w:w="7669"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Zaključeni ugovori za potrebe parlamentarnih političkih partija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162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15 </w:t>
            </w:r>
          </w:p>
        </w:tc>
      </w:tr>
    </w:tbl>
    <w:p w:rsidR="00C76FE8" w:rsidRPr="00C76FE8" w:rsidRDefault="00C76FE8" w:rsidP="00C76FE8">
      <w:pPr>
        <w:spacing w:before="0" w:after="0" w:line="240" w:lineRule="auto"/>
        <w:rPr>
          <w:rFonts w:ascii="Arial" w:eastAsia="Times New Roman" w:hAnsi="Arial" w:cs="Arial"/>
          <w:szCs w:val="24"/>
          <w:lang w:val="en-US"/>
        </w:rPr>
      </w:pPr>
      <w:r w:rsidRPr="00C76FE8">
        <w:rPr>
          <w:rFonts w:ascii="Arial" w:eastAsia="Times New Roman" w:hAnsi="Arial" w:cs="Arial"/>
          <w:szCs w:val="24"/>
          <w:lang w:val="en-US"/>
        </w:rPr>
        <w:t xml:space="preserve"> </w:t>
      </w:r>
    </w:p>
    <w:p w:rsidR="00C76FE8" w:rsidRPr="00ED06BF" w:rsidRDefault="00ED06BF" w:rsidP="00C76FE8">
      <w:pPr>
        <w:spacing w:before="0" w:after="0" w:line="240" w:lineRule="auto"/>
        <w:rPr>
          <w:rFonts w:eastAsia="Times New Roman" w:cstheme="minorHAnsi"/>
          <w:b/>
          <w:szCs w:val="24"/>
          <w:lang w:val="en-US"/>
        </w:rPr>
      </w:pPr>
      <w:r w:rsidRPr="00ED06BF">
        <w:rPr>
          <w:rFonts w:eastAsia="Times New Roman" w:cstheme="minorHAnsi"/>
          <w:b/>
          <w:szCs w:val="24"/>
          <w:lang w:val="en-US"/>
        </w:rPr>
        <w:t>5. Služba za vršenje pomoćnih poslova neophodnih za funkcionisanje i rad državnih organa</w:t>
      </w:r>
    </w:p>
    <w:p w:rsidR="00C76FE8" w:rsidRPr="00520B6C" w:rsidRDefault="0046766A" w:rsidP="00ED06BF">
      <w:pPr>
        <w:spacing w:after="0" w:line="240" w:lineRule="auto"/>
        <w:rPr>
          <w:rFonts w:ascii="Calibri" w:eastAsia="Times New Roman" w:hAnsi="Calibri" w:cs="Calibri"/>
          <w:szCs w:val="24"/>
          <w:lang w:val="en-US"/>
        </w:rPr>
      </w:pPr>
      <w:r w:rsidRPr="00520B6C">
        <w:rPr>
          <w:rFonts w:ascii="Calibri" w:eastAsia="Times New Roman" w:hAnsi="Calibri" w:cs="Calibri"/>
          <w:szCs w:val="24"/>
          <w:lang w:val="en-US"/>
        </w:rPr>
        <w:t>5.</w:t>
      </w:r>
      <w:r w:rsidR="00520B6C" w:rsidRPr="00520B6C">
        <w:rPr>
          <w:rFonts w:ascii="Calibri" w:eastAsia="Times New Roman" w:hAnsi="Calibri" w:cs="Calibri"/>
          <w:szCs w:val="24"/>
          <w:lang w:val="en-US"/>
        </w:rPr>
        <w:t>1.</w:t>
      </w:r>
      <w:r w:rsidR="00C76FE8" w:rsidRPr="00520B6C">
        <w:rPr>
          <w:rFonts w:ascii="Calibri" w:eastAsia="Times New Roman" w:hAnsi="Calibri" w:cs="Calibri"/>
          <w:szCs w:val="24"/>
          <w:lang w:val="en-US"/>
        </w:rPr>
        <w:t xml:space="preserve"> Biro za ugostiteljstvo   </w:t>
      </w:r>
    </w:p>
    <w:p w:rsidR="00C76FE8" w:rsidRPr="00C76FE8" w:rsidRDefault="0046766A" w:rsidP="00ED06BF">
      <w:pPr>
        <w:spacing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w:t>
      </w:r>
      <w:r>
        <w:rPr>
          <w:rFonts w:ascii="Calibri" w:eastAsia="Times New Roman" w:hAnsi="Calibri" w:cs="Calibri"/>
          <w:szCs w:val="24"/>
          <w:lang w:val="en-US"/>
        </w:rPr>
        <w:tab/>
      </w:r>
      <w:r w:rsidR="00C76FE8" w:rsidRPr="00C76FE8">
        <w:rPr>
          <w:rFonts w:ascii="Calibri" w:eastAsia="Times New Roman" w:hAnsi="Calibri" w:cs="Calibri"/>
          <w:szCs w:val="24"/>
          <w:lang w:val="en-US"/>
        </w:rPr>
        <w:t xml:space="preserve">U Birou za ugostiteljstvo vrše se poslovi koji se odnose na  pruzanje ugostiteljskih usluga prilikom pripreme održavanja svečanosti, službenih sastanaka i drugih prijema,  poslovi koji se odnose na kvalitetno pružanje ugostiteljskih  usluga poslanicima, kao i usluga u reprezentativnim objektima, obezbeđivanje adekvatnog asortimana   hrane i pića u uslužnim objektima koji su u nadležnosti Uprave za imovinu  (kuhinje, bifea i sl.) pružanje ugostiteljskih usluga za potrebe kabineta i </w:t>
      </w:r>
      <w:r>
        <w:rPr>
          <w:rFonts w:ascii="Calibri" w:eastAsia="Times New Roman" w:hAnsi="Calibri" w:cs="Calibri"/>
          <w:szCs w:val="24"/>
          <w:lang w:val="en-US"/>
        </w:rPr>
        <w:t>sjednica drugih državnih organa</w:t>
      </w:r>
      <w:r w:rsidR="00C76FE8" w:rsidRPr="00C76FE8">
        <w:rPr>
          <w:rFonts w:ascii="Calibri" w:eastAsia="Times New Roman" w:hAnsi="Calibri" w:cs="Calibri"/>
          <w:szCs w:val="24"/>
          <w:lang w:val="en-US"/>
        </w:rPr>
        <w:t>, periodični i  mjesečni popisi zaliha hrane, pića i inventara; izrada normativa i cjenovnika usluga, kao i i</w:t>
      </w:r>
      <w:r w:rsidR="00520B6C">
        <w:rPr>
          <w:rFonts w:ascii="Calibri" w:eastAsia="Times New Roman" w:hAnsi="Calibri" w:cs="Calibri"/>
          <w:szCs w:val="24"/>
          <w:lang w:val="en-US"/>
        </w:rPr>
        <w:t>zdavanje protokolarnih poklona.</w:t>
      </w:r>
    </w:p>
    <w:p w:rsidR="00C76FE8" w:rsidRPr="00C76FE8" w:rsidRDefault="00520B6C"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w:t>
      </w:r>
      <w:r>
        <w:rPr>
          <w:rFonts w:ascii="Calibri" w:eastAsia="Times New Roman" w:hAnsi="Calibri" w:cs="Calibri"/>
          <w:szCs w:val="24"/>
          <w:lang w:val="en-US"/>
        </w:rPr>
        <w:tab/>
      </w:r>
      <w:r w:rsidR="00C76FE8" w:rsidRPr="00C76FE8">
        <w:rPr>
          <w:rFonts w:ascii="Calibri" w:eastAsia="Times New Roman" w:hAnsi="Calibri" w:cs="Calibri"/>
          <w:szCs w:val="24"/>
          <w:lang w:val="en-US"/>
        </w:rPr>
        <w:t>U 2020 sve aktivnosti su se odvijale po insturkcijama HACCP-a, koji je uvede</w:t>
      </w:r>
      <w:r>
        <w:rPr>
          <w:rFonts w:ascii="Calibri" w:eastAsia="Times New Roman" w:hAnsi="Calibri" w:cs="Calibri"/>
          <w:szCs w:val="24"/>
          <w:lang w:val="en-US"/>
        </w:rPr>
        <w:t>n u prvoj polovini 2018. godine.</w:t>
      </w:r>
    </w:p>
    <w:p w:rsidR="00C76FE8" w:rsidRPr="00C76FE8" w:rsidRDefault="00520B6C"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w:t>
      </w:r>
      <w:r>
        <w:rPr>
          <w:rFonts w:ascii="Calibri" w:eastAsia="Times New Roman" w:hAnsi="Calibri" w:cs="Calibri"/>
          <w:szCs w:val="24"/>
          <w:lang w:val="en-US"/>
        </w:rPr>
        <w:tab/>
      </w:r>
      <w:r w:rsidR="00C76FE8" w:rsidRPr="00C76FE8">
        <w:rPr>
          <w:rFonts w:ascii="Calibri" w:eastAsia="Times New Roman" w:hAnsi="Calibri" w:cs="Calibri"/>
          <w:szCs w:val="24"/>
          <w:lang w:val="en-US"/>
        </w:rPr>
        <w:t xml:space="preserve">U Birou za ugostiteljstvo zbog COVID-19 nije bilo posjeta inostranih delegacija. Jedan dio objekata radio je po epidemiološkim mjerama koje su bile na snazi u tom periodu. Imajući u vidu navedeno, dio zaposlenih radio je shodno rasporedu o dežurstvima, dok su bifei koji se nalaze u staroj zgradi Vlade (dva bifea) na I i II spratu, restoran u zgradi Vladi, bife u zgradi Predsjednika, radili prekovremeno. Reprezentativni objekat,  Vila Gorica,  je do oktobra mjeseca radio shodno rasporedu o dežurstvima, a nakon oktobra sa radom se nastavilo po uobičajenom radnom vremenu. </w:t>
      </w:r>
      <w:r w:rsidR="00C76FE8" w:rsidRPr="00C76FE8">
        <w:rPr>
          <w:rFonts w:ascii="Calibri" w:eastAsia="Times New Roman" w:hAnsi="Calibri" w:cs="Calibri"/>
          <w:szCs w:val="24"/>
          <w:lang w:val="en-US"/>
        </w:rPr>
        <w:lastRenderedPageBreak/>
        <w:t xml:space="preserve">Određeni broj zaposlenih u ugostiteljstvu, bio je angažovan u karantinima, obzirom da je Uprava zadužena za sve poslove u vezi sa vođenjem karantina.  </w:t>
      </w:r>
    </w:p>
    <w:p w:rsidR="00C76FE8" w:rsidRPr="00C76FE8" w:rsidRDefault="00520B6C"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5.2 Biro za higijenu     </w:t>
      </w:r>
    </w:p>
    <w:p w:rsidR="00C76FE8" w:rsidRPr="00C76FE8" w:rsidRDefault="00C76FE8" w:rsidP="00520B6C">
      <w:pPr>
        <w:spacing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U Birou za higijenu vrše se poslovi koji se odnose na: pomoćne poslove  neophodne za nesmetan rad i funkcionisanje  državnih organa i drugih organa uprave; poslovi održavanje higijene u objektima organa državne uprave kao i  u reprezentativnim objektima;  poslovi vođenja evidencije o izdatim i utrošenim sredstvima za higijenu.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520B6C" w:rsidRDefault="00C76FE8" w:rsidP="00C76FE8">
      <w:pPr>
        <w:spacing w:before="0" w:after="0" w:line="240" w:lineRule="auto"/>
        <w:rPr>
          <w:rFonts w:ascii="Calibri" w:eastAsia="Times New Roman" w:hAnsi="Calibri" w:cs="Calibri"/>
          <w:b/>
          <w:szCs w:val="24"/>
          <w:lang w:val="en-US"/>
        </w:rPr>
      </w:pPr>
      <w:r w:rsidRPr="00520B6C">
        <w:rPr>
          <w:rFonts w:ascii="Calibri" w:eastAsia="Times New Roman" w:hAnsi="Calibri" w:cs="Calibri"/>
          <w:b/>
          <w:szCs w:val="24"/>
          <w:lang w:val="en-US"/>
        </w:rPr>
        <w:t xml:space="preserve">6. Služba za opšte i kadrovske poslove  </w:t>
      </w:r>
    </w:p>
    <w:p w:rsidR="00C76FE8" w:rsidRPr="00C76FE8" w:rsidRDefault="00520B6C" w:rsidP="00520B6C">
      <w:pPr>
        <w:spacing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w:t>
      </w:r>
      <w:r>
        <w:rPr>
          <w:rFonts w:ascii="Calibri" w:eastAsia="Times New Roman" w:hAnsi="Calibri" w:cs="Calibri"/>
          <w:szCs w:val="24"/>
          <w:lang w:val="en-US"/>
        </w:rPr>
        <w:tab/>
      </w:r>
      <w:r w:rsidR="00C76FE8" w:rsidRPr="00C76FE8">
        <w:rPr>
          <w:rFonts w:ascii="Calibri" w:eastAsia="Times New Roman" w:hAnsi="Calibri" w:cs="Calibri"/>
          <w:szCs w:val="24"/>
          <w:lang w:val="en-US"/>
        </w:rPr>
        <w:t>U Službi za opšte i kadrovske poslove vrše se poslovi koji se odnose na praćenje i primjenu propisa iz radnih odnosa; razvoj ljudskih resursa; pripremu opštih i pojedinačnih  akta za ostvarivanje prava iz radnih odnosa službenika i namještenika; izradu rasporednih rješenja službenika i namještenika Uprave; planiranje stručnog usavršavanja službenika i namještenika Uprave; objedinjavanje programa i izvještaja o radu organizacionih jedinica Uprave; pripremu akta o organizaciji i sistematizaciji; vođenje i ažuriranje kadrovskog informacionog sistema (KIS), vođenje i ažuriranje stambene evidencije zaposlenih u Upravi,;postupanje po Zakonu o slobodnom pristupu informacijama; organizovanje i sprovođenje mjera zaštite tajnih podataka; prijem, evidentiranje i otpremanje akata, čuvanje predmeta, akata i drugog materijala i arhiviranje i čuvanje arhiviranih predmeta, vođenje osnovnih i pomoćnih evidencija, poslovi kurira-vozača za potrebe drugih državnih or</w:t>
      </w:r>
      <w:r>
        <w:rPr>
          <w:rFonts w:ascii="Calibri" w:eastAsia="Times New Roman" w:hAnsi="Calibri" w:cs="Calibri"/>
          <w:szCs w:val="24"/>
          <w:lang w:val="en-US"/>
        </w:rPr>
        <w:t>gana (kancelarijsko poslovanje).</w:t>
      </w:r>
    </w:p>
    <w:p w:rsidR="00C76FE8" w:rsidRPr="00C76FE8" w:rsidRDefault="00C76FE8" w:rsidP="00520B6C">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U toku 2020 godine u Službi za opšte i kadrovske poslove sprovedene su sljedeće aktivnosti: Shodno članu 41 Zakona o državnim službenicima i namještenicima popunjeno je 30 radnih mjesta i to:  </w:t>
      </w:r>
    </w:p>
    <w:p w:rsidR="00520B6C" w:rsidRDefault="00C76FE8" w:rsidP="00C76FE8">
      <w:pPr>
        <w:spacing w:before="0" w:after="0" w:line="240" w:lineRule="auto"/>
        <w:rPr>
          <w:rFonts w:ascii="Calibri" w:eastAsia="Times New Roman" w:hAnsi="Calibri" w:cs="Calibri"/>
          <w:szCs w:val="24"/>
          <w:lang w:val="en-US"/>
        </w:rPr>
      </w:pPr>
      <w:r w:rsidRPr="00C76FE8">
        <w:rPr>
          <w:rFonts w:ascii="Calibri" w:eastAsia="Calibri" w:hAnsi="Calibri" w:cs="Calibri"/>
          <w:szCs w:val="24"/>
          <w:lang w:val="en-US"/>
        </w:rPr>
        <w:t>-</w:t>
      </w:r>
      <w:r w:rsidRPr="00C76FE8">
        <w:rPr>
          <w:rFonts w:ascii="Calibri" w:eastAsia="Arial" w:hAnsi="Calibri" w:cs="Calibri"/>
          <w:szCs w:val="24"/>
          <w:lang w:val="en-US"/>
        </w:rPr>
        <w:t xml:space="preserve"> </w:t>
      </w:r>
      <w:r w:rsidRPr="00C76FE8">
        <w:rPr>
          <w:rFonts w:ascii="Calibri" w:eastAsia="Arial" w:hAnsi="Calibri" w:cs="Calibri"/>
          <w:szCs w:val="24"/>
          <w:lang w:val="en-US"/>
        </w:rPr>
        <w:tab/>
      </w:r>
      <w:r w:rsidRPr="00C76FE8">
        <w:rPr>
          <w:rFonts w:ascii="Calibri" w:eastAsia="Times New Roman" w:hAnsi="Calibri" w:cs="Calibri"/>
          <w:szCs w:val="24"/>
          <w:lang w:val="en-US"/>
        </w:rPr>
        <w:t xml:space="preserve">3 radna mjesta putem javnog konkursa ; </w:t>
      </w:r>
      <w:r w:rsidRPr="00C76FE8">
        <w:rPr>
          <w:rFonts w:ascii="Calibri" w:eastAsia="Calibri" w:hAnsi="Calibri" w:cs="Calibri"/>
          <w:szCs w:val="24"/>
          <w:lang w:val="en-US"/>
        </w:rPr>
        <w:t>-</w:t>
      </w:r>
      <w:r w:rsidRPr="00C76FE8">
        <w:rPr>
          <w:rFonts w:ascii="Calibri" w:eastAsia="Arial" w:hAnsi="Calibri" w:cs="Calibri"/>
          <w:szCs w:val="24"/>
          <w:lang w:val="en-US"/>
        </w:rPr>
        <w:t xml:space="preserve"> </w:t>
      </w:r>
      <w:r w:rsidRPr="00C76FE8">
        <w:rPr>
          <w:rFonts w:ascii="Calibri" w:eastAsia="Arial" w:hAnsi="Calibri" w:cs="Calibri"/>
          <w:szCs w:val="24"/>
          <w:lang w:val="en-US"/>
        </w:rPr>
        <w:tab/>
      </w:r>
      <w:r w:rsidRPr="00C76FE8">
        <w:rPr>
          <w:rFonts w:ascii="Calibri" w:eastAsia="Times New Roman" w:hAnsi="Calibri" w:cs="Calibri"/>
          <w:szCs w:val="24"/>
          <w:lang w:val="en-US"/>
        </w:rPr>
        <w:t xml:space="preserve">23 radna mjesta putem javnog oglasa ; </w:t>
      </w:r>
      <w:r w:rsidRPr="00C76FE8">
        <w:rPr>
          <w:rFonts w:ascii="Calibri" w:eastAsia="Calibri" w:hAnsi="Calibri" w:cs="Calibri"/>
          <w:szCs w:val="24"/>
          <w:lang w:val="en-US"/>
        </w:rPr>
        <w:t>-</w:t>
      </w:r>
      <w:r w:rsidRPr="00C76FE8">
        <w:rPr>
          <w:rFonts w:ascii="Calibri" w:eastAsia="Arial" w:hAnsi="Calibri" w:cs="Calibri"/>
          <w:szCs w:val="24"/>
          <w:lang w:val="en-US"/>
        </w:rPr>
        <w:t xml:space="preserve"> </w:t>
      </w:r>
      <w:r w:rsidRPr="00C76FE8">
        <w:rPr>
          <w:rFonts w:ascii="Calibri" w:eastAsia="Arial" w:hAnsi="Calibri" w:cs="Calibri"/>
          <w:szCs w:val="24"/>
          <w:lang w:val="en-US"/>
        </w:rPr>
        <w:tab/>
      </w:r>
      <w:r w:rsidRPr="00C76FE8">
        <w:rPr>
          <w:rFonts w:ascii="Calibri" w:eastAsia="Times New Roman" w:hAnsi="Calibri" w:cs="Calibri"/>
          <w:szCs w:val="24"/>
          <w:lang w:val="en-US"/>
        </w:rPr>
        <w:t xml:space="preserve">4 radna </w:t>
      </w:r>
      <w:r w:rsidR="00520B6C">
        <w:rPr>
          <w:rFonts w:ascii="Calibri" w:eastAsia="Times New Roman" w:hAnsi="Calibri" w:cs="Calibri"/>
          <w:szCs w:val="24"/>
          <w:lang w:val="en-US"/>
        </w:rPr>
        <w:t xml:space="preserve">mjesta putem internog oglasa. </w:t>
      </w:r>
    </w:p>
    <w:p w:rsidR="00C76FE8" w:rsidRPr="00C76FE8" w:rsidRDefault="00C76FE8" w:rsidP="00520B6C">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Urađen je Kadrovski plan za 2020 godinu. U okviru službe su odrađeni i tekući poslovi koji se odnose na: pripremu podataka za mjesečna plaćanja (tabelarni prikaz stalno zaposlenih službenika, izrada Ugovora o privremeno-povremenim  poslovima), izdavanje Uvjerenja o radnom odnosu na zahtjev službenika, izrada rješenja o godišnjem odmoru, izrada Kataloga protokolarnih poklona, izdavanje i vođenje evidencije o izdatim protokolarnim poklonima, vođenje Centralne kadrovske evidencije, JPR obrasce prijava i odjava službenika, M1 i M2 obrazaca, arhivski, daktilografski, kurirski i poslovi vozača. </w:t>
      </w:r>
    </w:p>
    <w:p w:rsidR="00C76FE8" w:rsidRPr="00C76FE8" w:rsidRDefault="00520B6C"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w:t>
      </w:r>
      <w:r>
        <w:rPr>
          <w:rFonts w:ascii="Calibri" w:eastAsia="Times New Roman" w:hAnsi="Calibri" w:cs="Calibri"/>
          <w:szCs w:val="24"/>
          <w:lang w:val="en-US"/>
        </w:rPr>
        <w:tab/>
      </w:r>
      <w:r w:rsidR="00C76FE8" w:rsidRPr="00C76FE8">
        <w:rPr>
          <w:rFonts w:ascii="Calibri" w:eastAsia="Times New Roman" w:hAnsi="Calibri" w:cs="Calibri"/>
          <w:szCs w:val="24"/>
          <w:lang w:val="en-US"/>
        </w:rPr>
        <w:t xml:space="preserve">U skladu sa Zakonom o slobodnom pristupu informacijama i Vodičem za pristup informacijama, tokom godine Uprava za imovinu obradila ukupno 55 zahtjeva od nevladinog sektora i medija.  </w:t>
      </w:r>
    </w:p>
    <w:p w:rsidR="00C76FE8" w:rsidRPr="00C76FE8" w:rsidRDefault="00C76FE8" w:rsidP="00520B6C">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Takođe saradnja sa medijima vrlo aktivna i konstantna. To su uglavnom pitanja upućena Upravi za potrebe novinskih članaka. </w:t>
      </w:r>
    </w:p>
    <w:p w:rsidR="00C76FE8" w:rsidRPr="00C76FE8" w:rsidRDefault="00520B6C"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w:t>
      </w:r>
      <w:r>
        <w:rPr>
          <w:rFonts w:ascii="Calibri" w:eastAsia="Times New Roman" w:hAnsi="Calibri" w:cs="Calibri"/>
          <w:szCs w:val="24"/>
          <w:lang w:val="en-US"/>
        </w:rPr>
        <w:tab/>
      </w:r>
      <w:r w:rsidR="00C76FE8" w:rsidRPr="00C76FE8">
        <w:rPr>
          <w:rFonts w:ascii="Calibri" w:eastAsia="Times New Roman" w:hAnsi="Calibri" w:cs="Calibri"/>
          <w:szCs w:val="24"/>
          <w:lang w:val="en-US"/>
        </w:rPr>
        <w:t xml:space="preserve">Uzimajući u obzir globalnu epidemiju COVID-19, i ako Uprava za imovinu zagovara princip cjeloživotnog obrazovanja (članom 11 Zakona o državnim službenicima i namještenicima “Sl. list Crne Gore“, br. 002/18 034/19 propisano je da državni službenik ondnosno namještenik ima prava i obavezu da se stručno osposobljava i usavršava), tokom 2020. godine nije bilo organizovanih obuka, a ni stručnog usavršavanja na kojima bi prisustvovali zaposleni Uprave, osim online organizovane obuke za javne nabavke i konferencije na temu “Indeks rodne ravnopravnosti za Crnu Goru”, održana 29. januara 2020.  godine u hoteu Ramada.  </w:t>
      </w:r>
    </w:p>
    <w:p w:rsidR="00C76FE8" w:rsidRPr="00C76FE8" w:rsidRDefault="00520B6C"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w:t>
      </w:r>
      <w:r>
        <w:rPr>
          <w:rFonts w:ascii="Calibri" w:eastAsia="Times New Roman" w:hAnsi="Calibri" w:cs="Calibri"/>
          <w:szCs w:val="24"/>
          <w:lang w:val="en-US"/>
        </w:rPr>
        <w:tab/>
      </w:r>
      <w:r w:rsidR="00C76FE8" w:rsidRPr="00C76FE8">
        <w:rPr>
          <w:rFonts w:ascii="Calibri" w:eastAsia="Times New Roman" w:hAnsi="Calibri" w:cs="Calibri"/>
          <w:szCs w:val="24"/>
          <w:lang w:val="en-US"/>
        </w:rPr>
        <w:t xml:space="preserve">Shodno članu 76 Zakona o sprječavanju korupcije, organi vlasti su u obavezi da svake druge godine procijene efikasnost i efektivnost plana integriteta. U skladu sa navedenim, Uprava za </w:t>
      </w:r>
      <w:r w:rsidR="00C76FE8" w:rsidRPr="00C76FE8">
        <w:rPr>
          <w:rFonts w:ascii="Calibri" w:eastAsia="Times New Roman" w:hAnsi="Calibri" w:cs="Calibri"/>
          <w:szCs w:val="24"/>
          <w:lang w:val="en-US"/>
        </w:rPr>
        <w:lastRenderedPageBreak/>
        <w:t xml:space="preserve">imovnu je popunila Upitnik za procjenu efikasnosti i efektivnosti plana integriteta, koji služi organima vlasti za reviziju postojećeg, odnosno izradu novog plana integriteta.  </w:t>
      </w:r>
    </w:p>
    <w:p w:rsidR="00C76FE8" w:rsidRPr="00C76FE8" w:rsidRDefault="00520B6C"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w:t>
      </w:r>
      <w:r>
        <w:rPr>
          <w:rFonts w:ascii="Calibri" w:eastAsia="Times New Roman" w:hAnsi="Calibri" w:cs="Calibri"/>
          <w:szCs w:val="24"/>
          <w:lang w:val="en-US"/>
        </w:rPr>
        <w:tab/>
      </w:r>
      <w:r w:rsidR="00C76FE8" w:rsidRPr="00C76FE8">
        <w:rPr>
          <w:rFonts w:ascii="Calibri" w:eastAsia="Times New Roman" w:hAnsi="Calibri" w:cs="Calibri"/>
          <w:szCs w:val="24"/>
          <w:lang w:val="en-US"/>
        </w:rPr>
        <w:t xml:space="preserve">Ministarstvo za ljudska i manjinska prava u saradnji sa Misijom OSCE-a u Crnoj Gori, u martu je započeo proces sprovođenja eksterne evaluacije, trećeg po redu strateškog dokumenta Plana aktivnosi za postizanje rodne ravnopravnosti (PAPRR). Nalazi evaluacije će dati strateške smjernice za sljedeći ciklus strateškog planiranja u sladu sa Zakonom o rodnoj ravnopravosti, obavezama iz Procesa pristupanje Crne Gore u Evropsku Uniju, te preporukama međunarodnih tijela za podršku Crnoj Gori u postizanju ciljeva održivog razvoja. Koordinatorka za rodnu ravnopravnost ispred Uprave je učestvovala u procesu sprovođenja Evaluacije PAPRR-a popunjavanjem upitnika i na taj način doprinijeli procesu i identifikaciji budućih prioriteta i strategija za dalje unapređenje svih oblasti predviđenih PAPRR-om za naredni programski ciklus. </w:t>
      </w:r>
    </w:p>
    <w:p w:rsidR="00C76FE8" w:rsidRPr="00C76FE8" w:rsidRDefault="00520B6C"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w:t>
      </w:r>
    </w:p>
    <w:p w:rsidR="00C76FE8" w:rsidRPr="00C76FE8" w:rsidRDefault="00C76FE8" w:rsidP="00C76FE8">
      <w:pPr>
        <w:spacing w:before="0" w:after="0" w:line="240" w:lineRule="auto"/>
        <w:rPr>
          <w:rFonts w:ascii="Calibri" w:eastAsia="Times New Roman" w:hAnsi="Calibri" w:cs="Calibri"/>
          <w:b/>
          <w:szCs w:val="24"/>
          <w:lang w:val="en-US"/>
        </w:rPr>
      </w:pPr>
      <w:r w:rsidRPr="00C76FE8">
        <w:rPr>
          <w:rFonts w:ascii="Calibri" w:eastAsia="Times New Roman" w:hAnsi="Calibri" w:cs="Calibri"/>
          <w:b/>
          <w:szCs w:val="24"/>
          <w:lang w:val="en-US"/>
        </w:rPr>
        <w:t xml:space="preserve">7. Služba za finansijske i računovodstvene poslove  </w:t>
      </w:r>
    </w:p>
    <w:p w:rsidR="00C76FE8" w:rsidRPr="00C76FE8" w:rsidRDefault="00520B6C" w:rsidP="00520B6C">
      <w:pPr>
        <w:spacing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w:t>
      </w:r>
      <w:r>
        <w:rPr>
          <w:rFonts w:ascii="Calibri" w:eastAsia="Times New Roman" w:hAnsi="Calibri" w:cs="Calibri"/>
          <w:szCs w:val="24"/>
          <w:lang w:val="en-US"/>
        </w:rPr>
        <w:tab/>
      </w:r>
      <w:r w:rsidR="00C76FE8" w:rsidRPr="00C76FE8">
        <w:rPr>
          <w:rFonts w:ascii="Calibri" w:eastAsia="Times New Roman" w:hAnsi="Calibri" w:cs="Calibri"/>
          <w:szCs w:val="24"/>
          <w:lang w:val="en-US"/>
        </w:rPr>
        <w:t xml:space="preserve">U Službi za finansijske i računovodstvene poslove vrše se poslovi koji se odnose na: pripremu predloga zahtjeva za budžetskim sredstvima, obradu zahtjeva za budžetsku potrošnju i isplatu ( sve isplate preko državnog trezora), ovjeravanje zahtjeva za plaćanje, praćenje mjesečnih varanta i njihov utrošak, evidencija osnovnih sredstava, priprema i obrada knjigovodstvene dokumentacije, vođenje poslovnih knjiga (glavna knjiga i analitičke knjige), usaglašavanje knjigovodstvenog sa stvarnim stanjem, obrada i dostava statističkih podataka, podizanje avansa i vođenje blagajne, trebovanje kancelarijskog i potrošnog materijala, vođenje zaliha robe,materijalno poslovanje, analitika kupaca i dobavljača, priprema izvještaja za obračun zarada, izrada periodičnih obračuna i završnog računa, organizovanje popisa u Upravi, izrada drugih finansijskih izvještaja i dostavljanje Trezoru i Poreskoj upravi, planiranje i priprema budžeta; srednjoročne planove potrebnih sredstava; praćenje i kontrolu finansijske realizacije ugovora zaključenih u postupku javnih nabavki; usklađivanje finansijskog plana sa odobrenim sredstvima u budžetu;  održavanje analitičkog sistema evidencija u skladu sa međunarodnim računovodstvenim standardima, javne nabavke roba, usluga i radova za potrebe Uprave; pripremu godišnjeg plana javnih nabavki. </w:t>
      </w:r>
    </w:p>
    <w:p w:rsidR="00C76FE8" w:rsidRPr="00C76FE8" w:rsidRDefault="00520B6C"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w:t>
      </w:r>
      <w:r>
        <w:rPr>
          <w:rFonts w:ascii="Calibri" w:eastAsia="Times New Roman" w:hAnsi="Calibri" w:cs="Calibri"/>
          <w:szCs w:val="24"/>
          <w:lang w:val="en-US"/>
        </w:rPr>
        <w:tab/>
      </w:r>
      <w:r w:rsidR="00C76FE8" w:rsidRPr="00C76FE8">
        <w:rPr>
          <w:rFonts w:ascii="Calibri" w:eastAsia="Times New Roman" w:hAnsi="Calibri" w:cs="Calibri"/>
          <w:szCs w:val="24"/>
          <w:lang w:val="en-US"/>
        </w:rPr>
        <w:t xml:space="preserve">U službi su se vodili poslovi podizanja avansa i vođenja blagajne, vođenja zaliha robe, materijalno poslovanje,  analitika kupaca i dobavljača, priprema izvještaja za obračun zarada, organizovanja popisa u organu, planiranje i priprema budžeta, praćenje i kontrola finansijske realizacije ugovora zaključenih u postupcima javnih nabavki, obrada i dostava statističkih podataka, vođenje poslovnih knjiga, obrada zahtjeva za budžetsku potrošnju i isplatu(sve isplate preko državnog trezora i računa kod poslovnih banaka), ovjeravanje zahtjeva za plaćanje, kontrolu finansijsko materijalne dokumentacije(trebovanje), evidenciju o ulazu i izlazu robe i druge poslove. S tim u vezi, obavljali su se redovni poslovi ukupnih obračuna mjesečnih zaduženje hrane, pića i hemijsih sredstava za objekte, unošenje faktura, evidencija i plaćanje po svim budžetskim pozicijama u organu, evidencija i plaćanje po budžetskim pozicijama koje su namijenjene za objedinjene javne nabavke za 50 državnih institucija, evidencija osnovnih sredstava, analitika glavne knjige, stambena analitika(prihodi po osnovu otkupa stanova i stambenih kredita), materijalno knjigovotstvo, obračun zarada zaposlenih po Ugovoru o privremenim i povremenim poslovima, obrada računa iz bifea, poslovi komercijale(trebovanje, ulaz robe, izlaz robe, popis) i drugi poslovi iz nadležnosti sektora.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Na početku 2020.godine na programu Uprave za imovinu planirano je 35.766.961,30 eura, od kojih je na programu Zajednički poslovi predviđeno 21.586.050,13 eura dok je na programu Objedinjene javne nabavke bilo planirano 14.180.911,17 eura. </w:t>
      </w:r>
    </w:p>
    <w:p w:rsidR="00C76FE8" w:rsidRPr="00C76FE8" w:rsidRDefault="00C76FE8" w:rsidP="00520B6C">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Rebalansom budžeta za 2020.</w:t>
      </w:r>
      <w:r w:rsidR="00520B6C">
        <w:rPr>
          <w:rFonts w:ascii="Calibri" w:eastAsia="Times New Roman" w:hAnsi="Calibri" w:cs="Calibri"/>
          <w:szCs w:val="24"/>
          <w:lang w:val="en-US"/>
        </w:rPr>
        <w:t xml:space="preserve"> </w:t>
      </w:r>
      <w:r w:rsidRPr="00C76FE8">
        <w:rPr>
          <w:rFonts w:ascii="Calibri" w:eastAsia="Times New Roman" w:hAnsi="Calibri" w:cs="Calibri"/>
          <w:szCs w:val="24"/>
          <w:lang w:val="en-US"/>
        </w:rPr>
        <w:t>godinu na programu Uprave za imovinu obezbijeđeno je 33.169.591,13 eura. Na programu Zajednički poslovi odre</w:t>
      </w:r>
      <w:r w:rsidR="00520B6C">
        <w:rPr>
          <w:rFonts w:ascii="Calibri" w:eastAsia="Times New Roman" w:hAnsi="Calibri" w:cs="Calibri"/>
          <w:szCs w:val="24"/>
          <w:lang w:val="en-US"/>
        </w:rPr>
        <w:t>đen je iznos 20.191.050,13 eura</w:t>
      </w:r>
      <w:r w:rsidRPr="00C76FE8">
        <w:rPr>
          <w:rFonts w:ascii="Calibri" w:eastAsia="Times New Roman" w:hAnsi="Calibri" w:cs="Calibri"/>
          <w:szCs w:val="24"/>
          <w:lang w:val="en-US"/>
        </w:rPr>
        <w:t xml:space="preserve">, dok se na pozicijama 50 institucija za objedinjene javne nabavke roba i usluga nalazilo ukupno 12.978.541 eura.  </w:t>
      </w:r>
    </w:p>
    <w:p w:rsidR="00C76FE8" w:rsidRPr="00C76FE8" w:rsidRDefault="00C76FE8" w:rsidP="00520B6C">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lastRenderedPageBreak/>
        <w:t>Takođe, u toku godine izvršeno je preusmjerenje sredstava na poziciju Zajednički poslovi Uprave za imovinu u ukupnom iznosu 5.826.634,33 eura čime je tekući budžet za 2020.</w:t>
      </w:r>
      <w:r w:rsidR="00520B6C">
        <w:rPr>
          <w:rFonts w:ascii="Calibri" w:eastAsia="Times New Roman" w:hAnsi="Calibri" w:cs="Calibri"/>
          <w:szCs w:val="24"/>
          <w:lang w:val="en-US"/>
        </w:rPr>
        <w:t xml:space="preserve"> </w:t>
      </w:r>
      <w:r w:rsidRPr="00C76FE8">
        <w:rPr>
          <w:rFonts w:ascii="Calibri" w:eastAsia="Times New Roman" w:hAnsi="Calibri" w:cs="Calibri"/>
          <w:szCs w:val="24"/>
          <w:lang w:val="en-US"/>
        </w:rPr>
        <w:t xml:space="preserve">godinu uvećan na 26.017.684,46 eura. U toku godine sa predmetnog programa izvršeno je plaćanje u iznosu 26.326.955,73 eura. Na kraju godine ukupan dug iznosio je 1.997.159,27 eura </w:t>
      </w:r>
    </w:p>
    <w:p w:rsidR="00C76FE8" w:rsidRPr="00C76FE8" w:rsidRDefault="00C76FE8" w:rsidP="00520B6C">
      <w:pPr>
        <w:spacing w:before="0" w:after="0" w:line="240" w:lineRule="auto"/>
        <w:ind w:firstLine="709"/>
        <w:rPr>
          <w:rFonts w:ascii="Calibri" w:eastAsia="Times New Roman" w:hAnsi="Calibri" w:cs="Calibri"/>
          <w:szCs w:val="24"/>
          <w:lang w:val="en-US"/>
        </w:rPr>
      </w:pPr>
      <w:r w:rsidRPr="00C76FE8">
        <w:rPr>
          <w:rFonts w:ascii="Calibri" w:eastAsia="Times New Roman" w:hAnsi="Calibri" w:cs="Calibri"/>
          <w:szCs w:val="24"/>
          <w:lang w:val="en-US"/>
        </w:rPr>
        <w:t xml:space="preserve">Na program Objedinjene javne nabavke u toku godine izvršeno je preusmjerenje u ukupnom iznosu 836.043,62 eura čime je tekući budžet za 2020.godinu uvećan na 13.814.584,62 eura. U toku godine izvršeno je plaćanje u iznosu 11.955.077,71 eura, dok je ostalo 479.750,53 eura neizmirenih obaveza. </w:t>
      </w:r>
    </w:p>
    <w:p w:rsidR="00C76FE8" w:rsidRPr="00C76FE8" w:rsidRDefault="00520B6C"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w:t>
      </w:r>
    </w:p>
    <w:tbl>
      <w:tblPr>
        <w:tblW w:w="8382" w:type="dxa"/>
        <w:tblInd w:w="5" w:type="dxa"/>
        <w:tblCellMar>
          <w:top w:w="9" w:type="dxa"/>
          <w:right w:w="115" w:type="dxa"/>
        </w:tblCellMar>
        <w:tblLook w:val="04A0" w:firstRow="1" w:lastRow="0" w:firstColumn="1" w:lastColumn="0" w:noHBand="0" w:noVBand="1"/>
      </w:tblPr>
      <w:tblGrid>
        <w:gridCol w:w="986"/>
        <w:gridCol w:w="1933"/>
        <w:gridCol w:w="3192"/>
        <w:gridCol w:w="2271"/>
      </w:tblGrid>
      <w:tr w:rsidR="00C76FE8" w:rsidRPr="00C76FE8" w:rsidTr="00520B6C">
        <w:trPr>
          <w:trHeight w:val="840"/>
        </w:trPr>
        <w:tc>
          <w:tcPr>
            <w:tcW w:w="8382" w:type="dxa"/>
            <w:gridSpan w:val="4"/>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Neizmirene obaveze Uprave za imovinu na dan 31.12.2020.godine </w:t>
            </w:r>
          </w:p>
        </w:tc>
      </w:tr>
      <w:tr w:rsidR="00C76FE8" w:rsidRPr="00C76FE8" w:rsidTr="00C76FE8">
        <w:trPr>
          <w:trHeight w:val="641"/>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Redni broj </w:t>
            </w: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Budžetska pozicija </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Naziv stavke izdataka </w:t>
            </w:r>
          </w:p>
        </w:tc>
        <w:tc>
          <w:tcPr>
            <w:tcW w:w="227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Iznos -€- </w:t>
            </w:r>
          </w:p>
        </w:tc>
      </w:tr>
      <w:tr w:rsidR="00C76FE8" w:rsidRPr="00C76FE8" w:rsidTr="00C76FE8">
        <w:trPr>
          <w:trHeight w:val="562"/>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 </w:t>
            </w: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4131 </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Administrativni materijal </w:t>
            </w:r>
          </w:p>
        </w:tc>
        <w:tc>
          <w:tcPr>
            <w:tcW w:w="227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23,685.71  </w:t>
            </w:r>
          </w:p>
        </w:tc>
      </w:tr>
      <w:tr w:rsidR="00C76FE8" w:rsidRPr="00C76FE8" w:rsidTr="00C76FE8">
        <w:trPr>
          <w:trHeight w:val="562"/>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2 </w:t>
            </w: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4133 </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Materijal za posebne namjene </w:t>
            </w:r>
          </w:p>
        </w:tc>
        <w:tc>
          <w:tcPr>
            <w:tcW w:w="227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123,893.50  </w:t>
            </w:r>
          </w:p>
        </w:tc>
      </w:tr>
      <w:tr w:rsidR="00C76FE8" w:rsidRPr="00C76FE8" w:rsidTr="00C76FE8">
        <w:trPr>
          <w:trHeight w:val="565"/>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3 </w:t>
            </w: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4134 </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Rashodi za energiju </w:t>
            </w:r>
          </w:p>
        </w:tc>
        <w:tc>
          <w:tcPr>
            <w:tcW w:w="227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339,028.84  </w:t>
            </w:r>
          </w:p>
        </w:tc>
      </w:tr>
      <w:tr w:rsidR="00C76FE8" w:rsidRPr="00C76FE8" w:rsidTr="00C76FE8">
        <w:trPr>
          <w:trHeight w:val="593"/>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4 </w:t>
            </w: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4135 </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Rashodi za gorivo </w:t>
            </w:r>
          </w:p>
        </w:tc>
        <w:tc>
          <w:tcPr>
            <w:tcW w:w="227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20,721.07  </w:t>
            </w:r>
          </w:p>
        </w:tc>
      </w:tr>
      <w:tr w:rsidR="00C76FE8" w:rsidRPr="00C76FE8" w:rsidTr="00C76FE8">
        <w:trPr>
          <w:trHeight w:val="564"/>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5 </w:t>
            </w: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4142 </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Reprezentacija </w:t>
            </w:r>
          </w:p>
        </w:tc>
        <w:tc>
          <w:tcPr>
            <w:tcW w:w="227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862.70  </w:t>
            </w:r>
          </w:p>
        </w:tc>
      </w:tr>
      <w:tr w:rsidR="00C76FE8" w:rsidRPr="00C76FE8" w:rsidTr="00C76FE8">
        <w:trPr>
          <w:trHeight w:val="562"/>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6 </w:t>
            </w: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4143 </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Komunikativne usluge </w:t>
            </w:r>
          </w:p>
        </w:tc>
        <w:tc>
          <w:tcPr>
            <w:tcW w:w="227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1,804.75  </w:t>
            </w:r>
          </w:p>
        </w:tc>
      </w:tr>
      <w:tr w:rsidR="00C76FE8" w:rsidRPr="00C76FE8" w:rsidTr="00C76FE8">
        <w:trPr>
          <w:trHeight w:val="638"/>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7 </w:t>
            </w: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4152 </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Tekuće održavanje građevinskih objekata </w:t>
            </w:r>
          </w:p>
        </w:tc>
        <w:tc>
          <w:tcPr>
            <w:tcW w:w="227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16,657.21  </w:t>
            </w:r>
          </w:p>
        </w:tc>
      </w:tr>
      <w:tr w:rsidR="00C76FE8" w:rsidRPr="00C76FE8" w:rsidTr="00C76FE8">
        <w:trPr>
          <w:trHeight w:val="564"/>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8 </w:t>
            </w: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4153 </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Tekuće održavanje opreme </w:t>
            </w:r>
          </w:p>
        </w:tc>
        <w:tc>
          <w:tcPr>
            <w:tcW w:w="227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40,545.43  </w:t>
            </w:r>
          </w:p>
        </w:tc>
      </w:tr>
      <w:tr w:rsidR="00C76FE8" w:rsidRPr="00C76FE8" w:rsidTr="00C76FE8">
        <w:trPr>
          <w:trHeight w:val="562"/>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9 </w:t>
            </w: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4171 </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Zakup objekata </w:t>
            </w:r>
          </w:p>
        </w:tc>
        <w:tc>
          <w:tcPr>
            <w:tcW w:w="227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999,524.57  </w:t>
            </w:r>
          </w:p>
        </w:tc>
      </w:tr>
      <w:tr w:rsidR="00C76FE8" w:rsidRPr="00C76FE8" w:rsidTr="00C76FE8">
        <w:trPr>
          <w:trHeight w:val="562"/>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10 </w:t>
            </w: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4194 </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Osiguranje </w:t>
            </w:r>
          </w:p>
        </w:tc>
        <w:tc>
          <w:tcPr>
            <w:tcW w:w="227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10,096.73  </w:t>
            </w:r>
          </w:p>
        </w:tc>
      </w:tr>
      <w:tr w:rsidR="00C76FE8" w:rsidRPr="00C76FE8" w:rsidTr="00C76FE8">
        <w:trPr>
          <w:trHeight w:val="562"/>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11 </w:t>
            </w: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4196 </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Komunalne naknade </w:t>
            </w:r>
          </w:p>
        </w:tc>
        <w:tc>
          <w:tcPr>
            <w:tcW w:w="227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233,737.97  </w:t>
            </w:r>
          </w:p>
        </w:tc>
      </w:tr>
      <w:tr w:rsidR="00C76FE8" w:rsidRPr="00C76FE8" w:rsidTr="00C76FE8">
        <w:trPr>
          <w:trHeight w:val="562"/>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12 </w:t>
            </w: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4199 </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Ostalo </w:t>
            </w:r>
          </w:p>
        </w:tc>
        <w:tc>
          <w:tcPr>
            <w:tcW w:w="227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3,788.47  </w:t>
            </w:r>
          </w:p>
        </w:tc>
      </w:tr>
      <w:tr w:rsidR="00C76FE8" w:rsidRPr="00C76FE8" w:rsidTr="00C76FE8">
        <w:trPr>
          <w:trHeight w:val="562"/>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13 </w:t>
            </w: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4415 </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Izdaci za opremu </w:t>
            </w:r>
          </w:p>
        </w:tc>
        <w:tc>
          <w:tcPr>
            <w:tcW w:w="227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46,518.97  </w:t>
            </w:r>
          </w:p>
        </w:tc>
      </w:tr>
      <w:tr w:rsidR="00C76FE8" w:rsidRPr="00C76FE8" w:rsidTr="00C76FE8">
        <w:trPr>
          <w:trHeight w:val="641"/>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14 </w:t>
            </w: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4416 </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Izdaci za investiciono održavanje </w:t>
            </w:r>
          </w:p>
        </w:tc>
        <w:tc>
          <w:tcPr>
            <w:tcW w:w="227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133,316.75  </w:t>
            </w:r>
          </w:p>
        </w:tc>
      </w:tr>
      <w:tr w:rsidR="00C76FE8" w:rsidRPr="00C76FE8" w:rsidTr="00C76FE8">
        <w:trPr>
          <w:trHeight w:val="562"/>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15 </w:t>
            </w: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4417 </w:t>
            </w:r>
          </w:p>
        </w:tc>
        <w:tc>
          <w:tcPr>
            <w:tcW w:w="3192"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Izdaci za zalihe </w:t>
            </w:r>
          </w:p>
        </w:tc>
        <w:tc>
          <w:tcPr>
            <w:tcW w:w="227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2,976.60  </w:t>
            </w:r>
          </w:p>
        </w:tc>
      </w:tr>
      <w:tr w:rsidR="00C76FE8" w:rsidRPr="00C76FE8" w:rsidTr="00C76FE8">
        <w:trPr>
          <w:trHeight w:val="310"/>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1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UKUPNO: </w:t>
            </w:r>
          </w:p>
        </w:tc>
        <w:tc>
          <w:tcPr>
            <w:tcW w:w="227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1,997,159.27  </w:t>
            </w:r>
          </w:p>
        </w:tc>
      </w:tr>
      <w:tr w:rsidR="00C76FE8" w:rsidRPr="00C76FE8" w:rsidTr="00C76FE8">
        <w:trPr>
          <w:trHeight w:val="312"/>
        </w:trPr>
        <w:tc>
          <w:tcPr>
            <w:tcW w:w="98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0" w:type="auto"/>
            <w:vMerge/>
            <w:tcBorders>
              <w:top w:val="nil"/>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p>
        </w:tc>
        <w:tc>
          <w:tcPr>
            <w:tcW w:w="0" w:type="auto"/>
            <w:vMerge/>
            <w:tcBorders>
              <w:top w:val="nil"/>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p>
        </w:tc>
      </w:tr>
    </w:tbl>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p w:rsidR="00C76FE8" w:rsidRPr="00CA0EFE" w:rsidRDefault="00CA0EFE" w:rsidP="00C76FE8">
      <w:pPr>
        <w:spacing w:before="0" w:after="0" w:line="240" w:lineRule="auto"/>
        <w:rPr>
          <w:rFonts w:ascii="Calibri" w:eastAsia="Times New Roman" w:hAnsi="Calibri" w:cs="Calibri"/>
          <w:szCs w:val="24"/>
          <w:lang w:val="en-US"/>
        </w:rPr>
      </w:pPr>
      <w:r>
        <w:rPr>
          <w:rFonts w:ascii="Calibri" w:eastAsia="Times New Roman" w:hAnsi="Calibri" w:cs="Calibri"/>
          <w:szCs w:val="24"/>
          <w:lang w:val="en-US"/>
        </w:rPr>
        <w:lastRenderedPageBreak/>
        <w:t xml:space="preserve"> </w:t>
      </w:r>
      <w:r w:rsidR="00C76FE8" w:rsidRPr="00C76FE8">
        <w:rPr>
          <w:rFonts w:ascii="Calibri" w:eastAsia="Times New Roman" w:hAnsi="Calibri" w:cs="Calibri"/>
          <w:b/>
          <w:szCs w:val="24"/>
          <w:lang w:val="en-US"/>
        </w:rPr>
        <w:t xml:space="preserve">NEIZMIRENE OBAVEZE ZA OBJEDINJENE JAVNE NABAVKE </w:t>
      </w:r>
    </w:p>
    <w:p w:rsidR="00C76FE8" w:rsidRPr="00C76FE8" w:rsidRDefault="00C76FE8" w:rsidP="00C76FE8">
      <w:pPr>
        <w:spacing w:before="0" w:after="0" w:line="240" w:lineRule="auto"/>
        <w:rPr>
          <w:rFonts w:ascii="Calibri" w:eastAsia="Times New Roman" w:hAnsi="Calibri" w:cs="Calibri"/>
          <w:b/>
          <w:szCs w:val="24"/>
          <w:lang w:val="en-US"/>
        </w:rPr>
      </w:pPr>
      <w:r w:rsidRPr="00C76FE8">
        <w:rPr>
          <w:rFonts w:ascii="Calibri" w:eastAsia="Times New Roman" w:hAnsi="Calibri" w:cs="Calibri"/>
          <w:b/>
          <w:szCs w:val="24"/>
          <w:lang w:val="en-US"/>
        </w:rPr>
        <w:t xml:space="preserve">(na dan 31.12. 2020 god.)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bl>
      <w:tblPr>
        <w:tblW w:w="9400" w:type="dxa"/>
        <w:tblInd w:w="5" w:type="dxa"/>
        <w:tblCellMar>
          <w:top w:w="9" w:type="dxa"/>
          <w:right w:w="50" w:type="dxa"/>
        </w:tblCellMar>
        <w:tblLook w:val="04A0" w:firstRow="1" w:lastRow="0" w:firstColumn="1" w:lastColumn="0" w:noHBand="0" w:noVBand="1"/>
      </w:tblPr>
      <w:tblGrid>
        <w:gridCol w:w="1749"/>
        <w:gridCol w:w="3361"/>
        <w:gridCol w:w="1966"/>
        <w:gridCol w:w="2324"/>
      </w:tblGrid>
      <w:tr w:rsidR="00C76FE8" w:rsidRPr="00C76FE8" w:rsidTr="00C76FE8">
        <w:trPr>
          <w:trHeight w:val="562"/>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BUDŽETSKA POZICIJA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NAZIV ORGANA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DOBAVLJAČ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DUGOVANJE -€- </w:t>
            </w:r>
          </w:p>
        </w:tc>
      </w:tr>
      <w:tr w:rsidR="00C76FE8" w:rsidRPr="00C76FE8" w:rsidTr="00C76FE8">
        <w:trPr>
          <w:trHeight w:val="286"/>
        </w:trPr>
        <w:tc>
          <w:tcPr>
            <w:tcW w:w="17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4131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Administrativni materijal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Ministarstvo prosvjete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Kastex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14.056,36 </w:t>
            </w:r>
          </w:p>
        </w:tc>
      </w:tr>
      <w:tr w:rsidR="00C76FE8" w:rsidRPr="00C76FE8" w:rsidTr="00C76FE8">
        <w:trPr>
          <w:trHeight w:val="409"/>
        </w:trPr>
        <w:tc>
          <w:tcPr>
            <w:tcW w:w="0" w:type="auto"/>
            <w:vMerge/>
            <w:tcBorders>
              <w:top w:val="nil"/>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Min.rada i socijalnog staranja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Kastex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1.512,54 </w:t>
            </w:r>
          </w:p>
        </w:tc>
      </w:tr>
      <w:tr w:rsidR="00C76FE8" w:rsidRPr="00C76FE8" w:rsidTr="00C76FE8">
        <w:trPr>
          <w:trHeight w:val="288"/>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Up.za inspekcijske poslove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Kastex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8.192,33 </w:t>
            </w:r>
          </w:p>
        </w:tc>
      </w:tr>
      <w:tr w:rsidR="00C76FE8" w:rsidRPr="00C76FE8" w:rsidTr="00C76FE8">
        <w:trPr>
          <w:trHeight w:val="286"/>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Min.finansija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Kastex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8.198,72 </w:t>
            </w:r>
          </w:p>
        </w:tc>
      </w:tr>
      <w:tr w:rsidR="00C76FE8" w:rsidRPr="00C76FE8" w:rsidTr="00C76FE8">
        <w:trPr>
          <w:trHeight w:val="286"/>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Dir.za zaštitu tajnih podataka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Kastex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69,58 </w:t>
            </w:r>
          </w:p>
        </w:tc>
      </w:tr>
      <w:tr w:rsidR="00C76FE8" w:rsidRPr="00C76FE8" w:rsidTr="00C76FE8">
        <w:trPr>
          <w:trHeight w:val="286"/>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Uprava za kadrove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Kastex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504,63 </w:t>
            </w:r>
          </w:p>
        </w:tc>
      </w:tr>
      <w:tr w:rsidR="00C76FE8" w:rsidRPr="00C76FE8" w:rsidTr="00C76FE8">
        <w:trPr>
          <w:trHeight w:val="286"/>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Min.vanjskih poslova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Kastex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31,36 </w:t>
            </w:r>
          </w:p>
        </w:tc>
      </w:tr>
      <w:tr w:rsidR="00C76FE8" w:rsidRPr="00C76FE8" w:rsidTr="00C76FE8">
        <w:trPr>
          <w:trHeight w:val="286"/>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Min.ekonomije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Kastex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2.802,57 </w:t>
            </w:r>
          </w:p>
        </w:tc>
      </w:tr>
      <w:tr w:rsidR="00C76FE8" w:rsidRPr="00C76FE8" w:rsidTr="00C76FE8">
        <w:trPr>
          <w:trHeight w:val="288"/>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Min.zdravlja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Kastex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1.941,88 </w:t>
            </w:r>
          </w:p>
        </w:tc>
      </w:tr>
      <w:tr w:rsidR="00C76FE8" w:rsidRPr="00C76FE8" w:rsidTr="00C76FE8">
        <w:trPr>
          <w:trHeight w:val="286"/>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Poreska uprava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Kastex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1.022,75 </w:t>
            </w:r>
          </w:p>
        </w:tc>
      </w:tr>
      <w:tr w:rsidR="00C76FE8" w:rsidRPr="00C76FE8" w:rsidTr="00C76FE8">
        <w:trPr>
          <w:trHeight w:val="286"/>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Uprava carina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Kastex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995,38 </w:t>
            </w:r>
          </w:p>
        </w:tc>
      </w:tr>
      <w:tr w:rsidR="00C76FE8" w:rsidRPr="00C76FE8" w:rsidTr="00C76FE8">
        <w:trPr>
          <w:trHeight w:val="562"/>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Min.za ljudska i manjinska prava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Kastex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2.825,56 </w:t>
            </w:r>
          </w:p>
        </w:tc>
      </w:tr>
      <w:tr w:rsidR="00C76FE8" w:rsidRPr="00C76FE8" w:rsidTr="00C76FE8">
        <w:trPr>
          <w:trHeight w:val="286"/>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Uprava policije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Kastex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8.593,39 </w:t>
            </w:r>
          </w:p>
        </w:tc>
      </w:tr>
      <w:tr w:rsidR="00C76FE8" w:rsidRPr="00C76FE8" w:rsidTr="00C76FE8">
        <w:trPr>
          <w:trHeight w:val="286"/>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Ziks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Kastex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3.157,50 </w:t>
            </w:r>
          </w:p>
        </w:tc>
      </w:tr>
      <w:tr w:rsidR="00C76FE8" w:rsidRPr="00C76FE8" w:rsidTr="00C76FE8">
        <w:trPr>
          <w:trHeight w:val="286"/>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Min.poljoprivrede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Kastex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1.264,73 </w:t>
            </w:r>
          </w:p>
        </w:tc>
      </w:tr>
      <w:tr w:rsidR="00C76FE8" w:rsidRPr="00C76FE8" w:rsidTr="00C76FE8">
        <w:trPr>
          <w:trHeight w:val="288"/>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Ag.za zaštitu životne sredine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Kastex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1.543,96 </w:t>
            </w:r>
          </w:p>
        </w:tc>
      </w:tr>
      <w:tr w:rsidR="00C76FE8" w:rsidRPr="00C76FE8" w:rsidTr="00C76FE8">
        <w:trPr>
          <w:trHeight w:val="286"/>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Ukupno: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56.713,24  </w:t>
            </w:r>
          </w:p>
        </w:tc>
      </w:tr>
      <w:tr w:rsidR="00C76FE8" w:rsidRPr="00C76FE8" w:rsidTr="00C76FE8">
        <w:trPr>
          <w:trHeight w:val="286"/>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r>
      <w:tr w:rsidR="00C76FE8" w:rsidRPr="00C76FE8" w:rsidTr="00C76FE8">
        <w:trPr>
          <w:trHeight w:val="390"/>
        </w:trPr>
        <w:tc>
          <w:tcPr>
            <w:tcW w:w="17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4194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Osiguranje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Mup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Lovćen osiguranje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45.866,11 </w:t>
            </w:r>
          </w:p>
        </w:tc>
      </w:tr>
      <w:tr w:rsidR="00C76FE8" w:rsidRPr="00C76FE8" w:rsidTr="00C76FE8">
        <w:trPr>
          <w:trHeight w:val="371"/>
        </w:trPr>
        <w:tc>
          <w:tcPr>
            <w:tcW w:w="0" w:type="auto"/>
            <w:vMerge/>
            <w:tcBorders>
              <w:top w:val="nil"/>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Uprava policije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Lovćen osiguranje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38.227,13 </w:t>
            </w:r>
          </w:p>
        </w:tc>
      </w:tr>
      <w:tr w:rsidR="00C76FE8" w:rsidRPr="00C76FE8" w:rsidTr="00C76FE8">
        <w:trPr>
          <w:trHeight w:val="286"/>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Mup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Swiss osiguranje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2.925,00 </w:t>
            </w:r>
          </w:p>
        </w:tc>
      </w:tr>
      <w:tr w:rsidR="00C76FE8" w:rsidRPr="00C76FE8" w:rsidTr="00C76FE8">
        <w:trPr>
          <w:trHeight w:val="288"/>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Min.poljoprivrede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Swiss osiguranje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3.529,69 </w:t>
            </w:r>
          </w:p>
        </w:tc>
      </w:tr>
      <w:tr w:rsidR="00C76FE8" w:rsidRPr="00C76FE8" w:rsidTr="00C76FE8">
        <w:trPr>
          <w:trHeight w:val="286"/>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Min.finansija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Swiss osiguranje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861,90 </w:t>
            </w:r>
          </w:p>
        </w:tc>
      </w:tr>
      <w:tr w:rsidR="00C76FE8" w:rsidRPr="00C76FE8" w:rsidTr="00C76FE8">
        <w:trPr>
          <w:trHeight w:val="286"/>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Min.odbrane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Swiss osiguranje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40.365,00 </w:t>
            </w:r>
          </w:p>
        </w:tc>
      </w:tr>
      <w:tr w:rsidR="00C76FE8" w:rsidRPr="00C76FE8" w:rsidTr="00C76FE8">
        <w:trPr>
          <w:trHeight w:val="286"/>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Zav.za hidrometerologiju i seiz.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Swiss osiguranje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2.971,98 </w:t>
            </w:r>
          </w:p>
        </w:tc>
      </w:tr>
      <w:tr w:rsidR="00C76FE8" w:rsidRPr="00C76FE8" w:rsidTr="00C76FE8">
        <w:trPr>
          <w:trHeight w:val="286"/>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Zavod za metrologiju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Swiss osiguranje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829,44 </w:t>
            </w:r>
          </w:p>
        </w:tc>
      </w:tr>
      <w:tr w:rsidR="00C76FE8" w:rsidRPr="00C76FE8" w:rsidTr="00C76FE8">
        <w:trPr>
          <w:trHeight w:val="286"/>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Min.vanjskih poslova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Swiss osiguranje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528,45 </w:t>
            </w:r>
          </w:p>
        </w:tc>
      </w:tr>
      <w:tr w:rsidR="00C76FE8" w:rsidRPr="00C76FE8" w:rsidTr="00C76FE8">
        <w:trPr>
          <w:trHeight w:val="286"/>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Uprava policije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Swiss osiguranje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27.284,40 </w:t>
            </w:r>
          </w:p>
        </w:tc>
      </w:tr>
      <w:tr w:rsidR="00C76FE8" w:rsidRPr="00C76FE8" w:rsidTr="00C76FE8">
        <w:trPr>
          <w:trHeight w:val="289"/>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Uprava policije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Sava osiguranje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7.823,03 </w:t>
            </w:r>
          </w:p>
        </w:tc>
      </w:tr>
      <w:tr w:rsidR="00C76FE8" w:rsidRPr="00C76FE8" w:rsidTr="00C76FE8">
        <w:trPr>
          <w:trHeight w:val="286"/>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Min.finansija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Smokva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966,58 </w:t>
            </w:r>
          </w:p>
        </w:tc>
      </w:tr>
      <w:tr w:rsidR="00C76FE8" w:rsidRPr="00C76FE8" w:rsidTr="00C76FE8">
        <w:trPr>
          <w:trHeight w:val="286"/>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Zavod za metrologiju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Smokva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269,41 </w:t>
            </w:r>
          </w:p>
        </w:tc>
      </w:tr>
      <w:tr w:rsidR="00C76FE8" w:rsidRPr="00C76FE8" w:rsidTr="00C76FE8">
        <w:trPr>
          <w:trHeight w:val="286"/>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Min.poljoprivrede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Smokva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290,09 </w:t>
            </w:r>
          </w:p>
        </w:tc>
      </w:tr>
      <w:tr w:rsidR="00C76FE8" w:rsidRPr="00C76FE8" w:rsidTr="00C76FE8">
        <w:trPr>
          <w:trHeight w:val="286"/>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Uprava javnih radova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Delta Generali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1.062,15 </w:t>
            </w:r>
          </w:p>
        </w:tc>
      </w:tr>
      <w:tr w:rsidR="00C76FE8" w:rsidRPr="00C76FE8" w:rsidTr="00C76FE8">
        <w:trPr>
          <w:trHeight w:val="286"/>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Uprava javnih radova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Fiders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2.003,69 </w:t>
            </w:r>
          </w:p>
        </w:tc>
      </w:tr>
      <w:tr w:rsidR="00C76FE8" w:rsidRPr="00C76FE8" w:rsidTr="00C76FE8">
        <w:trPr>
          <w:trHeight w:val="288"/>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Ukupno: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175.804,05  </w:t>
            </w:r>
          </w:p>
        </w:tc>
      </w:tr>
      <w:tr w:rsidR="00C76FE8" w:rsidRPr="00C76FE8" w:rsidTr="00C76FE8">
        <w:trPr>
          <w:trHeight w:val="286"/>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r>
      <w:tr w:rsidR="00C76FE8" w:rsidRPr="00C76FE8" w:rsidTr="00C76FE8">
        <w:trPr>
          <w:trHeight w:val="286"/>
        </w:trPr>
        <w:tc>
          <w:tcPr>
            <w:tcW w:w="17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4415 </w:t>
            </w:r>
          </w:p>
          <w:p w:rsidR="00C76FE8" w:rsidRPr="00C76FE8" w:rsidRDefault="00C76FE8" w:rsidP="00C76FE8">
            <w:pPr>
              <w:spacing w:before="0" w:after="0" w:line="240" w:lineRule="auto"/>
              <w:jc w:val="left"/>
              <w:rPr>
                <w:rFonts w:ascii="Calibri" w:eastAsia="Times New Roman" w:hAnsi="Calibri" w:cs="Calibri"/>
                <w:szCs w:val="24"/>
                <w:lang w:val="en-US"/>
              </w:rPr>
            </w:pPr>
            <w:r w:rsidRPr="00C76FE8">
              <w:rPr>
                <w:rFonts w:ascii="Calibri" w:eastAsia="Times New Roman" w:hAnsi="Calibri" w:cs="Calibri"/>
                <w:szCs w:val="24"/>
                <w:lang w:val="en-US"/>
              </w:rPr>
              <w:t xml:space="preserve">Izdaci za opremu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Uprava policije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G-tech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112.202,09 </w:t>
            </w:r>
          </w:p>
        </w:tc>
      </w:tr>
      <w:tr w:rsidR="00C76FE8" w:rsidRPr="00C76FE8" w:rsidTr="00C76FE8">
        <w:trPr>
          <w:trHeight w:val="552"/>
        </w:trPr>
        <w:tc>
          <w:tcPr>
            <w:tcW w:w="0" w:type="auto"/>
            <w:vMerge/>
            <w:tcBorders>
              <w:top w:val="nil"/>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Min.saobraćaja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G-tech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7.612,11 </w:t>
            </w:r>
          </w:p>
        </w:tc>
      </w:tr>
      <w:tr w:rsidR="00C76FE8" w:rsidRPr="00C76FE8" w:rsidTr="00C76FE8">
        <w:trPr>
          <w:trHeight w:val="286"/>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lastRenderedPageBreak/>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Min.finansija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G-tech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205,70 </w:t>
            </w:r>
          </w:p>
        </w:tc>
      </w:tr>
      <w:tr w:rsidR="00C76FE8" w:rsidRPr="00C76FE8" w:rsidTr="00C76FE8">
        <w:trPr>
          <w:trHeight w:val="288"/>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Zavod za metrologiju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S-leasing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385,98 </w:t>
            </w:r>
          </w:p>
        </w:tc>
      </w:tr>
      <w:tr w:rsidR="00C76FE8" w:rsidRPr="00C76FE8" w:rsidTr="00C76FE8">
        <w:trPr>
          <w:trHeight w:val="286"/>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Zav.za hidrometerologiju i seiz.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Porshe leasing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1.311,12 </w:t>
            </w:r>
          </w:p>
        </w:tc>
      </w:tr>
      <w:tr w:rsidR="00C76FE8" w:rsidRPr="00C76FE8" w:rsidTr="00C76FE8">
        <w:trPr>
          <w:trHeight w:val="286"/>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Up.za inspekcijske poslove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Auto Čačak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29.800,00 </w:t>
            </w:r>
          </w:p>
        </w:tc>
      </w:tr>
      <w:tr w:rsidR="00C76FE8" w:rsidRPr="00C76FE8" w:rsidTr="00C76FE8">
        <w:trPr>
          <w:trHeight w:val="286"/>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Mup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Was design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8.888,28 </w:t>
            </w:r>
          </w:p>
        </w:tc>
      </w:tr>
      <w:tr w:rsidR="00C76FE8" w:rsidRPr="00C76FE8" w:rsidTr="00C76FE8">
        <w:trPr>
          <w:trHeight w:val="286"/>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Uprava za dijasporu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Was desing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4.693,92 </w:t>
            </w:r>
          </w:p>
        </w:tc>
      </w:tr>
      <w:tr w:rsidR="00C76FE8" w:rsidRPr="00C76FE8" w:rsidTr="00C76FE8">
        <w:trPr>
          <w:trHeight w:val="286"/>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Zavod za metrologiju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Was desing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9.813,14 </w:t>
            </w:r>
          </w:p>
        </w:tc>
      </w:tr>
      <w:tr w:rsidR="00C76FE8" w:rsidRPr="00C76FE8" w:rsidTr="00C76FE8">
        <w:trPr>
          <w:trHeight w:val="288"/>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Ukupno: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174.912,34  </w:t>
            </w:r>
          </w:p>
        </w:tc>
      </w:tr>
      <w:tr w:rsidR="00C76FE8" w:rsidRPr="00C76FE8" w:rsidTr="00C76FE8">
        <w:trPr>
          <w:trHeight w:val="286"/>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r>
      <w:tr w:rsidR="00C76FE8" w:rsidRPr="00C76FE8" w:rsidTr="00C76FE8">
        <w:trPr>
          <w:trHeight w:val="286"/>
        </w:trPr>
        <w:tc>
          <w:tcPr>
            <w:tcW w:w="17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4143 </w:t>
            </w:r>
          </w:p>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Komunikacione usluge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Ministarstvo prosvjete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SBS Network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9.078,63 </w:t>
            </w:r>
          </w:p>
        </w:tc>
      </w:tr>
      <w:tr w:rsidR="00C76FE8" w:rsidRPr="00C76FE8" w:rsidTr="00C76FE8">
        <w:trPr>
          <w:trHeight w:val="562"/>
        </w:trPr>
        <w:tc>
          <w:tcPr>
            <w:tcW w:w="0" w:type="auto"/>
            <w:vMerge/>
            <w:tcBorders>
              <w:top w:val="nil"/>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Zav.za hodrometerologiju i seiz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Crnogorski telekom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4.080,77 </w:t>
            </w:r>
          </w:p>
        </w:tc>
      </w:tr>
      <w:tr w:rsidR="00C76FE8" w:rsidRPr="00C76FE8" w:rsidTr="00C76FE8">
        <w:trPr>
          <w:trHeight w:val="562"/>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Državni arhiv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Crnogorski telekom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1.221,67 </w:t>
            </w:r>
          </w:p>
        </w:tc>
      </w:tr>
      <w:tr w:rsidR="00C76FE8" w:rsidRPr="00C76FE8" w:rsidTr="00C76FE8">
        <w:trPr>
          <w:trHeight w:val="562"/>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Min.rada i socijalnog staranja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Crnogorski telekom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3.098,47 </w:t>
            </w:r>
          </w:p>
        </w:tc>
      </w:tr>
      <w:tr w:rsidR="00C76FE8" w:rsidRPr="00C76FE8" w:rsidTr="00C76FE8">
        <w:trPr>
          <w:trHeight w:val="562"/>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Uprava za nekretnine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Crnogorski telekom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20.814,45 </w:t>
            </w:r>
          </w:p>
        </w:tc>
      </w:tr>
      <w:tr w:rsidR="00C76FE8" w:rsidRPr="00C76FE8" w:rsidTr="00C76FE8">
        <w:trPr>
          <w:trHeight w:val="564"/>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Uprava za vode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Crnogorski telekom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1.616,39 </w:t>
            </w:r>
          </w:p>
        </w:tc>
      </w:tr>
      <w:tr w:rsidR="00C76FE8" w:rsidRPr="00C76FE8" w:rsidTr="00C76FE8">
        <w:trPr>
          <w:trHeight w:val="562"/>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Min.ekonomije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Crnogorski telekom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4.573,87 </w:t>
            </w:r>
          </w:p>
        </w:tc>
      </w:tr>
      <w:tr w:rsidR="00C76FE8" w:rsidRPr="00C76FE8" w:rsidTr="00C76FE8">
        <w:trPr>
          <w:trHeight w:val="562"/>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Agencija za investicije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Crnogorski telekom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1.533,39 </w:t>
            </w:r>
          </w:p>
        </w:tc>
      </w:tr>
      <w:tr w:rsidR="00C76FE8" w:rsidRPr="00C76FE8" w:rsidTr="00C76FE8">
        <w:trPr>
          <w:trHeight w:val="562"/>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Uprava za šume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Crnogorski telekom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3.391,65 </w:t>
            </w:r>
          </w:p>
        </w:tc>
      </w:tr>
      <w:tr w:rsidR="00C76FE8" w:rsidRPr="00C76FE8" w:rsidTr="00C76FE8">
        <w:trPr>
          <w:trHeight w:val="562"/>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Min.poljoprivrede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Crnogorski telekom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3.259,22 </w:t>
            </w:r>
          </w:p>
        </w:tc>
      </w:tr>
      <w:tr w:rsidR="00C76FE8" w:rsidRPr="00C76FE8" w:rsidTr="00C76FE8">
        <w:trPr>
          <w:trHeight w:val="562"/>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Min.vanjskih poslova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Crnogorski telekom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5.140,09 </w:t>
            </w:r>
          </w:p>
        </w:tc>
      </w:tr>
      <w:tr w:rsidR="00C76FE8" w:rsidRPr="00C76FE8" w:rsidTr="00C76FE8">
        <w:trPr>
          <w:trHeight w:val="288"/>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Ukupno: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57.808,60  </w:t>
            </w:r>
          </w:p>
        </w:tc>
      </w:tr>
      <w:tr w:rsidR="00C76FE8" w:rsidRPr="00C76FE8" w:rsidTr="00C76FE8">
        <w:trPr>
          <w:trHeight w:val="286"/>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r>
      <w:tr w:rsidR="00C76FE8" w:rsidRPr="00C76FE8" w:rsidTr="00C76FE8">
        <w:trPr>
          <w:trHeight w:val="286"/>
        </w:trPr>
        <w:tc>
          <w:tcPr>
            <w:tcW w:w="17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jc w:val="left"/>
              <w:rPr>
                <w:rFonts w:ascii="Calibri" w:eastAsia="Times New Roman" w:hAnsi="Calibri" w:cs="Calibri"/>
                <w:szCs w:val="24"/>
                <w:lang w:val="en-US"/>
              </w:rPr>
            </w:pPr>
            <w:r w:rsidRPr="00C76FE8">
              <w:rPr>
                <w:rFonts w:ascii="Calibri" w:eastAsia="Times New Roman" w:hAnsi="Calibri" w:cs="Calibri"/>
                <w:szCs w:val="24"/>
                <w:lang w:val="en-US"/>
              </w:rPr>
              <w:t xml:space="preserve">4135 </w:t>
            </w:r>
          </w:p>
          <w:p w:rsidR="00C76FE8" w:rsidRPr="00C76FE8" w:rsidRDefault="00C76FE8" w:rsidP="00C76FE8">
            <w:pPr>
              <w:spacing w:before="0" w:after="0" w:line="240" w:lineRule="auto"/>
              <w:jc w:val="left"/>
              <w:rPr>
                <w:rFonts w:ascii="Calibri" w:eastAsia="Times New Roman" w:hAnsi="Calibri" w:cs="Calibri"/>
                <w:szCs w:val="24"/>
                <w:lang w:val="en-US"/>
              </w:rPr>
            </w:pPr>
            <w:r w:rsidRPr="00C76FE8">
              <w:rPr>
                <w:rFonts w:ascii="Calibri" w:eastAsia="Times New Roman" w:hAnsi="Calibri" w:cs="Calibri"/>
                <w:szCs w:val="24"/>
                <w:lang w:val="en-US"/>
              </w:rPr>
              <w:t xml:space="preserve">Rashodi za gorivo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Ministarstvo saobracaja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Jugopetrol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6.725,89 </w:t>
            </w:r>
          </w:p>
        </w:tc>
      </w:tr>
      <w:tr w:rsidR="00C76FE8" w:rsidRPr="00C76FE8" w:rsidTr="00C76FE8">
        <w:trPr>
          <w:trHeight w:val="553"/>
        </w:trPr>
        <w:tc>
          <w:tcPr>
            <w:tcW w:w="0" w:type="auto"/>
            <w:vMerge/>
            <w:tcBorders>
              <w:top w:val="nil"/>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Uprava za željeznice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Jugopetrol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503,89 </w:t>
            </w:r>
          </w:p>
        </w:tc>
      </w:tr>
      <w:tr w:rsidR="00C76FE8" w:rsidRPr="00C76FE8" w:rsidTr="00C76FE8">
        <w:trPr>
          <w:trHeight w:val="286"/>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Min.vanjskih poslova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Jugopetrol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679,66 </w:t>
            </w:r>
          </w:p>
        </w:tc>
      </w:tr>
      <w:tr w:rsidR="00C76FE8" w:rsidRPr="00C76FE8" w:rsidTr="00C76FE8">
        <w:trPr>
          <w:trHeight w:val="286"/>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Up.za nekretnine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Jugopetrol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6.602,86 </w:t>
            </w:r>
          </w:p>
        </w:tc>
      </w:tr>
      <w:tr w:rsidR="00C76FE8" w:rsidRPr="00C76FE8" w:rsidTr="00C76FE8">
        <w:trPr>
          <w:trHeight w:val="286"/>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Ukupno: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14.512,30  </w:t>
            </w:r>
          </w:p>
        </w:tc>
      </w:tr>
      <w:tr w:rsidR="00C76FE8" w:rsidRPr="00C76FE8" w:rsidTr="00C76FE8">
        <w:trPr>
          <w:trHeight w:val="286"/>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r>
      <w:tr w:rsidR="00C76FE8" w:rsidRPr="00C76FE8" w:rsidTr="00C76FE8">
        <w:trPr>
          <w:trHeight w:val="288"/>
        </w:trPr>
        <w:tc>
          <w:tcPr>
            <w:tcW w:w="1750"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3361"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UKUPNO: </w:t>
            </w:r>
          </w:p>
        </w:tc>
        <w:tc>
          <w:tcPr>
            <w:tcW w:w="1966"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C76FE8" w:rsidRPr="00C76FE8" w:rsidRDefault="00C76FE8" w:rsidP="00C76FE8">
            <w:pPr>
              <w:spacing w:before="0" w:after="0" w:line="240" w:lineRule="auto"/>
              <w:rPr>
                <w:rFonts w:ascii="Calibri" w:eastAsia="Times New Roman" w:hAnsi="Calibri" w:cs="Calibri"/>
                <w:szCs w:val="24"/>
                <w:lang w:val="en-US"/>
              </w:rPr>
            </w:pPr>
            <w:r w:rsidRPr="00C76FE8">
              <w:rPr>
                <w:rFonts w:ascii="Calibri" w:eastAsia="Times New Roman" w:hAnsi="Calibri" w:cs="Calibri"/>
                <w:szCs w:val="24"/>
                <w:lang w:val="en-US"/>
              </w:rPr>
              <w:t xml:space="preserve">479.750,53  </w:t>
            </w:r>
          </w:p>
        </w:tc>
      </w:tr>
    </w:tbl>
    <w:p w:rsidR="00C76FE8" w:rsidRPr="00C76FE8" w:rsidRDefault="00CA0EFE" w:rsidP="00C76FE8">
      <w:pPr>
        <w:spacing w:before="0" w:after="0" w:line="240" w:lineRule="auto"/>
        <w:rPr>
          <w:rFonts w:ascii="Arial" w:eastAsia="Times New Roman" w:hAnsi="Arial" w:cs="Arial"/>
          <w:szCs w:val="24"/>
          <w:lang w:val="en-US"/>
        </w:rPr>
      </w:pPr>
      <w:r>
        <w:rPr>
          <w:rFonts w:ascii="Arial" w:eastAsia="Times New Roman" w:hAnsi="Arial" w:cs="Arial"/>
          <w:szCs w:val="24"/>
          <w:lang w:val="en-US"/>
        </w:rPr>
        <w:t xml:space="preserve"> </w:t>
      </w:r>
    </w:p>
    <w:p w:rsidR="00C76FE8" w:rsidRPr="00C76FE8" w:rsidRDefault="00C76FE8" w:rsidP="00C76FE8">
      <w:pPr>
        <w:spacing w:before="0" w:after="0" w:line="240" w:lineRule="auto"/>
        <w:rPr>
          <w:rFonts w:ascii="Arial" w:eastAsia="Times New Roman" w:hAnsi="Arial" w:cs="Arial"/>
          <w:szCs w:val="24"/>
          <w:lang w:val="en-US"/>
        </w:rPr>
      </w:pPr>
      <w:r w:rsidRPr="00C76FE8">
        <w:rPr>
          <w:rFonts w:ascii="Arial" w:eastAsia="Times New Roman" w:hAnsi="Arial" w:cs="Arial"/>
          <w:szCs w:val="24"/>
          <w:lang w:val="en-US"/>
        </w:rPr>
        <w:t xml:space="preserve"> </w:t>
      </w:r>
    </w:p>
    <w:p w:rsidR="00C76FE8" w:rsidRPr="00CA0EFE" w:rsidRDefault="00C76FE8" w:rsidP="00C76FE8">
      <w:pPr>
        <w:spacing w:before="0" w:after="0" w:line="240" w:lineRule="auto"/>
        <w:rPr>
          <w:rFonts w:ascii="Calibri" w:eastAsia="Times New Roman" w:hAnsi="Calibri" w:cs="Calibri"/>
          <w:b/>
          <w:szCs w:val="24"/>
          <w:lang w:val="en-US"/>
        </w:rPr>
      </w:pPr>
      <w:r w:rsidRPr="00CA0EFE">
        <w:rPr>
          <w:rFonts w:ascii="Calibri" w:eastAsia="Times New Roman" w:hAnsi="Calibri" w:cs="Calibri"/>
          <w:b/>
          <w:szCs w:val="24"/>
          <w:lang w:val="en-US"/>
        </w:rPr>
        <w:t xml:space="preserve">8. Odeljenje za unutrašnju reviziju </w:t>
      </w:r>
    </w:p>
    <w:p w:rsidR="002E48D4" w:rsidRPr="00CA0EFE" w:rsidRDefault="00CA0EFE" w:rsidP="00CA0EFE">
      <w:pPr>
        <w:spacing w:after="0" w:line="240" w:lineRule="auto"/>
        <w:rPr>
          <w:rFonts w:ascii="Calibri" w:eastAsia="Times New Roman" w:hAnsi="Calibri" w:cs="Calibri"/>
          <w:szCs w:val="24"/>
          <w:lang w:val="en-US"/>
        </w:rPr>
      </w:pPr>
      <w:r>
        <w:rPr>
          <w:rFonts w:ascii="Calibri" w:eastAsia="Times New Roman" w:hAnsi="Calibri" w:cs="Calibri"/>
          <w:szCs w:val="24"/>
          <w:lang w:val="en-US"/>
        </w:rPr>
        <w:t xml:space="preserve"> </w:t>
      </w:r>
      <w:r>
        <w:rPr>
          <w:rFonts w:ascii="Calibri" w:eastAsia="Times New Roman" w:hAnsi="Calibri" w:cs="Calibri"/>
          <w:szCs w:val="24"/>
          <w:lang w:val="en-US"/>
        </w:rPr>
        <w:tab/>
      </w:r>
      <w:r w:rsidR="00C76FE8" w:rsidRPr="00C76FE8">
        <w:rPr>
          <w:rFonts w:ascii="Calibri" w:eastAsia="Times New Roman" w:hAnsi="Calibri" w:cs="Calibri"/>
          <w:szCs w:val="24"/>
          <w:lang w:val="en-US"/>
        </w:rPr>
        <w:t xml:space="preserve">U Odjeljenju za unutrašnju reviziju - vrše se poslovi unutrašnje revizije koji se odnose na: planiranje, organizovanje i obavljanje unutrašnje revizije svih poslovnih funkcija iz nadležnosti Uprave u skladu sa međunarodnim standardima unutrašnje revizije, Etičkim kodeksom unutrašnjih revizora, a u cilju poboljšanja poslovanja; procjenu sistema finansijskog upravljanja i kontrole na </w:t>
      </w:r>
      <w:r w:rsidR="00C76FE8" w:rsidRPr="00C76FE8">
        <w:rPr>
          <w:rFonts w:ascii="Calibri" w:eastAsia="Times New Roman" w:hAnsi="Calibri" w:cs="Calibri"/>
          <w:szCs w:val="24"/>
          <w:lang w:val="en-US"/>
        </w:rPr>
        <w:lastRenderedPageBreak/>
        <w:t>osnovu upravljanja rizicima; izradu izvještaja unutrašnje revizije koji se dostavljaju direktoru; obavljanje posebne revizije na zahtjev direktora;  praćenje sprovođenja preporuka datih u izvještajima iz predhodno obavljenih revizija; davanje savjeta i mišljenja kada se uvode novi sistemi i procedure; izradu strateških i drugih planova i programa rada koji su osnova za realizaciju funkcije unutrašnje revizije, kao i praćenje i izvršenje istih; izradu periodičnih i godišnjeg izvještaja o radu unutrašnje revizije; saradnju sa Direktoratom za centralnu harmonizaciju Ministarstva finansija, što uključuje i obavezu dostavljanja godišnjeg izvještaja; saradnju sa Državnom revizorskom institucijom, međunarodnim i domaćim strukovnim institucijama i udruženjima; praćenje i predlaganje edukacije unutrašnjih revizora u skladu sa međunarodnim standardima unutrašnje revizije; praćenje sprovođenja preporuka Državne revizorske institucije i obavljanje drugih poslova iz nadležnosti Odjeljenja i dru</w:t>
      </w:r>
      <w:r>
        <w:rPr>
          <w:rFonts w:ascii="Calibri" w:eastAsia="Times New Roman" w:hAnsi="Calibri" w:cs="Calibri"/>
          <w:szCs w:val="24"/>
          <w:lang w:val="en-US"/>
        </w:rPr>
        <w:t xml:space="preserve">ge poslove utvrđene propisima. </w:t>
      </w:r>
    </w:p>
    <w:p w:rsidR="00DF6DAB" w:rsidRDefault="00DF6DAB" w:rsidP="00CA0EFE">
      <w:pPr>
        <w:tabs>
          <w:tab w:val="left" w:pos="1050"/>
        </w:tabs>
        <w:rPr>
          <w:rFonts w:ascii="Calibri" w:hAnsi="Calibri"/>
          <w:b/>
          <w:color w:val="212121"/>
          <w:szCs w:val="24"/>
          <w:shd w:val="clear" w:color="auto" w:fill="FFFFFF"/>
        </w:rPr>
      </w:pPr>
    </w:p>
    <w:p w:rsidR="0039737E" w:rsidRPr="00BA7C7C" w:rsidRDefault="00074834" w:rsidP="0039737E">
      <w:pPr>
        <w:shd w:val="clear" w:color="auto" w:fill="EE8C69" w:themeFill="accent1" w:themeFillTint="99"/>
        <w:tabs>
          <w:tab w:val="left" w:pos="1050"/>
        </w:tabs>
        <w:spacing w:before="0" w:line="240" w:lineRule="auto"/>
        <w:jc w:val="center"/>
        <w:rPr>
          <w:rFonts w:eastAsia="Calibri" w:cs="Arial"/>
          <w:b/>
          <w:sz w:val="26"/>
          <w:szCs w:val="26"/>
          <w:lang w:val="it-IT"/>
        </w:rPr>
      </w:pPr>
      <w:r w:rsidRPr="00BA7C7C">
        <w:rPr>
          <w:rFonts w:eastAsia="Calibri" w:cs="Arial"/>
          <w:b/>
          <w:sz w:val="26"/>
          <w:szCs w:val="26"/>
          <w:lang w:val="it-IT"/>
        </w:rPr>
        <w:t>X</w:t>
      </w:r>
      <w:r w:rsidR="00DF6DAB">
        <w:rPr>
          <w:rFonts w:eastAsia="Calibri" w:cs="Arial"/>
          <w:b/>
          <w:sz w:val="26"/>
          <w:szCs w:val="26"/>
          <w:lang w:val="it-IT"/>
        </w:rPr>
        <w:t>II</w:t>
      </w:r>
      <w:r w:rsidRPr="00BA7C7C">
        <w:rPr>
          <w:rFonts w:eastAsia="Calibri" w:cs="Arial"/>
          <w:b/>
          <w:sz w:val="26"/>
          <w:szCs w:val="26"/>
          <w:lang w:val="it-IT"/>
        </w:rPr>
        <w:t xml:space="preserve"> </w:t>
      </w:r>
      <w:r w:rsidR="0039737E" w:rsidRPr="00BA7C7C">
        <w:rPr>
          <w:rFonts w:eastAsia="Calibri" w:cs="Arial"/>
          <w:b/>
          <w:sz w:val="26"/>
          <w:szCs w:val="26"/>
          <w:lang w:val="it-IT"/>
        </w:rPr>
        <w:t>IZVJEŠTAJ O RADU UPRAVE ZA STATISTIKU</w:t>
      </w:r>
    </w:p>
    <w:p w:rsidR="00074834" w:rsidRPr="00074834" w:rsidRDefault="00074834" w:rsidP="006A7DF8">
      <w:pPr>
        <w:tabs>
          <w:tab w:val="left" w:pos="1050"/>
        </w:tabs>
        <w:spacing w:before="0" w:after="0" w:line="240" w:lineRule="auto"/>
        <w:rPr>
          <w:rFonts w:eastAsia="Calibri" w:cs="Arial"/>
          <w:b/>
          <w:sz w:val="26"/>
          <w:szCs w:val="26"/>
          <w:lang w:val="it-IT"/>
        </w:rPr>
      </w:pPr>
    </w:p>
    <w:p w:rsidR="0039737E" w:rsidRPr="00800A34" w:rsidRDefault="0039737E" w:rsidP="006A7DF8">
      <w:pPr>
        <w:numPr>
          <w:ilvl w:val="0"/>
          <w:numId w:val="68"/>
        </w:numPr>
        <w:spacing w:before="0" w:after="0" w:line="240" w:lineRule="auto"/>
        <w:contextualSpacing/>
        <w:jc w:val="left"/>
        <w:rPr>
          <w:rFonts w:ascii="Calibri" w:eastAsia="Calibri" w:hAnsi="Calibri" w:cs="Calibri"/>
          <w:b/>
          <w:color w:val="000000"/>
          <w:szCs w:val="24"/>
          <w:lang w:val="pl-PL"/>
        </w:rPr>
      </w:pPr>
      <w:r w:rsidRPr="00800A34">
        <w:rPr>
          <w:rFonts w:ascii="Calibri" w:eastAsia="Calibri" w:hAnsi="Calibri" w:cs="Calibri"/>
          <w:b/>
          <w:color w:val="000000"/>
          <w:szCs w:val="24"/>
          <w:lang w:val="pl-PL"/>
        </w:rPr>
        <w:t xml:space="preserve">REALIZOVANE OBAVEZE IZ PROGRAMA RADA </w:t>
      </w:r>
      <w:r w:rsidRPr="00800A34">
        <w:rPr>
          <w:rFonts w:ascii="Calibri" w:eastAsia="Calibri" w:hAnsi="Calibri" w:cs="Calibri"/>
          <w:b/>
          <w:szCs w:val="24"/>
          <w:lang w:val="pl-PL"/>
        </w:rPr>
        <w:t xml:space="preserve">VLADE CRNE GORE  </w:t>
      </w:r>
      <w:r w:rsidRPr="00800A34">
        <w:rPr>
          <w:rFonts w:ascii="Calibri" w:eastAsia="Calibri" w:hAnsi="Calibri" w:cs="Calibri"/>
          <w:b/>
          <w:color w:val="000000"/>
          <w:szCs w:val="24"/>
          <w:lang w:val="pl-PL"/>
        </w:rPr>
        <w:t>ZA 2020. GODINU</w:t>
      </w:r>
    </w:p>
    <w:p w:rsidR="0039737E" w:rsidRPr="00800A34" w:rsidRDefault="0039737E" w:rsidP="0039737E">
      <w:pPr>
        <w:spacing w:before="0" w:after="0" w:line="240" w:lineRule="auto"/>
        <w:ind w:firstLine="360"/>
        <w:rPr>
          <w:rFonts w:ascii="Calibri" w:eastAsia="Calibri" w:hAnsi="Calibri" w:cs="Arial"/>
          <w:szCs w:val="24"/>
          <w:lang w:val="en-US"/>
        </w:rPr>
      </w:pPr>
      <w:r w:rsidRPr="00800A34">
        <w:rPr>
          <w:rFonts w:ascii="Calibri" w:eastAsia="Calibri" w:hAnsi="Calibri" w:cs="Arial"/>
          <w:szCs w:val="24"/>
          <w:lang w:val="en-US"/>
        </w:rPr>
        <w:t xml:space="preserve">Programom rada Vlade Crne Gore za 2020. godinu, Uprava za statistiku je predvidjela usvajanje jednog dokumenta, </w:t>
      </w:r>
      <w:r w:rsidRPr="00800A34">
        <w:rPr>
          <w:rFonts w:ascii="Calibri" w:eastAsia="Calibri" w:hAnsi="Calibri" w:cs="Arial"/>
          <w:b/>
          <w:i/>
          <w:szCs w:val="24"/>
          <w:lang w:val="en-US"/>
        </w:rPr>
        <w:t xml:space="preserve">Godišnjeg plana zvanične statistike za 2021. godinu. </w:t>
      </w:r>
      <w:r w:rsidRPr="00800A34">
        <w:rPr>
          <w:rFonts w:ascii="Calibri" w:eastAsia="Calibri" w:hAnsi="Calibri" w:cs="Arial"/>
          <w:szCs w:val="24"/>
          <w:lang w:val="en-US"/>
        </w:rPr>
        <w:t>U IV kvartalu 2020. godine usvojen je citirani dokument na petoj sjednici Vlade Crne Gore od 29.12.2020. godine, kojim je planirana realizacija 211 statističkih istraživanja.</w:t>
      </w:r>
    </w:p>
    <w:p w:rsidR="0039737E" w:rsidRPr="00800A34" w:rsidRDefault="0039737E" w:rsidP="0039737E">
      <w:pPr>
        <w:spacing w:before="0" w:after="0" w:line="240" w:lineRule="auto"/>
        <w:ind w:firstLine="360"/>
        <w:rPr>
          <w:rFonts w:ascii="Calibri" w:eastAsia="Calibri" w:hAnsi="Calibri" w:cs="Arial"/>
          <w:szCs w:val="24"/>
          <w:lang w:val="en-US"/>
        </w:rPr>
      </w:pPr>
      <w:r w:rsidRPr="00800A34">
        <w:rPr>
          <w:rFonts w:ascii="Calibri" w:eastAsia="Calibri" w:hAnsi="Calibri" w:cs="Arial"/>
          <w:szCs w:val="24"/>
          <w:lang w:val="en-US"/>
        </w:rPr>
        <w:t>Iz iznjetog se vidi da je procenat realizovanih obaveza iz Programa rada Vlade Crne Gore za 2020. godinu, Uprave za statistiku 100%.</w:t>
      </w:r>
    </w:p>
    <w:p w:rsidR="0039737E" w:rsidRPr="00800A34" w:rsidRDefault="0039737E" w:rsidP="0039737E">
      <w:pPr>
        <w:spacing w:before="0" w:after="0" w:line="240" w:lineRule="auto"/>
        <w:rPr>
          <w:rFonts w:ascii="Calibri" w:eastAsia="Calibri" w:hAnsi="Calibri" w:cs="Arial"/>
          <w:szCs w:val="24"/>
          <w:lang w:val="en-US"/>
        </w:rPr>
      </w:pPr>
    </w:p>
    <w:p w:rsidR="0039737E" w:rsidRPr="00800A34" w:rsidRDefault="0039737E" w:rsidP="0039737E">
      <w:pPr>
        <w:numPr>
          <w:ilvl w:val="0"/>
          <w:numId w:val="68"/>
        </w:numPr>
        <w:spacing w:before="0" w:after="0" w:line="240" w:lineRule="auto"/>
        <w:contextualSpacing/>
        <w:jc w:val="left"/>
        <w:rPr>
          <w:rFonts w:ascii="Calibri" w:eastAsia="Calibri" w:hAnsi="Calibri" w:cs="Calibri"/>
          <w:b/>
          <w:color w:val="000000"/>
          <w:szCs w:val="24"/>
          <w:lang w:val="pl-PL"/>
        </w:rPr>
      </w:pPr>
      <w:r w:rsidRPr="00800A34">
        <w:rPr>
          <w:rFonts w:ascii="Calibri" w:eastAsia="Calibri" w:hAnsi="Calibri" w:cs="Calibri"/>
          <w:b/>
          <w:color w:val="000000"/>
          <w:szCs w:val="24"/>
          <w:lang w:val="pl-PL"/>
        </w:rPr>
        <w:t xml:space="preserve">REALIZOVANE OBAVEZA PO PROGRAMU PRISTUPANJA CRNE GORE U EVROPSKOJ UNIJI </w:t>
      </w:r>
    </w:p>
    <w:p w:rsidR="0039737E" w:rsidRPr="00800A34" w:rsidRDefault="0039737E" w:rsidP="0039737E">
      <w:pPr>
        <w:spacing w:before="0" w:after="0" w:line="240" w:lineRule="auto"/>
        <w:ind w:firstLine="360"/>
        <w:rPr>
          <w:rFonts w:ascii="Calibri" w:eastAsia="Calibri" w:hAnsi="Calibri" w:cs="Arial"/>
          <w:szCs w:val="24"/>
          <w:lang w:val="en-US"/>
        </w:rPr>
      </w:pPr>
      <w:r w:rsidRPr="00800A34">
        <w:rPr>
          <w:rFonts w:ascii="Calibri" w:eastAsia="Calibri" w:hAnsi="Calibri" w:cs="Arial"/>
          <w:szCs w:val="24"/>
          <w:lang w:val="en-US"/>
        </w:rPr>
        <w:t>Shodno obavezama po Programu pristupanja Crne Gore Evropskoj uniji za 2020. godinu, planirane su sljedeće obaveze:</w:t>
      </w:r>
    </w:p>
    <w:p w:rsidR="0039737E" w:rsidRPr="00800A34" w:rsidRDefault="0039737E" w:rsidP="00632490">
      <w:pPr>
        <w:numPr>
          <w:ilvl w:val="0"/>
          <w:numId w:val="77"/>
        </w:numPr>
        <w:spacing w:before="0" w:after="0" w:line="240" w:lineRule="auto"/>
        <w:contextualSpacing/>
        <w:jc w:val="left"/>
        <w:rPr>
          <w:rFonts w:ascii="Calibri" w:eastAsia="Calibri" w:hAnsi="Calibri" w:cs="Arial"/>
          <w:szCs w:val="24"/>
          <w:lang w:val="en-US"/>
        </w:rPr>
      </w:pPr>
      <w:r w:rsidRPr="00800A34">
        <w:rPr>
          <w:rFonts w:ascii="Calibri" w:eastAsia="Calibri" w:hAnsi="Calibri" w:cs="Arial"/>
          <w:szCs w:val="24"/>
          <w:lang w:val="en-US"/>
        </w:rPr>
        <w:t>Zakon o popisu stanovništva, domaćinstava i stanova u 2021. godini - 2020/IV - 2021/I i</w:t>
      </w:r>
    </w:p>
    <w:p w:rsidR="0039737E" w:rsidRPr="00800A34" w:rsidRDefault="0039737E" w:rsidP="00632490">
      <w:pPr>
        <w:numPr>
          <w:ilvl w:val="0"/>
          <w:numId w:val="77"/>
        </w:numPr>
        <w:spacing w:before="0" w:after="0" w:line="240" w:lineRule="auto"/>
        <w:contextualSpacing/>
        <w:jc w:val="left"/>
        <w:rPr>
          <w:rFonts w:ascii="Calibri" w:eastAsia="Calibri" w:hAnsi="Calibri" w:cs="Arial"/>
          <w:szCs w:val="24"/>
          <w:lang w:val="en-US"/>
        </w:rPr>
      </w:pPr>
      <w:r w:rsidRPr="00800A34">
        <w:rPr>
          <w:rFonts w:ascii="Calibri" w:eastAsia="Calibri" w:hAnsi="Calibri" w:cs="Arial"/>
          <w:szCs w:val="24"/>
          <w:lang w:val="en-US"/>
        </w:rPr>
        <w:t xml:space="preserve">Godišnji plan zvanične statistike za </w:t>
      </w:r>
      <w:r>
        <w:rPr>
          <w:rFonts w:ascii="Calibri" w:eastAsia="Calibri" w:hAnsi="Calibri" w:cs="Arial"/>
          <w:szCs w:val="24"/>
          <w:lang w:val="en-US"/>
        </w:rPr>
        <w:t>2021. godinu - 2020/IV - 2021/I</w:t>
      </w:r>
      <w:r w:rsidRPr="00800A34">
        <w:rPr>
          <w:rFonts w:ascii="Calibri" w:eastAsia="Calibri" w:hAnsi="Calibri" w:cs="Arial"/>
          <w:szCs w:val="24"/>
          <w:lang w:val="en-US"/>
        </w:rPr>
        <w:t xml:space="preserve">.  </w:t>
      </w:r>
    </w:p>
    <w:p w:rsidR="0039737E" w:rsidRPr="00800A34" w:rsidRDefault="0039737E" w:rsidP="0039737E">
      <w:pPr>
        <w:spacing w:before="0" w:after="0" w:line="240" w:lineRule="auto"/>
        <w:ind w:firstLine="360"/>
        <w:rPr>
          <w:rFonts w:ascii="Calibri" w:eastAsia="Calibri" w:hAnsi="Calibri" w:cs="Arial"/>
          <w:szCs w:val="24"/>
          <w:lang w:val="en-US"/>
        </w:rPr>
      </w:pPr>
      <w:r w:rsidRPr="00800A34">
        <w:rPr>
          <w:rFonts w:ascii="Calibri" w:eastAsia="Calibri" w:hAnsi="Calibri" w:cs="Arial"/>
          <w:szCs w:val="24"/>
          <w:lang w:val="en-US"/>
        </w:rPr>
        <w:t xml:space="preserve">Ministarstvo finansija i socijalnog staranja je </w:t>
      </w:r>
      <w:r w:rsidRPr="00800A34">
        <w:rPr>
          <w:rFonts w:ascii="Calibri" w:eastAsia="Calibri" w:hAnsi="Calibri" w:cs="Arial"/>
          <w:i/>
          <w:szCs w:val="24"/>
          <w:lang w:val="en-US"/>
        </w:rPr>
        <w:t>Zakon o popisu stanovništva, domaćinstava i stanova u 2021. godini</w:t>
      </w:r>
      <w:r w:rsidRPr="00800A34">
        <w:rPr>
          <w:rFonts w:ascii="Calibri" w:eastAsia="Calibri" w:hAnsi="Calibri" w:cs="Arial"/>
          <w:szCs w:val="24"/>
          <w:lang w:val="en-US"/>
        </w:rPr>
        <w:t xml:space="preserve"> kao aktivnost u revidiranom Programu pristupanja Crne Gore Evropskoj uniji za </w:t>
      </w:r>
      <w:r>
        <w:rPr>
          <w:rFonts w:ascii="Calibri" w:eastAsia="Calibri" w:hAnsi="Calibri" w:cs="Arial"/>
          <w:szCs w:val="24"/>
          <w:lang w:val="en-US"/>
        </w:rPr>
        <w:t>2021-2023</w:t>
      </w:r>
      <w:r w:rsidRPr="00800A34">
        <w:rPr>
          <w:rFonts w:ascii="Calibri" w:eastAsia="Calibri" w:hAnsi="Calibri" w:cs="Arial"/>
          <w:szCs w:val="24"/>
          <w:lang w:val="en-US"/>
        </w:rPr>
        <w:t xml:space="preserve"> </w:t>
      </w:r>
      <w:r>
        <w:rPr>
          <w:rFonts w:ascii="Calibri" w:eastAsia="Calibri" w:hAnsi="Calibri" w:cs="Arial"/>
          <w:szCs w:val="24"/>
          <w:lang w:val="en-US"/>
        </w:rPr>
        <w:t>definisalo za</w:t>
      </w:r>
      <w:r w:rsidRPr="00800A34">
        <w:rPr>
          <w:rFonts w:ascii="Calibri" w:eastAsia="Calibri" w:hAnsi="Calibri" w:cs="Arial"/>
          <w:szCs w:val="24"/>
          <w:lang w:val="en-US"/>
        </w:rPr>
        <w:t xml:space="preserve"> IV kvartal 2021. godine.</w:t>
      </w:r>
    </w:p>
    <w:p w:rsidR="0039737E" w:rsidRPr="00800A34" w:rsidRDefault="0039737E" w:rsidP="0039737E">
      <w:pPr>
        <w:spacing w:before="0" w:after="0" w:line="240" w:lineRule="auto"/>
        <w:ind w:firstLine="360"/>
        <w:rPr>
          <w:rFonts w:ascii="Calibri" w:eastAsia="Calibri" w:hAnsi="Calibri" w:cs="Arial"/>
          <w:szCs w:val="24"/>
          <w:lang w:val="en-US"/>
        </w:rPr>
      </w:pPr>
      <w:r w:rsidRPr="00800A34">
        <w:rPr>
          <w:rFonts w:ascii="Calibri" w:eastAsia="Calibri" w:hAnsi="Calibri" w:cs="Arial"/>
          <w:szCs w:val="24"/>
          <w:lang w:val="en-US"/>
        </w:rPr>
        <w:t>Godišnji plan zvanične statistike za 2021. godinu</w:t>
      </w:r>
      <w:r w:rsidRPr="00800A34">
        <w:rPr>
          <w:rFonts w:ascii="Calibri" w:eastAsia="Calibri" w:hAnsi="Calibri" w:cs="Calibri"/>
          <w:szCs w:val="24"/>
          <w:lang w:val="en-US"/>
        </w:rPr>
        <w:t xml:space="preserve"> </w:t>
      </w:r>
      <w:r w:rsidRPr="00800A34">
        <w:rPr>
          <w:rFonts w:ascii="Calibri" w:eastAsia="Calibri" w:hAnsi="Calibri" w:cs="Arial"/>
          <w:szCs w:val="24"/>
          <w:lang w:val="en-US"/>
        </w:rPr>
        <w:t>usvojen je na petoj sjednici Vlade Crne Gore od 29.12.2020. godine, kojim je planirana realizacija 211 statističkih istraživanja.</w:t>
      </w:r>
    </w:p>
    <w:p w:rsidR="0039737E" w:rsidRPr="00800A34" w:rsidRDefault="0039737E" w:rsidP="0039737E">
      <w:pPr>
        <w:spacing w:before="0" w:after="0" w:line="240" w:lineRule="auto"/>
        <w:jc w:val="left"/>
        <w:rPr>
          <w:rFonts w:ascii="Calibri" w:eastAsia="Calibri" w:hAnsi="Calibri" w:cs="Calibri"/>
          <w:b/>
          <w:color w:val="000000"/>
          <w:szCs w:val="24"/>
          <w:lang w:val="pl-PL"/>
        </w:rPr>
      </w:pPr>
    </w:p>
    <w:p w:rsidR="0039737E" w:rsidRDefault="0039737E" w:rsidP="0039737E">
      <w:pPr>
        <w:numPr>
          <w:ilvl w:val="0"/>
          <w:numId w:val="68"/>
        </w:numPr>
        <w:spacing w:before="0" w:after="0" w:line="240" w:lineRule="auto"/>
        <w:contextualSpacing/>
        <w:jc w:val="left"/>
        <w:rPr>
          <w:rFonts w:ascii="Calibri" w:eastAsia="Calibri" w:hAnsi="Calibri" w:cs="Calibri"/>
          <w:b/>
          <w:color w:val="000000"/>
          <w:szCs w:val="24"/>
          <w:lang w:val="pl-PL"/>
        </w:rPr>
      </w:pPr>
      <w:r w:rsidRPr="00800A34">
        <w:rPr>
          <w:rFonts w:ascii="Calibri" w:eastAsia="Calibri" w:hAnsi="Calibri" w:cs="Calibri"/>
          <w:b/>
          <w:color w:val="000000"/>
          <w:szCs w:val="24"/>
          <w:lang w:val="pl-PL"/>
        </w:rPr>
        <w:t xml:space="preserve">REALIZOVANJE ZAKLJUČAKA VLADE CRNE GORE </w:t>
      </w:r>
    </w:p>
    <w:p w:rsidR="00074834" w:rsidRPr="00800A34" w:rsidRDefault="00074834" w:rsidP="00074834">
      <w:pPr>
        <w:spacing w:before="0" w:after="0" w:line="240" w:lineRule="auto"/>
        <w:ind w:left="360"/>
        <w:contextualSpacing/>
        <w:jc w:val="left"/>
        <w:rPr>
          <w:rFonts w:ascii="Calibri" w:eastAsia="Calibri" w:hAnsi="Calibri" w:cs="Calibri"/>
          <w:b/>
          <w:color w:val="000000"/>
          <w:szCs w:val="24"/>
          <w:lang w:val="pl-PL"/>
        </w:rPr>
      </w:pPr>
    </w:p>
    <w:tbl>
      <w:tblPr>
        <w:tblStyle w:val="TableGrid"/>
        <w:tblW w:w="5000" w:type="pct"/>
        <w:tblLook w:val="04A0" w:firstRow="1" w:lastRow="0" w:firstColumn="1" w:lastColumn="0" w:noHBand="0" w:noVBand="1"/>
      </w:tblPr>
      <w:tblGrid>
        <w:gridCol w:w="628"/>
        <w:gridCol w:w="1220"/>
        <w:gridCol w:w="1053"/>
        <w:gridCol w:w="6727"/>
      </w:tblGrid>
      <w:tr w:rsidR="0039737E" w:rsidRPr="00800A34" w:rsidTr="000619DD">
        <w:tc>
          <w:tcPr>
            <w:tcW w:w="361" w:type="pct"/>
            <w:shd w:val="clear" w:color="auto" w:fill="D9D9D9"/>
          </w:tcPr>
          <w:p w:rsidR="0039737E" w:rsidRPr="008610B5" w:rsidRDefault="0039737E" w:rsidP="000619DD">
            <w:pPr>
              <w:spacing w:before="0" w:after="0" w:line="240" w:lineRule="auto"/>
              <w:jc w:val="center"/>
              <w:rPr>
                <w:rFonts w:eastAsia="Calibri" w:cs="Calibri"/>
                <w:b/>
                <w:color w:val="000000"/>
                <w:sz w:val="22"/>
                <w:lang w:val="pl-PL"/>
              </w:rPr>
            </w:pPr>
            <w:r w:rsidRPr="008610B5">
              <w:rPr>
                <w:rFonts w:eastAsia="Calibri" w:cs="Calibri"/>
                <w:b/>
                <w:color w:val="000000"/>
                <w:sz w:val="22"/>
                <w:lang w:val="pl-PL"/>
              </w:rPr>
              <w:t>Red.</w:t>
            </w:r>
          </w:p>
          <w:p w:rsidR="0039737E" w:rsidRPr="008610B5" w:rsidRDefault="0039737E" w:rsidP="000619DD">
            <w:pPr>
              <w:spacing w:before="0" w:after="0" w:line="240" w:lineRule="auto"/>
              <w:jc w:val="center"/>
              <w:rPr>
                <w:rFonts w:eastAsia="Calibri" w:cs="Calibri"/>
                <w:b/>
                <w:color w:val="000000"/>
                <w:sz w:val="22"/>
                <w:lang w:val="pl-PL"/>
              </w:rPr>
            </w:pPr>
            <w:r w:rsidRPr="008610B5">
              <w:rPr>
                <w:rFonts w:eastAsia="Calibri" w:cs="Calibri"/>
                <w:b/>
                <w:color w:val="000000"/>
                <w:sz w:val="22"/>
                <w:lang w:val="pl-PL"/>
              </w:rPr>
              <w:t>br</w:t>
            </w:r>
          </w:p>
        </w:tc>
        <w:tc>
          <w:tcPr>
            <w:tcW w:w="534" w:type="pct"/>
            <w:shd w:val="clear" w:color="auto" w:fill="D9D9D9"/>
          </w:tcPr>
          <w:p w:rsidR="0039737E" w:rsidRPr="008610B5" w:rsidRDefault="0039737E" w:rsidP="000619DD">
            <w:pPr>
              <w:spacing w:before="0" w:after="0" w:line="240" w:lineRule="auto"/>
              <w:jc w:val="center"/>
              <w:rPr>
                <w:rFonts w:eastAsia="Calibri" w:cs="Calibri"/>
                <w:b/>
                <w:color w:val="000000"/>
                <w:sz w:val="22"/>
                <w:lang w:val="pl-PL"/>
              </w:rPr>
            </w:pPr>
            <w:r w:rsidRPr="008610B5">
              <w:rPr>
                <w:rFonts w:eastAsia="Calibri" w:cs="Calibri"/>
                <w:b/>
                <w:color w:val="000000"/>
                <w:sz w:val="22"/>
                <w:lang w:val="pl-PL"/>
              </w:rPr>
              <w:t>Datum</w:t>
            </w:r>
          </w:p>
          <w:p w:rsidR="0039737E" w:rsidRPr="008610B5" w:rsidRDefault="0039737E" w:rsidP="000619DD">
            <w:pPr>
              <w:spacing w:before="0" w:after="0" w:line="240" w:lineRule="auto"/>
              <w:jc w:val="center"/>
              <w:rPr>
                <w:rFonts w:eastAsia="Calibri" w:cs="Calibri"/>
                <w:b/>
                <w:color w:val="000000"/>
                <w:sz w:val="22"/>
                <w:lang w:val="pl-PL"/>
              </w:rPr>
            </w:pPr>
            <w:r w:rsidRPr="008610B5">
              <w:rPr>
                <w:rFonts w:eastAsia="Calibri" w:cs="Calibri"/>
                <w:b/>
                <w:color w:val="000000"/>
                <w:sz w:val="22"/>
                <w:lang w:val="pl-PL"/>
              </w:rPr>
              <w:t>zaključka</w:t>
            </w:r>
          </w:p>
        </w:tc>
        <w:tc>
          <w:tcPr>
            <w:tcW w:w="427" w:type="pct"/>
            <w:shd w:val="clear" w:color="auto" w:fill="D9D9D9"/>
          </w:tcPr>
          <w:p w:rsidR="0039737E" w:rsidRPr="008610B5" w:rsidRDefault="0039737E" w:rsidP="000619DD">
            <w:pPr>
              <w:spacing w:before="0" w:after="0" w:line="240" w:lineRule="auto"/>
              <w:jc w:val="center"/>
              <w:rPr>
                <w:rFonts w:eastAsia="Calibri" w:cs="Calibri"/>
                <w:b/>
                <w:color w:val="000000"/>
                <w:sz w:val="22"/>
                <w:lang w:val="pl-PL"/>
              </w:rPr>
            </w:pPr>
            <w:r w:rsidRPr="008610B5">
              <w:rPr>
                <w:rFonts w:eastAsia="Calibri" w:cs="Calibri"/>
                <w:b/>
                <w:color w:val="000000"/>
                <w:sz w:val="22"/>
                <w:lang w:val="pl-PL"/>
              </w:rPr>
              <w:t>Broj zaključka</w:t>
            </w:r>
          </w:p>
        </w:tc>
        <w:tc>
          <w:tcPr>
            <w:tcW w:w="3678" w:type="pct"/>
            <w:shd w:val="clear" w:color="auto" w:fill="D9D9D9"/>
          </w:tcPr>
          <w:p w:rsidR="0039737E" w:rsidRPr="008610B5" w:rsidRDefault="0039737E" w:rsidP="000619DD">
            <w:pPr>
              <w:spacing w:before="0" w:after="0" w:line="240" w:lineRule="auto"/>
              <w:jc w:val="center"/>
              <w:rPr>
                <w:rFonts w:eastAsia="Calibri" w:cs="Calibri"/>
                <w:b/>
                <w:color w:val="000000"/>
                <w:sz w:val="22"/>
                <w:lang w:val="pl-PL"/>
              </w:rPr>
            </w:pPr>
          </w:p>
          <w:p w:rsidR="0039737E" w:rsidRPr="008610B5" w:rsidRDefault="0039737E" w:rsidP="000619DD">
            <w:pPr>
              <w:spacing w:before="0" w:after="0" w:line="240" w:lineRule="auto"/>
              <w:jc w:val="center"/>
              <w:rPr>
                <w:rFonts w:eastAsia="Calibri" w:cs="Calibri"/>
                <w:b/>
                <w:color w:val="000000"/>
                <w:sz w:val="22"/>
                <w:lang w:val="pl-PL"/>
              </w:rPr>
            </w:pPr>
            <w:r w:rsidRPr="008610B5">
              <w:rPr>
                <w:rFonts w:eastAsia="Calibri" w:cs="Calibri"/>
                <w:b/>
                <w:color w:val="000000"/>
                <w:sz w:val="22"/>
                <w:lang w:val="pl-PL"/>
              </w:rPr>
              <w:t>Informacije</w:t>
            </w:r>
          </w:p>
        </w:tc>
      </w:tr>
      <w:tr w:rsidR="0039737E" w:rsidRPr="00800A34" w:rsidTr="000619DD">
        <w:tc>
          <w:tcPr>
            <w:tcW w:w="361" w:type="pct"/>
          </w:tcPr>
          <w:p w:rsidR="0039737E" w:rsidRPr="008610B5" w:rsidRDefault="0039737E" w:rsidP="000619DD">
            <w:pPr>
              <w:spacing w:before="0" w:after="0" w:line="240" w:lineRule="auto"/>
              <w:contextualSpacing/>
              <w:jc w:val="left"/>
              <w:rPr>
                <w:rFonts w:eastAsia="Calibri" w:cs="Calibri"/>
                <w:color w:val="000000"/>
                <w:sz w:val="22"/>
                <w:lang w:val="pl-PL"/>
              </w:rPr>
            </w:pPr>
            <w:r w:rsidRPr="008610B5">
              <w:rPr>
                <w:rFonts w:eastAsia="Calibri" w:cs="Calibri"/>
                <w:color w:val="000000"/>
                <w:sz w:val="22"/>
                <w:lang w:val="pl-PL"/>
              </w:rPr>
              <w:t>1.</w:t>
            </w:r>
          </w:p>
        </w:tc>
        <w:tc>
          <w:tcPr>
            <w:tcW w:w="534" w:type="pct"/>
          </w:tcPr>
          <w:p w:rsidR="0039737E" w:rsidRPr="008610B5" w:rsidRDefault="0039737E" w:rsidP="000619DD">
            <w:pPr>
              <w:spacing w:before="0" w:after="0" w:line="240" w:lineRule="auto"/>
              <w:jc w:val="left"/>
              <w:rPr>
                <w:rFonts w:eastAsia="Calibri" w:cs="Calibri"/>
                <w:color w:val="000000"/>
                <w:sz w:val="22"/>
                <w:lang w:val="pl-PL"/>
              </w:rPr>
            </w:pPr>
            <w:r w:rsidRPr="008610B5">
              <w:rPr>
                <w:rFonts w:eastAsia="Calibri" w:cs="Calibri"/>
                <w:color w:val="000000"/>
                <w:sz w:val="22"/>
                <w:lang w:val="pl-PL"/>
              </w:rPr>
              <w:t xml:space="preserve">  16.1.2020</w:t>
            </w:r>
          </w:p>
        </w:tc>
        <w:tc>
          <w:tcPr>
            <w:tcW w:w="427" w:type="pct"/>
          </w:tcPr>
          <w:p w:rsidR="0039737E" w:rsidRPr="008610B5" w:rsidRDefault="0039737E" w:rsidP="000619DD">
            <w:pPr>
              <w:spacing w:before="0" w:after="0" w:line="240" w:lineRule="auto"/>
              <w:jc w:val="left"/>
              <w:rPr>
                <w:rFonts w:eastAsia="Calibri" w:cs="Calibri"/>
                <w:color w:val="000000"/>
                <w:sz w:val="22"/>
                <w:lang w:val="pl-PL"/>
              </w:rPr>
            </w:pPr>
            <w:r w:rsidRPr="008610B5">
              <w:rPr>
                <w:rFonts w:eastAsia="Calibri" w:cs="Calibri"/>
                <w:color w:val="000000"/>
                <w:sz w:val="22"/>
                <w:lang w:val="pl-PL"/>
              </w:rPr>
              <w:t xml:space="preserve">  07-57</w:t>
            </w:r>
          </w:p>
        </w:tc>
        <w:tc>
          <w:tcPr>
            <w:tcW w:w="3678" w:type="pct"/>
          </w:tcPr>
          <w:p w:rsidR="0039737E" w:rsidRPr="008610B5" w:rsidRDefault="0039737E" w:rsidP="000619DD">
            <w:pPr>
              <w:spacing w:before="0" w:after="0" w:line="240" w:lineRule="auto"/>
              <w:rPr>
                <w:rFonts w:eastAsia="Calibri" w:cs="Calibri"/>
                <w:color w:val="000000"/>
                <w:sz w:val="22"/>
                <w:lang w:val="pl-PL"/>
              </w:rPr>
            </w:pPr>
            <w:r w:rsidRPr="008610B5">
              <w:rPr>
                <w:rFonts w:eastAsia="Calibri" w:cs="Calibri"/>
                <w:color w:val="000000"/>
                <w:sz w:val="22"/>
                <w:lang w:val="pl-PL"/>
              </w:rPr>
              <w:t xml:space="preserve">Uprava za statistiku je u 2020. godini na osnovu odobrenog Kadrovskog plana planirala zapošljavanje 12 izvrišilaca, ali je zaposlila 4 nova službenika i to isključivo po odobrenju Užeg kabineta i Vlade Crne Gore br.03-10040/1 od 17.06.2020. godine, kojim je odobren prijem u radni odnos za 5 izvršilaca shodno prioritetima Uprave za statistiku. Jedno radno mjesto nije popunjeno, zbog toga što kandidati nijesu zadovoljili kriterijume u Upravi za kadrove, čime smo ispunili ovaj Zaključak </w:t>
            </w:r>
            <w:r w:rsidRPr="008610B5">
              <w:rPr>
                <w:rFonts w:eastAsia="Calibri" w:cs="Calibri"/>
                <w:sz w:val="22"/>
                <w:lang w:val="pl-PL"/>
              </w:rPr>
              <w:t>Vlade Crne Gore.</w:t>
            </w:r>
          </w:p>
        </w:tc>
      </w:tr>
      <w:tr w:rsidR="0039737E" w:rsidRPr="00800A34" w:rsidTr="000619DD">
        <w:tc>
          <w:tcPr>
            <w:tcW w:w="361" w:type="pct"/>
          </w:tcPr>
          <w:p w:rsidR="0039737E" w:rsidRPr="008610B5" w:rsidRDefault="0039737E" w:rsidP="000619DD">
            <w:pPr>
              <w:spacing w:before="0" w:after="0" w:line="240" w:lineRule="auto"/>
              <w:contextualSpacing/>
              <w:jc w:val="left"/>
              <w:rPr>
                <w:rFonts w:eastAsia="Calibri" w:cs="Calibri"/>
                <w:color w:val="000000"/>
                <w:sz w:val="22"/>
                <w:lang w:val="pl-PL"/>
              </w:rPr>
            </w:pPr>
            <w:r>
              <w:rPr>
                <w:rFonts w:eastAsia="Calibri" w:cs="Calibri"/>
                <w:color w:val="000000"/>
                <w:sz w:val="22"/>
                <w:lang w:val="pl-PL"/>
              </w:rPr>
              <w:t>2.</w:t>
            </w:r>
          </w:p>
        </w:tc>
        <w:tc>
          <w:tcPr>
            <w:tcW w:w="534" w:type="pct"/>
          </w:tcPr>
          <w:p w:rsidR="0039737E" w:rsidRPr="008610B5" w:rsidRDefault="0039737E" w:rsidP="000619DD">
            <w:pPr>
              <w:spacing w:before="0" w:after="0" w:line="240" w:lineRule="auto"/>
              <w:jc w:val="center"/>
              <w:rPr>
                <w:rFonts w:eastAsia="Calibri" w:cs="Calibri"/>
                <w:color w:val="000000"/>
                <w:sz w:val="22"/>
                <w:lang w:val="pl-PL"/>
              </w:rPr>
            </w:pPr>
            <w:r w:rsidRPr="008610B5">
              <w:rPr>
                <w:rFonts w:eastAsia="Calibri" w:cs="Calibri"/>
                <w:color w:val="000000"/>
                <w:sz w:val="22"/>
                <w:lang w:val="pl-PL"/>
              </w:rPr>
              <w:t>23.1.2020</w:t>
            </w:r>
          </w:p>
        </w:tc>
        <w:tc>
          <w:tcPr>
            <w:tcW w:w="427" w:type="pct"/>
          </w:tcPr>
          <w:p w:rsidR="0039737E" w:rsidRPr="008610B5" w:rsidRDefault="0039737E" w:rsidP="000619DD">
            <w:pPr>
              <w:spacing w:before="0" w:after="0" w:line="240" w:lineRule="auto"/>
              <w:jc w:val="center"/>
              <w:rPr>
                <w:rFonts w:eastAsia="Calibri" w:cs="Calibri"/>
                <w:color w:val="000000"/>
                <w:sz w:val="22"/>
                <w:lang w:val="pl-PL"/>
              </w:rPr>
            </w:pPr>
            <w:r w:rsidRPr="008610B5">
              <w:rPr>
                <w:rFonts w:eastAsia="Calibri" w:cs="Calibri"/>
                <w:color w:val="000000"/>
                <w:sz w:val="22"/>
                <w:lang w:val="pl-PL"/>
              </w:rPr>
              <w:t>07-7811</w:t>
            </w:r>
          </w:p>
        </w:tc>
        <w:tc>
          <w:tcPr>
            <w:tcW w:w="3678" w:type="pct"/>
          </w:tcPr>
          <w:p w:rsidR="0039737E" w:rsidRPr="008610B5" w:rsidRDefault="0039737E" w:rsidP="000619DD">
            <w:pPr>
              <w:spacing w:before="0" w:after="0" w:line="240" w:lineRule="auto"/>
              <w:rPr>
                <w:rFonts w:eastAsia="Calibri" w:cs="Calibri"/>
                <w:color w:val="000000"/>
                <w:sz w:val="22"/>
                <w:lang w:val="pl-PL"/>
              </w:rPr>
            </w:pPr>
            <w:r w:rsidRPr="008610B5">
              <w:rPr>
                <w:rFonts w:eastAsia="Calibri" w:cs="Calibri"/>
                <w:color w:val="000000"/>
                <w:sz w:val="22"/>
                <w:lang w:val="pl-PL"/>
              </w:rPr>
              <w:t>Imenovani su predstavnici Uprave za statistiku  (mr Bojana Radojevic i Dragan Peković). Imenovani su prisustvovali na prvom Tehničkom sastanak Radne grupe dana 17. februara 2021. godine.</w:t>
            </w:r>
          </w:p>
        </w:tc>
      </w:tr>
      <w:tr w:rsidR="0039737E" w:rsidRPr="00800A34" w:rsidTr="000619DD">
        <w:tc>
          <w:tcPr>
            <w:tcW w:w="361" w:type="pct"/>
          </w:tcPr>
          <w:p w:rsidR="0039737E" w:rsidRPr="008610B5" w:rsidRDefault="0039737E" w:rsidP="000619DD">
            <w:pPr>
              <w:spacing w:before="0" w:after="0" w:line="240" w:lineRule="auto"/>
              <w:contextualSpacing/>
              <w:jc w:val="left"/>
              <w:rPr>
                <w:rFonts w:eastAsia="Calibri" w:cs="Calibri"/>
                <w:color w:val="000000"/>
                <w:sz w:val="22"/>
                <w:lang w:val="pl-PL"/>
              </w:rPr>
            </w:pPr>
            <w:r>
              <w:rPr>
                <w:rFonts w:eastAsia="Calibri" w:cs="Calibri"/>
                <w:color w:val="000000"/>
                <w:sz w:val="22"/>
                <w:lang w:val="pl-PL"/>
              </w:rPr>
              <w:lastRenderedPageBreak/>
              <w:t>3.</w:t>
            </w:r>
          </w:p>
        </w:tc>
        <w:tc>
          <w:tcPr>
            <w:tcW w:w="534" w:type="pct"/>
          </w:tcPr>
          <w:p w:rsidR="0039737E" w:rsidRPr="008610B5" w:rsidRDefault="0039737E" w:rsidP="000619DD">
            <w:pPr>
              <w:spacing w:before="0" w:after="0" w:line="240" w:lineRule="auto"/>
              <w:jc w:val="center"/>
              <w:rPr>
                <w:rFonts w:eastAsia="Calibri" w:cs="Calibri"/>
                <w:color w:val="000000"/>
                <w:sz w:val="22"/>
                <w:lang w:val="pl-PL"/>
              </w:rPr>
            </w:pPr>
            <w:r w:rsidRPr="008610B5">
              <w:rPr>
                <w:rFonts w:eastAsia="Calibri" w:cs="Calibri"/>
                <w:color w:val="000000"/>
                <w:sz w:val="22"/>
                <w:lang w:val="pl-PL"/>
              </w:rPr>
              <w:t>23.1.2020</w:t>
            </w:r>
          </w:p>
        </w:tc>
        <w:tc>
          <w:tcPr>
            <w:tcW w:w="427" w:type="pct"/>
          </w:tcPr>
          <w:p w:rsidR="0039737E" w:rsidRPr="008610B5" w:rsidRDefault="0039737E" w:rsidP="000619DD">
            <w:pPr>
              <w:spacing w:before="0" w:after="0" w:line="240" w:lineRule="auto"/>
              <w:jc w:val="center"/>
              <w:rPr>
                <w:rFonts w:eastAsia="Calibri" w:cs="Calibri"/>
                <w:color w:val="000000"/>
                <w:sz w:val="22"/>
                <w:lang w:val="pl-PL"/>
              </w:rPr>
            </w:pPr>
            <w:r w:rsidRPr="008610B5">
              <w:rPr>
                <w:rFonts w:eastAsia="Calibri" w:cs="Calibri"/>
                <w:color w:val="000000"/>
                <w:sz w:val="22"/>
                <w:lang w:val="pl-PL"/>
              </w:rPr>
              <w:t>07-7812</w:t>
            </w:r>
          </w:p>
        </w:tc>
        <w:tc>
          <w:tcPr>
            <w:tcW w:w="3678" w:type="pct"/>
          </w:tcPr>
          <w:p w:rsidR="0039737E" w:rsidRPr="008610B5" w:rsidRDefault="0039737E" w:rsidP="000619DD">
            <w:pPr>
              <w:spacing w:before="0" w:after="0" w:line="240" w:lineRule="auto"/>
              <w:rPr>
                <w:rFonts w:eastAsia="Calibri" w:cs="Calibri"/>
                <w:sz w:val="22"/>
                <w:lang w:val="pl-PL"/>
              </w:rPr>
            </w:pPr>
            <w:r w:rsidRPr="008610B5">
              <w:rPr>
                <w:rFonts w:eastAsia="Calibri" w:cs="Calibri"/>
                <w:sz w:val="22"/>
                <w:lang w:val="pl-PL"/>
              </w:rPr>
              <w:t xml:space="preserve">Uprava za statistiku dostavlja rezultate zvanične statistike,  Ministartstvu unutrašnjih poslova, a u skladu sa Akcionim planom za sprovođenje Strategije  za smanjenje rizika od katastrofa za period 2020-2021 godine. </w:t>
            </w:r>
          </w:p>
        </w:tc>
      </w:tr>
      <w:tr w:rsidR="0039737E" w:rsidRPr="00800A34" w:rsidTr="000619DD">
        <w:tc>
          <w:tcPr>
            <w:tcW w:w="361" w:type="pct"/>
          </w:tcPr>
          <w:p w:rsidR="0039737E" w:rsidRPr="008610B5" w:rsidRDefault="0039737E" w:rsidP="000619DD">
            <w:pPr>
              <w:spacing w:before="0" w:after="0" w:line="240" w:lineRule="auto"/>
              <w:contextualSpacing/>
              <w:jc w:val="left"/>
              <w:rPr>
                <w:rFonts w:eastAsia="Calibri" w:cs="Calibri"/>
                <w:color w:val="000000"/>
                <w:sz w:val="22"/>
                <w:lang w:val="pl-PL"/>
              </w:rPr>
            </w:pPr>
            <w:r>
              <w:rPr>
                <w:rFonts w:eastAsia="Calibri" w:cs="Calibri"/>
                <w:color w:val="000000"/>
                <w:sz w:val="22"/>
                <w:lang w:val="pl-PL"/>
              </w:rPr>
              <w:t>4.</w:t>
            </w:r>
          </w:p>
        </w:tc>
        <w:tc>
          <w:tcPr>
            <w:tcW w:w="534" w:type="pct"/>
          </w:tcPr>
          <w:p w:rsidR="0039737E" w:rsidRPr="008610B5" w:rsidRDefault="0039737E" w:rsidP="000619DD">
            <w:pPr>
              <w:spacing w:before="0" w:after="0" w:line="240" w:lineRule="auto"/>
              <w:jc w:val="left"/>
              <w:rPr>
                <w:rFonts w:eastAsia="Calibri" w:cs="Calibri"/>
                <w:color w:val="000000"/>
                <w:sz w:val="22"/>
                <w:lang w:val="pl-PL"/>
              </w:rPr>
            </w:pPr>
            <w:r w:rsidRPr="008610B5">
              <w:rPr>
                <w:rFonts w:eastAsia="Calibri" w:cs="Calibri"/>
                <w:color w:val="000000"/>
                <w:sz w:val="22"/>
                <w:lang w:val="pl-PL"/>
              </w:rPr>
              <w:t xml:space="preserve">  23.1.2020</w:t>
            </w:r>
          </w:p>
        </w:tc>
        <w:tc>
          <w:tcPr>
            <w:tcW w:w="427" w:type="pct"/>
          </w:tcPr>
          <w:p w:rsidR="0039737E" w:rsidRPr="008610B5" w:rsidRDefault="0039737E" w:rsidP="000619DD">
            <w:pPr>
              <w:spacing w:before="0" w:after="0" w:line="240" w:lineRule="auto"/>
              <w:jc w:val="left"/>
              <w:rPr>
                <w:rFonts w:eastAsia="Calibri" w:cs="Calibri"/>
                <w:color w:val="000000"/>
                <w:sz w:val="22"/>
                <w:lang w:val="pl-PL"/>
              </w:rPr>
            </w:pPr>
            <w:r w:rsidRPr="008610B5">
              <w:rPr>
                <w:rFonts w:eastAsia="Calibri" w:cs="Calibri"/>
                <w:color w:val="000000"/>
                <w:sz w:val="22"/>
                <w:lang w:val="pl-PL"/>
              </w:rPr>
              <w:t xml:space="preserve"> 07-210</w:t>
            </w:r>
          </w:p>
        </w:tc>
        <w:tc>
          <w:tcPr>
            <w:tcW w:w="3678" w:type="pct"/>
          </w:tcPr>
          <w:p w:rsidR="0039737E" w:rsidRPr="008610B5" w:rsidRDefault="0039737E" w:rsidP="000619DD">
            <w:pPr>
              <w:spacing w:before="0" w:after="0" w:line="240" w:lineRule="auto"/>
              <w:rPr>
                <w:rFonts w:eastAsia="Calibri" w:cs="Calibri"/>
                <w:sz w:val="22"/>
                <w:lang w:val="pl-PL"/>
              </w:rPr>
            </w:pPr>
            <w:r w:rsidRPr="008610B5">
              <w:rPr>
                <w:rFonts w:eastAsia="Calibri" w:cs="Calibri"/>
                <w:sz w:val="22"/>
                <w:lang w:val="pl-PL"/>
              </w:rPr>
              <w:t xml:space="preserve">Uprava za statistiku je pripremila </w:t>
            </w:r>
            <w:r w:rsidRPr="008610B5">
              <w:rPr>
                <w:rFonts w:eastAsia="Calibri" w:cs="Calibri"/>
                <w:i/>
                <w:sz w:val="22"/>
                <w:lang w:val="pl-PL"/>
              </w:rPr>
              <w:t>Nacrt kadrovskog plana za 2020.godinu</w:t>
            </w:r>
            <w:r w:rsidRPr="008610B5">
              <w:rPr>
                <w:rFonts w:eastAsia="Calibri" w:cs="Calibri"/>
                <w:sz w:val="22"/>
                <w:lang w:val="pl-PL"/>
              </w:rPr>
              <w:t xml:space="preserve"> sredinom januara, koje je 17.01.2020. godine poslato na mišljenje Ministarstvu finansija i socijalnog staranja. Pozitivno mišljenje tj. saglasnost o usklađenosti </w:t>
            </w:r>
            <w:r w:rsidRPr="008610B5">
              <w:rPr>
                <w:rFonts w:eastAsia="Calibri" w:cs="Calibri"/>
                <w:i/>
                <w:sz w:val="22"/>
                <w:lang w:val="pl-PL"/>
              </w:rPr>
              <w:t>Nacrta Kadrovskog plana</w:t>
            </w:r>
            <w:r w:rsidRPr="008610B5">
              <w:rPr>
                <w:rFonts w:eastAsia="Calibri" w:cs="Calibri"/>
                <w:sz w:val="22"/>
                <w:lang w:val="pl-PL"/>
              </w:rPr>
              <w:t xml:space="preserve"> za 2020. godinu sa Zakonom o budžetu Uprava za statistiku je dobila od  Ministarstva finansija i socijalnog staranja br.03-432/1 od 23.01.2020. godine. Upravi za kadrove je </w:t>
            </w:r>
            <w:r w:rsidRPr="008610B5">
              <w:rPr>
                <w:rFonts w:eastAsia="Calibri" w:cs="Calibri"/>
                <w:i/>
                <w:sz w:val="22"/>
                <w:lang w:val="pl-PL"/>
              </w:rPr>
              <w:t>Nacrt Kadrovskog plana za 2020. godinu</w:t>
            </w:r>
            <w:r w:rsidRPr="008610B5">
              <w:rPr>
                <w:rFonts w:eastAsia="Calibri" w:cs="Calibri"/>
                <w:sz w:val="22"/>
                <w:lang w:val="pl-PL"/>
              </w:rPr>
              <w:t xml:space="preserve"> sa mišljenjem Ministarstva finansija i socijalnog staranja poslat dopisom br. 01-138/4 od 30.01 2020. godine, čime je Uprava za statistiku realizovala definisani  zaključak Vlade Crne Gore.</w:t>
            </w:r>
          </w:p>
        </w:tc>
      </w:tr>
      <w:tr w:rsidR="0039737E" w:rsidRPr="00800A34" w:rsidTr="000619DD">
        <w:tc>
          <w:tcPr>
            <w:tcW w:w="361" w:type="pct"/>
          </w:tcPr>
          <w:p w:rsidR="0039737E" w:rsidRPr="008610B5" w:rsidRDefault="0039737E" w:rsidP="000619DD">
            <w:pPr>
              <w:spacing w:before="0" w:after="0" w:line="240" w:lineRule="auto"/>
              <w:contextualSpacing/>
              <w:jc w:val="left"/>
              <w:rPr>
                <w:rFonts w:eastAsia="Calibri" w:cs="Calibri"/>
                <w:color w:val="000000"/>
                <w:sz w:val="22"/>
                <w:lang w:val="pl-PL"/>
              </w:rPr>
            </w:pPr>
            <w:r>
              <w:rPr>
                <w:rFonts w:eastAsia="Calibri" w:cs="Calibri"/>
                <w:color w:val="000000"/>
                <w:sz w:val="22"/>
                <w:lang w:val="pl-PL"/>
              </w:rPr>
              <w:t>5.</w:t>
            </w:r>
          </w:p>
        </w:tc>
        <w:tc>
          <w:tcPr>
            <w:tcW w:w="534" w:type="pct"/>
          </w:tcPr>
          <w:p w:rsidR="0039737E" w:rsidRPr="008610B5" w:rsidRDefault="0039737E" w:rsidP="000619DD">
            <w:pPr>
              <w:spacing w:before="0" w:after="0" w:line="240" w:lineRule="auto"/>
              <w:jc w:val="center"/>
              <w:rPr>
                <w:rFonts w:eastAsia="Calibri" w:cs="Calibri"/>
                <w:color w:val="000000"/>
                <w:sz w:val="22"/>
                <w:lang w:val="pl-PL"/>
              </w:rPr>
            </w:pPr>
            <w:r w:rsidRPr="008610B5">
              <w:rPr>
                <w:rFonts w:eastAsia="Calibri" w:cs="Calibri"/>
                <w:color w:val="000000"/>
                <w:sz w:val="22"/>
                <w:lang w:val="pl-PL"/>
              </w:rPr>
              <w:t>13.2.2020</w:t>
            </w:r>
          </w:p>
        </w:tc>
        <w:tc>
          <w:tcPr>
            <w:tcW w:w="427" w:type="pct"/>
          </w:tcPr>
          <w:p w:rsidR="0039737E" w:rsidRPr="008610B5" w:rsidRDefault="0039737E" w:rsidP="000619DD">
            <w:pPr>
              <w:spacing w:before="0" w:after="0" w:line="240" w:lineRule="auto"/>
              <w:jc w:val="center"/>
              <w:rPr>
                <w:rFonts w:eastAsia="Calibri" w:cs="Calibri"/>
                <w:color w:val="000000"/>
                <w:sz w:val="22"/>
                <w:lang w:val="pl-PL"/>
              </w:rPr>
            </w:pPr>
            <w:r w:rsidRPr="008610B5">
              <w:rPr>
                <w:rFonts w:eastAsia="Calibri" w:cs="Calibri"/>
                <w:color w:val="000000"/>
                <w:sz w:val="22"/>
                <w:lang w:val="pl-PL"/>
              </w:rPr>
              <w:t>07-421</w:t>
            </w:r>
          </w:p>
        </w:tc>
        <w:tc>
          <w:tcPr>
            <w:tcW w:w="3678" w:type="pct"/>
          </w:tcPr>
          <w:p w:rsidR="0039737E" w:rsidRPr="008610B5" w:rsidRDefault="0039737E" w:rsidP="000619DD">
            <w:pPr>
              <w:spacing w:before="0" w:after="0" w:line="240" w:lineRule="auto"/>
              <w:rPr>
                <w:rFonts w:eastAsia="Calibri" w:cs="Calibri"/>
                <w:color w:val="000000"/>
                <w:sz w:val="22"/>
                <w:lang w:val="pl-PL"/>
              </w:rPr>
            </w:pPr>
            <w:r w:rsidRPr="008610B5">
              <w:rPr>
                <w:rFonts w:eastAsia="Calibri" w:cs="Calibri"/>
                <w:color w:val="000000"/>
                <w:sz w:val="22"/>
                <w:lang w:val="pl-PL"/>
              </w:rPr>
              <w:t>Sadržaj Programu pristupanja Crne Gore za period 2020 - 2022. godinu definisan je u decembru 2019. godine. U saradnji sa sekretarom Poglavlja 18 - Statistika, aktivnosti su unijete i na portal evropskih integracija.</w:t>
            </w:r>
          </w:p>
        </w:tc>
      </w:tr>
      <w:tr w:rsidR="0039737E" w:rsidRPr="00800A34" w:rsidTr="000619DD">
        <w:tc>
          <w:tcPr>
            <w:tcW w:w="361" w:type="pct"/>
          </w:tcPr>
          <w:p w:rsidR="0039737E" w:rsidRPr="008610B5" w:rsidRDefault="0039737E" w:rsidP="000619DD">
            <w:pPr>
              <w:spacing w:before="0" w:after="0" w:line="240" w:lineRule="auto"/>
              <w:contextualSpacing/>
              <w:jc w:val="left"/>
              <w:rPr>
                <w:rFonts w:eastAsia="Calibri" w:cs="Calibri"/>
                <w:color w:val="000000"/>
                <w:sz w:val="22"/>
                <w:lang w:val="pl-PL"/>
              </w:rPr>
            </w:pPr>
            <w:r>
              <w:rPr>
                <w:rFonts w:eastAsia="Calibri" w:cs="Calibri"/>
                <w:color w:val="000000"/>
                <w:sz w:val="22"/>
                <w:lang w:val="pl-PL"/>
              </w:rPr>
              <w:t>6.</w:t>
            </w:r>
          </w:p>
        </w:tc>
        <w:tc>
          <w:tcPr>
            <w:tcW w:w="534" w:type="pct"/>
          </w:tcPr>
          <w:p w:rsidR="0039737E" w:rsidRPr="008610B5" w:rsidRDefault="0039737E" w:rsidP="000619DD">
            <w:pPr>
              <w:spacing w:before="0" w:after="0" w:line="240" w:lineRule="auto"/>
              <w:jc w:val="center"/>
              <w:rPr>
                <w:rFonts w:eastAsia="Calibri" w:cs="Calibri"/>
                <w:color w:val="000000"/>
                <w:sz w:val="22"/>
                <w:lang w:val="pl-PL"/>
              </w:rPr>
            </w:pPr>
            <w:r w:rsidRPr="008610B5">
              <w:rPr>
                <w:rFonts w:eastAsia="Calibri" w:cs="Calibri"/>
                <w:color w:val="000000"/>
                <w:sz w:val="22"/>
                <w:lang w:val="pl-PL"/>
              </w:rPr>
              <w:t>5.3.2020</w:t>
            </w:r>
          </w:p>
        </w:tc>
        <w:tc>
          <w:tcPr>
            <w:tcW w:w="427" w:type="pct"/>
          </w:tcPr>
          <w:p w:rsidR="0039737E" w:rsidRPr="008610B5" w:rsidRDefault="0039737E" w:rsidP="000619DD">
            <w:pPr>
              <w:spacing w:before="0" w:after="0" w:line="240" w:lineRule="auto"/>
              <w:jc w:val="center"/>
              <w:rPr>
                <w:rFonts w:eastAsia="Calibri" w:cs="Calibri"/>
                <w:color w:val="000000"/>
                <w:sz w:val="22"/>
                <w:lang w:val="pl-PL"/>
              </w:rPr>
            </w:pPr>
            <w:r w:rsidRPr="008610B5">
              <w:rPr>
                <w:rFonts w:eastAsia="Calibri" w:cs="Calibri"/>
                <w:color w:val="000000"/>
                <w:sz w:val="22"/>
                <w:lang w:val="pl-PL"/>
              </w:rPr>
              <w:t>07-1033</w:t>
            </w:r>
          </w:p>
        </w:tc>
        <w:tc>
          <w:tcPr>
            <w:tcW w:w="3678" w:type="pct"/>
          </w:tcPr>
          <w:p w:rsidR="0039737E" w:rsidRPr="008610B5" w:rsidRDefault="0039737E" w:rsidP="000619DD">
            <w:pPr>
              <w:spacing w:before="0" w:after="0" w:line="240" w:lineRule="auto"/>
              <w:rPr>
                <w:rFonts w:eastAsia="Calibri" w:cs="Calibri"/>
                <w:color w:val="000000"/>
                <w:sz w:val="22"/>
                <w:lang w:val="pl-PL"/>
              </w:rPr>
            </w:pPr>
            <w:r w:rsidRPr="008610B5">
              <w:rPr>
                <w:rFonts w:eastAsia="Calibri" w:cs="Calibri"/>
                <w:color w:val="000000"/>
                <w:sz w:val="22"/>
                <w:lang w:val="pl-PL"/>
              </w:rPr>
              <w:t xml:space="preserve">Članovi radne grupe za Poglavlje 18 - Statistika su na redovnim sastancima informisani o aktivnostima na pripremi Popis stanovništva, domaćinstava i stanova </w:t>
            </w:r>
            <w:r w:rsidRPr="008610B5">
              <w:rPr>
                <w:rFonts w:eastAsia="Calibri" w:cs="Calibri"/>
                <w:sz w:val="22"/>
                <w:lang w:val="pl-PL"/>
              </w:rPr>
              <w:t xml:space="preserve">u 2021. godini. Kada </w:t>
            </w:r>
            <w:r w:rsidRPr="008610B5">
              <w:rPr>
                <w:rFonts w:eastAsia="Calibri" w:cs="Calibri"/>
                <w:color w:val="000000"/>
                <w:sz w:val="22"/>
                <w:lang w:val="pl-PL"/>
              </w:rPr>
              <w:t>je u pitanju Popis</w:t>
            </w:r>
            <w:r w:rsidRPr="008610B5">
              <w:rPr>
                <w:rFonts w:eastAsia="Calibri" w:cs="Calibri"/>
                <w:strike/>
                <w:color w:val="000000"/>
                <w:sz w:val="22"/>
                <w:lang w:val="pl-PL"/>
              </w:rPr>
              <w:t xml:space="preserve"> stanovništva</w:t>
            </w:r>
            <w:r w:rsidRPr="008610B5">
              <w:rPr>
                <w:rFonts w:eastAsia="Calibri" w:cs="Calibri"/>
                <w:color w:val="000000"/>
                <w:sz w:val="22"/>
                <w:lang w:val="pl-PL"/>
              </w:rPr>
              <w:t xml:space="preserve">, predlagač Zakona je Ministarstvo finansija i socijalnog staranja od kojih očekujemo informacije o daljoj dinamici kada ćemo i informisati članove Radne grupe za Poglavlje 18 - Statistika o daljim obavezama u skladu sa definisanim zaključkom. Ujedno obrazovana je Komisija za izradu Zakona o Popisu stanovništva, domaćinstava i stanova  </w:t>
            </w:r>
            <w:r w:rsidRPr="008610B5">
              <w:rPr>
                <w:rFonts w:eastAsia="Calibri" w:cs="Calibri"/>
                <w:sz w:val="22"/>
                <w:lang w:val="pl-PL"/>
              </w:rPr>
              <w:t xml:space="preserve">u 2021. godini i </w:t>
            </w:r>
            <w:r w:rsidRPr="008610B5">
              <w:rPr>
                <w:rFonts w:eastAsia="Calibri" w:cs="Calibri"/>
                <w:color w:val="000000"/>
                <w:sz w:val="22"/>
                <w:lang w:val="pl-PL"/>
              </w:rPr>
              <w:t>predlog budžeta za realizaciju koja će imati obavezu da po dobijanju mišljenja Evropske Komisije isto razmotri i po istom postupi, čime je realizovan definisani zaključak Vlade Crne Gore.</w:t>
            </w:r>
          </w:p>
        </w:tc>
      </w:tr>
      <w:tr w:rsidR="0039737E" w:rsidRPr="00800A34" w:rsidTr="000619DD">
        <w:tc>
          <w:tcPr>
            <w:tcW w:w="361" w:type="pct"/>
          </w:tcPr>
          <w:p w:rsidR="0039737E" w:rsidRPr="008610B5" w:rsidRDefault="0039737E" w:rsidP="000619DD">
            <w:pPr>
              <w:spacing w:before="0" w:after="0" w:line="240" w:lineRule="auto"/>
              <w:contextualSpacing/>
              <w:jc w:val="left"/>
              <w:rPr>
                <w:rFonts w:eastAsia="Calibri" w:cs="Calibri"/>
                <w:color w:val="000000"/>
                <w:sz w:val="22"/>
                <w:lang w:val="pl-PL"/>
              </w:rPr>
            </w:pPr>
            <w:r>
              <w:rPr>
                <w:rFonts w:eastAsia="Calibri" w:cs="Calibri"/>
                <w:color w:val="000000"/>
                <w:sz w:val="22"/>
                <w:lang w:val="pl-PL"/>
              </w:rPr>
              <w:t>7.</w:t>
            </w:r>
          </w:p>
        </w:tc>
        <w:tc>
          <w:tcPr>
            <w:tcW w:w="534" w:type="pct"/>
          </w:tcPr>
          <w:p w:rsidR="0039737E" w:rsidRPr="008610B5" w:rsidRDefault="0039737E" w:rsidP="000619DD">
            <w:pPr>
              <w:spacing w:before="0" w:after="0" w:line="240" w:lineRule="auto"/>
              <w:jc w:val="center"/>
              <w:rPr>
                <w:rFonts w:eastAsia="Calibri" w:cs="Calibri"/>
                <w:color w:val="000000"/>
                <w:sz w:val="22"/>
                <w:lang w:val="pl-PL"/>
              </w:rPr>
            </w:pPr>
            <w:r w:rsidRPr="008610B5">
              <w:rPr>
                <w:rFonts w:eastAsia="Calibri" w:cs="Calibri"/>
                <w:color w:val="000000"/>
                <w:sz w:val="22"/>
                <w:lang w:val="pl-PL"/>
              </w:rPr>
              <w:t>12.3.2020</w:t>
            </w:r>
          </w:p>
        </w:tc>
        <w:tc>
          <w:tcPr>
            <w:tcW w:w="427" w:type="pct"/>
          </w:tcPr>
          <w:p w:rsidR="0039737E" w:rsidRPr="008610B5" w:rsidRDefault="0039737E" w:rsidP="000619DD">
            <w:pPr>
              <w:spacing w:before="0" w:after="0" w:line="240" w:lineRule="auto"/>
              <w:jc w:val="center"/>
              <w:rPr>
                <w:rFonts w:eastAsia="Calibri" w:cs="Calibri"/>
                <w:color w:val="000000"/>
                <w:sz w:val="22"/>
                <w:lang w:val="pl-PL"/>
              </w:rPr>
            </w:pPr>
            <w:r w:rsidRPr="008610B5">
              <w:rPr>
                <w:rFonts w:eastAsia="Calibri" w:cs="Calibri"/>
                <w:color w:val="000000"/>
                <w:sz w:val="22"/>
                <w:lang w:val="pl-PL"/>
              </w:rPr>
              <w:t>07-894</w:t>
            </w:r>
          </w:p>
        </w:tc>
        <w:tc>
          <w:tcPr>
            <w:tcW w:w="3678" w:type="pct"/>
          </w:tcPr>
          <w:p w:rsidR="0039737E" w:rsidRPr="008610B5" w:rsidRDefault="0039737E" w:rsidP="000619DD">
            <w:pPr>
              <w:spacing w:before="0" w:after="0" w:line="240" w:lineRule="auto"/>
              <w:rPr>
                <w:rFonts w:eastAsia="Calibri" w:cs="Calibri"/>
                <w:color w:val="000000"/>
                <w:sz w:val="22"/>
                <w:lang w:val="pl-PL"/>
              </w:rPr>
            </w:pPr>
            <w:r w:rsidRPr="008610B5">
              <w:rPr>
                <w:rFonts w:eastAsia="Calibri" w:cs="Calibri"/>
                <w:color w:val="000000"/>
                <w:sz w:val="22"/>
                <w:lang w:val="pl-PL"/>
              </w:rPr>
              <w:t xml:space="preserve">Za kupovinu poslovnog prostora nadležna je bila Uprava za imovinu ( raniji naziv)  koja je: </w:t>
            </w:r>
          </w:p>
          <w:p w:rsidR="0039737E" w:rsidRPr="008610B5" w:rsidRDefault="0039737E" w:rsidP="00632490">
            <w:pPr>
              <w:numPr>
                <w:ilvl w:val="0"/>
                <w:numId w:val="78"/>
              </w:numPr>
              <w:spacing w:before="0" w:after="0" w:line="240" w:lineRule="auto"/>
              <w:contextualSpacing/>
              <w:jc w:val="left"/>
              <w:rPr>
                <w:rFonts w:eastAsia="Calibri" w:cs="Calibri"/>
                <w:color w:val="000000"/>
                <w:sz w:val="22"/>
                <w:lang w:val="pl-PL"/>
              </w:rPr>
            </w:pPr>
            <w:r w:rsidRPr="008610B5">
              <w:rPr>
                <w:rFonts w:eastAsia="Calibri" w:cs="Calibri"/>
                <w:color w:val="000000"/>
                <w:sz w:val="22"/>
                <w:lang w:val="pl-PL"/>
              </w:rPr>
              <w:t xml:space="preserve">objavila je tendersku dokumentaciju br. 09-0201/6078 od 26.06.2020. godine, </w:t>
            </w:r>
          </w:p>
          <w:p w:rsidR="0039737E" w:rsidRPr="008610B5" w:rsidRDefault="0039737E" w:rsidP="00632490">
            <w:pPr>
              <w:numPr>
                <w:ilvl w:val="0"/>
                <w:numId w:val="78"/>
              </w:numPr>
              <w:spacing w:before="0" w:after="0" w:line="240" w:lineRule="auto"/>
              <w:contextualSpacing/>
              <w:jc w:val="left"/>
              <w:rPr>
                <w:rFonts w:eastAsia="Calibri" w:cs="Calibri"/>
                <w:color w:val="000000"/>
                <w:sz w:val="22"/>
                <w:lang w:val="pl-PL"/>
              </w:rPr>
            </w:pPr>
            <w:r w:rsidRPr="008610B5">
              <w:rPr>
                <w:rFonts w:eastAsia="Calibri" w:cs="Calibri"/>
                <w:color w:val="000000"/>
                <w:sz w:val="22"/>
                <w:lang w:val="pl-PL"/>
              </w:rPr>
              <w:t>donijela odluku o izboru najpovoljnije ponude  br.09-0201/6078-7360 od 22.07.2020. godine, ugovor je zaključe  07.08.2020. godine sa ponuđačem „Koti nekretnine” doo, koji je objavljen na portalu Uprave za javne nabavke 11.08.2020. godine.</w:t>
            </w:r>
          </w:p>
        </w:tc>
      </w:tr>
      <w:tr w:rsidR="0039737E" w:rsidRPr="00800A34" w:rsidTr="000619DD">
        <w:tc>
          <w:tcPr>
            <w:tcW w:w="361" w:type="pct"/>
          </w:tcPr>
          <w:p w:rsidR="0039737E" w:rsidRPr="008610B5" w:rsidRDefault="0039737E" w:rsidP="000619DD">
            <w:pPr>
              <w:spacing w:before="0" w:after="0" w:line="240" w:lineRule="auto"/>
              <w:contextualSpacing/>
              <w:jc w:val="left"/>
              <w:rPr>
                <w:rFonts w:eastAsia="Calibri" w:cs="Calibri"/>
                <w:color w:val="000000"/>
                <w:sz w:val="22"/>
                <w:lang w:val="pl-PL"/>
              </w:rPr>
            </w:pPr>
            <w:r>
              <w:rPr>
                <w:rFonts w:eastAsia="Calibri" w:cs="Calibri"/>
                <w:color w:val="000000"/>
                <w:sz w:val="22"/>
                <w:lang w:val="pl-PL"/>
              </w:rPr>
              <w:t>8.</w:t>
            </w:r>
          </w:p>
        </w:tc>
        <w:tc>
          <w:tcPr>
            <w:tcW w:w="534" w:type="pct"/>
          </w:tcPr>
          <w:p w:rsidR="0039737E" w:rsidRPr="008610B5" w:rsidRDefault="0039737E" w:rsidP="000619DD">
            <w:pPr>
              <w:spacing w:before="0" w:after="0" w:line="240" w:lineRule="auto"/>
              <w:jc w:val="center"/>
              <w:rPr>
                <w:rFonts w:eastAsia="Calibri" w:cs="Calibri"/>
                <w:color w:val="000000"/>
                <w:sz w:val="22"/>
                <w:lang w:val="pl-PL"/>
              </w:rPr>
            </w:pPr>
            <w:r w:rsidRPr="008610B5">
              <w:rPr>
                <w:rFonts w:eastAsia="Calibri" w:cs="Calibri"/>
                <w:color w:val="000000"/>
                <w:sz w:val="22"/>
                <w:lang w:val="pl-PL"/>
              </w:rPr>
              <w:t>12.3.2020</w:t>
            </w:r>
          </w:p>
        </w:tc>
        <w:tc>
          <w:tcPr>
            <w:tcW w:w="427" w:type="pct"/>
          </w:tcPr>
          <w:p w:rsidR="0039737E" w:rsidRPr="008610B5" w:rsidRDefault="0039737E" w:rsidP="000619DD">
            <w:pPr>
              <w:spacing w:before="0" w:after="0" w:line="240" w:lineRule="auto"/>
              <w:jc w:val="center"/>
              <w:rPr>
                <w:rFonts w:eastAsia="Calibri" w:cs="Calibri"/>
                <w:color w:val="000000"/>
                <w:sz w:val="22"/>
                <w:lang w:val="pl-PL"/>
              </w:rPr>
            </w:pPr>
            <w:r w:rsidRPr="008610B5">
              <w:rPr>
                <w:rFonts w:eastAsia="Calibri" w:cs="Calibri"/>
                <w:color w:val="000000"/>
                <w:sz w:val="22"/>
                <w:lang w:val="pl-PL"/>
              </w:rPr>
              <w:t>07-971</w:t>
            </w:r>
          </w:p>
        </w:tc>
        <w:tc>
          <w:tcPr>
            <w:tcW w:w="3678" w:type="pct"/>
          </w:tcPr>
          <w:p w:rsidR="0039737E" w:rsidRPr="008610B5" w:rsidRDefault="0039737E" w:rsidP="000619DD">
            <w:pPr>
              <w:spacing w:before="0" w:after="0" w:line="240" w:lineRule="auto"/>
              <w:jc w:val="left"/>
              <w:rPr>
                <w:rFonts w:eastAsia="Calibri" w:cs="Calibri"/>
                <w:color w:val="000000"/>
                <w:sz w:val="22"/>
                <w:lang w:val="pl-PL"/>
              </w:rPr>
            </w:pPr>
            <w:r w:rsidRPr="008610B5">
              <w:rPr>
                <w:rFonts w:eastAsia="Calibri" w:cs="Calibri"/>
                <w:color w:val="000000"/>
                <w:sz w:val="22"/>
                <w:lang w:val="pl-PL"/>
              </w:rPr>
              <w:t xml:space="preserve">Izvještaj o realizaciji </w:t>
            </w:r>
            <w:r w:rsidRPr="008610B5">
              <w:rPr>
                <w:rFonts w:eastAsia="Calibri" w:cs="Calibri"/>
                <w:b/>
                <w:i/>
                <w:color w:val="000000"/>
                <w:sz w:val="22"/>
                <w:lang w:val="pl-PL"/>
              </w:rPr>
              <w:t>Godišnjeg plana zvanične statistike za 2019. godinu</w:t>
            </w:r>
            <w:r w:rsidRPr="008610B5">
              <w:rPr>
                <w:rFonts w:eastAsia="Calibri" w:cs="Calibri"/>
                <w:color w:val="000000"/>
                <w:sz w:val="22"/>
                <w:lang w:val="pl-PL"/>
              </w:rPr>
              <w:t xml:space="preserve"> usvojen je na sjednici od 5. marta 2020. godine</w:t>
            </w:r>
          </w:p>
        </w:tc>
      </w:tr>
      <w:tr w:rsidR="0039737E" w:rsidRPr="00800A34" w:rsidTr="000619DD">
        <w:tc>
          <w:tcPr>
            <w:tcW w:w="361" w:type="pct"/>
          </w:tcPr>
          <w:p w:rsidR="0039737E" w:rsidRPr="008610B5" w:rsidRDefault="0039737E" w:rsidP="000619DD">
            <w:pPr>
              <w:spacing w:before="0" w:after="0" w:line="240" w:lineRule="auto"/>
              <w:contextualSpacing/>
              <w:jc w:val="left"/>
              <w:rPr>
                <w:rFonts w:eastAsia="Calibri" w:cs="Calibri"/>
                <w:color w:val="000000"/>
                <w:sz w:val="22"/>
                <w:lang w:val="pl-PL"/>
              </w:rPr>
            </w:pPr>
            <w:r>
              <w:rPr>
                <w:rFonts w:eastAsia="Calibri" w:cs="Calibri"/>
                <w:color w:val="000000"/>
                <w:sz w:val="22"/>
                <w:lang w:val="pl-PL"/>
              </w:rPr>
              <w:t>9.</w:t>
            </w:r>
          </w:p>
        </w:tc>
        <w:tc>
          <w:tcPr>
            <w:tcW w:w="534" w:type="pct"/>
          </w:tcPr>
          <w:p w:rsidR="0039737E" w:rsidRPr="008610B5" w:rsidRDefault="0039737E" w:rsidP="000619DD">
            <w:pPr>
              <w:spacing w:before="0" w:after="0" w:line="240" w:lineRule="auto"/>
              <w:jc w:val="center"/>
              <w:rPr>
                <w:rFonts w:eastAsia="Calibri" w:cs="Calibri"/>
                <w:color w:val="000000"/>
                <w:sz w:val="22"/>
                <w:lang w:val="pl-PL"/>
              </w:rPr>
            </w:pPr>
            <w:r w:rsidRPr="008610B5">
              <w:rPr>
                <w:rFonts w:eastAsia="Calibri" w:cs="Calibri"/>
                <w:color w:val="000000"/>
                <w:sz w:val="22"/>
                <w:lang w:val="pl-PL"/>
              </w:rPr>
              <w:t>19.3.2020</w:t>
            </w:r>
          </w:p>
        </w:tc>
        <w:tc>
          <w:tcPr>
            <w:tcW w:w="427" w:type="pct"/>
          </w:tcPr>
          <w:p w:rsidR="0039737E" w:rsidRPr="008610B5" w:rsidRDefault="0039737E" w:rsidP="000619DD">
            <w:pPr>
              <w:spacing w:before="0" w:after="0" w:line="240" w:lineRule="auto"/>
              <w:jc w:val="center"/>
              <w:rPr>
                <w:rFonts w:eastAsia="Calibri" w:cs="Calibri"/>
                <w:color w:val="000000"/>
                <w:sz w:val="22"/>
                <w:lang w:val="pl-PL"/>
              </w:rPr>
            </w:pPr>
            <w:r w:rsidRPr="008610B5">
              <w:rPr>
                <w:rFonts w:eastAsia="Calibri" w:cs="Calibri"/>
                <w:color w:val="000000"/>
                <w:sz w:val="22"/>
                <w:lang w:val="pl-PL"/>
              </w:rPr>
              <w:t>07-2130</w:t>
            </w:r>
          </w:p>
        </w:tc>
        <w:tc>
          <w:tcPr>
            <w:tcW w:w="3678" w:type="pct"/>
          </w:tcPr>
          <w:p w:rsidR="0039737E" w:rsidRPr="008610B5" w:rsidRDefault="0039737E" w:rsidP="000619DD">
            <w:pPr>
              <w:spacing w:before="0" w:after="0" w:line="240" w:lineRule="auto"/>
              <w:rPr>
                <w:rFonts w:eastAsia="Calibri" w:cs="Calibri"/>
                <w:color w:val="000000"/>
                <w:sz w:val="22"/>
                <w:lang w:val="pl-PL"/>
              </w:rPr>
            </w:pPr>
            <w:r w:rsidRPr="008610B5">
              <w:rPr>
                <w:rFonts w:eastAsia="Calibri" w:cs="Calibri"/>
                <w:color w:val="000000"/>
                <w:sz w:val="22"/>
                <w:lang w:val="pl-PL"/>
              </w:rPr>
              <w:t>“</w:t>
            </w:r>
            <w:r w:rsidRPr="008610B5">
              <w:rPr>
                <w:rFonts w:eastAsia="Calibri" w:cs="Calibri"/>
                <w:i/>
                <w:color w:val="000000"/>
                <w:sz w:val="22"/>
                <w:lang w:val="pl-PL"/>
              </w:rPr>
              <w:t>Nalaže se potrošačkim jedinicima budžeta države da sve aktivnosti koje nisu mandatornog karaktera, odlože za naredni period. Zadužuju se sve potrošačke jedinice budžeta države da, u roku od pet dana, dostave Ministarstvu finansija predlog izmjene plana dinamike budžetske potrošnje, shodno naznačenom režimu rada</w:t>
            </w:r>
            <w:r w:rsidRPr="008610B5">
              <w:rPr>
                <w:rFonts w:eastAsia="Calibri" w:cs="Calibri"/>
                <w:color w:val="000000"/>
                <w:sz w:val="22"/>
                <w:lang w:val="pl-PL"/>
              </w:rPr>
              <w:t xml:space="preserve">”, </w:t>
            </w:r>
            <w:r w:rsidRPr="008610B5">
              <w:rPr>
                <w:rFonts w:eastAsia="Calibri" w:cs="Calibri"/>
                <w:sz w:val="22"/>
                <w:lang w:val="pl-PL"/>
              </w:rPr>
              <w:t xml:space="preserve">prihvaćeno je </w:t>
            </w:r>
            <w:r w:rsidRPr="008610B5">
              <w:rPr>
                <w:rFonts w:eastAsia="Calibri" w:cs="Calibri"/>
                <w:color w:val="000000"/>
                <w:sz w:val="22"/>
                <w:lang w:val="pl-PL"/>
              </w:rPr>
              <w:t xml:space="preserve">i realizovano  ( </w:t>
            </w:r>
            <w:r w:rsidRPr="008610B5">
              <w:rPr>
                <w:rFonts w:eastAsia="Calibri" w:cs="Calibri"/>
                <w:color w:val="000000"/>
                <w:sz w:val="22"/>
                <w:lang w:val="sr-Latn-ME"/>
              </w:rPr>
              <w:t xml:space="preserve">što je potvrđeno elektronskim putem </w:t>
            </w:r>
            <w:r w:rsidRPr="008610B5">
              <w:rPr>
                <w:rFonts w:eastAsia="Calibri" w:cs="Calibri"/>
                <w:color w:val="000000"/>
                <w:sz w:val="22"/>
                <w:lang w:val="pl-PL"/>
              </w:rPr>
              <w:t xml:space="preserve"> i dopisom  broj 17-402/20-917/1 od 26.03.2020. godine).  </w:t>
            </w:r>
          </w:p>
          <w:p w:rsidR="0039737E" w:rsidRPr="008610B5" w:rsidRDefault="0039737E" w:rsidP="000619DD">
            <w:pPr>
              <w:spacing w:before="0" w:after="0" w:line="240" w:lineRule="auto"/>
              <w:rPr>
                <w:rFonts w:eastAsia="Calibri" w:cs="Calibri"/>
                <w:sz w:val="22"/>
                <w:lang w:val="pl-PL"/>
              </w:rPr>
            </w:pPr>
            <w:r w:rsidRPr="008610B5">
              <w:rPr>
                <w:rFonts w:eastAsia="Calibri" w:cs="Calibri"/>
                <w:sz w:val="22"/>
                <w:lang w:val="pl-PL"/>
              </w:rPr>
              <w:t xml:space="preserve"> Pod tačkom 3 Preporuka se propisuje: “</w:t>
            </w:r>
            <w:r w:rsidRPr="008610B5">
              <w:rPr>
                <w:rFonts w:eastAsia="Calibri" w:cs="Calibri"/>
                <w:i/>
                <w:sz w:val="22"/>
                <w:lang w:val="pl-PL"/>
              </w:rPr>
              <w:t>Vlada je donijela odluku da članovi Vlade izvrše uplatu donacije u vrijednosti od 50% jedne mjesečne zarade na poseban račun kod Nacionalnog koordinacionog tijela za zarazne bolesti, koji je otvoren za ove namjene. Preporučuje se svim javnim funkcionerima, na lokalnom i centralnom nivou, da za potrebe borbe protiv epidemije korona virusa izvrse uplatu donacije u vrijednosti od 50% jedne mjesečne zarade na poseban račun kod Nacionalnog koordinacionog tijela, koji je otvoren za ove namjene</w:t>
            </w:r>
            <w:r w:rsidRPr="008610B5">
              <w:rPr>
                <w:rFonts w:eastAsia="Calibri" w:cs="Calibri"/>
                <w:sz w:val="22"/>
                <w:lang w:val="pl-PL"/>
              </w:rPr>
              <w:t xml:space="preserve">”. </w:t>
            </w:r>
          </w:p>
          <w:p w:rsidR="0039737E" w:rsidRPr="008610B5" w:rsidRDefault="0039737E" w:rsidP="000619DD">
            <w:pPr>
              <w:spacing w:before="0" w:after="0" w:line="240" w:lineRule="auto"/>
              <w:rPr>
                <w:rFonts w:eastAsia="Calibri" w:cs="Calibri"/>
                <w:color w:val="000000"/>
                <w:sz w:val="22"/>
                <w:lang w:val="pl-PL"/>
              </w:rPr>
            </w:pPr>
            <w:r w:rsidRPr="008610B5">
              <w:rPr>
                <w:rFonts w:eastAsia="Calibri" w:cs="Calibri"/>
                <w:sz w:val="22"/>
                <w:lang w:val="pl-PL"/>
              </w:rPr>
              <w:lastRenderedPageBreak/>
              <w:t xml:space="preserve"> Menadžment Uprave za statistiku je izvršio uplatu u vrijednosti od 50% jedne mjesečne zarade na poseban račun kod Nacionalnog koordinacionog tijela, koja se odnosila na zaradu za mart 2020. godine, i to 31.marta 2020. godine i time realizovao preporuku. </w:t>
            </w:r>
          </w:p>
        </w:tc>
      </w:tr>
      <w:tr w:rsidR="0039737E" w:rsidRPr="00800A34" w:rsidTr="000619DD">
        <w:tc>
          <w:tcPr>
            <w:tcW w:w="361" w:type="pct"/>
          </w:tcPr>
          <w:p w:rsidR="0039737E" w:rsidRPr="008610B5" w:rsidRDefault="0039737E" w:rsidP="000619DD">
            <w:pPr>
              <w:spacing w:before="0" w:after="0" w:line="240" w:lineRule="auto"/>
              <w:contextualSpacing/>
              <w:jc w:val="left"/>
              <w:rPr>
                <w:rFonts w:eastAsia="Calibri" w:cs="Calibri"/>
                <w:color w:val="000000"/>
                <w:sz w:val="22"/>
                <w:lang w:val="pl-PL"/>
              </w:rPr>
            </w:pPr>
            <w:r>
              <w:rPr>
                <w:rFonts w:eastAsia="Calibri" w:cs="Calibri"/>
                <w:color w:val="000000"/>
                <w:sz w:val="22"/>
                <w:lang w:val="pl-PL"/>
              </w:rPr>
              <w:lastRenderedPageBreak/>
              <w:t>10.</w:t>
            </w:r>
          </w:p>
        </w:tc>
        <w:tc>
          <w:tcPr>
            <w:tcW w:w="534" w:type="pct"/>
          </w:tcPr>
          <w:p w:rsidR="0039737E" w:rsidRPr="008610B5" w:rsidRDefault="0039737E" w:rsidP="000619DD">
            <w:pPr>
              <w:spacing w:before="0" w:after="0" w:line="240" w:lineRule="auto"/>
              <w:jc w:val="center"/>
              <w:rPr>
                <w:rFonts w:eastAsia="Calibri" w:cs="Calibri"/>
                <w:color w:val="000000"/>
                <w:sz w:val="22"/>
                <w:lang w:val="pl-PL"/>
              </w:rPr>
            </w:pPr>
            <w:r w:rsidRPr="008610B5">
              <w:rPr>
                <w:rFonts w:eastAsia="Calibri" w:cs="Calibri"/>
                <w:color w:val="000000"/>
                <w:sz w:val="22"/>
                <w:lang w:val="pl-PL"/>
              </w:rPr>
              <w:t>9.4.2020</w:t>
            </w:r>
          </w:p>
        </w:tc>
        <w:tc>
          <w:tcPr>
            <w:tcW w:w="427" w:type="pct"/>
          </w:tcPr>
          <w:p w:rsidR="0039737E" w:rsidRPr="008610B5" w:rsidRDefault="0039737E" w:rsidP="000619DD">
            <w:pPr>
              <w:spacing w:before="0" w:after="0" w:line="240" w:lineRule="auto"/>
              <w:jc w:val="center"/>
              <w:rPr>
                <w:rFonts w:eastAsia="Calibri" w:cs="Calibri"/>
                <w:color w:val="000000"/>
                <w:sz w:val="22"/>
                <w:lang w:val="pl-PL"/>
              </w:rPr>
            </w:pPr>
            <w:r w:rsidRPr="008610B5">
              <w:rPr>
                <w:rFonts w:eastAsia="Calibri" w:cs="Calibri"/>
                <w:color w:val="000000"/>
                <w:sz w:val="22"/>
                <w:lang w:val="pl-PL"/>
              </w:rPr>
              <w:t>07-2314</w:t>
            </w:r>
          </w:p>
        </w:tc>
        <w:tc>
          <w:tcPr>
            <w:tcW w:w="3678" w:type="pct"/>
          </w:tcPr>
          <w:p w:rsidR="0039737E" w:rsidRPr="008610B5" w:rsidRDefault="0039737E" w:rsidP="000619DD">
            <w:pPr>
              <w:spacing w:before="0" w:after="0" w:line="240" w:lineRule="auto"/>
              <w:rPr>
                <w:rFonts w:eastAsia="Calibri" w:cs="Calibri"/>
                <w:color w:val="000000"/>
                <w:sz w:val="22"/>
                <w:lang w:val="pl-PL"/>
              </w:rPr>
            </w:pPr>
            <w:r w:rsidRPr="008610B5">
              <w:rPr>
                <w:rFonts w:eastAsia="Calibri" w:cs="Calibri"/>
                <w:sz w:val="22"/>
                <w:lang w:val="pl-PL"/>
              </w:rPr>
              <w:t>Uprava za statistiku obratila se Ministarstvu finansija dopisom broj 10-426/20-1569/1 od 01.06.2020. godine radi dobijanja saglasnosti za pokretanje postupka javne nabavke. Ministarstvo finansija je povodom dostavljenog zahtjeva utvrdilo da su sredstva za sprovođenje postupka predmetne javne nabavke obezbjeđenja Zakonom o budžetu Crne Gore za 2020. godinu, nakon čega je dobijena  saglasnost broj 03-9582/1 od 09.06.2020. godine.</w:t>
            </w:r>
          </w:p>
        </w:tc>
      </w:tr>
      <w:tr w:rsidR="0039737E" w:rsidRPr="00800A34" w:rsidTr="000619DD">
        <w:tc>
          <w:tcPr>
            <w:tcW w:w="361" w:type="pct"/>
          </w:tcPr>
          <w:p w:rsidR="0039737E" w:rsidRPr="008610B5" w:rsidRDefault="0039737E" w:rsidP="000619DD">
            <w:pPr>
              <w:spacing w:before="0" w:after="0" w:line="240" w:lineRule="auto"/>
              <w:contextualSpacing/>
              <w:jc w:val="left"/>
              <w:rPr>
                <w:rFonts w:eastAsia="Calibri" w:cs="Calibri"/>
                <w:color w:val="000000"/>
                <w:sz w:val="22"/>
                <w:lang w:val="pl-PL"/>
              </w:rPr>
            </w:pPr>
            <w:r>
              <w:rPr>
                <w:rFonts w:eastAsia="Calibri" w:cs="Calibri"/>
                <w:color w:val="000000"/>
                <w:sz w:val="22"/>
                <w:lang w:val="pl-PL"/>
              </w:rPr>
              <w:t>11.</w:t>
            </w:r>
          </w:p>
        </w:tc>
        <w:tc>
          <w:tcPr>
            <w:tcW w:w="534" w:type="pct"/>
          </w:tcPr>
          <w:p w:rsidR="0039737E" w:rsidRPr="008610B5" w:rsidRDefault="0039737E" w:rsidP="000619DD">
            <w:pPr>
              <w:spacing w:before="0" w:after="0" w:line="240" w:lineRule="auto"/>
              <w:jc w:val="center"/>
              <w:rPr>
                <w:rFonts w:eastAsia="Calibri" w:cs="Calibri"/>
                <w:color w:val="000000"/>
                <w:sz w:val="22"/>
                <w:lang w:val="pl-PL"/>
              </w:rPr>
            </w:pPr>
            <w:r w:rsidRPr="008610B5">
              <w:rPr>
                <w:rFonts w:eastAsia="Calibri" w:cs="Calibri"/>
                <w:color w:val="000000"/>
                <w:sz w:val="22"/>
                <w:lang w:val="pl-PL"/>
              </w:rPr>
              <w:t>24.4.2020</w:t>
            </w:r>
          </w:p>
        </w:tc>
        <w:tc>
          <w:tcPr>
            <w:tcW w:w="427" w:type="pct"/>
          </w:tcPr>
          <w:p w:rsidR="0039737E" w:rsidRPr="008610B5" w:rsidRDefault="0039737E" w:rsidP="000619DD">
            <w:pPr>
              <w:spacing w:before="0" w:after="0" w:line="240" w:lineRule="auto"/>
              <w:jc w:val="center"/>
              <w:rPr>
                <w:rFonts w:eastAsia="Calibri" w:cs="Calibri"/>
                <w:color w:val="000000"/>
                <w:sz w:val="22"/>
                <w:lang w:val="pl-PL"/>
              </w:rPr>
            </w:pPr>
            <w:r w:rsidRPr="008610B5">
              <w:rPr>
                <w:rFonts w:eastAsia="Calibri" w:cs="Calibri"/>
                <w:color w:val="000000"/>
                <w:sz w:val="22"/>
                <w:lang w:val="pl-PL"/>
              </w:rPr>
              <w:t>07-2503</w:t>
            </w:r>
          </w:p>
        </w:tc>
        <w:tc>
          <w:tcPr>
            <w:tcW w:w="3678" w:type="pct"/>
          </w:tcPr>
          <w:p w:rsidR="0039737E" w:rsidRPr="008610B5" w:rsidRDefault="0039737E" w:rsidP="000619DD">
            <w:pPr>
              <w:spacing w:before="0" w:after="0" w:line="240" w:lineRule="auto"/>
              <w:rPr>
                <w:rFonts w:eastAsia="Calibri" w:cs="Calibri"/>
                <w:color w:val="000000"/>
                <w:sz w:val="22"/>
                <w:lang w:val="pl-PL"/>
              </w:rPr>
            </w:pPr>
            <w:r w:rsidRPr="008610B5">
              <w:rPr>
                <w:rFonts w:eastAsia="Calibri" w:cs="Calibri"/>
                <w:sz w:val="22"/>
                <w:lang w:val="pl-PL"/>
              </w:rPr>
              <w:t>Odluka o obračunskoj vrijednosti koeficijenata za zaposlene u javnom sektoru za 2020. godinu se primjenjuje i realizovana je u ovom organu.</w:t>
            </w:r>
          </w:p>
        </w:tc>
      </w:tr>
      <w:tr w:rsidR="0039737E" w:rsidRPr="00800A34" w:rsidTr="000619DD">
        <w:tc>
          <w:tcPr>
            <w:tcW w:w="361" w:type="pct"/>
          </w:tcPr>
          <w:p w:rsidR="0039737E" w:rsidRPr="008610B5" w:rsidRDefault="0039737E" w:rsidP="000619DD">
            <w:pPr>
              <w:spacing w:before="0" w:after="0" w:line="240" w:lineRule="auto"/>
              <w:contextualSpacing/>
              <w:jc w:val="left"/>
              <w:rPr>
                <w:rFonts w:eastAsia="Calibri" w:cs="Calibri"/>
                <w:color w:val="000000"/>
                <w:sz w:val="22"/>
                <w:lang w:val="pl-PL"/>
              </w:rPr>
            </w:pPr>
            <w:r>
              <w:rPr>
                <w:rFonts w:eastAsia="Calibri" w:cs="Calibri"/>
                <w:color w:val="000000"/>
                <w:sz w:val="22"/>
                <w:lang w:val="pl-PL"/>
              </w:rPr>
              <w:t>12.</w:t>
            </w:r>
          </w:p>
        </w:tc>
        <w:tc>
          <w:tcPr>
            <w:tcW w:w="534" w:type="pct"/>
          </w:tcPr>
          <w:p w:rsidR="0039737E" w:rsidRPr="008610B5" w:rsidRDefault="0039737E" w:rsidP="000619DD">
            <w:pPr>
              <w:spacing w:before="0" w:after="0" w:line="240" w:lineRule="auto"/>
              <w:jc w:val="center"/>
              <w:rPr>
                <w:rFonts w:eastAsia="Calibri" w:cs="Calibri"/>
                <w:color w:val="000000"/>
                <w:sz w:val="22"/>
                <w:lang w:val="pl-PL"/>
              </w:rPr>
            </w:pPr>
            <w:r w:rsidRPr="008610B5">
              <w:rPr>
                <w:rFonts w:eastAsia="Calibri" w:cs="Calibri"/>
                <w:color w:val="000000"/>
                <w:sz w:val="22"/>
                <w:lang w:val="pl-PL"/>
              </w:rPr>
              <w:t>24.4.2020</w:t>
            </w:r>
          </w:p>
        </w:tc>
        <w:tc>
          <w:tcPr>
            <w:tcW w:w="427" w:type="pct"/>
          </w:tcPr>
          <w:p w:rsidR="0039737E" w:rsidRPr="008610B5" w:rsidRDefault="0039737E" w:rsidP="000619DD">
            <w:pPr>
              <w:spacing w:before="0" w:after="0" w:line="240" w:lineRule="auto"/>
              <w:jc w:val="center"/>
              <w:rPr>
                <w:rFonts w:eastAsia="Calibri" w:cs="Calibri"/>
                <w:color w:val="000000"/>
                <w:sz w:val="22"/>
                <w:lang w:val="pl-PL"/>
              </w:rPr>
            </w:pPr>
            <w:r w:rsidRPr="008610B5">
              <w:rPr>
                <w:rFonts w:eastAsia="Calibri" w:cs="Calibri"/>
                <w:color w:val="000000"/>
                <w:sz w:val="22"/>
                <w:lang w:val="pl-PL"/>
              </w:rPr>
              <w:t>07-2512</w:t>
            </w:r>
          </w:p>
        </w:tc>
        <w:tc>
          <w:tcPr>
            <w:tcW w:w="3678" w:type="pct"/>
          </w:tcPr>
          <w:p w:rsidR="0039737E" w:rsidRPr="008610B5" w:rsidRDefault="0039737E" w:rsidP="000619DD">
            <w:pPr>
              <w:spacing w:before="0" w:after="0" w:line="240" w:lineRule="auto"/>
              <w:rPr>
                <w:rFonts w:eastAsia="Calibri" w:cs="Calibri"/>
                <w:color w:val="000000"/>
                <w:sz w:val="22"/>
                <w:lang w:val="pl-PL"/>
              </w:rPr>
            </w:pPr>
            <w:r w:rsidRPr="008610B5">
              <w:rPr>
                <w:rFonts w:eastAsia="Calibri" w:cs="Calibri"/>
                <w:sz w:val="22"/>
                <w:lang w:val="pl-PL"/>
              </w:rPr>
              <w:t xml:space="preserve">Zaključci Vlade Crne Gore br.07-2512 od 24.04.2020.god., zaveden u Upravi za statistiku   br.01-041/20-1202/1 od 28.04.2020. godine, </w:t>
            </w:r>
            <w:r w:rsidRPr="008610B5">
              <w:rPr>
                <w:rFonts w:eastAsia="Calibri" w:cs="Calibri"/>
                <w:color w:val="000000"/>
                <w:sz w:val="22"/>
                <w:lang w:val="pl-PL"/>
              </w:rPr>
              <w:t>a kojim nas Vlada Crne Gore obavještva da je na sjednici od 24. aprila 2020. godine, razmotrila Predlog posebnog programa podrške poljoprivredi i ribarstvu, koji je dostavilo Ministarstvo poljoprivrede i ruralnog razvoja. Navedeni zaključci se ne odnose na Upravu za statistiku.</w:t>
            </w:r>
          </w:p>
        </w:tc>
      </w:tr>
      <w:tr w:rsidR="0039737E" w:rsidRPr="00800A34" w:rsidTr="000619DD">
        <w:tc>
          <w:tcPr>
            <w:tcW w:w="361" w:type="pct"/>
          </w:tcPr>
          <w:p w:rsidR="0039737E" w:rsidRPr="008610B5" w:rsidRDefault="0039737E" w:rsidP="000619DD">
            <w:pPr>
              <w:spacing w:before="0" w:after="0" w:line="240" w:lineRule="auto"/>
              <w:contextualSpacing/>
              <w:jc w:val="left"/>
              <w:rPr>
                <w:rFonts w:eastAsia="Calibri" w:cs="Calibri"/>
                <w:color w:val="000000"/>
                <w:sz w:val="22"/>
                <w:lang w:val="pl-PL"/>
              </w:rPr>
            </w:pPr>
            <w:r>
              <w:rPr>
                <w:rFonts w:eastAsia="Calibri" w:cs="Calibri"/>
                <w:color w:val="000000"/>
                <w:sz w:val="22"/>
                <w:lang w:val="pl-PL"/>
              </w:rPr>
              <w:t>13.</w:t>
            </w:r>
          </w:p>
        </w:tc>
        <w:tc>
          <w:tcPr>
            <w:tcW w:w="534" w:type="pct"/>
          </w:tcPr>
          <w:p w:rsidR="0039737E" w:rsidRPr="008610B5" w:rsidRDefault="0039737E" w:rsidP="000619DD">
            <w:pPr>
              <w:spacing w:before="0" w:after="0" w:line="240" w:lineRule="auto"/>
              <w:jc w:val="left"/>
              <w:rPr>
                <w:rFonts w:eastAsia="Calibri" w:cs="Calibri"/>
                <w:color w:val="000000"/>
                <w:sz w:val="22"/>
                <w:lang w:val="pl-PL"/>
              </w:rPr>
            </w:pPr>
            <w:r w:rsidRPr="008610B5">
              <w:rPr>
                <w:rFonts w:eastAsia="Calibri" w:cs="Calibri"/>
                <w:color w:val="000000"/>
                <w:sz w:val="22"/>
                <w:lang w:val="pl-PL"/>
              </w:rPr>
              <w:t xml:space="preserve">  7.5.2020</w:t>
            </w:r>
          </w:p>
        </w:tc>
        <w:tc>
          <w:tcPr>
            <w:tcW w:w="427" w:type="pct"/>
          </w:tcPr>
          <w:p w:rsidR="0039737E" w:rsidRPr="008610B5" w:rsidRDefault="0039737E" w:rsidP="000619DD">
            <w:pPr>
              <w:spacing w:before="0" w:after="0" w:line="240" w:lineRule="auto"/>
              <w:jc w:val="left"/>
              <w:rPr>
                <w:rFonts w:eastAsia="Calibri" w:cs="Calibri"/>
                <w:color w:val="000000"/>
                <w:sz w:val="22"/>
                <w:lang w:val="pl-PL"/>
              </w:rPr>
            </w:pPr>
            <w:r w:rsidRPr="008610B5">
              <w:rPr>
                <w:rFonts w:eastAsia="Calibri" w:cs="Calibri"/>
                <w:color w:val="000000"/>
                <w:sz w:val="22"/>
                <w:lang w:val="pl-PL"/>
              </w:rPr>
              <w:t xml:space="preserve"> 07-2607</w:t>
            </w:r>
          </w:p>
        </w:tc>
        <w:tc>
          <w:tcPr>
            <w:tcW w:w="3678" w:type="pct"/>
          </w:tcPr>
          <w:p w:rsidR="0039737E" w:rsidRPr="008610B5" w:rsidRDefault="0039737E" w:rsidP="000619DD">
            <w:pPr>
              <w:spacing w:before="0" w:after="0" w:line="240" w:lineRule="auto"/>
              <w:rPr>
                <w:rFonts w:eastAsia="Calibri" w:cs="Calibri"/>
                <w:color w:val="000000"/>
                <w:sz w:val="22"/>
                <w:lang w:val="pl-PL"/>
              </w:rPr>
            </w:pPr>
            <w:r w:rsidRPr="008610B5">
              <w:rPr>
                <w:rFonts w:eastAsia="Calibri" w:cs="Calibri"/>
                <w:color w:val="000000"/>
                <w:sz w:val="22"/>
                <w:lang w:val="pl-PL"/>
              </w:rPr>
              <w:t xml:space="preserve">Uprave za statistiku je pripremila </w:t>
            </w:r>
            <w:r w:rsidRPr="008610B5">
              <w:rPr>
                <w:rFonts w:eastAsia="Calibri" w:cs="Calibri"/>
                <w:i/>
                <w:color w:val="000000"/>
                <w:sz w:val="22"/>
                <w:lang w:val="pl-PL"/>
              </w:rPr>
              <w:t>Pravilnik o izmjenama pravilnika o unutrašnjoj organizaciji i sistematizaciji Uprave za statistiku</w:t>
            </w:r>
            <w:r w:rsidRPr="008610B5">
              <w:rPr>
                <w:rFonts w:eastAsia="Calibri" w:cs="Calibri"/>
                <w:color w:val="000000"/>
                <w:sz w:val="22"/>
                <w:lang w:val="pl-PL"/>
              </w:rPr>
              <w:t xml:space="preserve"> u skladu sa odredbama člana 6 Odluke o otpremnini u slučaju sporazumnog prestanka radnog odnosa zaposlenih u javnom sektoru. Ovaj Pravilnik je utvrđen na sjednici Vlade Crne Gore od 28. maja 2020. godine i zaveden pod broj: 01-70/20-1671/1 od  09.06.2020. godine. U pravilniku su predložene izmjene na način što se ukinulo osam (8) radnih mjesta, nakon zaključenih sporazuma o prestanku radnih odnosa sa zaposlenima i isplate otpremnine, čime je Uprava za statistiku defini</w:t>
            </w:r>
            <w:r w:rsidRPr="008610B5">
              <w:rPr>
                <w:rFonts w:eastAsia="Calibri" w:cs="Calibri"/>
                <w:sz w:val="22"/>
                <w:lang w:val="pl-PL"/>
              </w:rPr>
              <w:t>sala</w:t>
            </w:r>
            <w:r w:rsidRPr="008610B5">
              <w:rPr>
                <w:rFonts w:eastAsia="Calibri" w:cs="Calibri"/>
                <w:b/>
                <w:color w:val="FF0000"/>
                <w:sz w:val="22"/>
                <w:lang w:val="pl-PL"/>
              </w:rPr>
              <w:t xml:space="preserve"> </w:t>
            </w:r>
            <w:r w:rsidRPr="008610B5">
              <w:rPr>
                <w:rFonts w:eastAsia="Calibri" w:cs="Calibri"/>
                <w:color w:val="000000"/>
                <w:sz w:val="22"/>
                <w:lang w:val="pl-PL"/>
              </w:rPr>
              <w:t xml:space="preserve"> zaključak Vlade Crne Gore.</w:t>
            </w:r>
          </w:p>
        </w:tc>
      </w:tr>
      <w:tr w:rsidR="0039737E" w:rsidRPr="00800A34" w:rsidTr="000619DD">
        <w:tc>
          <w:tcPr>
            <w:tcW w:w="361" w:type="pct"/>
          </w:tcPr>
          <w:p w:rsidR="0039737E" w:rsidRPr="008610B5" w:rsidRDefault="0039737E" w:rsidP="000619DD">
            <w:pPr>
              <w:spacing w:before="0" w:after="0" w:line="240" w:lineRule="auto"/>
              <w:contextualSpacing/>
              <w:jc w:val="left"/>
              <w:rPr>
                <w:rFonts w:eastAsia="Calibri" w:cs="Calibri"/>
                <w:color w:val="000000"/>
                <w:sz w:val="22"/>
                <w:lang w:val="pl-PL"/>
              </w:rPr>
            </w:pPr>
            <w:r>
              <w:rPr>
                <w:rFonts w:eastAsia="Calibri" w:cs="Calibri"/>
                <w:color w:val="000000"/>
                <w:sz w:val="22"/>
                <w:lang w:val="pl-PL"/>
              </w:rPr>
              <w:t>14.</w:t>
            </w:r>
          </w:p>
        </w:tc>
        <w:tc>
          <w:tcPr>
            <w:tcW w:w="534" w:type="pct"/>
          </w:tcPr>
          <w:p w:rsidR="0039737E" w:rsidRPr="008610B5" w:rsidRDefault="0039737E" w:rsidP="000619DD">
            <w:pPr>
              <w:spacing w:before="0" w:after="0" w:line="240" w:lineRule="auto"/>
              <w:jc w:val="center"/>
              <w:rPr>
                <w:rFonts w:eastAsia="Calibri" w:cs="Calibri"/>
                <w:color w:val="000000"/>
                <w:sz w:val="22"/>
                <w:lang w:val="pl-PL"/>
              </w:rPr>
            </w:pPr>
            <w:r w:rsidRPr="008610B5">
              <w:rPr>
                <w:rFonts w:eastAsia="Calibri" w:cs="Calibri"/>
                <w:color w:val="000000"/>
                <w:sz w:val="22"/>
                <w:lang w:val="pl-PL"/>
              </w:rPr>
              <w:t>4.6.2020</w:t>
            </w:r>
          </w:p>
        </w:tc>
        <w:tc>
          <w:tcPr>
            <w:tcW w:w="427" w:type="pct"/>
          </w:tcPr>
          <w:p w:rsidR="0039737E" w:rsidRPr="008610B5" w:rsidRDefault="0039737E" w:rsidP="000619DD">
            <w:pPr>
              <w:spacing w:before="0" w:after="0" w:line="240" w:lineRule="auto"/>
              <w:jc w:val="center"/>
              <w:rPr>
                <w:rFonts w:eastAsia="Calibri" w:cs="Calibri"/>
                <w:color w:val="000000"/>
                <w:sz w:val="22"/>
                <w:lang w:val="pl-PL"/>
              </w:rPr>
            </w:pPr>
            <w:r w:rsidRPr="008610B5">
              <w:rPr>
                <w:rFonts w:eastAsia="Calibri" w:cs="Calibri"/>
                <w:color w:val="000000"/>
                <w:sz w:val="22"/>
                <w:lang w:val="pl-PL"/>
              </w:rPr>
              <w:t>07-2749</w:t>
            </w:r>
          </w:p>
        </w:tc>
        <w:tc>
          <w:tcPr>
            <w:tcW w:w="3678" w:type="pct"/>
          </w:tcPr>
          <w:p w:rsidR="0039737E" w:rsidRPr="008610B5" w:rsidRDefault="0039737E" w:rsidP="000619DD">
            <w:pPr>
              <w:spacing w:before="0" w:after="0" w:line="240" w:lineRule="auto"/>
              <w:rPr>
                <w:rFonts w:eastAsia="Calibri" w:cs="Calibri"/>
                <w:color w:val="000000"/>
                <w:sz w:val="22"/>
                <w:lang w:val="pl-PL"/>
              </w:rPr>
            </w:pPr>
            <w:r w:rsidRPr="008610B5">
              <w:rPr>
                <w:rFonts w:eastAsia="Calibri" w:cs="Calibri"/>
                <w:sz w:val="22"/>
                <w:lang w:val="pl-PL"/>
              </w:rPr>
              <w:t xml:space="preserve">Zaključak Vlade Crne Gore br.07-2749 od 04.06.2020.god., zaveden u Upravi za statistiku   br.01-041/20-1650/1 od 08.06.2020. godine, </w:t>
            </w:r>
            <w:r w:rsidRPr="008610B5">
              <w:rPr>
                <w:rFonts w:eastAsia="Calibri" w:cs="Calibri"/>
                <w:color w:val="000000"/>
                <w:sz w:val="22"/>
                <w:lang w:val="pl-PL"/>
              </w:rPr>
              <w:t xml:space="preserve">a kojim nas Vlada Crne Gore obavještva da je na sjednici od 28. maja 2020. godine, razmotrila i utvrdila </w:t>
            </w:r>
            <w:r w:rsidRPr="008610B5">
              <w:rPr>
                <w:rFonts w:eastAsia="Calibri" w:cs="Calibri"/>
                <w:i/>
                <w:color w:val="000000"/>
                <w:sz w:val="22"/>
                <w:lang w:val="pl-PL"/>
              </w:rPr>
              <w:t>Pravilnik o izmjenama pravilnika o unutrašnjoj organizaciji i sistematizaciji Uprave za statistiku</w:t>
            </w:r>
          </w:p>
        </w:tc>
      </w:tr>
      <w:tr w:rsidR="0039737E" w:rsidRPr="00800A34" w:rsidTr="000619DD">
        <w:tc>
          <w:tcPr>
            <w:tcW w:w="361" w:type="pct"/>
          </w:tcPr>
          <w:p w:rsidR="0039737E" w:rsidRPr="008610B5" w:rsidRDefault="0039737E" w:rsidP="000619DD">
            <w:pPr>
              <w:spacing w:before="0" w:after="0" w:line="240" w:lineRule="auto"/>
              <w:contextualSpacing/>
              <w:jc w:val="left"/>
              <w:rPr>
                <w:rFonts w:eastAsia="Calibri" w:cs="Calibri"/>
                <w:color w:val="000000"/>
                <w:sz w:val="22"/>
                <w:lang w:val="pl-PL"/>
              </w:rPr>
            </w:pPr>
            <w:r>
              <w:rPr>
                <w:rFonts w:eastAsia="Calibri" w:cs="Calibri"/>
                <w:color w:val="000000"/>
                <w:sz w:val="22"/>
                <w:lang w:val="pl-PL"/>
              </w:rPr>
              <w:t>15.</w:t>
            </w:r>
          </w:p>
        </w:tc>
        <w:tc>
          <w:tcPr>
            <w:tcW w:w="534" w:type="pct"/>
          </w:tcPr>
          <w:p w:rsidR="0039737E" w:rsidRPr="008610B5" w:rsidRDefault="0039737E" w:rsidP="000619DD">
            <w:pPr>
              <w:spacing w:before="0" w:after="0" w:line="240" w:lineRule="auto"/>
              <w:jc w:val="left"/>
              <w:rPr>
                <w:rFonts w:eastAsia="Calibri" w:cs="Calibri"/>
                <w:color w:val="000000"/>
                <w:sz w:val="22"/>
                <w:lang w:val="pl-PL"/>
              </w:rPr>
            </w:pPr>
            <w:r w:rsidRPr="008610B5">
              <w:rPr>
                <w:rFonts w:eastAsia="Calibri" w:cs="Calibri"/>
                <w:color w:val="000000"/>
                <w:sz w:val="22"/>
                <w:lang w:val="pl-PL"/>
              </w:rPr>
              <w:t xml:space="preserve">  18.6.2020</w:t>
            </w:r>
          </w:p>
        </w:tc>
        <w:tc>
          <w:tcPr>
            <w:tcW w:w="427" w:type="pct"/>
          </w:tcPr>
          <w:p w:rsidR="0039737E" w:rsidRPr="008610B5" w:rsidRDefault="0039737E" w:rsidP="000619DD">
            <w:pPr>
              <w:spacing w:before="0" w:after="0" w:line="240" w:lineRule="auto"/>
              <w:jc w:val="left"/>
              <w:rPr>
                <w:rFonts w:eastAsia="Calibri" w:cs="Calibri"/>
                <w:color w:val="000000"/>
                <w:sz w:val="22"/>
                <w:lang w:val="pl-PL"/>
              </w:rPr>
            </w:pPr>
            <w:r w:rsidRPr="008610B5">
              <w:rPr>
                <w:rFonts w:eastAsia="Calibri" w:cs="Calibri"/>
                <w:color w:val="000000"/>
                <w:sz w:val="22"/>
                <w:lang w:val="pl-PL"/>
              </w:rPr>
              <w:t xml:space="preserve"> 07-3219</w:t>
            </w:r>
          </w:p>
        </w:tc>
        <w:tc>
          <w:tcPr>
            <w:tcW w:w="3678" w:type="pct"/>
          </w:tcPr>
          <w:p w:rsidR="0039737E" w:rsidRPr="008610B5" w:rsidRDefault="0039737E" w:rsidP="000619DD">
            <w:pPr>
              <w:spacing w:before="0" w:after="0" w:line="240" w:lineRule="auto"/>
              <w:rPr>
                <w:rFonts w:eastAsia="Calibri" w:cs="Calibri"/>
                <w:sz w:val="22"/>
                <w:lang w:val="pl-PL"/>
              </w:rPr>
            </w:pPr>
            <w:r w:rsidRPr="008610B5">
              <w:rPr>
                <w:rFonts w:eastAsia="Calibri" w:cs="Calibri"/>
                <w:sz w:val="22"/>
                <w:lang w:val="pl-PL"/>
              </w:rPr>
              <w:t xml:space="preserve">1. Za kupovinu poslovnog prostora nadležna je Uprava za imovinu i kod nje su sredstva za plaćanje: objavila je tendersku dokumentaciju br. 09-0201/6078 od 26.06.2020. godine, donijela odluku o izboru najpovoljnije ponude  br.09-0201/6078-7360 od 22.07.2020. godine, ugovor je zaključen  07.08.2020. godine sa ponuđačem „Koti nekretnine” doo i objavljen na portalu Uprave za javne nabavke 11.08.2020. godine </w:t>
            </w:r>
          </w:p>
          <w:p w:rsidR="0039737E" w:rsidRPr="008610B5" w:rsidRDefault="0039737E" w:rsidP="000619DD">
            <w:pPr>
              <w:spacing w:before="0" w:after="0" w:line="240" w:lineRule="auto"/>
              <w:rPr>
                <w:rFonts w:eastAsia="Calibri"/>
                <w:color w:val="FF0000"/>
                <w:sz w:val="22"/>
                <w:lang w:val="pl-PL"/>
              </w:rPr>
            </w:pPr>
            <w:r w:rsidRPr="008610B5">
              <w:rPr>
                <w:rFonts w:eastAsia="Calibri" w:cs="Calibri"/>
                <w:sz w:val="22"/>
                <w:lang w:val="pl-PL"/>
              </w:rPr>
              <w:t>2. Sredstva za plaćanje objekta nijesu sredstva Uprave za statistiku, već Uprave za imovinu i ukoliko je izvršena prva rata plaćanja prošle godine od njih se mogu tražiti informaciju, kao i da li su sredstva od 3.000.000,00 eura odobrena Upravi za katastar i državnu imovinu za plaćanje rate za ovu godinu.</w:t>
            </w:r>
          </w:p>
        </w:tc>
      </w:tr>
      <w:tr w:rsidR="0039737E" w:rsidRPr="00800A34" w:rsidTr="000619DD">
        <w:tc>
          <w:tcPr>
            <w:tcW w:w="361" w:type="pct"/>
          </w:tcPr>
          <w:p w:rsidR="0039737E" w:rsidRPr="008610B5" w:rsidRDefault="0039737E" w:rsidP="000619DD">
            <w:pPr>
              <w:spacing w:before="0" w:after="0" w:line="240" w:lineRule="auto"/>
              <w:contextualSpacing/>
              <w:jc w:val="left"/>
              <w:rPr>
                <w:rFonts w:eastAsia="Calibri" w:cs="Calibri"/>
                <w:color w:val="000000"/>
                <w:sz w:val="22"/>
                <w:lang w:val="pl-PL"/>
              </w:rPr>
            </w:pPr>
            <w:r>
              <w:rPr>
                <w:rFonts w:eastAsia="Calibri" w:cs="Calibri"/>
                <w:color w:val="000000"/>
                <w:sz w:val="22"/>
                <w:lang w:val="pl-PL"/>
              </w:rPr>
              <w:t>16.</w:t>
            </w:r>
          </w:p>
        </w:tc>
        <w:tc>
          <w:tcPr>
            <w:tcW w:w="534" w:type="pct"/>
          </w:tcPr>
          <w:p w:rsidR="0039737E" w:rsidRPr="008610B5" w:rsidRDefault="0039737E" w:rsidP="000619DD">
            <w:pPr>
              <w:spacing w:before="0" w:after="0" w:line="240" w:lineRule="auto"/>
              <w:jc w:val="center"/>
              <w:rPr>
                <w:rFonts w:eastAsia="Calibri" w:cs="Calibri"/>
                <w:color w:val="000000"/>
                <w:sz w:val="22"/>
                <w:lang w:val="pl-PL"/>
              </w:rPr>
            </w:pPr>
            <w:r w:rsidRPr="008610B5">
              <w:rPr>
                <w:rFonts w:eastAsia="Calibri" w:cs="Calibri"/>
                <w:color w:val="000000"/>
                <w:sz w:val="22"/>
                <w:lang w:val="pl-PL"/>
              </w:rPr>
              <w:t>25.6.2020</w:t>
            </w:r>
          </w:p>
        </w:tc>
        <w:tc>
          <w:tcPr>
            <w:tcW w:w="427" w:type="pct"/>
          </w:tcPr>
          <w:p w:rsidR="0039737E" w:rsidRPr="008610B5" w:rsidRDefault="0039737E" w:rsidP="000619DD">
            <w:pPr>
              <w:spacing w:before="0" w:after="0" w:line="240" w:lineRule="auto"/>
              <w:jc w:val="center"/>
              <w:rPr>
                <w:rFonts w:eastAsia="Calibri" w:cs="Calibri"/>
                <w:color w:val="000000"/>
                <w:sz w:val="22"/>
                <w:lang w:val="pl-PL"/>
              </w:rPr>
            </w:pPr>
            <w:r w:rsidRPr="008610B5">
              <w:rPr>
                <w:rFonts w:eastAsia="Calibri" w:cs="Calibri"/>
                <w:color w:val="000000"/>
                <w:sz w:val="22"/>
                <w:lang w:val="pl-PL"/>
              </w:rPr>
              <w:t>07-3116</w:t>
            </w:r>
          </w:p>
        </w:tc>
        <w:tc>
          <w:tcPr>
            <w:tcW w:w="3678" w:type="pct"/>
          </w:tcPr>
          <w:p w:rsidR="0039737E" w:rsidRPr="008610B5" w:rsidRDefault="0039737E" w:rsidP="000619DD">
            <w:pPr>
              <w:spacing w:before="0" w:after="0" w:line="240" w:lineRule="auto"/>
              <w:rPr>
                <w:rFonts w:eastAsia="Calibri" w:cs="Calibri"/>
                <w:color w:val="000000"/>
                <w:sz w:val="22"/>
                <w:lang w:val="pl-PL"/>
              </w:rPr>
            </w:pPr>
            <w:r w:rsidRPr="008610B5">
              <w:rPr>
                <w:rFonts w:eastAsia="Calibri" w:cs="Calibri"/>
                <w:color w:val="000000"/>
                <w:sz w:val="22"/>
                <w:lang w:val="pl-PL"/>
              </w:rPr>
              <w:t>Uprava za statistiku je dopisom 01-077/21-397/1 dostavila Izvještaj o aktivnostima na sprovođenju i unapređenju upravljanja i kontrola u 2020. godini</w:t>
            </w:r>
          </w:p>
        </w:tc>
      </w:tr>
      <w:tr w:rsidR="0039737E" w:rsidRPr="00800A34" w:rsidTr="000619DD">
        <w:tc>
          <w:tcPr>
            <w:tcW w:w="361" w:type="pct"/>
          </w:tcPr>
          <w:p w:rsidR="0039737E" w:rsidRPr="008610B5" w:rsidRDefault="0039737E" w:rsidP="000619DD">
            <w:pPr>
              <w:spacing w:before="0" w:after="0" w:line="240" w:lineRule="auto"/>
              <w:contextualSpacing/>
              <w:jc w:val="left"/>
              <w:rPr>
                <w:rFonts w:eastAsia="Calibri" w:cs="Calibri"/>
                <w:color w:val="000000"/>
                <w:sz w:val="22"/>
                <w:lang w:val="pl-PL"/>
              </w:rPr>
            </w:pPr>
            <w:r>
              <w:rPr>
                <w:rFonts w:eastAsia="Calibri" w:cs="Calibri"/>
                <w:color w:val="000000"/>
                <w:sz w:val="22"/>
                <w:lang w:val="pl-PL"/>
              </w:rPr>
              <w:t>17.</w:t>
            </w:r>
          </w:p>
        </w:tc>
        <w:tc>
          <w:tcPr>
            <w:tcW w:w="534" w:type="pct"/>
          </w:tcPr>
          <w:p w:rsidR="0039737E" w:rsidRPr="008610B5" w:rsidRDefault="0039737E" w:rsidP="000619DD">
            <w:pPr>
              <w:spacing w:before="0" w:after="0" w:line="240" w:lineRule="auto"/>
              <w:jc w:val="center"/>
              <w:rPr>
                <w:rFonts w:eastAsia="Calibri" w:cs="Calibri"/>
                <w:color w:val="000000"/>
                <w:sz w:val="22"/>
                <w:lang w:val="pl-PL"/>
              </w:rPr>
            </w:pPr>
            <w:r w:rsidRPr="008610B5">
              <w:rPr>
                <w:rFonts w:eastAsia="Calibri" w:cs="Calibri"/>
                <w:color w:val="000000"/>
                <w:sz w:val="22"/>
                <w:lang w:val="pl-PL"/>
              </w:rPr>
              <w:t>16.7.2020</w:t>
            </w:r>
          </w:p>
        </w:tc>
        <w:tc>
          <w:tcPr>
            <w:tcW w:w="427" w:type="pct"/>
          </w:tcPr>
          <w:p w:rsidR="0039737E" w:rsidRPr="008610B5" w:rsidRDefault="0039737E" w:rsidP="000619DD">
            <w:pPr>
              <w:spacing w:before="0" w:after="0" w:line="240" w:lineRule="auto"/>
              <w:jc w:val="center"/>
              <w:rPr>
                <w:rFonts w:eastAsia="Calibri" w:cs="Calibri"/>
                <w:color w:val="000000"/>
                <w:sz w:val="22"/>
                <w:lang w:val="pl-PL"/>
              </w:rPr>
            </w:pPr>
            <w:r w:rsidRPr="008610B5">
              <w:rPr>
                <w:rFonts w:eastAsia="Calibri" w:cs="Calibri"/>
                <w:color w:val="000000"/>
                <w:sz w:val="22"/>
                <w:lang w:val="pl-PL"/>
              </w:rPr>
              <w:t>07-3478</w:t>
            </w:r>
          </w:p>
        </w:tc>
        <w:tc>
          <w:tcPr>
            <w:tcW w:w="3678" w:type="pct"/>
          </w:tcPr>
          <w:p w:rsidR="0039737E" w:rsidRPr="008610B5" w:rsidRDefault="0039737E" w:rsidP="000619DD">
            <w:pPr>
              <w:spacing w:before="0" w:after="0" w:line="240" w:lineRule="auto"/>
              <w:rPr>
                <w:rFonts w:eastAsia="Calibri" w:cs="Calibri"/>
                <w:color w:val="000000"/>
                <w:sz w:val="22"/>
                <w:lang w:val="pl-PL"/>
              </w:rPr>
            </w:pPr>
            <w:r w:rsidRPr="008610B5">
              <w:rPr>
                <w:rFonts w:eastAsia="Calibri" w:cs="Calibri"/>
                <w:color w:val="000000"/>
                <w:sz w:val="22"/>
                <w:lang w:val="pl-PL"/>
              </w:rPr>
              <w:t xml:space="preserve">Imenovan je predstavnik Uprave za statistiku (Dragan Peković). </w:t>
            </w:r>
            <w:r w:rsidRPr="008610B5">
              <w:rPr>
                <w:rFonts w:eastAsia="Calibri" w:cs="Calibri"/>
                <w:sz w:val="22"/>
                <w:lang w:val="sr-Latn-ME"/>
              </w:rPr>
              <w:t>Dalja zaduženja su nastaviti sa radom na realizaciji  aktivnosti u skladu sa Akcionim Planom koji je sastavni dio  Nacionalnog plana za održivu upotrebu sredstava za zaštitu bilja.  Koordinator i izvjestilac je UBHVFP.</w:t>
            </w:r>
          </w:p>
        </w:tc>
      </w:tr>
      <w:tr w:rsidR="0039737E" w:rsidRPr="00800A34" w:rsidTr="000619DD">
        <w:tc>
          <w:tcPr>
            <w:tcW w:w="361" w:type="pct"/>
          </w:tcPr>
          <w:p w:rsidR="0039737E" w:rsidRPr="008610B5" w:rsidRDefault="0039737E" w:rsidP="000619DD">
            <w:pPr>
              <w:spacing w:before="0" w:after="0" w:line="240" w:lineRule="auto"/>
              <w:contextualSpacing/>
              <w:jc w:val="left"/>
              <w:rPr>
                <w:rFonts w:eastAsia="Calibri" w:cs="Calibri"/>
                <w:color w:val="000000"/>
                <w:sz w:val="22"/>
                <w:lang w:val="pl-PL"/>
              </w:rPr>
            </w:pPr>
            <w:r>
              <w:rPr>
                <w:rFonts w:eastAsia="Calibri" w:cs="Calibri"/>
                <w:color w:val="000000"/>
                <w:sz w:val="22"/>
                <w:lang w:val="pl-PL"/>
              </w:rPr>
              <w:lastRenderedPageBreak/>
              <w:t>18.</w:t>
            </w:r>
          </w:p>
        </w:tc>
        <w:tc>
          <w:tcPr>
            <w:tcW w:w="534" w:type="pct"/>
          </w:tcPr>
          <w:p w:rsidR="0039737E" w:rsidRPr="008610B5" w:rsidRDefault="0039737E" w:rsidP="000619DD">
            <w:pPr>
              <w:spacing w:before="0" w:after="0" w:line="240" w:lineRule="auto"/>
              <w:jc w:val="center"/>
              <w:rPr>
                <w:rFonts w:eastAsia="Calibri" w:cs="Calibri"/>
                <w:color w:val="000000"/>
                <w:sz w:val="22"/>
                <w:lang w:val="pl-PL"/>
              </w:rPr>
            </w:pPr>
            <w:r w:rsidRPr="008610B5">
              <w:rPr>
                <w:rFonts w:eastAsia="Calibri" w:cs="Calibri"/>
                <w:color w:val="000000"/>
                <w:sz w:val="22"/>
                <w:lang w:val="pl-PL"/>
              </w:rPr>
              <w:t>23.7.2020</w:t>
            </w:r>
          </w:p>
        </w:tc>
        <w:tc>
          <w:tcPr>
            <w:tcW w:w="427" w:type="pct"/>
          </w:tcPr>
          <w:p w:rsidR="0039737E" w:rsidRPr="008610B5" w:rsidRDefault="0039737E" w:rsidP="000619DD">
            <w:pPr>
              <w:spacing w:before="0" w:after="0" w:line="240" w:lineRule="auto"/>
              <w:jc w:val="center"/>
              <w:rPr>
                <w:rFonts w:eastAsia="Calibri" w:cs="Calibri"/>
                <w:color w:val="000000"/>
                <w:sz w:val="22"/>
                <w:lang w:val="pl-PL"/>
              </w:rPr>
            </w:pPr>
            <w:r w:rsidRPr="008610B5">
              <w:rPr>
                <w:rFonts w:eastAsia="Calibri" w:cs="Calibri"/>
                <w:color w:val="000000"/>
                <w:sz w:val="22"/>
                <w:lang w:val="pl-PL"/>
              </w:rPr>
              <w:t>07-3714</w:t>
            </w:r>
          </w:p>
        </w:tc>
        <w:tc>
          <w:tcPr>
            <w:tcW w:w="3678" w:type="pct"/>
          </w:tcPr>
          <w:p w:rsidR="0039737E" w:rsidRPr="008610B5" w:rsidRDefault="0039737E" w:rsidP="000619DD">
            <w:pPr>
              <w:spacing w:before="0" w:after="0" w:line="240" w:lineRule="auto"/>
              <w:rPr>
                <w:rFonts w:eastAsia="Calibri" w:cs="Calibri"/>
                <w:color w:val="000000"/>
                <w:sz w:val="22"/>
                <w:lang w:val="pl-PL"/>
              </w:rPr>
            </w:pPr>
            <w:r w:rsidRPr="008610B5">
              <w:rPr>
                <w:rFonts w:eastAsia="Calibri" w:cs="Calibri"/>
                <w:color w:val="000000"/>
                <w:sz w:val="22"/>
                <w:lang w:val="pl-PL"/>
              </w:rPr>
              <w:t xml:space="preserve">Nabavka sredstava vezano za suzbijanje širenja virusa COVID19 vršila je Uprava za imovinu i bila je zadužena  za sve državne institucije. </w:t>
            </w:r>
          </w:p>
        </w:tc>
      </w:tr>
      <w:tr w:rsidR="0039737E" w:rsidRPr="00800A34" w:rsidTr="000619DD">
        <w:tc>
          <w:tcPr>
            <w:tcW w:w="361" w:type="pct"/>
          </w:tcPr>
          <w:p w:rsidR="0039737E" w:rsidRPr="008610B5" w:rsidRDefault="0039737E" w:rsidP="000619DD">
            <w:pPr>
              <w:spacing w:before="0" w:after="0" w:line="240" w:lineRule="auto"/>
              <w:contextualSpacing/>
              <w:jc w:val="left"/>
              <w:rPr>
                <w:rFonts w:eastAsia="Calibri" w:cs="Calibri"/>
                <w:color w:val="000000"/>
                <w:sz w:val="22"/>
                <w:lang w:val="pl-PL"/>
              </w:rPr>
            </w:pPr>
            <w:r>
              <w:rPr>
                <w:rFonts w:eastAsia="Calibri" w:cs="Calibri"/>
                <w:color w:val="000000"/>
                <w:sz w:val="22"/>
                <w:lang w:val="pl-PL"/>
              </w:rPr>
              <w:t>19.</w:t>
            </w:r>
          </w:p>
        </w:tc>
        <w:tc>
          <w:tcPr>
            <w:tcW w:w="534" w:type="pct"/>
          </w:tcPr>
          <w:p w:rsidR="0039737E" w:rsidRPr="008610B5" w:rsidRDefault="0039737E" w:rsidP="000619DD">
            <w:pPr>
              <w:spacing w:before="0" w:after="0" w:line="240" w:lineRule="auto"/>
              <w:jc w:val="center"/>
              <w:rPr>
                <w:rFonts w:eastAsia="Calibri" w:cs="Calibri"/>
                <w:color w:val="000000"/>
                <w:sz w:val="22"/>
                <w:lang w:val="pl-PL"/>
              </w:rPr>
            </w:pPr>
            <w:r w:rsidRPr="008610B5">
              <w:rPr>
                <w:rFonts w:eastAsia="Calibri" w:cs="Calibri"/>
                <w:color w:val="000000"/>
                <w:sz w:val="22"/>
                <w:lang w:val="pl-PL"/>
              </w:rPr>
              <w:t>1.10.2020</w:t>
            </w:r>
          </w:p>
        </w:tc>
        <w:tc>
          <w:tcPr>
            <w:tcW w:w="427" w:type="pct"/>
          </w:tcPr>
          <w:p w:rsidR="0039737E" w:rsidRPr="008610B5" w:rsidRDefault="0039737E" w:rsidP="000619DD">
            <w:pPr>
              <w:spacing w:before="0" w:after="0" w:line="240" w:lineRule="auto"/>
              <w:jc w:val="center"/>
              <w:rPr>
                <w:rFonts w:eastAsia="Calibri" w:cs="Calibri"/>
                <w:color w:val="000000"/>
                <w:sz w:val="22"/>
                <w:lang w:val="pl-PL"/>
              </w:rPr>
            </w:pPr>
            <w:r w:rsidRPr="008610B5">
              <w:rPr>
                <w:rFonts w:eastAsia="Calibri" w:cs="Calibri"/>
                <w:color w:val="000000"/>
                <w:sz w:val="22"/>
                <w:lang w:val="pl-PL"/>
              </w:rPr>
              <w:t>07-4398</w:t>
            </w:r>
          </w:p>
        </w:tc>
        <w:tc>
          <w:tcPr>
            <w:tcW w:w="3678" w:type="pct"/>
          </w:tcPr>
          <w:p w:rsidR="0039737E" w:rsidRPr="008610B5" w:rsidRDefault="0039737E" w:rsidP="000619DD">
            <w:pPr>
              <w:spacing w:before="0" w:after="0" w:line="240" w:lineRule="auto"/>
              <w:rPr>
                <w:rFonts w:eastAsia="Calibri" w:cs="Calibri"/>
                <w:color w:val="FF0000"/>
                <w:sz w:val="22"/>
                <w:lang w:val="pl-PL"/>
              </w:rPr>
            </w:pPr>
            <w:r w:rsidRPr="008610B5">
              <w:rPr>
                <w:rFonts w:eastAsia="Calibri" w:cs="Calibri"/>
                <w:color w:val="FF0000"/>
                <w:sz w:val="22"/>
                <w:lang w:val="pl-PL"/>
              </w:rPr>
              <w:t xml:space="preserve"> </w:t>
            </w:r>
            <w:r w:rsidRPr="008610B5">
              <w:rPr>
                <w:rFonts w:eastAsia="Calibri" w:cs="Calibri"/>
                <w:sz w:val="22"/>
                <w:lang w:val="pl-PL"/>
              </w:rPr>
              <w:t>Odluka o raspodjeli sredstava za finansiranje projekata i programa  nevladinih organizacija u 2020. godini, nije primjenjiva u Upravi za statistiku, jer ovaj organ u svojim planovima i programima rada, nema obavezu finansiranja projekata i programa nevladinih organizacija</w:t>
            </w:r>
          </w:p>
        </w:tc>
      </w:tr>
      <w:tr w:rsidR="0039737E" w:rsidRPr="00800A34" w:rsidTr="000619DD">
        <w:tc>
          <w:tcPr>
            <w:tcW w:w="361" w:type="pct"/>
          </w:tcPr>
          <w:p w:rsidR="0039737E" w:rsidRPr="008610B5" w:rsidRDefault="0039737E" w:rsidP="000619DD">
            <w:pPr>
              <w:spacing w:before="0" w:after="0" w:line="240" w:lineRule="auto"/>
              <w:contextualSpacing/>
              <w:jc w:val="left"/>
              <w:rPr>
                <w:rFonts w:eastAsia="Calibri" w:cs="Calibri"/>
                <w:color w:val="000000"/>
                <w:sz w:val="22"/>
                <w:lang w:val="pl-PL"/>
              </w:rPr>
            </w:pPr>
            <w:r>
              <w:rPr>
                <w:rFonts w:eastAsia="Calibri" w:cs="Calibri"/>
                <w:color w:val="000000"/>
                <w:sz w:val="22"/>
                <w:lang w:val="pl-PL"/>
              </w:rPr>
              <w:t>20.</w:t>
            </w:r>
          </w:p>
        </w:tc>
        <w:tc>
          <w:tcPr>
            <w:tcW w:w="534" w:type="pct"/>
          </w:tcPr>
          <w:p w:rsidR="0039737E" w:rsidRPr="008610B5" w:rsidRDefault="0039737E" w:rsidP="000619DD">
            <w:pPr>
              <w:spacing w:before="0" w:after="0" w:line="240" w:lineRule="auto"/>
              <w:jc w:val="center"/>
              <w:rPr>
                <w:rFonts w:eastAsia="Calibri" w:cs="Calibri"/>
                <w:color w:val="000000"/>
                <w:sz w:val="22"/>
                <w:lang w:val="pl-PL"/>
              </w:rPr>
            </w:pPr>
            <w:r w:rsidRPr="008610B5">
              <w:rPr>
                <w:rFonts w:eastAsia="Calibri" w:cs="Calibri"/>
                <w:color w:val="000000"/>
                <w:sz w:val="22"/>
                <w:lang w:val="pl-PL"/>
              </w:rPr>
              <w:t>22.10.2020</w:t>
            </w:r>
          </w:p>
        </w:tc>
        <w:tc>
          <w:tcPr>
            <w:tcW w:w="427" w:type="pct"/>
          </w:tcPr>
          <w:p w:rsidR="0039737E" w:rsidRPr="008610B5" w:rsidRDefault="0039737E" w:rsidP="000619DD">
            <w:pPr>
              <w:spacing w:before="0" w:after="0" w:line="240" w:lineRule="auto"/>
              <w:jc w:val="center"/>
              <w:rPr>
                <w:rFonts w:eastAsia="Calibri" w:cs="Calibri"/>
                <w:color w:val="000000"/>
                <w:sz w:val="22"/>
                <w:lang w:val="pl-PL"/>
              </w:rPr>
            </w:pPr>
            <w:r w:rsidRPr="008610B5">
              <w:rPr>
                <w:rFonts w:eastAsia="Calibri" w:cs="Calibri"/>
                <w:color w:val="000000"/>
                <w:sz w:val="22"/>
                <w:lang w:val="pl-PL"/>
              </w:rPr>
              <w:t>07-4703</w:t>
            </w:r>
          </w:p>
        </w:tc>
        <w:tc>
          <w:tcPr>
            <w:tcW w:w="3678" w:type="pct"/>
          </w:tcPr>
          <w:p w:rsidR="0039737E" w:rsidRPr="008610B5" w:rsidRDefault="0039737E" w:rsidP="000619DD">
            <w:pPr>
              <w:spacing w:before="0" w:after="0" w:line="240" w:lineRule="auto"/>
              <w:rPr>
                <w:rFonts w:eastAsia="Calibri" w:cs="Calibri"/>
                <w:color w:val="000000"/>
                <w:sz w:val="22"/>
                <w:lang w:val="pl-PL"/>
              </w:rPr>
            </w:pPr>
            <w:r w:rsidRPr="008610B5">
              <w:rPr>
                <w:rFonts w:eastAsia="Calibri" w:cs="Calibri"/>
                <w:color w:val="000000"/>
                <w:sz w:val="22"/>
                <w:lang w:val="pl-PL"/>
              </w:rPr>
              <w:t>Vlada Crne Gore  je donijela P</w:t>
            </w:r>
            <w:r w:rsidRPr="008610B5">
              <w:rPr>
                <w:rFonts w:eastAsia="Calibri" w:cs="Calibri"/>
                <w:i/>
                <w:color w:val="000000"/>
                <w:sz w:val="22"/>
                <w:lang w:val="pl-PL"/>
              </w:rPr>
              <w:t xml:space="preserve">lan za implementaciju preporuka trećeg ciklusa Opšteg periodičnog pregleda </w:t>
            </w:r>
            <w:r w:rsidRPr="008610B5">
              <w:rPr>
                <w:rFonts w:eastAsia="Calibri" w:cs="Calibri"/>
                <w:color w:val="000000"/>
                <w:sz w:val="22"/>
                <w:lang w:val="pl-PL"/>
              </w:rPr>
              <w:t xml:space="preserve">i zadužila sve nosioce aktivnosti da odrede koordinatore za izradu srednjoročnih i periodičnih izvještaja po tematskim oblastima naznačenim u Planu – dokument kojim se Vlada Crne Gore obavezuje da će u narednom periodu sprovesti mjere i aktivnosti u cilju unapređenja cjelokupnog nacionalnog sistema za zaštitu ljudskih prava. </w:t>
            </w:r>
          </w:p>
          <w:p w:rsidR="0039737E" w:rsidRPr="008610B5" w:rsidRDefault="0039737E" w:rsidP="000619DD">
            <w:pPr>
              <w:spacing w:before="0" w:after="0" w:line="240" w:lineRule="auto"/>
              <w:rPr>
                <w:rFonts w:eastAsia="Calibri" w:cs="Calibri"/>
                <w:color w:val="000000"/>
                <w:sz w:val="22"/>
                <w:lang w:val="pl-PL"/>
              </w:rPr>
            </w:pPr>
            <w:r w:rsidRPr="008610B5">
              <w:rPr>
                <w:rFonts w:eastAsia="Calibri" w:cs="Calibri"/>
                <w:color w:val="000000"/>
                <w:sz w:val="22"/>
                <w:lang w:val="pl-PL"/>
              </w:rPr>
              <w:t>Preporuke su grupisane u 17 tematskih oblasti i to: 1. Ratifikacija međunarodnih instrumenata; 2. Nacionalni okvir za ljudska prava i nacionalni dijalog</w:t>
            </w:r>
            <w:r w:rsidRPr="008610B5">
              <w:rPr>
                <w:rFonts w:eastAsia="Calibri" w:cs="Calibri"/>
                <w:sz w:val="22"/>
                <w:lang w:val="pl-PL"/>
              </w:rPr>
              <w:t xml:space="preserve">; </w:t>
            </w:r>
            <w:r w:rsidRPr="008610B5">
              <w:rPr>
                <w:rFonts w:eastAsia="Calibri" w:cs="Calibri"/>
                <w:b/>
                <w:sz w:val="22"/>
                <w:lang w:val="pl-PL"/>
              </w:rPr>
              <w:t>3</w:t>
            </w:r>
            <w:r w:rsidRPr="008610B5">
              <w:rPr>
                <w:rFonts w:eastAsia="Calibri" w:cs="Calibri"/>
                <w:sz w:val="22"/>
                <w:lang w:val="pl-PL"/>
              </w:rPr>
              <w:t xml:space="preserve">.Obuke </w:t>
            </w:r>
            <w:r w:rsidRPr="008610B5">
              <w:rPr>
                <w:rFonts w:eastAsia="Calibri" w:cs="Calibri"/>
                <w:color w:val="000000"/>
                <w:sz w:val="22"/>
                <w:lang w:val="pl-PL"/>
              </w:rPr>
              <w:t>o ljudskim pravima; 4. Jednakost i nediskriminacija; 5. Tortura; 6. Reforma pravosuđa i borba protiv korupcije; 7. Građanska i politička prava; 7.1. Sloboda izražavanja i sloboda medija; 8. Borba protiv trgovine ljudima; 9. Borba protiv nasilja u porodici, nasilja nad ženama i djecom; 10. Ekonomska, socijalna i kulturna prava, socijalna inkluzija ; 11. Žene; 12. Djeca; 13. Manjine i Romi; 14. Osobe sa invaliditetom; 15. Izbjeglice, raseljena i interno raseljena lica; 16. Smanjenje apatridije; 17. LGBTI.</w:t>
            </w:r>
          </w:p>
          <w:p w:rsidR="0039737E" w:rsidRPr="008610B5" w:rsidRDefault="0039737E" w:rsidP="000619DD">
            <w:pPr>
              <w:spacing w:before="0" w:after="0" w:line="240" w:lineRule="auto"/>
              <w:rPr>
                <w:rFonts w:eastAsia="Calibri" w:cs="Calibri"/>
                <w:color w:val="000000"/>
                <w:sz w:val="22"/>
                <w:lang w:val="pl-PL"/>
              </w:rPr>
            </w:pPr>
          </w:p>
          <w:p w:rsidR="0039737E" w:rsidRPr="008610B5" w:rsidRDefault="0039737E" w:rsidP="000619DD">
            <w:pPr>
              <w:spacing w:before="0" w:after="0" w:line="240" w:lineRule="auto"/>
              <w:rPr>
                <w:rFonts w:eastAsia="Calibri" w:cs="Calibri"/>
                <w:color w:val="000000"/>
                <w:sz w:val="22"/>
                <w:lang w:val="pl-PL"/>
              </w:rPr>
            </w:pPr>
            <w:r w:rsidRPr="008610B5">
              <w:rPr>
                <w:rFonts w:eastAsia="Calibri" w:cs="Calibri"/>
                <w:color w:val="000000"/>
                <w:sz w:val="22"/>
                <w:lang w:val="pl-PL"/>
              </w:rPr>
              <w:t>Uprava za statistiku</w:t>
            </w:r>
            <w:r w:rsidRPr="008610B5">
              <w:rPr>
                <w:rFonts w:eastAsia="Calibri" w:cs="Calibri"/>
                <w:sz w:val="22"/>
                <w:lang w:val="pl-PL"/>
              </w:rPr>
              <w:t xml:space="preserve"> je </w:t>
            </w:r>
            <w:r w:rsidRPr="008610B5">
              <w:rPr>
                <w:rFonts w:eastAsia="Calibri" w:cs="Calibri"/>
                <w:color w:val="000000"/>
                <w:sz w:val="22"/>
                <w:lang w:val="pl-PL"/>
              </w:rPr>
              <w:t xml:space="preserve">jedan od nosioca aktivnosti u  tematskoj obalsti „Žene“ u dijelu aktivnosti „Preduzeti dalje mjere za promovisanje ekonomskog osnaživanja žena i njihovo učešće u političkom životu i donošenju odluka (Slovenija); Preduzimanje daljih mjera za promociju  ekonomskog osnaživanja žena i njihovo učešće u političkom životu i odlučivanju (Island); </w:t>
            </w:r>
          </w:p>
          <w:p w:rsidR="0039737E" w:rsidRPr="008610B5" w:rsidRDefault="0039737E" w:rsidP="000619DD">
            <w:pPr>
              <w:spacing w:before="0" w:after="0" w:line="240" w:lineRule="auto"/>
              <w:rPr>
                <w:rFonts w:eastAsia="Calibri" w:cs="Calibri"/>
                <w:color w:val="000000"/>
                <w:sz w:val="22"/>
                <w:lang w:val="pl-PL"/>
              </w:rPr>
            </w:pPr>
            <w:r w:rsidRPr="008610B5">
              <w:rPr>
                <w:rFonts w:eastAsia="Calibri" w:cs="Calibri"/>
                <w:color w:val="000000"/>
                <w:sz w:val="22"/>
                <w:lang w:val="pl-PL"/>
              </w:rPr>
              <w:t xml:space="preserve">Uprava za statistiku  je definisana kao nosilac aktivnosti pored MLJMP, MRS, ZZZ, MIF ,P.U., UZIP – IR, MEK, IRF, MPR, UNDP.  Koordinaciju izrade </w:t>
            </w:r>
            <w:r w:rsidRPr="008610B5">
              <w:rPr>
                <w:rFonts w:eastAsia="Calibri" w:cs="Calibri"/>
                <w:i/>
                <w:color w:val="000000"/>
                <w:sz w:val="22"/>
                <w:lang w:val="pl-PL"/>
              </w:rPr>
              <w:t>Plana za implementaciju preporuka trećeg ciklusa opšteg periodičnog pregleda</w:t>
            </w:r>
            <w:r w:rsidRPr="008610B5">
              <w:rPr>
                <w:rFonts w:eastAsia="Calibri" w:cs="Calibri"/>
                <w:color w:val="000000"/>
                <w:sz w:val="22"/>
                <w:lang w:val="pl-PL"/>
              </w:rPr>
              <w:t xml:space="preserve"> vrše Ministarstvo vanjskih polova i Ministarstvo za ljudska i manjinska prava (shodno prethodnom sazivu </w:t>
            </w:r>
            <w:r w:rsidRPr="008610B5">
              <w:rPr>
                <w:rFonts w:eastAsia="Calibri" w:cs="Calibri"/>
                <w:sz w:val="22"/>
                <w:lang w:val="pl-PL"/>
              </w:rPr>
              <w:t>Vlade Crne Gore</w:t>
            </w:r>
            <w:r w:rsidRPr="008610B5">
              <w:rPr>
                <w:rFonts w:eastAsia="Calibri" w:cs="Calibri"/>
                <w:color w:val="000000"/>
                <w:sz w:val="22"/>
                <w:lang w:val="pl-PL"/>
              </w:rPr>
              <w:t>). Ova dva ministarstva  koordiniraju i izradu predstojećih izvještaja. Povodom istog nismo još uvijek kontaktirani, a rok za realizaciju aktivnosti je IV kvartal  2022. godine.</w:t>
            </w:r>
          </w:p>
        </w:tc>
      </w:tr>
      <w:tr w:rsidR="0039737E" w:rsidRPr="00800A34" w:rsidTr="000619DD">
        <w:tc>
          <w:tcPr>
            <w:tcW w:w="361" w:type="pct"/>
          </w:tcPr>
          <w:p w:rsidR="0039737E" w:rsidRPr="008610B5" w:rsidRDefault="0039737E" w:rsidP="000619DD">
            <w:pPr>
              <w:spacing w:before="0" w:after="0" w:line="240" w:lineRule="auto"/>
              <w:contextualSpacing/>
              <w:jc w:val="left"/>
              <w:rPr>
                <w:rFonts w:eastAsia="Calibri" w:cs="Calibri"/>
                <w:color w:val="000000"/>
                <w:sz w:val="22"/>
                <w:lang w:val="pl-PL"/>
              </w:rPr>
            </w:pPr>
            <w:r>
              <w:rPr>
                <w:rFonts w:eastAsia="Calibri" w:cs="Calibri"/>
                <w:color w:val="000000"/>
                <w:sz w:val="22"/>
                <w:lang w:val="pl-PL"/>
              </w:rPr>
              <w:t>21.</w:t>
            </w:r>
          </w:p>
        </w:tc>
        <w:tc>
          <w:tcPr>
            <w:tcW w:w="534" w:type="pct"/>
          </w:tcPr>
          <w:p w:rsidR="0039737E" w:rsidRPr="008610B5" w:rsidRDefault="0039737E" w:rsidP="000619DD">
            <w:pPr>
              <w:spacing w:before="0" w:after="0" w:line="240" w:lineRule="auto"/>
              <w:jc w:val="right"/>
              <w:rPr>
                <w:rFonts w:eastAsia="Calibri" w:cs="Calibri"/>
                <w:color w:val="000000"/>
                <w:sz w:val="22"/>
                <w:lang w:val="pl-PL"/>
              </w:rPr>
            </w:pPr>
            <w:r w:rsidRPr="008610B5">
              <w:rPr>
                <w:rFonts w:eastAsia="Calibri" w:cs="Calibri"/>
                <w:color w:val="000000"/>
                <w:sz w:val="22"/>
                <w:lang w:val="pl-PL"/>
              </w:rPr>
              <w:t>10.12.2020</w:t>
            </w:r>
          </w:p>
        </w:tc>
        <w:tc>
          <w:tcPr>
            <w:tcW w:w="427" w:type="pct"/>
          </w:tcPr>
          <w:p w:rsidR="0039737E" w:rsidRPr="008610B5" w:rsidRDefault="0039737E" w:rsidP="000619DD">
            <w:pPr>
              <w:spacing w:before="0" w:after="0" w:line="240" w:lineRule="auto"/>
              <w:jc w:val="center"/>
              <w:rPr>
                <w:rFonts w:eastAsia="Calibri" w:cs="Calibri"/>
                <w:color w:val="000000"/>
                <w:sz w:val="22"/>
                <w:lang w:val="pl-PL"/>
              </w:rPr>
            </w:pPr>
            <w:r w:rsidRPr="008610B5">
              <w:rPr>
                <w:rFonts w:eastAsia="Calibri" w:cs="Calibri"/>
                <w:color w:val="000000"/>
                <w:sz w:val="22"/>
                <w:lang w:val="pl-PL"/>
              </w:rPr>
              <w:t>07-5426</w:t>
            </w:r>
          </w:p>
        </w:tc>
        <w:tc>
          <w:tcPr>
            <w:tcW w:w="3678" w:type="pct"/>
          </w:tcPr>
          <w:p w:rsidR="0039737E" w:rsidRPr="008610B5" w:rsidRDefault="0039737E" w:rsidP="000619DD">
            <w:pPr>
              <w:spacing w:before="0" w:after="0" w:line="240" w:lineRule="auto"/>
              <w:rPr>
                <w:rFonts w:eastAsia="Calibri" w:cs="Calibri"/>
                <w:color w:val="000000"/>
                <w:sz w:val="22"/>
                <w:lang w:val="pl-PL"/>
              </w:rPr>
            </w:pPr>
            <w:r w:rsidRPr="008610B5">
              <w:rPr>
                <w:rFonts w:eastAsia="Calibri" w:cs="Calibri"/>
                <w:color w:val="000000"/>
                <w:sz w:val="22"/>
                <w:lang w:val="pl-PL"/>
              </w:rPr>
              <w:t xml:space="preserve">Uprave za statistiku je krajem januara, pripremila predlog </w:t>
            </w:r>
            <w:r w:rsidRPr="008610B5">
              <w:rPr>
                <w:rFonts w:eastAsia="Calibri" w:cs="Calibri"/>
                <w:i/>
                <w:color w:val="000000"/>
                <w:sz w:val="22"/>
                <w:lang w:val="pl-PL"/>
              </w:rPr>
              <w:t>Pravilnik o unutrašnjoj organizaciji i sistematizaciji</w:t>
            </w:r>
            <w:r w:rsidRPr="008610B5">
              <w:rPr>
                <w:rFonts w:eastAsia="Calibri" w:cs="Calibri"/>
                <w:color w:val="000000"/>
                <w:sz w:val="22"/>
                <w:lang w:val="pl-PL"/>
              </w:rPr>
              <w:t xml:space="preserve"> u skladu sa Uredbom o organizaciji i načinu rada državme uprave i da je nakon dobijanja pozitivnih mišljenja od Ministarstva javne uprave, digitalnog društva i medija, Ministarstva finansija  i socijalnog staranja i Uprave za kadrove, ovaj Pravilnik dostavljen Vladi Crne Gore na utvrđivanje.  </w:t>
            </w:r>
          </w:p>
          <w:p w:rsidR="0039737E" w:rsidRPr="008610B5" w:rsidRDefault="0039737E" w:rsidP="000619DD">
            <w:pPr>
              <w:spacing w:before="0" w:after="0" w:line="240" w:lineRule="auto"/>
              <w:rPr>
                <w:rFonts w:eastAsia="Calibri" w:cs="Calibri"/>
                <w:color w:val="000000"/>
                <w:sz w:val="22"/>
                <w:lang w:val="pl-PL"/>
              </w:rPr>
            </w:pPr>
            <w:r w:rsidRPr="008610B5">
              <w:rPr>
                <w:rFonts w:eastAsia="Calibri" w:cs="Calibri"/>
                <w:color w:val="000000"/>
                <w:sz w:val="22"/>
                <w:lang w:val="pl-PL"/>
              </w:rPr>
              <w:t xml:space="preserve">Vlada Crne Gore je na sjednici od 01.04.2021.godine utvrdila </w:t>
            </w:r>
            <w:r w:rsidRPr="008610B5">
              <w:rPr>
                <w:rFonts w:eastAsia="Calibri" w:cs="Calibri"/>
                <w:i/>
                <w:color w:val="000000"/>
                <w:sz w:val="22"/>
                <w:lang w:val="pl-PL"/>
              </w:rPr>
              <w:t>Pravilnik o unutrašnjoj organizaciji i sistematizaciji Uprave za statistiku</w:t>
            </w:r>
            <w:r w:rsidRPr="008610B5">
              <w:rPr>
                <w:rFonts w:eastAsia="Calibri" w:cs="Calibri"/>
                <w:color w:val="000000"/>
                <w:sz w:val="22"/>
                <w:lang w:val="pl-PL"/>
              </w:rPr>
              <w:t>, koji je zaveden pod br. 01-070/21-1003/1 od 05.04.2021. godine, čime je Uprava za statistiku realizovala definisani  zaključak Vlade Crne Gore.</w:t>
            </w:r>
          </w:p>
          <w:p w:rsidR="0039737E" w:rsidRPr="008610B5" w:rsidRDefault="0039737E" w:rsidP="000619DD">
            <w:pPr>
              <w:spacing w:before="0" w:after="0" w:line="240" w:lineRule="auto"/>
              <w:rPr>
                <w:rFonts w:eastAsia="Calibri" w:cs="Calibri"/>
                <w:color w:val="000000"/>
                <w:sz w:val="22"/>
                <w:lang w:val="pl-PL"/>
              </w:rPr>
            </w:pPr>
            <w:r w:rsidRPr="008610B5">
              <w:rPr>
                <w:rFonts w:eastAsia="Calibri" w:cs="Calibri"/>
                <w:color w:val="000000"/>
                <w:sz w:val="22"/>
                <w:lang w:val="pl-PL"/>
              </w:rPr>
              <w:t xml:space="preserve">Uprave za statistiku nije pripremila </w:t>
            </w:r>
            <w:r w:rsidRPr="008610B5">
              <w:rPr>
                <w:rFonts w:eastAsia="Calibri" w:cs="Calibri"/>
                <w:i/>
                <w:color w:val="000000"/>
                <w:sz w:val="22"/>
                <w:lang w:val="pl-PL"/>
              </w:rPr>
              <w:t>predlog Kadrovskog plana za 2021. godinu</w:t>
            </w:r>
            <w:r w:rsidRPr="008610B5">
              <w:rPr>
                <w:rFonts w:eastAsia="Calibri" w:cs="Calibri"/>
                <w:color w:val="000000"/>
                <w:sz w:val="22"/>
                <w:lang w:val="pl-PL"/>
              </w:rPr>
              <w:t xml:space="preserve">, jer je članom 149 stav 4 Zakona o državnim službenicima i namještenicima (''Sl.list CG'', br.002/18, 034/19 i 008/21), predviđeno da se Kadrovski plan donosi za kalendarsku godinu, u roku od 30 dana od dana donošenja Zakona o budžetu. Samom činjenicom da Zakon o </w:t>
            </w:r>
            <w:r w:rsidRPr="008610B5">
              <w:rPr>
                <w:rFonts w:eastAsia="Calibri" w:cs="Calibri"/>
                <w:color w:val="000000"/>
                <w:sz w:val="22"/>
                <w:lang w:val="pl-PL"/>
              </w:rPr>
              <w:lastRenderedPageBreak/>
              <w:t>budžetu još nije usvojen, Uprava za statistiku nije pripremila predlog Kadrovskog plana za 2021. godinu.</w:t>
            </w:r>
          </w:p>
        </w:tc>
      </w:tr>
      <w:tr w:rsidR="0039737E" w:rsidRPr="00800A34" w:rsidTr="000619DD">
        <w:tc>
          <w:tcPr>
            <w:tcW w:w="361" w:type="pct"/>
          </w:tcPr>
          <w:p w:rsidR="0039737E" w:rsidRPr="008610B5" w:rsidRDefault="0039737E" w:rsidP="000619DD">
            <w:pPr>
              <w:spacing w:before="0" w:after="0" w:line="240" w:lineRule="auto"/>
              <w:contextualSpacing/>
              <w:jc w:val="left"/>
              <w:rPr>
                <w:rFonts w:eastAsia="Calibri" w:cs="Calibri"/>
                <w:color w:val="000000"/>
                <w:sz w:val="22"/>
                <w:lang w:val="pl-PL"/>
              </w:rPr>
            </w:pPr>
            <w:r>
              <w:rPr>
                <w:rFonts w:eastAsia="Calibri" w:cs="Calibri"/>
                <w:color w:val="000000"/>
                <w:sz w:val="22"/>
                <w:lang w:val="pl-PL"/>
              </w:rPr>
              <w:lastRenderedPageBreak/>
              <w:t>22.</w:t>
            </w:r>
          </w:p>
        </w:tc>
        <w:tc>
          <w:tcPr>
            <w:tcW w:w="534" w:type="pct"/>
          </w:tcPr>
          <w:p w:rsidR="0039737E" w:rsidRPr="008610B5" w:rsidRDefault="0039737E" w:rsidP="000619DD">
            <w:pPr>
              <w:spacing w:before="0" w:after="0" w:line="240" w:lineRule="auto"/>
              <w:jc w:val="right"/>
              <w:rPr>
                <w:rFonts w:eastAsia="Calibri" w:cs="Calibri"/>
                <w:color w:val="000000"/>
                <w:sz w:val="22"/>
                <w:lang w:val="pl-PL"/>
              </w:rPr>
            </w:pPr>
            <w:r w:rsidRPr="008610B5">
              <w:rPr>
                <w:rFonts w:eastAsia="Calibri" w:cs="Calibri"/>
                <w:color w:val="000000"/>
                <w:sz w:val="22"/>
                <w:lang w:val="pl-PL"/>
              </w:rPr>
              <w:t>29.12.2020</w:t>
            </w:r>
          </w:p>
        </w:tc>
        <w:tc>
          <w:tcPr>
            <w:tcW w:w="427" w:type="pct"/>
          </w:tcPr>
          <w:p w:rsidR="0039737E" w:rsidRPr="008610B5" w:rsidRDefault="0039737E" w:rsidP="000619DD">
            <w:pPr>
              <w:spacing w:before="0" w:after="0" w:line="240" w:lineRule="auto"/>
              <w:jc w:val="center"/>
              <w:rPr>
                <w:rFonts w:eastAsia="Calibri" w:cs="Calibri"/>
                <w:color w:val="000000"/>
                <w:sz w:val="22"/>
                <w:lang w:val="pl-PL"/>
              </w:rPr>
            </w:pPr>
            <w:r w:rsidRPr="008610B5">
              <w:rPr>
                <w:rFonts w:eastAsia="Calibri" w:cs="Calibri"/>
                <w:color w:val="000000"/>
                <w:sz w:val="22"/>
                <w:lang w:val="pl-PL"/>
              </w:rPr>
              <w:t>07-5669/3</w:t>
            </w:r>
          </w:p>
        </w:tc>
        <w:tc>
          <w:tcPr>
            <w:tcW w:w="3678" w:type="pct"/>
          </w:tcPr>
          <w:p w:rsidR="0039737E" w:rsidRPr="008610B5" w:rsidRDefault="0039737E" w:rsidP="000619DD">
            <w:pPr>
              <w:spacing w:before="0" w:after="0" w:line="240" w:lineRule="auto"/>
              <w:rPr>
                <w:rFonts w:eastAsia="Calibri" w:cs="Calibri"/>
                <w:color w:val="000000"/>
                <w:sz w:val="22"/>
                <w:lang w:val="pl-PL"/>
              </w:rPr>
            </w:pPr>
            <w:r w:rsidRPr="008610B5">
              <w:rPr>
                <w:rFonts w:eastAsia="Calibri" w:cs="Calibri"/>
                <w:color w:val="000000"/>
                <w:sz w:val="22"/>
                <w:lang w:val="pl-PL"/>
              </w:rPr>
              <w:t xml:space="preserve">Razmotren i usvojen predlog </w:t>
            </w:r>
            <w:r w:rsidRPr="008610B5">
              <w:rPr>
                <w:rFonts w:eastAsia="Calibri" w:cs="Calibri"/>
                <w:b/>
                <w:i/>
                <w:color w:val="000000"/>
                <w:sz w:val="22"/>
                <w:lang w:val="pl-PL"/>
              </w:rPr>
              <w:t>Godišnjeg plana zvanične statistike za 2021. godinu</w:t>
            </w:r>
            <w:r w:rsidRPr="008610B5">
              <w:rPr>
                <w:rFonts w:eastAsia="Calibri" w:cs="Calibri"/>
                <w:color w:val="000000"/>
                <w:sz w:val="22"/>
                <w:lang w:val="pl-PL"/>
              </w:rPr>
              <w:t xml:space="preserve"> na sjednici 29. decembra 2020. godine</w:t>
            </w:r>
          </w:p>
        </w:tc>
      </w:tr>
    </w:tbl>
    <w:p w:rsidR="0039737E" w:rsidRPr="00800A34" w:rsidRDefault="0039737E" w:rsidP="0039737E">
      <w:pPr>
        <w:spacing w:before="0" w:after="0" w:line="240" w:lineRule="auto"/>
        <w:jc w:val="left"/>
        <w:rPr>
          <w:rFonts w:ascii="Calibri" w:eastAsia="Calibri" w:hAnsi="Calibri" w:cs="Calibri"/>
          <w:b/>
          <w:color w:val="000000"/>
          <w:szCs w:val="24"/>
          <w:lang w:val="pl-PL"/>
        </w:rPr>
      </w:pPr>
    </w:p>
    <w:p w:rsidR="0039737E" w:rsidRPr="00800A34" w:rsidRDefault="0039737E" w:rsidP="0039737E">
      <w:pPr>
        <w:numPr>
          <w:ilvl w:val="0"/>
          <w:numId w:val="68"/>
        </w:numPr>
        <w:spacing w:before="0" w:after="0" w:line="240" w:lineRule="auto"/>
        <w:contextualSpacing/>
        <w:jc w:val="left"/>
        <w:rPr>
          <w:rFonts w:ascii="Calibri" w:eastAsia="Calibri" w:hAnsi="Calibri" w:cs="Calibri"/>
          <w:b/>
          <w:color w:val="000000"/>
          <w:szCs w:val="24"/>
          <w:lang w:val="pl-PL"/>
        </w:rPr>
      </w:pPr>
      <w:r w:rsidRPr="00800A34">
        <w:rPr>
          <w:rFonts w:ascii="Calibri" w:eastAsia="Calibri" w:hAnsi="Calibri" w:cs="Calibri"/>
          <w:b/>
          <w:color w:val="000000"/>
          <w:szCs w:val="24"/>
          <w:lang w:val="pl-PL"/>
        </w:rPr>
        <w:t>STANJE U UPRAVNIM OBLASTIMA I IZVJEŠTAJ O RADU ORGANIZACIONIH JEDINICA</w:t>
      </w:r>
    </w:p>
    <w:p w:rsidR="0039737E" w:rsidRPr="00800A34" w:rsidRDefault="0039737E" w:rsidP="0039737E">
      <w:pPr>
        <w:spacing w:before="0" w:after="0" w:line="240" w:lineRule="auto"/>
        <w:ind w:firstLine="360"/>
        <w:rPr>
          <w:rFonts w:ascii="Calibri" w:eastAsia="Calibri" w:hAnsi="Calibri" w:cs="Arial"/>
          <w:szCs w:val="24"/>
          <w:lang w:val="en-US"/>
        </w:rPr>
      </w:pPr>
      <w:r w:rsidRPr="00800A34">
        <w:rPr>
          <w:rFonts w:ascii="Calibri" w:eastAsia="Calibri" w:hAnsi="Calibri" w:cs="Arial"/>
          <w:szCs w:val="24"/>
          <w:lang w:val="en-US"/>
        </w:rPr>
        <w:t>Postupanje Uprave za statistiku u upravnim stvarima u periodu od 01.01.2020. god</w:t>
      </w:r>
      <w:r>
        <w:rPr>
          <w:rFonts w:ascii="Calibri" w:eastAsia="Calibri" w:hAnsi="Calibri" w:cs="Arial"/>
          <w:szCs w:val="24"/>
          <w:lang w:val="en-US"/>
        </w:rPr>
        <w:t xml:space="preserve">ine do 31.12. 2020. godine osim </w:t>
      </w:r>
      <w:r w:rsidRPr="00800A34">
        <w:rPr>
          <w:rFonts w:ascii="Calibri" w:eastAsia="Calibri" w:hAnsi="Calibri" w:cs="Arial"/>
          <w:szCs w:val="24"/>
          <w:lang w:val="en-US"/>
        </w:rPr>
        <w:t>primje</w:t>
      </w:r>
      <w:r>
        <w:rPr>
          <w:rFonts w:ascii="Calibri" w:eastAsia="Calibri" w:hAnsi="Calibri" w:cs="Arial"/>
          <w:szCs w:val="24"/>
          <w:lang w:val="en-US"/>
        </w:rPr>
        <w:t>ne Zakona o upravnom postupku (</w:t>
      </w:r>
      <w:r w:rsidRPr="00800A34">
        <w:rPr>
          <w:rFonts w:ascii="Calibri" w:eastAsia="Calibri" w:hAnsi="Calibri" w:cs="Arial"/>
          <w:szCs w:val="24"/>
          <w:lang w:val="en-US"/>
        </w:rPr>
        <w:t>„Sl. List CG“, br. 56/14, 20/15, 40/16 i 37/17) karakteriše i postupanje po Zakonu o slobodnom pristupu in</w:t>
      </w:r>
      <w:r>
        <w:rPr>
          <w:rFonts w:ascii="Calibri" w:eastAsia="Calibri" w:hAnsi="Calibri" w:cs="Arial"/>
          <w:szCs w:val="24"/>
          <w:lang w:val="en-US"/>
        </w:rPr>
        <w:t>formacijama (</w:t>
      </w:r>
      <w:r w:rsidRPr="00800A34">
        <w:rPr>
          <w:rFonts w:ascii="Calibri" w:eastAsia="Calibri" w:hAnsi="Calibri" w:cs="Arial"/>
          <w:szCs w:val="24"/>
          <w:lang w:val="en-US"/>
        </w:rPr>
        <w:t>„Sl. List CG“,br.44/12,30/17) i Zakona o državnim s</w:t>
      </w:r>
      <w:r>
        <w:rPr>
          <w:rFonts w:ascii="Calibri" w:eastAsia="Calibri" w:hAnsi="Calibri" w:cs="Arial"/>
          <w:szCs w:val="24"/>
          <w:lang w:val="en-US"/>
        </w:rPr>
        <w:t>lužbenicima i namještenicima  (</w:t>
      </w:r>
      <w:r w:rsidRPr="00800A34">
        <w:rPr>
          <w:rFonts w:ascii="Calibri" w:eastAsia="Calibri" w:hAnsi="Calibri" w:cs="Arial"/>
          <w:szCs w:val="24"/>
          <w:lang w:val="en-US"/>
        </w:rPr>
        <w:t xml:space="preserve">„Sl. list CG“, br. 2/18).  </w:t>
      </w:r>
    </w:p>
    <w:p w:rsidR="0039737E" w:rsidRPr="00800A34" w:rsidRDefault="0039737E" w:rsidP="0039737E">
      <w:pPr>
        <w:spacing w:before="0" w:after="0" w:line="240" w:lineRule="auto"/>
        <w:ind w:firstLine="360"/>
        <w:rPr>
          <w:rFonts w:ascii="Calibri" w:eastAsia="Calibri" w:hAnsi="Calibri" w:cs="Arial"/>
          <w:szCs w:val="24"/>
          <w:lang w:val="en-US"/>
        </w:rPr>
      </w:pPr>
      <w:r w:rsidRPr="00800A34">
        <w:rPr>
          <w:rFonts w:ascii="Calibri" w:eastAsia="Calibri" w:hAnsi="Calibri" w:cs="Arial"/>
          <w:szCs w:val="24"/>
          <w:lang w:val="en-US"/>
        </w:rPr>
        <w:t>Primjenom ovih zakona Uprava za statistiku je u okviru zakonskog roka postupala po podnijetim zahtjevima i na taj način imala potp</w:t>
      </w:r>
      <w:r>
        <w:rPr>
          <w:rFonts w:ascii="Calibri" w:eastAsia="Calibri" w:hAnsi="Calibri" w:cs="Arial"/>
          <w:szCs w:val="24"/>
          <w:lang w:val="en-US"/>
        </w:rPr>
        <w:t xml:space="preserve">unu blagovremenost i ažurnost </w:t>
      </w:r>
      <w:r w:rsidRPr="00800A34">
        <w:rPr>
          <w:rFonts w:ascii="Calibri" w:eastAsia="Calibri" w:hAnsi="Calibri" w:cs="Arial"/>
          <w:szCs w:val="24"/>
          <w:lang w:val="en-US"/>
        </w:rPr>
        <w:t>rada. U gore citiranom periodu primjeno je (26) dvadeset šest zahtjeva, koja su blagovremeno riješeni</w:t>
      </w:r>
      <w:r>
        <w:rPr>
          <w:rFonts w:ascii="Calibri" w:eastAsia="Calibri" w:hAnsi="Calibri" w:cs="Arial"/>
          <w:szCs w:val="24"/>
          <w:lang w:val="en-US"/>
        </w:rPr>
        <w:t xml:space="preserve"> u skladu sa </w:t>
      </w:r>
      <w:r w:rsidRPr="00800A34">
        <w:rPr>
          <w:rFonts w:ascii="Calibri" w:eastAsia="Calibri" w:hAnsi="Calibri" w:cs="Arial"/>
          <w:szCs w:val="24"/>
          <w:lang w:val="en-US"/>
        </w:rPr>
        <w:t>Zakonom o s</w:t>
      </w:r>
      <w:r>
        <w:rPr>
          <w:rFonts w:ascii="Calibri" w:eastAsia="Calibri" w:hAnsi="Calibri" w:cs="Arial"/>
          <w:szCs w:val="24"/>
          <w:lang w:val="en-US"/>
        </w:rPr>
        <w:t>lobodnom pristupu informacijama i</w:t>
      </w:r>
      <w:r w:rsidRPr="00800A34">
        <w:rPr>
          <w:rFonts w:ascii="Calibri" w:eastAsia="Calibri" w:hAnsi="Calibri" w:cs="Arial"/>
          <w:szCs w:val="24"/>
          <w:lang w:val="en-US"/>
        </w:rPr>
        <w:t xml:space="preserve"> (42) </w:t>
      </w:r>
      <w:r>
        <w:rPr>
          <w:rFonts w:ascii="Calibri" w:eastAsia="Calibri" w:hAnsi="Calibri" w:cs="Arial"/>
          <w:szCs w:val="24"/>
          <w:lang w:val="en-US"/>
        </w:rPr>
        <w:t xml:space="preserve">četrdeset dva zahtjeva </w:t>
      </w:r>
      <w:r w:rsidRPr="00800A34">
        <w:rPr>
          <w:rFonts w:ascii="Calibri" w:eastAsia="Calibri" w:hAnsi="Calibri" w:cs="Arial"/>
          <w:szCs w:val="24"/>
          <w:lang w:val="en-US"/>
        </w:rPr>
        <w:t xml:space="preserve">za izdavanje uvjerenja/potvrda o podacima o kojima se vodi službena evidencija u skladu sa Zakonom o upravnom postupku, po kojima je takođe blagovremeno postupila. </w:t>
      </w:r>
    </w:p>
    <w:p w:rsidR="0039737E" w:rsidRPr="00800A34" w:rsidRDefault="0039737E" w:rsidP="0039737E">
      <w:pPr>
        <w:spacing w:before="0" w:after="0" w:line="240" w:lineRule="auto"/>
        <w:ind w:firstLine="360"/>
        <w:rPr>
          <w:rFonts w:ascii="Calibri" w:eastAsia="Calibri" w:hAnsi="Calibri" w:cs="Arial"/>
          <w:szCs w:val="24"/>
          <w:lang w:val="en-US"/>
        </w:rPr>
      </w:pPr>
      <w:r w:rsidRPr="00800A34">
        <w:rPr>
          <w:rFonts w:ascii="Calibri" w:eastAsia="Calibri" w:hAnsi="Calibri" w:cs="Arial"/>
          <w:szCs w:val="24"/>
          <w:lang w:val="en-US"/>
        </w:rPr>
        <w:t>U ovom periodu, povodom donijetih akata podnijete su (2) dvije žalbe u vezi primjene Zakona o slobodnom pristupu informacija</w:t>
      </w:r>
      <w:r>
        <w:rPr>
          <w:rFonts w:ascii="Calibri" w:eastAsia="Calibri" w:hAnsi="Calibri" w:cs="Arial"/>
          <w:szCs w:val="24"/>
          <w:lang w:val="en-US"/>
        </w:rPr>
        <w:t xml:space="preserve">ma.  Nijesu </w:t>
      </w:r>
      <w:r w:rsidRPr="00800A34">
        <w:rPr>
          <w:rFonts w:ascii="Calibri" w:eastAsia="Calibri" w:hAnsi="Calibri" w:cs="Arial"/>
          <w:szCs w:val="24"/>
          <w:lang w:val="en-US"/>
        </w:rPr>
        <w:t xml:space="preserve">zaključivani upravni ugovori. </w:t>
      </w:r>
    </w:p>
    <w:p w:rsidR="0039737E" w:rsidRPr="00800A34" w:rsidRDefault="0039737E" w:rsidP="0039737E">
      <w:pPr>
        <w:spacing w:before="0" w:after="0" w:line="240" w:lineRule="auto"/>
        <w:ind w:firstLine="360"/>
        <w:rPr>
          <w:rFonts w:ascii="Calibri" w:eastAsia="Calibri" w:hAnsi="Calibri" w:cs="Arial"/>
          <w:szCs w:val="24"/>
          <w:lang w:val="en-US"/>
        </w:rPr>
      </w:pPr>
      <w:r w:rsidRPr="00800A34">
        <w:rPr>
          <w:rFonts w:ascii="Calibri" w:eastAsia="Calibri" w:hAnsi="Calibri" w:cs="Arial"/>
          <w:szCs w:val="24"/>
          <w:lang w:val="en-US"/>
        </w:rPr>
        <w:t>Takođe, u ovom periodu je pokrenut jedan postupak po službenoj dužnosti u skladu sa članom 96 stav 1 Zakona o državnim službenicima i namještenicima protiv jednog službenika ovog organa. U ovom disciplinskom postupku naplaćena je novčana kazna.</w:t>
      </w:r>
    </w:p>
    <w:p w:rsidR="0039737E" w:rsidRDefault="0039737E" w:rsidP="0039737E">
      <w:pPr>
        <w:spacing w:before="0" w:after="0" w:line="240" w:lineRule="auto"/>
        <w:ind w:firstLine="360"/>
        <w:rPr>
          <w:rFonts w:ascii="Calibri" w:eastAsia="Calibri" w:hAnsi="Calibri" w:cs="Arial"/>
          <w:szCs w:val="24"/>
          <w:lang w:val="en-US"/>
        </w:rPr>
      </w:pPr>
      <w:r w:rsidRPr="00800A34">
        <w:rPr>
          <w:rFonts w:ascii="Calibri" w:eastAsia="Calibri" w:hAnsi="Calibri" w:cs="Arial"/>
          <w:szCs w:val="24"/>
          <w:lang w:val="en-US"/>
        </w:rPr>
        <w:t>U daljem periodu, Uprava za statistiku nastaviće svoj blagovremeni i ažurni rad, usmjeravati prema postupanju, u svim zaht</w:t>
      </w:r>
      <w:r>
        <w:rPr>
          <w:rFonts w:ascii="Calibri" w:eastAsia="Calibri" w:hAnsi="Calibri" w:cs="Arial"/>
          <w:szCs w:val="24"/>
          <w:lang w:val="en-US"/>
        </w:rPr>
        <w:t>jevima stranaka, koja se odnose</w:t>
      </w:r>
      <w:r w:rsidRPr="00800A34">
        <w:rPr>
          <w:rFonts w:ascii="Calibri" w:eastAsia="Calibri" w:hAnsi="Calibri" w:cs="Arial"/>
          <w:szCs w:val="24"/>
          <w:lang w:val="en-US"/>
        </w:rPr>
        <w:t xml:space="preserve"> na pitanja o zvaničnoj statistici, ali i drugim pitanjima o kojima vodi službenu evidenciju. U cilju poboljšanja kvaliteta svog rada, učestvovaće i na obukama i</w:t>
      </w:r>
      <w:r>
        <w:rPr>
          <w:rFonts w:ascii="Calibri" w:eastAsia="Calibri" w:hAnsi="Calibri" w:cs="Arial"/>
          <w:szCs w:val="24"/>
          <w:lang w:val="en-US"/>
        </w:rPr>
        <w:t xml:space="preserve"> radionicama, u vezi postupanja</w:t>
      </w:r>
      <w:r w:rsidRPr="00800A34">
        <w:rPr>
          <w:rFonts w:ascii="Calibri" w:eastAsia="Calibri" w:hAnsi="Calibri" w:cs="Arial"/>
          <w:szCs w:val="24"/>
          <w:lang w:val="en-US"/>
        </w:rPr>
        <w:t xml:space="preserve"> o upravnim stvarima.</w:t>
      </w:r>
    </w:p>
    <w:p w:rsidR="0039737E" w:rsidRPr="00800A34" w:rsidRDefault="0039737E" w:rsidP="0039737E">
      <w:pPr>
        <w:spacing w:before="0" w:after="0" w:line="240" w:lineRule="auto"/>
        <w:ind w:firstLine="360"/>
        <w:rPr>
          <w:rFonts w:ascii="Calibri" w:eastAsia="Calibri" w:hAnsi="Calibri" w:cs="Arial"/>
          <w:szCs w:val="24"/>
          <w:lang w:val="en-US"/>
        </w:rPr>
      </w:pPr>
    </w:p>
    <w:p w:rsidR="0039737E" w:rsidRPr="00800A34" w:rsidRDefault="0039737E" w:rsidP="0039737E">
      <w:pPr>
        <w:numPr>
          <w:ilvl w:val="0"/>
          <w:numId w:val="68"/>
        </w:numPr>
        <w:spacing w:before="0" w:after="0" w:line="240" w:lineRule="auto"/>
        <w:contextualSpacing/>
        <w:jc w:val="left"/>
        <w:rPr>
          <w:rFonts w:ascii="Calibri" w:eastAsia="Calibri" w:hAnsi="Calibri" w:cs="Calibri"/>
          <w:b/>
          <w:color w:val="000000"/>
          <w:szCs w:val="24"/>
          <w:lang w:val="pl-PL"/>
        </w:rPr>
      </w:pPr>
      <w:r w:rsidRPr="00800A34">
        <w:rPr>
          <w:rFonts w:ascii="Calibri" w:eastAsia="Calibri" w:hAnsi="Calibri" w:cs="Calibri"/>
          <w:b/>
          <w:color w:val="000000"/>
          <w:szCs w:val="24"/>
          <w:lang w:val="pl-PL"/>
        </w:rPr>
        <w:t>PODACI O REALIZACIJIJI CILJEVA I PROGRAMA RADA UPRAVE ZA STATISTIKU ZA 2020. GODINU</w:t>
      </w:r>
    </w:p>
    <w:p w:rsidR="0039737E" w:rsidRPr="00800A34" w:rsidRDefault="0039737E" w:rsidP="0039737E">
      <w:pPr>
        <w:spacing w:before="0" w:after="0" w:line="240" w:lineRule="auto"/>
        <w:ind w:firstLine="360"/>
        <w:rPr>
          <w:rFonts w:ascii="Calibri" w:eastAsia="Calibri" w:hAnsi="Calibri" w:cs="Arial"/>
          <w:szCs w:val="24"/>
          <w:lang w:val="en-US"/>
        </w:rPr>
      </w:pPr>
      <w:r w:rsidRPr="00800A34">
        <w:rPr>
          <w:rFonts w:ascii="Calibri" w:eastAsia="Calibri" w:hAnsi="Calibri" w:cs="Arial"/>
          <w:szCs w:val="24"/>
          <w:lang w:val="en-US"/>
        </w:rPr>
        <w:t>Ključne rezultate Uprave za statistiku iz 2020. godine, koji su doprinijeli izvršenju strateških ciljeva definisanih Programom zvanične statistike 2019 - 2023. godine</w:t>
      </w:r>
      <w:r w:rsidRPr="00800A34">
        <w:rPr>
          <w:rFonts w:ascii="Calibri" w:eastAsia="Calibri" w:hAnsi="Calibri" w:cs="Arial"/>
          <w:szCs w:val="24"/>
          <w:vertAlign w:val="superscript"/>
          <w:lang w:val="en-US"/>
        </w:rPr>
        <w:footnoteReference w:id="20"/>
      </w:r>
      <w:r w:rsidRPr="00800A34">
        <w:rPr>
          <w:rFonts w:ascii="Calibri" w:eastAsia="Calibri" w:hAnsi="Calibri" w:cs="Arial"/>
          <w:szCs w:val="24"/>
          <w:lang w:val="en-US"/>
        </w:rPr>
        <w:t xml:space="preserve"> (“Sužbeni list Crne Gore” br. 7/19) i Strategijom razvoja zvanične statistike 2019 - 2023. godine</w:t>
      </w:r>
      <w:r w:rsidRPr="00800A34">
        <w:rPr>
          <w:rFonts w:ascii="Calibri" w:eastAsia="Calibri" w:hAnsi="Calibri" w:cs="Arial"/>
          <w:szCs w:val="24"/>
          <w:vertAlign w:val="superscript"/>
          <w:lang w:val="en-US"/>
        </w:rPr>
        <w:footnoteReference w:id="21"/>
      </w:r>
      <w:r w:rsidRPr="00800A34">
        <w:rPr>
          <w:rFonts w:ascii="Calibri" w:eastAsia="Calibri" w:hAnsi="Calibri" w:cs="Arial"/>
          <w:szCs w:val="24"/>
          <w:lang w:val="en-US"/>
        </w:rPr>
        <w:t xml:space="preserve">  (“Službeni list Crne Gore”, br. 54/19) su sljedeći:</w:t>
      </w:r>
    </w:p>
    <w:p w:rsidR="0039737E" w:rsidRPr="00800A34" w:rsidRDefault="0039737E" w:rsidP="0039737E">
      <w:pPr>
        <w:numPr>
          <w:ilvl w:val="0"/>
          <w:numId w:val="69"/>
        </w:numPr>
        <w:spacing w:before="0" w:after="0" w:line="240" w:lineRule="auto"/>
        <w:contextualSpacing/>
        <w:jc w:val="left"/>
        <w:rPr>
          <w:rFonts w:ascii="Calibri" w:eastAsia="Calibri" w:hAnsi="Calibri" w:cs="Arial"/>
          <w:b/>
          <w:szCs w:val="24"/>
          <w:lang w:val="en-US"/>
        </w:rPr>
      </w:pPr>
      <w:r w:rsidRPr="00800A34">
        <w:rPr>
          <w:rFonts w:ascii="Calibri" w:eastAsia="Calibri" w:hAnsi="Calibri" w:cs="Arial"/>
          <w:b/>
          <w:szCs w:val="24"/>
          <w:lang w:val="en-US"/>
        </w:rPr>
        <w:t>Dalje usaglašavanje i inoviranje zvanične statistike sa međunarodnim standardima i preporukama</w:t>
      </w:r>
    </w:p>
    <w:p w:rsidR="0039737E" w:rsidRPr="00800A34" w:rsidRDefault="0039737E" w:rsidP="0039737E">
      <w:pPr>
        <w:numPr>
          <w:ilvl w:val="0"/>
          <w:numId w:val="70"/>
        </w:numPr>
        <w:spacing w:before="0" w:after="0" w:line="240" w:lineRule="auto"/>
        <w:contextualSpacing/>
        <w:rPr>
          <w:rFonts w:ascii="Calibri" w:eastAsia="Calibri" w:hAnsi="Calibri" w:cs="Arial"/>
          <w:szCs w:val="24"/>
          <w:lang w:val="en-US"/>
        </w:rPr>
      </w:pPr>
      <w:r w:rsidRPr="00800A34">
        <w:rPr>
          <w:rFonts w:ascii="Calibri" w:eastAsia="Calibri" w:hAnsi="Calibri" w:cs="Arial"/>
          <w:szCs w:val="24"/>
          <w:lang w:val="en-US"/>
        </w:rPr>
        <w:t xml:space="preserve">postignut je </w:t>
      </w:r>
      <w:r w:rsidRPr="00800A34">
        <w:rPr>
          <w:rFonts w:ascii="Calibri" w:eastAsia="Calibri" w:hAnsi="Calibri" w:cs="Arial"/>
          <w:b/>
          <w:i/>
          <w:szCs w:val="24"/>
          <w:lang w:val="en-US"/>
        </w:rPr>
        <w:t>veći nivo metodološke usklađenosti</w:t>
      </w:r>
      <w:r w:rsidRPr="00800A34">
        <w:rPr>
          <w:rFonts w:ascii="Calibri" w:eastAsia="Calibri" w:hAnsi="Calibri" w:cs="Arial"/>
          <w:szCs w:val="24"/>
          <w:lang w:val="en-US"/>
        </w:rPr>
        <w:t xml:space="preserve"> svih istraživanja statističkog sistema Crne Gore u skladu s pravnim zakonodavstvom EU iz oblasti zvanične statistike, a koja dalje služe kao input za obračun makroekonomskih podataka u skladu sa metodologijom ESA 2010;</w:t>
      </w:r>
    </w:p>
    <w:p w:rsidR="0039737E" w:rsidRPr="00800A34" w:rsidRDefault="0039737E" w:rsidP="0039737E">
      <w:pPr>
        <w:numPr>
          <w:ilvl w:val="0"/>
          <w:numId w:val="70"/>
        </w:numPr>
        <w:spacing w:before="0" w:after="0" w:line="240" w:lineRule="auto"/>
        <w:contextualSpacing/>
        <w:rPr>
          <w:rFonts w:ascii="Calibri" w:eastAsia="Calibri" w:hAnsi="Calibri" w:cs="Arial"/>
          <w:szCs w:val="24"/>
          <w:lang w:val="en-US"/>
        </w:rPr>
      </w:pPr>
      <w:r w:rsidRPr="00800A34">
        <w:rPr>
          <w:rFonts w:ascii="Calibri" w:eastAsia="Calibri" w:hAnsi="Calibri" w:cs="Arial"/>
          <w:b/>
          <w:i/>
          <w:szCs w:val="24"/>
          <w:lang w:val="en-US"/>
        </w:rPr>
        <w:t>dostignut je visok nivo kvaliteta u skladu sa principima Kodeksa prakse evropske statistike</w:t>
      </w:r>
      <w:r w:rsidRPr="00800A34">
        <w:rPr>
          <w:rFonts w:ascii="Calibri" w:eastAsia="Calibri" w:hAnsi="Calibri" w:cs="Arial"/>
          <w:szCs w:val="24"/>
          <w:lang w:val="en-US"/>
        </w:rPr>
        <w:t xml:space="preserve"> koji se bazira na 16 principa zvanične statistike;</w:t>
      </w:r>
      <w:r w:rsidRPr="00800A34">
        <w:rPr>
          <w:rFonts w:ascii="Calibri" w:eastAsia="Calibri" w:hAnsi="Calibri" w:cs="Calibri"/>
          <w:szCs w:val="24"/>
          <w:lang w:val="en-US"/>
        </w:rPr>
        <w:t xml:space="preserve"> </w:t>
      </w:r>
    </w:p>
    <w:p w:rsidR="0039737E" w:rsidRPr="00800A34" w:rsidRDefault="0039737E" w:rsidP="0039737E">
      <w:pPr>
        <w:numPr>
          <w:ilvl w:val="0"/>
          <w:numId w:val="70"/>
        </w:numPr>
        <w:spacing w:before="0" w:after="0" w:line="240" w:lineRule="auto"/>
        <w:contextualSpacing/>
        <w:rPr>
          <w:rFonts w:ascii="Calibri" w:eastAsia="Calibri" w:hAnsi="Calibri" w:cs="Arial"/>
          <w:szCs w:val="24"/>
          <w:lang w:val="en-US"/>
        </w:rPr>
      </w:pPr>
      <w:r w:rsidRPr="00800A34">
        <w:rPr>
          <w:rFonts w:ascii="Calibri" w:eastAsia="Calibri" w:hAnsi="Calibri" w:cs="Arial"/>
          <w:szCs w:val="24"/>
          <w:lang w:val="en-US"/>
        </w:rPr>
        <w:t xml:space="preserve">svi raspoloživi </w:t>
      </w:r>
      <w:r w:rsidRPr="00800A34">
        <w:rPr>
          <w:rFonts w:ascii="Calibri" w:eastAsia="Calibri" w:hAnsi="Calibri" w:cs="Arial"/>
          <w:b/>
          <w:i/>
          <w:szCs w:val="24"/>
          <w:lang w:val="en-US"/>
        </w:rPr>
        <w:t>podaci su dostavljeni u propisanim vremenskim rokovima</w:t>
      </w:r>
      <w:r w:rsidRPr="00800A34">
        <w:rPr>
          <w:rFonts w:ascii="Calibri" w:eastAsia="Calibri" w:hAnsi="Calibri" w:cs="Arial"/>
          <w:szCs w:val="24"/>
          <w:lang w:val="en-US"/>
        </w:rPr>
        <w:t xml:space="preserve"> u skladu s Programom transmisije ESA 2010, kao i kroz definisani softver za prenos podataka (EDAMIS web portal);</w:t>
      </w:r>
    </w:p>
    <w:p w:rsidR="0039737E" w:rsidRPr="00800A34" w:rsidRDefault="0039737E" w:rsidP="0039737E">
      <w:pPr>
        <w:numPr>
          <w:ilvl w:val="0"/>
          <w:numId w:val="70"/>
        </w:numPr>
        <w:spacing w:before="0" w:after="0" w:line="240" w:lineRule="auto"/>
        <w:contextualSpacing/>
        <w:rPr>
          <w:rFonts w:ascii="Calibri" w:eastAsia="Calibri" w:hAnsi="Calibri" w:cs="Arial"/>
          <w:szCs w:val="24"/>
          <w:lang w:val="en-US"/>
        </w:rPr>
      </w:pPr>
      <w:r w:rsidRPr="00800A34">
        <w:rPr>
          <w:rFonts w:ascii="Calibri" w:eastAsia="Calibri" w:hAnsi="Calibri" w:cs="Arial"/>
          <w:szCs w:val="24"/>
          <w:lang w:val="en-US"/>
        </w:rPr>
        <w:t xml:space="preserve">pripremljena je </w:t>
      </w:r>
      <w:r w:rsidRPr="00800A34">
        <w:rPr>
          <w:rFonts w:ascii="Calibri" w:eastAsia="Calibri" w:hAnsi="Calibri" w:cs="Arial"/>
          <w:b/>
          <w:szCs w:val="24"/>
          <w:lang w:val="en-US"/>
        </w:rPr>
        <w:t>strategija “</w:t>
      </w:r>
      <w:r w:rsidRPr="00800A34">
        <w:rPr>
          <w:rFonts w:ascii="Calibri" w:eastAsia="Calibri" w:hAnsi="Calibri" w:cs="Arial"/>
          <w:b/>
          <w:i/>
          <w:szCs w:val="24"/>
          <w:lang w:val="en-US"/>
        </w:rPr>
        <w:t>Prioritetni ciljevi razvoja MONSTAT-a 2020-2021</w:t>
      </w:r>
      <w:r w:rsidRPr="00800A34">
        <w:rPr>
          <w:rFonts w:ascii="Calibri" w:eastAsia="Calibri" w:hAnsi="Calibri" w:cs="Arial"/>
          <w:szCs w:val="24"/>
          <w:lang w:val="en-US"/>
        </w:rPr>
        <w:t xml:space="preserve">” (Odgovor na pandemiju COVID-19”), 16. aprila 2020. godine; </w:t>
      </w:r>
    </w:p>
    <w:p w:rsidR="0039737E" w:rsidRPr="00800A34" w:rsidRDefault="0039737E" w:rsidP="0039737E">
      <w:pPr>
        <w:numPr>
          <w:ilvl w:val="0"/>
          <w:numId w:val="70"/>
        </w:numPr>
        <w:spacing w:before="0" w:after="0" w:line="240" w:lineRule="auto"/>
        <w:contextualSpacing/>
        <w:rPr>
          <w:rFonts w:ascii="Calibri" w:eastAsia="Calibri" w:hAnsi="Calibri" w:cs="Arial"/>
          <w:szCs w:val="24"/>
          <w:lang w:val="en-US"/>
        </w:rPr>
      </w:pPr>
      <w:r w:rsidRPr="00800A34">
        <w:rPr>
          <w:rFonts w:ascii="Calibri" w:eastAsia="Calibri" w:hAnsi="Calibri" w:cs="Arial"/>
          <w:szCs w:val="24"/>
          <w:lang w:val="en-US"/>
        </w:rPr>
        <w:lastRenderedPageBreak/>
        <w:t xml:space="preserve">zaključkom Vlade Crne Gore od 18. juna 2020. godine odlučeno je da se obezbijede sredstva za </w:t>
      </w:r>
      <w:r w:rsidRPr="00800A34">
        <w:rPr>
          <w:rFonts w:ascii="Calibri" w:eastAsia="Calibri" w:hAnsi="Calibri" w:cs="Arial"/>
          <w:b/>
          <w:szCs w:val="24"/>
          <w:lang w:val="en-US"/>
        </w:rPr>
        <w:t>kupovinu poslovnog prostora Uprave za statistiku</w:t>
      </w:r>
      <w:r w:rsidRPr="00800A34">
        <w:rPr>
          <w:rFonts w:ascii="Calibri" w:eastAsia="Calibri" w:hAnsi="Calibri" w:cs="Arial"/>
          <w:szCs w:val="24"/>
          <w:lang w:val="en-US"/>
        </w:rPr>
        <w:t>;</w:t>
      </w:r>
    </w:p>
    <w:p w:rsidR="0039737E" w:rsidRPr="00800A34" w:rsidRDefault="0039737E" w:rsidP="0039737E">
      <w:pPr>
        <w:numPr>
          <w:ilvl w:val="0"/>
          <w:numId w:val="70"/>
        </w:numPr>
        <w:spacing w:before="0" w:after="0" w:line="240" w:lineRule="auto"/>
        <w:contextualSpacing/>
        <w:jc w:val="left"/>
        <w:rPr>
          <w:rFonts w:ascii="Calibri" w:eastAsia="Calibri" w:hAnsi="Calibri" w:cs="Arial"/>
          <w:szCs w:val="24"/>
          <w:lang w:val="en-US"/>
        </w:rPr>
      </w:pPr>
      <w:bookmarkStart w:id="242" w:name="_Hlk62723419"/>
      <w:r w:rsidRPr="00800A34">
        <w:rPr>
          <w:rFonts w:ascii="Calibri" w:eastAsia="Calibri" w:hAnsi="Calibri" w:cs="Arial"/>
          <w:szCs w:val="24"/>
          <w:lang w:val="en-US"/>
        </w:rPr>
        <w:t>u oblasti makroekonomske statistike postignut je napredak kroz:</w:t>
      </w:r>
      <w:bookmarkEnd w:id="242"/>
    </w:p>
    <w:p w:rsidR="0039737E" w:rsidRPr="00800A34" w:rsidRDefault="0039737E" w:rsidP="0039737E">
      <w:pPr>
        <w:spacing w:before="0" w:after="0" w:line="240" w:lineRule="auto"/>
        <w:contextualSpacing/>
        <w:rPr>
          <w:rFonts w:ascii="Calibri" w:eastAsia="Calibri" w:hAnsi="Calibri" w:cs="Arial"/>
          <w:szCs w:val="24"/>
          <w:lang w:val="en-US"/>
        </w:rPr>
      </w:pPr>
      <w:r>
        <w:rPr>
          <w:rFonts w:ascii="Calibri" w:eastAsia="Calibri" w:hAnsi="Calibri" w:cs="Arial"/>
          <w:szCs w:val="24"/>
          <w:lang w:val="en-US"/>
        </w:rPr>
        <w:t xml:space="preserve">- </w:t>
      </w:r>
      <w:r w:rsidRPr="00800A34">
        <w:rPr>
          <w:rFonts w:ascii="Calibri" w:eastAsia="Calibri" w:hAnsi="Calibri" w:cs="Arial"/>
          <w:szCs w:val="24"/>
          <w:lang w:val="en-US"/>
        </w:rPr>
        <w:t>nastavljene aktivnosti u cilju dalje harmonizacije statistike nacionalnih računa Crne Gore sa standardima Evropske unije i ispunjavanja zahtjeva koji su definisani, završnim mjerilima za zatvaranje Poglavlja 18 - Statistika;</w:t>
      </w:r>
    </w:p>
    <w:p w:rsidR="0039737E" w:rsidRPr="00800A34" w:rsidRDefault="0039737E" w:rsidP="0039737E">
      <w:pPr>
        <w:spacing w:before="0" w:after="0" w:line="240" w:lineRule="auto"/>
        <w:contextualSpacing/>
        <w:rPr>
          <w:rFonts w:ascii="Calibri" w:eastAsia="Calibri" w:hAnsi="Calibri" w:cs="Arial"/>
          <w:szCs w:val="24"/>
          <w:lang w:val="en-US"/>
        </w:rPr>
      </w:pPr>
      <w:r>
        <w:rPr>
          <w:rFonts w:ascii="Calibri" w:eastAsia="Calibri" w:hAnsi="Calibri" w:cs="Arial"/>
          <w:szCs w:val="24"/>
          <w:lang w:val="en-US"/>
        </w:rPr>
        <w:t xml:space="preserve">- </w:t>
      </w:r>
      <w:r w:rsidRPr="00800A34">
        <w:rPr>
          <w:rFonts w:ascii="Calibri" w:eastAsia="Calibri" w:hAnsi="Calibri" w:cs="Arial"/>
          <w:szCs w:val="24"/>
          <w:lang w:val="en-US"/>
        </w:rPr>
        <w:t xml:space="preserve">eksperimentalni rad na formiranju elemenata potrebnih za obračun BDP-a </w:t>
      </w:r>
      <w:r w:rsidRPr="00800A34">
        <w:rPr>
          <w:rFonts w:ascii="Calibri" w:eastAsia="Calibri" w:hAnsi="Calibri" w:cs="Arial"/>
          <w:b/>
          <w:szCs w:val="24"/>
          <w:lang w:val="en-US"/>
        </w:rPr>
        <w:t>po prihodnoj metodi,</w:t>
      </w:r>
      <w:r w:rsidRPr="00800A34">
        <w:rPr>
          <w:rFonts w:ascii="Calibri" w:eastAsia="Calibri" w:hAnsi="Calibri" w:cs="Arial"/>
          <w:szCs w:val="24"/>
          <w:lang w:val="en-US"/>
        </w:rPr>
        <w:t xml:space="preserve"> prilagođavanjem podataka o zaradama zaposlenih u skladu sa konceptom nacionalnih računa;</w:t>
      </w:r>
    </w:p>
    <w:p w:rsidR="0039737E" w:rsidRPr="00800A34" w:rsidRDefault="0039737E" w:rsidP="0039737E">
      <w:pPr>
        <w:spacing w:before="0" w:after="0" w:line="240" w:lineRule="auto"/>
        <w:contextualSpacing/>
        <w:rPr>
          <w:rFonts w:ascii="Calibri" w:eastAsia="Calibri" w:hAnsi="Calibri" w:cs="Arial"/>
          <w:szCs w:val="24"/>
          <w:lang w:val="en-US"/>
        </w:rPr>
      </w:pPr>
      <w:r>
        <w:rPr>
          <w:rFonts w:ascii="Calibri" w:eastAsia="Calibri" w:hAnsi="Calibri" w:cs="Arial"/>
          <w:szCs w:val="24"/>
          <w:lang w:val="en-US"/>
        </w:rPr>
        <w:t xml:space="preserve"> - </w:t>
      </w:r>
      <w:r w:rsidRPr="00800A34">
        <w:rPr>
          <w:rFonts w:ascii="Calibri" w:eastAsia="Calibri" w:hAnsi="Calibri" w:cs="Arial"/>
          <w:szCs w:val="24"/>
          <w:lang w:val="en-US"/>
        </w:rPr>
        <w:t xml:space="preserve">pripremljeni podaci </w:t>
      </w:r>
      <w:r w:rsidRPr="00800A34">
        <w:rPr>
          <w:rFonts w:ascii="Calibri" w:eastAsia="Calibri" w:hAnsi="Calibri" w:cs="Arial"/>
          <w:b/>
          <w:szCs w:val="24"/>
          <w:lang w:val="en-US"/>
        </w:rPr>
        <w:t>Bruto investicije u osnovna sredstva dezagregirani po vrstama</w:t>
      </w:r>
      <w:r w:rsidRPr="00800A34">
        <w:rPr>
          <w:rFonts w:ascii="Calibri" w:eastAsia="Calibri" w:hAnsi="Calibri" w:cs="Arial"/>
          <w:szCs w:val="24"/>
          <w:lang w:val="en-US"/>
        </w:rPr>
        <w:t xml:space="preserve"> osnovnih sredstava u skladu sa ESA 2010 metodologijom i programom za transmisiju podataka, kao i </w:t>
      </w:r>
      <w:r w:rsidRPr="00800A34">
        <w:rPr>
          <w:rFonts w:ascii="Calibri" w:eastAsia="Calibri" w:hAnsi="Calibri" w:cs="Arial"/>
          <w:b/>
          <w:szCs w:val="24"/>
          <w:lang w:val="en-US"/>
        </w:rPr>
        <w:t>podaci Lične potrošnje domaćinstava dezagregirani po trajnosti dobara</w:t>
      </w:r>
      <w:r w:rsidRPr="00800A34">
        <w:rPr>
          <w:rFonts w:ascii="Calibri" w:eastAsia="Calibri" w:hAnsi="Calibri" w:cs="Arial"/>
          <w:szCs w:val="24"/>
          <w:lang w:val="en-US"/>
        </w:rPr>
        <w:t>, za vremensku seriju 2010-2019. godine;</w:t>
      </w:r>
    </w:p>
    <w:p w:rsidR="0039737E" w:rsidRPr="00800A34" w:rsidRDefault="0039737E" w:rsidP="0039737E">
      <w:pPr>
        <w:spacing w:before="0" w:after="0" w:line="240" w:lineRule="auto"/>
        <w:contextualSpacing/>
        <w:rPr>
          <w:rFonts w:ascii="Calibri" w:eastAsia="Calibri" w:hAnsi="Calibri" w:cs="Arial"/>
          <w:szCs w:val="24"/>
          <w:lang w:val="en-US"/>
        </w:rPr>
      </w:pPr>
      <w:r>
        <w:rPr>
          <w:rFonts w:ascii="Calibri" w:eastAsia="Calibri" w:hAnsi="Calibri" w:cs="Arial"/>
          <w:szCs w:val="24"/>
          <w:lang w:val="en-US"/>
        </w:rPr>
        <w:t xml:space="preserve"> - </w:t>
      </w:r>
      <w:r w:rsidRPr="00800A34">
        <w:rPr>
          <w:rFonts w:ascii="Calibri" w:eastAsia="Calibri" w:hAnsi="Calibri" w:cs="Arial"/>
          <w:szCs w:val="24"/>
          <w:lang w:val="en-US"/>
        </w:rPr>
        <w:t xml:space="preserve">primijenjene preporuke metodoloških koncepata sistema nacionalnih računa ESA 2010 za obračun </w:t>
      </w:r>
      <w:r w:rsidRPr="00800A34">
        <w:rPr>
          <w:rFonts w:ascii="Calibri" w:eastAsia="Calibri" w:hAnsi="Calibri" w:cs="Arial"/>
          <w:b/>
          <w:szCs w:val="24"/>
          <w:lang w:val="en-US"/>
        </w:rPr>
        <w:t>godišnjeg BDP-a u ulančanim mjerama obima,</w:t>
      </w:r>
      <w:r w:rsidRPr="00800A34">
        <w:rPr>
          <w:rFonts w:ascii="Calibri" w:eastAsia="Calibri" w:hAnsi="Calibri" w:cs="Arial"/>
          <w:szCs w:val="24"/>
          <w:lang w:val="en-US"/>
        </w:rPr>
        <w:t xml:space="preserve"> kao i </w:t>
      </w:r>
      <w:r w:rsidRPr="00800A34">
        <w:rPr>
          <w:rFonts w:ascii="Calibri" w:eastAsia="Calibri" w:hAnsi="Calibri" w:cs="Arial"/>
          <w:b/>
          <w:szCs w:val="24"/>
          <w:lang w:val="en-US"/>
        </w:rPr>
        <w:t>sezonski prilagođeni podaci kvartalnog BDP-a</w:t>
      </w:r>
      <w:r w:rsidRPr="00800A34">
        <w:rPr>
          <w:rFonts w:ascii="Calibri" w:eastAsia="Calibri" w:hAnsi="Calibri" w:cs="Arial"/>
          <w:szCs w:val="24"/>
          <w:lang w:val="en-US"/>
        </w:rPr>
        <w:t>, za vremensku seriju 2006 - 2019. godine;</w:t>
      </w:r>
    </w:p>
    <w:p w:rsidR="0039737E" w:rsidRPr="00800A34" w:rsidRDefault="0039737E" w:rsidP="0039737E">
      <w:pPr>
        <w:spacing w:before="0" w:after="0" w:line="240" w:lineRule="auto"/>
        <w:contextualSpacing/>
        <w:rPr>
          <w:rFonts w:ascii="Calibri" w:eastAsia="Calibri" w:hAnsi="Calibri" w:cs="Arial"/>
          <w:szCs w:val="24"/>
          <w:lang w:val="en-US"/>
        </w:rPr>
      </w:pPr>
      <w:r>
        <w:rPr>
          <w:rFonts w:ascii="Calibri" w:eastAsia="Calibri" w:hAnsi="Calibri" w:cs="Arial"/>
          <w:szCs w:val="24"/>
          <w:lang w:val="en-US"/>
        </w:rPr>
        <w:t xml:space="preserve"> - </w:t>
      </w:r>
      <w:r w:rsidRPr="00800A34">
        <w:rPr>
          <w:rFonts w:ascii="Calibri" w:eastAsia="Calibri" w:hAnsi="Calibri" w:cs="Arial"/>
          <w:szCs w:val="24"/>
          <w:lang w:val="en-US"/>
        </w:rPr>
        <w:t xml:space="preserve">postignuto unaprjeđenje u dijelu </w:t>
      </w:r>
      <w:r w:rsidRPr="00800A34">
        <w:rPr>
          <w:rFonts w:ascii="Calibri" w:eastAsia="Calibri" w:hAnsi="Calibri" w:cs="Arial"/>
          <w:b/>
          <w:szCs w:val="24"/>
          <w:lang w:val="en-US"/>
        </w:rPr>
        <w:t>balansiranja tabela ponude i upotrebe (SUT)</w:t>
      </w:r>
      <w:r w:rsidRPr="00800A34">
        <w:rPr>
          <w:rFonts w:ascii="Calibri" w:eastAsia="Calibri" w:hAnsi="Calibri" w:cs="Arial"/>
          <w:szCs w:val="24"/>
          <w:lang w:val="en-US"/>
        </w:rPr>
        <w:t xml:space="preserve"> za 2013. i 2014. godinu uz kontinuirani nastavak rada na kompilaciji podataka za 2015. i 2016. godinu;</w:t>
      </w:r>
    </w:p>
    <w:p w:rsidR="0039737E" w:rsidRPr="00800A34" w:rsidRDefault="0039737E" w:rsidP="0039737E">
      <w:pPr>
        <w:spacing w:before="0" w:after="0" w:line="240" w:lineRule="auto"/>
        <w:contextualSpacing/>
        <w:rPr>
          <w:rFonts w:ascii="Calibri" w:eastAsia="Calibri" w:hAnsi="Calibri" w:cs="Arial"/>
          <w:szCs w:val="24"/>
          <w:lang w:val="en-US"/>
        </w:rPr>
      </w:pPr>
      <w:r>
        <w:rPr>
          <w:rFonts w:ascii="Calibri" w:eastAsia="Calibri" w:hAnsi="Calibri" w:cs="Arial"/>
          <w:b/>
          <w:szCs w:val="24"/>
          <w:lang w:val="en-US"/>
        </w:rPr>
        <w:t xml:space="preserve"> - </w:t>
      </w:r>
      <w:r w:rsidRPr="00800A34">
        <w:rPr>
          <w:rFonts w:ascii="Calibri" w:eastAsia="Calibri" w:hAnsi="Calibri" w:cs="Arial"/>
          <w:b/>
          <w:szCs w:val="24"/>
          <w:lang w:val="en-US"/>
        </w:rPr>
        <w:t>postignuta modernizacija u dijelu slanja podataka</w:t>
      </w:r>
      <w:r w:rsidRPr="00800A34">
        <w:rPr>
          <w:rFonts w:ascii="Calibri" w:eastAsia="Calibri" w:hAnsi="Calibri" w:cs="Arial"/>
          <w:szCs w:val="24"/>
          <w:lang w:val="en-US"/>
        </w:rPr>
        <w:t xml:space="preserve"> Eurostatu kroz </w:t>
      </w:r>
      <w:r w:rsidRPr="00800A34">
        <w:rPr>
          <w:rFonts w:ascii="Calibri" w:eastAsia="Calibri" w:hAnsi="Calibri" w:cs="Arial"/>
          <w:b/>
          <w:szCs w:val="24"/>
          <w:lang w:val="en-US"/>
        </w:rPr>
        <w:t>unaprijeđenu platformu SDMX alata</w:t>
      </w:r>
      <w:r w:rsidRPr="00800A34">
        <w:rPr>
          <w:rFonts w:ascii="Calibri" w:eastAsia="Calibri" w:hAnsi="Calibri" w:cs="Arial"/>
          <w:szCs w:val="24"/>
          <w:lang w:val="en-US"/>
        </w:rPr>
        <w:t xml:space="preserve"> preporučenih od strane Eurostata, čime je obezbijeđeno slanje podataka nacionalnih računa bez upotrebe SDMX konvertora; </w:t>
      </w:r>
    </w:p>
    <w:p w:rsidR="0039737E" w:rsidRPr="00800A34" w:rsidRDefault="0039737E" w:rsidP="0039737E">
      <w:pPr>
        <w:spacing w:before="0" w:after="0" w:line="240" w:lineRule="auto"/>
        <w:contextualSpacing/>
        <w:rPr>
          <w:rFonts w:ascii="Calibri" w:eastAsia="Calibri" w:hAnsi="Calibri" w:cs="Arial"/>
          <w:szCs w:val="24"/>
          <w:lang w:val="en-US"/>
        </w:rPr>
      </w:pPr>
      <w:r>
        <w:rPr>
          <w:rFonts w:ascii="Calibri" w:eastAsia="Calibri" w:hAnsi="Calibri" w:cs="Arial"/>
          <w:szCs w:val="24"/>
          <w:lang w:val="en-US"/>
        </w:rPr>
        <w:t xml:space="preserve">  -  </w:t>
      </w:r>
      <w:r w:rsidRPr="00800A34">
        <w:rPr>
          <w:rFonts w:ascii="Calibri" w:eastAsia="Calibri" w:hAnsi="Calibri" w:cs="Arial"/>
          <w:szCs w:val="24"/>
          <w:lang w:val="en-US"/>
        </w:rPr>
        <w:t xml:space="preserve">ažuriran je dokument </w:t>
      </w:r>
      <w:r w:rsidRPr="00800A34">
        <w:rPr>
          <w:rFonts w:ascii="Calibri" w:eastAsia="Calibri" w:hAnsi="Calibri" w:cs="Arial"/>
          <w:b/>
          <w:szCs w:val="24"/>
          <w:lang w:val="en-US"/>
        </w:rPr>
        <w:t>Opis izvora i metoda za obračun bruto nacionalnog dohotka</w:t>
      </w:r>
      <w:r w:rsidRPr="00800A34">
        <w:rPr>
          <w:rFonts w:ascii="Calibri" w:eastAsia="Calibri" w:hAnsi="Calibri" w:cs="Arial"/>
          <w:szCs w:val="24"/>
          <w:lang w:val="en-US"/>
        </w:rPr>
        <w:t xml:space="preserve"> (GNI inventory);</w:t>
      </w:r>
    </w:p>
    <w:p w:rsidR="0039737E" w:rsidRPr="00800A34" w:rsidRDefault="0039737E" w:rsidP="0039737E">
      <w:pPr>
        <w:spacing w:before="0" w:after="0" w:line="240" w:lineRule="auto"/>
        <w:contextualSpacing/>
        <w:rPr>
          <w:rFonts w:ascii="Calibri" w:eastAsia="Calibri" w:hAnsi="Calibri" w:cs="Arial"/>
          <w:szCs w:val="24"/>
          <w:lang w:val="en-US"/>
        </w:rPr>
      </w:pPr>
      <w:r>
        <w:rPr>
          <w:rFonts w:ascii="Calibri" w:eastAsia="Calibri" w:hAnsi="Calibri" w:cs="Arial"/>
          <w:szCs w:val="24"/>
          <w:lang w:val="en-US"/>
        </w:rPr>
        <w:t xml:space="preserve">  - </w:t>
      </w:r>
      <w:r w:rsidRPr="00800A34">
        <w:rPr>
          <w:rFonts w:ascii="Calibri" w:eastAsia="Calibri" w:hAnsi="Calibri" w:cs="Arial"/>
          <w:szCs w:val="24"/>
          <w:lang w:val="en-US"/>
        </w:rPr>
        <w:t xml:space="preserve">u oblasti potrošačkih cijena započeti su pregovori sa najvećim maloprodajnim lancima u cilju </w:t>
      </w:r>
      <w:r w:rsidRPr="00800A34">
        <w:rPr>
          <w:rFonts w:ascii="Calibri" w:eastAsia="Calibri" w:hAnsi="Calibri" w:cs="Arial"/>
          <w:b/>
          <w:szCs w:val="24"/>
          <w:lang w:val="en-US"/>
        </w:rPr>
        <w:t>uvođenja novog metoda prikupljanja podataka (‘’scanner data’’)</w:t>
      </w:r>
      <w:r w:rsidRPr="00800A34">
        <w:rPr>
          <w:rFonts w:ascii="Calibri" w:eastAsia="Calibri" w:hAnsi="Calibri" w:cs="Arial"/>
          <w:szCs w:val="24"/>
          <w:lang w:val="en-US"/>
        </w:rPr>
        <w:t>;</w:t>
      </w:r>
    </w:p>
    <w:p w:rsidR="0039737E" w:rsidRPr="00800A34" w:rsidRDefault="0039737E" w:rsidP="0039737E">
      <w:pPr>
        <w:spacing w:before="0" w:after="0" w:line="240" w:lineRule="auto"/>
        <w:contextualSpacing/>
        <w:rPr>
          <w:rFonts w:ascii="Calibri" w:eastAsia="Calibri" w:hAnsi="Calibri" w:cs="Arial"/>
          <w:szCs w:val="24"/>
          <w:lang w:val="en-US"/>
        </w:rPr>
      </w:pPr>
      <w:r>
        <w:rPr>
          <w:rFonts w:ascii="Calibri" w:eastAsia="Calibri" w:hAnsi="Calibri" w:cs="Arial"/>
          <w:szCs w:val="24"/>
          <w:lang w:val="en-US"/>
        </w:rPr>
        <w:t xml:space="preserve">  - </w:t>
      </w:r>
      <w:r w:rsidRPr="00800A34">
        <w:rPr>
          <w:rFonts w:ascii="Calibri" w:eastAsia="Calibri" w:hAnsi="Calibri" w:cs="Arial"/>
          <w:szCs w:val="24"/>
          <w:lang w:val="en-US"/>
        </w:rPr>
        <w:t xml:space="preserve">u oblasti proizvođačkih cijena izvršena je </w:t>
      </w:r>
      <w:r w:rsidRPr="00800A34">
        <w:rPr>
          <w:rFonts w:ascii="Calibri" w:eastAsia="Calibri" w:hAnsi="Calibri" w:cs="Arial"/>
          <w:b/>
          <w:szCs w:val="24"/>
          <w:lang w:val="en-US"/>
        </w:rPr>
        <w:t>detaljna analiza izvještajnih jedinica</w:t>
      </w:r>
      <w:r w:rsidRPr="00800A34">
        <w:rPr>
          <w:rFonts w:ascii="Calibri" w:eastAsia="Calibri" w:hAnsi="Calibri" w:cs="Arial"/>
          <w:szCs w:val="24"/>
          <w:lang w:val="en-US"/>
        </w:rPr>
        <w:t xml:space="preserve"> u okviru sektora industrije i pripremljeno </w:t>
      </w:r>
      <w:r w:rsidRPr="00800A34">
        <w:rPr>
          <w:rFonts w:ascii="Calibri" w:eastAsia="Calibri" w:hAnsi="Calibri" w:cs="Arial"/>
          <w:b/>
          <w:szCs w:val="24"/>
          <w:lang w:val="en-US"/>
        </w:rPr>
        <w:t>idejno rješenje za prikupljanje podataka primjenom CAWI metode</w:t>
      </w:r>
      <w:r w:rsidRPr="00800A34">
        <w:rPr>
          <w:rFonts w:ascii="Calibri" w:eastAsia="Calibri" w:hAnsi="Calibri" w:cs="Arial"/>
          <w:szCs w:val="24"/>
          <w:lang w:val="en-US"/>
        </w:rPr>
        <w:t>, a sve u cilju rasterećenja izvještajnih jedinica;</w:t>
      </w:r>
    </w:p>
    <w:p w:rsidR="0039737E" w:rsidRPr="00800A34" w:rsidRDefault="0039737E" w:rsidP="0039737E">
      <w:pPr>
        <w:spacing w:before="0" w:after="0" w:line="240" w:lineRule="auto"/>
        <w:contextualSpacing/>
        <w:rPr>
          <w:rFonts w:ascii="Calibri" w:eastAsia="Calibri" w:hAnsi="Calibri" w:cs="Arial"/>
          <w:szCs w:val="24"/>
          <w:lang w:val="en-US"/>
        </w:rPr>
      </w:pPr>
      <w:r>
        <w:rPr>
          <w:rFonts w:ascii="Calibri" w:eastAsia="Calibri" w:hAnsi="Calibri" w:cs="Arial"/>
          <w:szCs w:val="24"/>
          <w:lang w:val="en-US"/>
        </w:rPr>
        <w:t xml:space="preserve">- </w:t>
      </w:r>
      <w:r w:rsidRPr="00800A34">
        <w:rPr>
          <w:rFonts w:ascii="Calibri" w:eastAsia="Calibri" w:hAnsi="Calibri" w:cs="Arial"/>
          <w:szCs w:val="24"/>
          <w:lang w:val="en-US"/>
        </w:rPr>
        <w:t xml:space="preserve">održan kontinuitet u realizaciji aktivnosti visoko usklađenog projekta </w:t>
      </w:r>
      <w:r w:rsidRPr="00800A34">
        <w:rPr>
          <w:rFonts w:ascii="Calibri" w:eastAsia="Calibri" w:hAnsi="Calibri" w:cs="Arial"/>
          <w:b/>
          <w:szCs w:val="24"/>
          <w:lang w:val="en-US"/>
        </w:rPr>
        <w:t xml:space="preserve">Pariteta kupovne moći </w:t>
      </w:r>
      <w:r w:rsidRPr="00800A34">
        <w:rPr>
          <w:rFonts w:ascii="Calibri" w:eastAsia="Calibri" w:hAnsi="Calibri" w:cs="Arial"/>
          <w:szCs w:val="24"/>
          <w:lang w:val="en-US"/>
        </w:rPr>
        <w:t xml:space="preserve">i usklađivanje </w:t>
      </w:r>
      <w:r w:rsidRPr="00800A34">
        <w:rPr>
          <w:rFonts w:ascii="Calibri" w:eastAsia="Calibri" w:hAnsi="Calibri" w:cs="Arial"/>
          <w:b/>
          <w:szCs w:val="24"/>
          <w:lang w:val="en-US"/>
        </w:rPr>
        <w:t>Harmonizovanog indeksa potrošačkih cijena</w:t>
      </w:r>
      <w:r w:rsidRPr="00800A34">
        <w:rPr>
          <w:rFonts w:ascii="Calibri" w:eastAsia="Calibri" w:hAnsi="Calibri" w:cs="Arial"/>
          <w:szCs w:val="24"/>
          <w:lang w:val="en-US"/>
        </w:rPr>
        <w:t xml:space="preserve"> sa međunarodnim standardima;</w:t>
      </w:r>
    </w:p>
    <w:p w:rsidR="0039737E" w:rsidRPr="00800A34" w:rsidRDefault="0039737E" w:rsidP="0039737E">
      <w:pPr>
        <w:spacing w:before="0" w:after="0" w:line="240" w:lineRule="auto"/>
        <w:contextualSpacing/>
        <w:rPr>
          <w:rFonts w:ascii="Calibri" w:eastAsia="Calibri" w:hAnsi="Calibri" w:cs="Arial"/>
          <w:szCs w:val="24"/>
          <w:lang w:val="en-US"/>
        </w:rPr>
      </w:pPr>
      <w:r>
        <w:rPr>
          <w:rFonts w:ascii="Calibri" w:eastAsia="Calibri" w:hAnsi="Calibri" w:cs="Arial"/>
          <w:szCs w:val="24"/>
          <w:lang w:val="en-US"/>
        </w:rPr>
        <w:t xml:space="preserve"> - </w:t>
      </w:r>
      <w:r w:rsidRPr="00800A34">
        <w:rPr>
          <w:rFonts w:ascii="Calibri" w:eastAsia="Calibri" w:hAnsi="Calibri" w:cs="Arial"/>
          <w:szCs w:val="24"/>
          <w:lang w:val="en-US"/>
        </w:rPr>
        <w:t xml:space="preserve">ostvaren značajan napredak u pogledu </w:t>
      </w:r>
      <w:r w:rsidRPr="00800A34">
        <w:rPr>
          <w:rFonts w:ascii="Calibri" w:eastAsia="Calibri" w:hAnsi="Calibri" w:cs="Arial"/>
          <w:b/>
          <w:szCs w:val="24"/>
          <w:lang w:val="en-US"/>
        </w:rPr>
        <w:t>dostupnosti podataka u dijelu spoljnotrgovinske robne razmjene</w:t>
      </w:r>
      <w:r w:rsidRPr="00800A34">
        <w:rPr>
          <w:rFonts w:ascii="Calibri" w:eastAsia="Calibri" w:hAnsi="Calibri" w:cs="Arial"/>
          <w:szCs w:val="24"/>
          <w:lang w:val="en-US"/>
        </w:rPr>
        <w:t xml:space="preserve"> </w:t>
      </w:r>
      <w:r w:rsidRPr="00800A34">
        <w:rPr>
          <w:rFonts w:ascii="Calibri" w:eastAsia="Calibri" w:hAnsi="Calibri" w:cs="Arial"/>
          <w:b/>
          <w:szCs w:val="24"/>
          <w:lang w:val="en-US"/>
        </w:rPr>
        <w:t>kreiranjem diseminacione baze podataka,</w:t>
      </w:r>
      <w:r w:rsidRPr="00800A34">
        <w:rPr>
          <w:rFonts w:ascii="Calibri" w:eastAsia="Calibri" w:hAnsi="Calibri" w:cs="Arial"/>
          <w:szCs w:val="24"/>
          <w:lang w:val="en-US"/>
        </w:rPr>
        <w:t xml:space="preserve"> koje prate mjesečna i godišnja saopštenja.</w:t>
      </w:r>
    </w:p>
    <w:p w:rsidR="0039737E" w:rsidRPr="00800A34" w:rsidRDefault="0039737E" w:rsidP="0039737E">
      <w:pPr>
        <w:numPr>
          <w:ilvl w:val="0"/>
          <w:numId w:val="70"/>
        </w:numPr>
        <w:spacing w:before="0" w:after="0" w:line="240" w:lineRule="auto"/>
        <w:contextualSpacing/>
        <w:rPr>
          <w:rFonts w:ascii="Calibri" w:eastAsia="Calibri" w:hAnsi="Calibri" w:cs="Arial"/>
          <w:szCs w:val="24"/>
          <w:lang w:val="en-US"/>
        </w:rPr>
      </w:pPr>
      <w:r w:rsidRPr="00800A34">
        <w:rPr>
          <w:rFonts w:ascii="Calibri" w:eastAsia="Calibri" w:hAnsi="Calibri" w:cs="Arial"/>
          <w:szCs w:val="24"/>
          <w:lang w:val="en-US"/>
        </w:rPr>
        <w:t xml:space="preserve"> u oblasti socijalne statistike postignut je napredak kroz:</w:t>
      </w:r>
    </w:p>
    <w:p w:rsidR="0039737E" w:rsidRPr="00800A34" w:rsidRDefault="0039737E" w:rsidP="0039737E">
      <w:pPr>
        <w:spacing w:before="0" w:after="0" w:line="240" w:lineRule="auto"/>
        <w:contextualSpacing/>
        <w:rPr>
          <w:rFonts w:ascii="Calibri" w:eastAsia="Calibri" w:hAnsi="Calibri" w:cs="Arial"/>
          <w:szCs w:val="24"/>
          <w:lang w:val="en-US"/>
        </w:rPr>
      </w:pPr>
      <w:r>
        <w:rPr>
          <w:rFonts w:ascii="Calibri" w:eastAsia="Calibri" w:hAnsi="Calibri" w:cs="Arial"/>
          <w:szCs w:val="24"/>
          <w:lang w:val="en-US"/>
        </w:rPr>
        <w:t xml:space="preserve"> - </w:t>
      </w:r>
      <w:r w:rsidRPr="00800A34">
        <w:rPr>
          <w:rFonts w:ascii="Calibri" w:eastAsia="Calibri" w:hAnsi="Calibri" w:cs="Arial"/>
          <w:szCs w:val="24"/>
          <w:lang w:val="en-US"/>
        </w:rPr>
        <w:t>pripremljen nacrt Zakona o popisu stanovništva, domaćinstava i stanova 2021. godine;</w:t>
      </w:r>
    </w:p>
    <w:p w:rsidR="0039737E" w:rsidRPr="00800A34" w:rsidRDefault="0039737E" w:rsidP="0039737E">
      <w:pPr>
        <w:spacing w:before="0" w:after="0" w:line="240" w:lineRule="auto"/>
        <w:contextualSpacing/>
        <w:rPr>
          <w:rFonts w:ascii="Calibri" w:eastAsia="Calibri" w:hAnsi="Calibri" w:cs="Arial"/>
          <w:szCs w:val="24"/>
          <w:lang w:val="en-US"/>
        </w:rPr>
      </w:pPr>
      <w:r>
        <w:rPr>
          <w:rFonts w:ascii="Calibri" w:eastAsia="Calibri" w:hAnsi="Calibri" w:cs="Arial"/>
          <w:szCs w:val="24"/>
          <w:lang w:val="en-US"/>
        </w:rPr>
        <w:t xml:space="preserve"> - </w:t>
      </w:r>
      <w:r w:rsidRPr="00800A34">
        <w:rPr>
          <w:rFonts w:ascii="Calibri" w:eastAsia="Calibri" w:hAnsi="Calibri" w:cs="Arial"/>
          <w:szCs w:val="24"/>
          <w:lang w:val="en-US"/>
        </w:rPr>
        <w:t>pripremljeni prvi nacrti metodoloških i organizacionih instrukcija na bazi probnog Popisa stanovništa, domaćinstava i stanova 2019. godine, u čijim izradama je u</w:t>
      </w:r>
      <w:r w:rsidRPr="00800A34">
        <w:rPr>
          <w:rFonts w:ascii="Calibri" w:eastAsia="Calibri" w:hAnsi="Calibri" w:cs="Arial"/>
          <w:szCs w:val="24"/>
          <w:lang w:val="sr-Latn-ME"/>
        </w:rPr>
        <w:t>č</w:t>
      </w:r>
      <w:r w:rsidRPr="00800A34">
        <w:rPr>
          <w:rFonts w:ascii="Calibri" w:eastAsia="Calibri" w:hAnsi="Calibri" w:cs="Arial"/>
          <w:szCs w:val="24"/>
          <w:lang w:val="en-US"/>
        </w:rPr>
        <w:t>estvovalo 40 zaposlenih Uprave za statistiku i više međunarodnih eksperata za oblasti popisa stanovništva;</w:t>
      </w:r>
    </w:p>
    <w:p w:rsidR="0039737E" w:rsidRPr="00800A34" w:rsidRDefault="0039737E" w:rsidP="0039737E">
      <w:pPr>
        <w:spacing w:before="0" w:after="0" w:line="240" w:lineRule="auto"/>
        <w:contextualSpacing/>
        <w:rPr>
          <w:rFonts w:ascii="Calibri" w:eastAsia="Calibri" w:hAnsi="Calibri" w:cs="Arial"/>
          <w:szCs w:val="24"/>
          <w:lang w:val="en-US"/>
        </w:rPr>
      </w:pPr>
      <w:r>
        <w:rPr>
          <w:rFonts w:ascii="Calibri" w:eastAsia="Calibri" w:hAnsi="Calibri" w:cs="Arial"/>
          <w:szCs w:val="24"/>
          <w:lang w:val="en-US"/>
        </w:rPr>
        <w:t xml:space="preserve"> - </w:t>
      </w:r>
      <w:r w:rsidRPr="00800A34">
        <w:rPr>
          <w:rFonts w:ascii="Calibri" w:eastAsia="Calibri" w:hAnsi="Calibri" w:cs="Arial"/>
          <w:szCs w:val="24"/>
          <w:lang w:val="en-US"/>
        </w:rPr>
        <w:t>usljed pandemije COVID-19, a na osnovu zahtjeva EUROSTAT-a, pripremeljeni su i dostavljeni statistički podaci o smrti lica za period 2005 - 2020. godina po nedjeljnoj dinamici;</w:t>
      </w:r>
    </w:p>
    <w:p w:rsidR="0039737E" w:rsidRPr="00800A34" w:rsidRDefault="0039737E" w:rsidP="0039737E">
      <w:pPr>
        <w:spacing w:before="0" w:after="0" w:line="240" w:lineRule="auto"/>
        <w:contextualSpacing/>
        <w:rPr>
          <w:rFonts w:ascii="Calibri" w:eastAsia="Calibri" w:hAnsi="Calibri" w:cs="Arial"/>
          <w:szCs w:val="24"/>
          <w:lang w:val="en-US"/>
        </w:rPr>
      </w:pPr>
      <w:r>
        <w:rPr>
          <w:rFonts w:ascii="Calibri" w:eastAsia="Calibri" w:hAnsi="Calibri" w:cs="Arial"/>
          <w:szCs w:val="24"/>
          <w:lang w:val="en-US"/>
        </w:rPr>
        <w:t xml:space="preserve">  -  </w:t>
      </w:r>
      <w:r w:rsidRPr="00800A34">
        <w:rPr>
          <w:rFonts w:ascii="Calibri" w:eastAsia="Calibri" w:hAnsi="Calibri" w:cs="Arial"/>
          <w:szCs w:val="24"/>
          <w:lang w:val="en-US"/>
        </w:rPr>
        <w:t>realizovano pilot stra</w:t>
      </w:r>
      <w:r w:rsidRPr="00800A34">
        <w:rPr>
          <w:rFonts w:ascii="Calibri" w:eastAsia="Calibri" w:hAnsi="Calibri" w:cs="Arial"/>
          <w:szCs w:val="24"/>
          <w:lang w:val="sr-Latn-ME"/>
        </w:rPr>
        <w:t xml:space="preserve">živanje o rodno zasnovanom nasilju (Gender base violence - </w:t>
      </w:r>
      <w:r w:rsidRPr="00800A34">
        <w:rPr>
          <w:rFonts w:ascii="Calibri" w:eastAsia="Calibri" w:hAnsi="Calibri" w:cs="Arial"/>
          <w:szCs w:val="24"/>
          <w:lang w:val="en-US"/>
        </w:rPr>
        <w:t xml:space="preserve">GBV); </w:t>
      </w:r>
    </w:p>
    <w:p w:rsidR="0039737E" w:rsidRPr="00800A34" w:rsidRDefault="0039737E" w:rsidP="0039737E">
      <w:pPr>
        <w:spacing w:before="0" w:after="0" w:line="240" w:lineRule="auto"/>
        <w:contextualSpacing/>
        <w:rPr>
          <w:rFonts w:ascii="Calibri" w:eastAsia="Calibri" w:hAnsi="Calibri" w:cs="Arial"/>
          <w:szCs w:val="24"/>
          <w:lang w:val="en-US"/>
        </w:rPr>
      </w:pPr>
      <w:r>
        <w:rPr>
          <w:rFonts w:ascii="Calibri" w:eastAsia="Calibri" w:hAnsi="Calibri" w:cs="Arial"/>
          <w:szCs w:val="24"/>
          <w:lang w:val="en-US"/>
        </w:rPr>
        <w:t xml:space="preserve"> - </w:t>
      </w:r>
      <w:r w:rsidRPr="00800A34">
        <w:rPr>
          <w:rFonts w:ascii="Calibri" w:eastAsia="Calibri" w:hAnsi="Calibri" w:cs="Arial"/>
          <w:szCs w:val="24"/>
          <w:lang w:val="en-US"/>
        </w:rPr>
        <w:t>razvijen Indeks rodne ravnopravnosti, po prvi put u Crnoj Gori su dostupni međunarodno uporedivi podaci o rodnoj ravnopravnosti;</w:t>
      </w:r>
    </w:p>
    <w:p w:rsidR="0039737E" w:rsidRPr="00800A34" w:rsidRDefault="0039737E" w:rsidP="0039737E">
      <w:pPr>
        <w:spacing w:before="0" w:after="0" w:line="240" w:lineRule="auto"/>
        <w:contextualSpacing/>
        <w:rPr>
          <w:rFonts w:ascii="Calibri" w:eastAsia="Calibri" w:hAnsi="Calibri" w:cs="Arial"/>
          <w:szCs w:val="24"/>
          <w:lang w:val="en-US"/>
        </w:rPr>
      </w:pPr>
      <w:r>
        <w:rPr>
          <w:rFonts w:ascii="Calibri" w:eastAsia="Calibri" w:hAnsi="Calibri" w:cs="Arial"/>
          <w:szCs w:val="24"/>
          <w:lang w:val="en-US"/>
        </w:rPr>
        <w:t xml:space="preserve"> - </w:t>
      </w:r>
      <w:r w:rsidRPr="00800A34">
        <w:rPr>
          <w:rFonts w:ascii="Calibri" w:eastAsia="Calibri" w:hAnsi="Calibri" w:cs="Arial"/>
          <w:szCs w:val="24"/>
          <w:lang w:val="en-US"/>
        </w:rPr>
        <w:t>objavljena publikacija “</w:t>
      </w:r>
      <w:r w:rsidRPr="00800A34">
        <w:rPr>
          <w:rFonts w:ascii="Calibri" w:eastAsia="Calibri" w:hAnsi="Calibri" w:cs="Arial"/>
          <w:szCs w:val="24"/>
          <w:lang w:val="sr-Latn-ME"/>
        </w:rPr>
        <w:t>Žene i muškarci u Crnoj Gori“;</w:t>
      </w:r>
    </w:p>
    <w:p w:rsidR="0039737E" w:rsidRPr="00800A34" w:rsidRDefault="0039737E" w:rsidP="0039737E">
      <w:pPr>
        <w:spacing w:before="0" w:after="0" w:line="240" w:lineRule="auto"/>
        <w:contextualSpacing/>
        <w:rPr>
          <w:rFonts w:ascii="Calibri" w:eastAsia="Calibri" w:hAnsi="Calibri" w:cs="Arial"/>
          <w:szCs w:val="24"/>
          <w:lang w:val="en-US"/>
        </w:rPr>
      </w:pPr>
      <w:r>
        <w:rPr>
          <w:rFonts w:ascii="Calibri" w:eastAsia="Calibri" w:hAnsi="Calibri" w:cs="Arial"/>
          <w:szCs w:val="24"/>
          <w:lang w:val="en-US"/>
        </w:rPr>
        <w:t xml:space="preserve"> - </w:t>
      </w:r>
      <w:r w:rsidRPr="00800A34">
        <w:rPr>
          <w:rFonts w:ascii="Calibri" w:eastAsia="Calibri" w:hAnsi="Calibri" w:cs="Arial"/>
          <w:szCs w:val="24"/>
          <w:lang w:val="en-US"/>
        </w:rPr>
        <w:t>završen rad na uspostavljanju Međunarodne klasifikacije kriminala u statističke svrhe (ICCS);</w:t>
      </w:r>
    </w:p>
    <w:p w:rsidR="0039737E" w:rsidRPr="00800A34" w:rsidRDefault="0039737E" w:rsidP="0039737E">
      <w:pPr>
        <w:spacing w:before="0" w:after="0" w:line="240" w:lineRule="auto"/>
        <w:contextualSpacing/>
        <w:rPr>
          <w:rFonts w:ascii="Calibri" w:eastAsia="Calibri" w:hAnsi="Calibri" w:cs="Arial"/>
          <w:szCs w:val="24"/>
          <w:lang w:val="en-US"/>
        </w:rPr>
      </w:pPr>
      <w:r>
        <w:rPr>
          <w:rFonts w:ascii="Calibri" w:eastAsia="Calibri" w:hAnsi="Calibri" w:cs="Arial"/>
          <w:szCs w:val="24"/>
          <w:lang w:val="en-US"/>
        </w:rPr>
        <w:t xml:space="preserve"> -  </w:t>
      </w:r>
      <w:r w:rsidRPr="00800A34">
        <w:rPr>
          <w:rFonts w:ascii="Calibri" w:eastAsia="Calibri" w:hAnsi="Calibri" w:cs="Arial"/>
          <w:szCs w:val="24"/>
          <w:lang w:val="en-US"/>
        </w:rPr>
        <w:t>realizovano istraživanje o Inovativnoj aktivnosti preduzeća, što je omogućilo da Crna Gora bude uključena u European Innovation Scoreboard;</w:t>
      </w:r>
    </w:p>
    <w:p w:rsidR="0039737E" w:rsidRPr="00800A34" w:rsidRDefault="0039737E" w:rsidP="0039737E">
      <w:pPr>
        <w:spacing w:before="0" w:after="0" w:line="240" w:lineRule="auto"/>
        <w:contextualSpacing/>
        <w:rPr>
          <w:rFonts w:ascii="Calibri" w:eastAsia="Calibri" w:hAnsi="Calibri" w:cs="Arial"/>
          <w:szCs w:val="24"/>
          <w:lang w:val="en-US"/>
        </w:rPr>
      </w:pPr>
      <w:r>
        <w:rPr>
          <w:rFonts w:ascii="Calibri" w:eastAsia="Calibri" w:hAnsi="Calibri" w:cs="Arial"/>
          <w:szCs w:val="24"/>
          <w:lang w:val="en-US"/>
        </w:rPr>
        <w:t xml:space="preserve">  -  </w:t>
      </w:r>
      <w:r w:rsidRPr="00800A34">
        <w:rPr>
          <w:rFonts w:ascii="Calibri" w:eastAsia="Calibri" w:hAnsi="Calibri" w:cs="Arial"/>
          <w:szCs w:val="24"/>
          <w:lang w:val="en-US"/>
        </w:rPr>
        <w:t xml:space="preserve">završena analiza obračuna prosječnih zarada iz administrativnih izvora - Poreska </w:t>
      </w:r>
      <w:r w:rsidRPr="00800A34">
        <w:rPr>
          <w:rFonts w:ascii="Calibri" w:eastAsia="Calibri" w:hAnsi="Calibri" w:cs="Arial"/>
          <w:color w:val="FF0000"/>
          <w:szCs w:val="24"/>
          <w:lang w:val="en-US"/>
        </w:rPr>
        <w:t>u</w:t>
      </w:r>
      <w:r w:rsidRPr="00800A34">
        <w:rPr>
          <w:rFonts w:ascii="Calibri" w:eastAsia="Calibri" w:hAnsi="Calibri" w:cs="Arial"/>
          <w:szCs w:val="24"/>
          <w:lang w:val="en-US"/>
        </w:rPr>
        <w:t>prava;</w:t>
      </w:r>
    </w:p>
    <w:p w:rsidR="0039737E" w:rsidRPr="00800A34" w:rsidRDefault="0039737E" w:rsidP="0039737E">
      <w:pPr>
        <w:spacing w:before="0" w:after="0" w:line="240" w:lineRule="auto"/>
        <w:contextualSpacing/>
        <w:rPr>
          <w:rFonts w:ascii="Calibri" w:eastAsia="Calibri" w:hAnsi="Calibri" w:cs="Arial"/>
          <w:szCs w:val="24"/>
          <w:lang w:val="en-US"/>
        </w:rPr>
      </w:pPr>
      <w:r>
        <w:rPr>
          <w:rFonts w:ascii="Calibri" w:eastAsia="Calibri" w:hAnsi="Calibri" w:cs="Arial"/>
          <w:szCs w:val="24"/>
          <w:lang w:val="en-US"/>
        </w:rPr>
        <w:t xml:space="preserve"> -  </w:t>
      </w:r>
      <w:r w:rsidRPr="00800A34">
        <w:rPr>
          <w:rFonts w:ascii="Calibri" w:eastAsia="Calibri" w:hAnsi="Calibri" w:cs="Arial"/>
          <w:szCs w:val="24"/>
          <w:lang w:val="en-US"/>
        </w:rPr>
        <w:t xml:space="preserve">kao odgovor na krizu usljed pandemije COVID-19 i njen uticaj na tržište rada u Anketi o radnoj snazi je, od drugog kvartala 2020. godine, uključen set novih pitanja koji omogućava analizu uticaja </w:t>
      </w:r>
      <w:r w:rsidRPr="00800A34">
        <w:rPr>
          <w:rFonts w:ascii="Calibri" w:eastAsia="Calibri" w:hAnsi="Calibri" w:cs="Arial"/>
          <w:szCs w:val="24"/>
          <w:lang w:val="en-US"/>
        </w:rPr>
        <w:lastRenderedPageBreak/>
        <w:t xml:space="preserve">krize prouzrokovane pandemijom COVID-19 na tržište rada: </w:t>
      </w:r>
      <w:r w:rsidRPr="00800A34">
        <w:rPr>
          <w:rFonts w:ascii="Calibri" w:eastAsia="Calibri" w:hAnsi="Calibri" w:cs="Arial"/>
          <w:i/>
          <w:szCs w:val="24"/>
          <w:lang w:val="en-US"/>
        </w:rPr>
        <w:t>Istraživanja Anketa o radnoj snazi</w:t>
      </w:r>
      <w:r w:rsidRPr="00800A34">
        <w:rPr>
          <w:rFonts w:ascii="Calibri" w:eastAsia="Calibri" w:hAnsi="Calibri" w:cs="Arial"/>
          <w:szCs w:val="24"/>
          <w:lang w:val="en-US"/>
        </w:rPr>
        <w:t xml:space="preserve"> i </w:t>
      </w:r>
      <w:r w:rsidRPr="00800A34">
        <w:rPr>
          <w:rFonts w:ascii="Calibri" w:eastAsia="Calibri" w:hAnsi="Calibri" w:cs="Arial"/>
          <w:i/>
          <w:szCs w:val="24"/>
          <w:lang w:val="en-US"/>
        </w:rPr>
        <w:t>Anketa o dohotku i uslovima života dostigla visoku usklađenost sa EU standardima</w:t>
      </w:r>
      <w:r w:rsidRPr="00800A34">
        <w:rPr>
          <w:rFonts w:ascii="Calibri" w:eastAsia="Calibri" w:hAnsi="Calibri" w:cs="Arial"/>
          <w:szCs w:val="24"/>
          <w:lang w:val="en-US"/>
        </w:rPr>
        <w:t>;</w:t>
      </w:r>
    </w:p>
    <w:p w:rsidR="0039737E" w:rsidRPr="00800A34" w:rsidRDefault="0039737E" w:rsidP="0039737E">
      <w:pPr>
        <w:spacing w:before="0" w:after="0" w:line="240" w:lineRule="auto"/>
        <w:contextualSpacing/>
        <w:rPr>
          <w:rFonts w:ascii="Calibri" w:eastAsia="Calibri" w:hAnsi="Calibri" w:cs="Arial"/>
          <w:szCs w:val="24"/>
          <w:lang w:val="en-US"/>
        </w:rPr>
      </w:pPr>
      <w:r>
        <w:rPr>
          <w:rFonts w:ascii="Calibri" w:eastAsia="Calibri" w:hAnsi="Calibri" w:cs="Arial"/>
          <w:szCs w:val="24"/>
          <w:lang w:val="en-US"/>
        </w:rPr>
        <w:t xml:space="preserve">  -  </w:t>
      </w:r>
      <w:r w:rsidRPr="00800A34">
        <w:rPr>
          <w:rFonts w:ascii="Calibri" w:eastAsia="Calibri" w:hAnsi="Calibri" w:cs="Arial"/>
          <w:szCs w:val="24"/>
          <w:lang w:val="en-US"/>
        </w:rPr>
        <w:t>u cilju većeg korišćenja administrativnih podataka uspostavljena je saradnja sa drugim institucijama i kontinuirano se analiziraju baze podataka institucija, analizirani su podaci Zavoda za zapošljavanje Crne Gore, Poreske uprave, Ministarstva rada i socijalnog staranja.</w:t>
      </w:r>
    </w:p>
    <w:p w:rsidR="0039737E" w:rsidRPr="00800A34" w:rsidRDefault="0039737E" w:rsidP="0039737E">
      <w:pPr>
        <w:numPr>
          <w:ilvl w:val="0"/>
          <w:numId w:val="70"/>
        </w:numPr>
        <w:spacing w:before="0" w:after="0" w:line="240" w:lineRule="auto"/>
        <w:contextualSpacing/>
        <w:rPr>
          <w:rFonts w:ascii="Calibri" w:eastAsia="Calibri" w:hAnsi="Calibri" w:cs="Arial"/>
          <w:szCs w:val="24"/>
          <w:lang w:val="en-US"/>
        </w:rPr>
      </w:pPr>
      <w:bookmarkStart w:id="243" w:name="_Hlk62723697"/>
      <w:r w:rsidRPr="00800A34">
        <w:rPr>
          <w:rFonts w:ascii="Calibri" w:eastAsia="Calibri" w:hAnsi="Calibri" w:cs="Arial"/>
          <w:szCs w:val="24"/>
          <w:lang w:val="en-US"/>
        </w:rPr>
        <w:t>u oblasti poljoprivrede i poslovnih statistika postignut je napredak kroz</w:t>
      </w:r>
      <w:bookmarkEnd w:id="243"/>
      <w:r w:rsidRPr="00800A34">
        <w:rPr>
          <w:rFonts w:ascii="Calibri" w:eastAsia="Calibri" w:hAnsi="Calibri" w:cs="Arial"/>
          <w:szCs w:val="24"/>
          <w:lang w:val="en-US"/>
        </w:rPr>
        <w:t>:</w:t>
      </w:r>
    </w:p>
    <w:p w:rsidR="0039737E" w:rsidRPr="00800A34" w:rsidRDefault="0039737E" w:rsidP="0039737E">
      <w:pPr>
        <w:spacing w:before="0" w:after="0" w:line="240" w:lineRule="auto"/>
        <w:contextualSpacing/>
        <w:rPr>
          <w:rFonts w:ascii="Calibri" w:eastAsia="Calibri" w:hAnsi="Calibri" w:cs="Arial"/>
          <w:szCs w:val="24"/>
          <w:lang w:val="en-US"/>
        </w:rPr>
      </w:pPr>
      <w:r>
        <w:rPr>
          <w:rFonts w:ascii="Calibri" w:eastAsia="Calibri" w:hAnsi="Calibri" w:cs="Arial"/>
          <w:szCs w:val="24"/>
          <w:lang w:val="en-US"/>
        </w:rPr>
        <w:t xml:space="preserve"> - </w:t>
      </w:r>
      <w:r w:rsidRPr="00800A34">
        <w:rPr>
          <w:rFonts w:ascii="Calibri" w:eastAsia="Calibri" w:hAnsi="Calibri" w:cs="Arial"/>
          <w:szCs w:val="24"/>
          <w:lang w:val="en-US"/>
        </w:rPr>
        <w:t xml:space="preserve">započete su aktivnosti u cilju priprema za </w:t>
      </w:r>
      <w:r w:rsidRPr="00800A34">
        <w:rPr>
          <w:rFonts w:ascii="Calibri" w:eastAsia="Calibri" w:hAnsi="Calibri" w:cs="Arial"/>
          <w:b/>
          <w:szCs w:val="24"/>
          <w:lang w:val="en-US"/>
        </w:rPr>
        <w:t>Popis poljoprivrede</w:t>
      </w:r>
      <w:r w:rsidRPr="00800A34">
        <w:rPr>
          <w:rFonts w:ascii="Calibri" w:eastAsia="Calibri" w:hAnsi="Calibri" w:cs="Arial"/>
          <w:szCs w:val="24"/>
          <w:lang w:val="en-US"/>
        </w:rPr>
        <w:t xml:space="preserve"> kroz međunarodnu ekspertsku podršku;</w:t>
      </w:r>
    </w:p>
    <w:p w:rsidR="0039737E" w:rsidRPr="00800A34" w:rsidRDefault="0039737E" w:rsidP="0039737E">
      <w:pPr>
        <w:spacing w:before="0" w:after="0" w:line="240" w:lineRule="auto"/>
        <w:contextualSpacing/>
        <w:rPr>
          <w:rFonts w:ascii="Calibri" w:eastAsia="Calibri" w:hAnsi="Calibri" w:cs="Arial"/>
          <w:szCs w:val="24"/>
          <w:lang w:val="en-US"/>
        </w:rPr>
      </w:pPr>
      <w:r>
        <w:rPr>
          <w:rFonts w:ascii="Calibri" w:eastAsia="Calibri" w:hAnsi="Calibri" w:cs="Arial"/>
          <w:szCs w:val="24"/>
          <w:lang w:val="en-US"/>
        </w:rPr>
        <w:t xml:space="preserve"> - </w:t>
      </w:r>
      <w:r w:rsidRPr="00800A34">
        <w:rPr>
          <w:rFonts w:ascii="Calibri" w:eastAsia="Calibri" w:hAnsi="Calibri" w:cs="Arial"/>
          <w:szCs w:val="24"/>
          <w:lang w:val="en-US"/>
        </w:rPr>
        <w:t xml:space="preserve">harmonizacija statistike šumarstva sa metodološkim standarima na nacionalnom i međunarodnom nivou kroz </w:t>
      </w:r>
      <w:r w:rsidRPr="00800A34">
        <w:rPr>
          <w:rFonts w:ascii="Calibri" w:eastAsia="Calibri" w:hAnsi="Calibri" w:cs="Arial"/>
          <w:b/>
          <w:szCs w:val="24"/>
          <w:lang w:val="en-US"/>
        </w:rPr>
        <w:t>preračun vremenskih serija</w:t>
      </w:r>
      <w:r w:rsidRPr="00800A34">
        <w:rPr>
          <w:rFonts w:ascii="Calibri" w:eastAsia="Calibri" w:hAnsi="Calibri" w:cs="Arial"/>
          <w:szCs w:val="24"/>
          <w:lang w:val="en-US"/>
        </w:rPr>
        <w:t xml:space="preserve"> za period od 2010 - 2019. Na ovaj način objavljeni podaci doprinijeli su kvalitetnijem izvještavanju u dijelu klimatskih promjena (Inventar gasova sa efektom staklene bašte);</w:t>
      </w:r>
    </w:p>
    <w:p w:rsidR="0039737E" w:rsidRPr="00800A34" w:rsidRDefault="0039737E" w:rsidP="0039737E">
      <w:pPr>
        <w:spacing w:before="0" w:after="0" w:line="240" w:lineRule="auto"/>
        <w:contextualSpacing/>
        <w:rPr>
          <w:rFonts w:ascii="Calibri" w:eastAsia="Calibri" w:hAnsi="Calibri" w:cs="Arial"/>
          <w:szCs w:val="24"/>
          <w:lang w:val="en-US"/>
        </w:rPr>
      </w:pPr>
      <w:r>
        <w:rPr>
          <w:rFonts w:ascii="Calibri" w:eastAsia="Calibri" w:hAnsi="Calibri" w:cs="Arial"/>
          <w:szCs w:val="24"/>
          <w:lang w:val="en-US"/>
        </w:rPr>
        <w:t xml:space="preserve">  -  </w:t>
      </w:r>
      <w:r w:rsidRPr="00800A34">
        <w:rPr>
          <w:rFonts w:ascii="Calibri" w:eastAsia="Calibri" w:hAnsi="Calibri" w:cs="Arial"/>
          <w:szCs w:val="24"/>
          <w:lang w:val="en-US"/>
        </w:rPr>
        <w:t xml:space="preserve">stvoreni uslovi za </w:t>
      </w:r>
      <w:r w:rsidRPr="00800A34">
        <w:rPr>
          <w:rFonts w:ascii="Calibri" w:eastAsia="Calibri" w:hAnsi="Calibri" w:cs="Arial"/>
          <w:b/>
          <w:szCs w:val="24"/>
          <w:lang w:val="en-US"/>
        </w:rPr>
        <w:t>preuzimanje podataka iz administrativnih izvora</w:t>
      </w:r>
      <w:r w:rsidRPr="00800A34">
        <w:rPr>
          <w:rFonts w:ascii="Calibri" w:eastAsia="Calibri" w:hAnsi="Calibri" w:cs="Arial"/>
          <w:szCs w:val="24"/>
          <w:lang w:val="en-US"/>
        </w:rPr>
        <w:t xml:space="preserve"> (Agencija za zaštitu prirode i životne sredine) u oblasti statistike lovstva; </w:t>
      </w:r>
    </w:p>
    <w:p w:rsidR="0039737E" w:rsidRPr="00800A34" w:rsidRDefault="0039737E" w:rsidP="0039737E">
      <w:pPr>
        <w:spacing w:before="0" w:after="0" w:line="240" w:lineRule="auto"/>
        <w:contextualSpacing/>
        <w:rPr>
          <w:rFonts w:ascii="Calibri" w:eastAsia="Calibri" w:hAnsi="Calibri" w:cs="Arial"/>
          <w:szCs w:val="24"/>
          <w:lang w:val="en-US"/>
        </w:rPr>
      </w:pPr>
      <w:r>
        <w:rPr>
          <w:rFonts w:ascii="Calibri" w:eastAsia="Calibri" w:hAnsi="Calibri" w:cs="Arial"/>
          <w:szCs w:val="24"/>
          <w:lang w:val="en-US"/>
        </w:rPr>
        <w:t xml:space="preserve"> - </w:t>
      </w:r>
      <w:r w:rsidRPr="00800A34">
        <w:rPr>
          <w:rFonts w:ascii="Calibri" w:eastAsia="Calibri" w:hAnsi="Calibri" w:cs="Arial"/>
          <w:szCs w:val="24"/>
          <w:lang w:val="en-US"/>
        </w:rPr>
        <w:t xml:space="preserve">sprovedeno je </w:t>
      </w:r>
      <w:r w:rsidRPr="00800A34">
        <w:rPr>
          <w:rFonts w:ascii="Calibri" w:eastAsia="Calibri" w:hAnsi="Calibri" w:cs="Arial"/>
          <w:b/>
          <w:szCs w:val="24"/>
          <w:lang w:val="en-US"/>
        </w:rPr>
        <w:t>probno istraživanje</w:t>
      </w:r>
      <w:r w:rsidRPr="00800A34">
        <w:rPr>
          <w:rFonts w:ascii="Calibri" w:eastAsia="Calibri" w:hAnsi="Calibri" w:cs="Arial"/>
          <w:szCs w:val="24"/>
          <w:lang w:val="en-US"/>
        </w:rPr>
        <w:t xml:space="preserve"> o upotrebi pesticida u periodu od 21. septembra do 10. oktobra 2020. godine u skladu sa Regulativom (EZ) br. 1185 / 2009;</w:t>
      </w:r>
    </w:p>
    <w:p w:rsidR="0039737E" w:rsidRPr="00800A34" w:rsidRDefault="0039737E" w:rsidP="0039737E">
      <w:pPr>
        <w:spacing w:before="0" w:line="240" w:lineRule="auto"/>
        <w:contextualSpacing/>
        <w:rPr>
          <w:rFonts w:ascii="Calibri" w:eastAsia="Calibri" w:hAnsi="Calibri" w:cs="Arial"/>
          <w:szCs w:val="24"/>
          <w:lang w:val="en-US"/>
        </w:rPr>
      </w:pPr>
      <w:r>
        <w:rPr>
          <w:rFonts w:ascii="Calibri" w:eastAsia="Calibri" w:hAnsi="Calibri" w:cs="Arial"/>
          <w:szCs w:val="24"/>
          <w:lang w:val="en-US"/>
        </w:rPr>
        <w:t xml:space="preserve">  -  </w:t>
      </w:r>
      <w:r w:rsidRPr="00800A34">
        <w:rPr>
          <w:rFonts w:ascii="Calibri" w:eastAsia="Calibri" w:hAnsi="Calibri" w:cs="Arial"/>
          <w:szCs w:val="24"/>
          <w:lang w:val="en-US"/>
        </w:rPr>
        <w:t xml:space="preserve">nastavljeno je sa </w:t>
      </w:r>
      <w:r w:rsidRPr="00800A34">
        <w:rPr>
          <w:rFonts w:ascii="Calibri" w:eastAsia="Calibri" w:hAnsi="Calibri" w:cs="Arial"/>
          <w:b/>
          <w:szCs w:val="24"/>
          <w:lang w:val="en-US"/>
        </w:rPr>
        <w:t>razvojem IT infrastrukture</w:t>
      </w:r>
      <w:r w:rsidRPr="00800A34">
        <w:rPr>
          <w:rFonts w:ascii="Calibri" w:eastAsia="Calibri" w:hAnsi="Calibri" w:cs="Arial"/>
          <w:szCs w:val="24"/>
          <w:lang w:val="en-US"/>
        </w:rPr>
        <w:t xml:space="preserve"> za prikupljanje podataka, CAPI metoda (Computer Asisted Personal Interview).</w:t>
      </w:r>
    </w:p>
    <w:p w:rsidR="0039737E" w:rsidRPr="00800A34" w:rsidRDefault="0039737E" w:rsidP="0039737E">
      <w:pPr>
        <w:numPr>
          <w:ilvl w:val="0"/>
          <w:numId w:val="70"/>
        </w:numPr>
        <w:spacing w:after="0" w:line="240" w:lineRule="auto"/>
        <w:contextualSpacing/>
        <w:rPr>
          <w:rFonts w:ascii="Calibri" w:eastAsia="Calibri" w:hAnsi="Calibri" w:cs="Arial"/>
          <w:szCs w:val="24"/>
          <w:lang w:val="en-US"/>
        </w:rPr>
      </w:pPr>
      <w:r w:rsidRPr="00800A34">
        <w:rPr>
          <w:rFonts w:ascii="Calibri" w:eastAsia="Calibri" w:hAnsi="Calibri" w:cs="Arial"/>
          <w:szCs w:val="24"/>
          <w:lang w:val="en-US"/>
        </w:rPr>
        <w:t>u oblasti implementacije međunarodnih projekata i saradnje postignut je napredak kroz:</w:t>
      </w:r>
    </w:p>
    <w:p w:rsidR="0039737E" w:rsidRPr="00800A34" w:rsidRDefault="0039737E" w:rsidP="0039737E">
      <w:pPr>
        <w:spacing w:before="0" w:after="0" w:line="240" w:lineRule="auto"/>
        <w:contextualSpacing/>
        <w:rPr>
          <w:rFonts w:ascii="Calibri" w:eastAsia="Calibri" w:hAnsi="Calibri" w:cs="Arial"/>
          <w:szCs w:val="24"/>
          <w:lang w:val="sr-Latn-ME"/>
        </w:rPr>
      </w:pPr>
      <w:r>
        <w:rPr>
          <w:rFonts w:ascii="Calibri" w:eastAsia="Calibri" w:hAnsi="Calibri" w:cs="Arial"/>
          <w:szCs w:val="24"/>
          <w:lang w:val="en-US"/>
        </w:rPr>
        <w:t xml:space="preserve"> -  </w:t>
      </w:r>
      <w:r w:rsidRPr="00800A34">
        <w:rPr>
          <w:rFonts w:ascii="Calibri" w:eastAsia="Calibri" w:hAnsi="Calibri" w:cs="Arial"/>
          <w:szCs w:val="24"/>
          <w:lang w:val="en-US"/>
        </w:rPr>
        <w:t>pove</w:t>
      </w:r>
      <w:r w:rsidRPr="00800A34">
        <w:rPr>
          <w:rFonts w:ascii="Calibri" w:eastAsia="Calibri" w:hAnsi="Calibri" w:cs="Arial"/>
          <w:szCs w:val="24"/>
          <w:lang w:val="sr-Latn-ME"/>
        </w:rPr>
        <w:t xml:space="preserve">ćan broj zvaničnih podataka proizvedenih u skladu sa međunarodnim standardima i metodologijama koje su razvijene implementacijom projekata u saradnji sa međununarodnim partnerima, posebno sa EU zajednicom kroz IPA fondove kao i drugih UN institucija: UNDP, UNICEF, UNECE, UNODC, MMF-om, OECD-om, Svjetskom bankom, ILO-om i drugim organizacijama; </w:t>
      </w:r>
    </w:p>
    <w:p w:rsidR="0039737E" w:rsidRPr="00800A34" w:rsidRDefault="0039737E" w:rsidP="0039737E">
      <w:pPr>
        <w:spacing w:before="0" w:after="0" w:line="240" w:lineRule="auto"/>
        <w:contextualSpacing/>
        <w:rPr>
          <w:rFonts w:ascii="Calibri" w:eastAsia="Calibri" w:hAnsi="Calibri" w:cs="Arial"/>
          <w:szCs w:val="24"/>
          <w:lang w:val="sr-Latn-ME"/>
        </w:rPr>
      </w:pPr>
      <w:r>
        <w:rPr>
          <w:rFonts w:ascii="Calibri" w:eastAsia="Calibri" w:hAnsi="Calibri" w:cs="Arial"/>
          <w:szCs w:val="24"/>
          <w:lang w:val="sr-Latn-ME"/>
        </w:rPr>
        <w:t xml:space="preserve"> -  </w:t>
      </w:r>
      <w:r w:rsidRPr="00800A34">
        <w:rPr>
          <w:rFonts w:ascii="Calibri" w:eastAsia="Calibri" w:hAnsi="Calibri" w:cs="Arial"/>
          <w:szCs w:val="24"/>
          <w:lang w:val="sr-Latn-ME"/>
        </w:rPr>
        <w:t>sa ciljem definisanja daljih aktivnosti na ispunjenju završnih mjerila u periodu 20 - 21. februar 2020. godine Uprava za statistiku je inicirala misiju EUROSTAT-a na temu nacionalnih računa sa ciljem daljeg unapređenja procesa evropskih integracija u oblasti pregovaračkog Poglavlja 18 - Statistika. U saradnji sa EUROSTAT-om definisani su dalji koraci na ispunjenju završnih mjerila Poglavlja 18 - Statistika;</w:t>
      </w:r>
    </w:p>
    <w:p w:rsidR="0039737E" w:rsidRPr="00800A34" w:rsidRDefault="0039737E" w:rsidP="0039737E">
      <w:pPr>
        <w:spacing w:before="0" w:after="0" w:line="240" w:lineRule="auto"/>
        <w:contextualSpacing/>
        <w:rPr>
          <w:rFonts w:ascii="Calibri" w:eastAsia="Calibri" w:hAnsi="Calibri" w:cs="Arial"/>
          <w:szCs w:val="24"/>
          <w:lang w:val="en-US"/>
        </w:rPr>
      </w:pPr>
      <w:r>
        <w:rPr>
          <w:rFonts w:ascii="Calibri" w:eastAsia="Calibri" w:hAnsi="Calibri" w:cs="Arial"/>
          <w:szCs w:val="24"/>
          <w:lang w:val="en-US"/>
        </w:rPr>
        <w:t xml:space="preserve">  - </w:t>
      </w:r>
      <w:r w:rsidRPr="00800A34">
        <w:rPr>
          <w:rFonts w:ascii="Calibri" w:eastAsia="Calibri" w:hAnsi="Calibri" w:cs="Arial"/>
          <w:szCs w:val="24"/>
          <w:lang w:val="en-US"/>
        </w:rPr>
        <w:t xml:space="preserve">tokom 2020. godine </w:t>
      </w:r>
      <w:r w:rsidRPr="00800A34">
        <w:rPr>
          <w:rFonts w:ascii="Calibri" w:eastAsia="Calibri" w:hAnsi="Calibri" w:cs="Arial"/>
          <w:b/>
          <w:i/>
          <w:szCs w:val="24"/>
          <w:lang w:val="en-US"/>
        </w:rPr>
        <w:t>održana su i 22 tematska sastanka</w:t>
      </w:r>
      <w:r w:rsidRPr="00800A34">
        <w:rPr>
          <w:rFonts w:ascii="Calibri" w:eastAsia="Calibri" w:hAnsi="Calibri" w:cs="Arial"/>
          <w:szCs w:val="24"/>
          <w:lang w:val="en-US"/>
        </w:rPr>
        <w:t xml:space="preserve"> pregovaračke grupe koja se odnose na pregovaračko Poglavlje 18 - Statistika, a sa ciljem ispunjenja mjerila za zatvaranje Poglavlja 18 - Statistika;</w:t>
      </w:r>
    </w:p>
    <w:p w:rsidR="0039737E" w:rsidRPr="00800A34" w:rsidRDefault="0039737E" w:rsidP="0039737E">
      <w:pPr>
        <w:spacing w:before="0" w:after="0" w:line="240" w:lineRule="auto"/>
        <w:contextualSpacing/>
        <w:rPr>
          <w:rFonts w:ascii="Calibri" w:eastAsia="Calibri" w:hAnsi="Calibri" w:cs="Arial"/>
          <w:szCs w:val="24"/>
          <w:lang w:val="en-US"/>
        </w:rPr>
      </w:pPr>
      <w:r>
        <w:rPr>
          <w:rFonts w:ascii="Calibri" w:eastAsia="Calibri" w:hAnsi="Calibri" w:cs="Arial"/>
          <w:szCs w:val="24"/>
          <w:lang w:val="en-US"/>
        </w:rPr>
        <w:t xml:space="preserve">   - </w:t>
      </w:r>
      <w:r w:rsidRPr="00800A34">
        <w:rPr>
          <w:rFonts w:ascii="Calibri" w:eastAsia="Calibri" w:hAnsi="Calibri" w:cs="Arial"/>
          <w:szCs w:val="24"/>
          <w:lang w:val="en-US"/>
        </w:rPr>
        <w:t xml:space="preserve">u okviru procesa evropskih integracija, Poglavlje 18 - Statistika je shodno izvještaju o napretku Evropske komisije za 2020. godinu ostvarilo </w:t>
      </w:r>
      <w:r w:rsidRPr="00800A34">
        <w:rPr>
          <w:rFonts w:ascii="Calibri" w:eastAsia="Calibri" w:hAnsi="Calibri" w:cs="Arial"/>
          <w:b/>
          <w:szCs w:val="24"/>
          <w:lang w:val="en-US"/>
        </w:rPr>
        <w:t>ocjenu “</w:t>
      </w:r>
      <w:r w:rsidRPr="00800A34">
        <w:rPr>
          <w:rFonts w:ascii="Calibri" w:eastAsia="Calibri" w:hAnsi="Calibri" w:cs="Arial"/>
          <w:b/>
          <w:i/>
          <w:szCs w:val="24"/>
          <w:lang w:val="en-US"/>
        </w:rPr>
        <w:t>određeni napredak</w:t>
      </w:r>
      <w:r w:rsidRPr="00800A34">
        <w:rPr>
          <w:rFonts w:ascii="Calibri" w:eastAsia="Calibri" w:hAnsi="Calibri" w:cs="Arial"/>
          <w:b/>
          <w:szCs w:val="24"/>
          <w:lang w:val="en-US"/>
        </w:rPr>
        <w:t>” i “</w:t>
      </w:r>
      <w:r w:rsidRPr="00800A34">
        <w:rPr>
          <w:rFonts w:ascii="Calibri" w:eastAsia="Calibri" w:hAnsi="Calibri" w:cs="Arial"/>
          <w:b/>
          <w:i/>
          <w:szCs w:val="24"/>
          <w:lang w:val="en-US"/>
        </w:rPr>
        <w:t>umjerenu spremnost</w:t>
      </w:r>
      <w:r w:rsidRPr="00800A34">
        <w:rPr>
          <w:rFonts w:ascii="Calibri" w:eastAsia="Calibri" w:hAnsi="Calibri" w:cs="Arial"/>
          <w:b/>
          <w:szCs w:val="24"/>
          <w:lang w:val="en-US"/>
        </w:rPr>
        <w:t>”.</w:t>
      </w:r>
      <w:r w:rsidRPr="00800A34">
        <w:rPr>
          <w:rFonts w:ascii="Calibri" w:eastAsia="Calibri" w:hAnsi="Calibri" w:cs="Arial"/>
          <w:szCs w:val="24"/>
          <w:lang w:val="en-US"/>
        </w:rPr>
        <w:t xml:space="preserve"> Napredak je u izvještaju evidentiran u svim pojedinačnim oblastima, a predložene su i dvije preporuke Evropske komisije za dalji proces evropskih integracija koje se odnose na potrebu značajnog povećanja ljudskih i finansijskih kapaciteta, kao i nastavka rada na usaglašavanju sa ESA 2010 metodologijom. Na skali od 1-100, prema indikatoru Svjetske banke za ocjenu statističkog kapaciteta, Crna Gora je ocijenjena sa prosječnom ocjenom 85,6%, što je za 13,4 procentnih poena više u odnosu na 2013. godinu.</w:t>
      </w:r>
    </w:p>
    <w:p w:rsidR="0039737E" w:rsidRPr="00800A34" w:rsidRDefault="0039737E" w:rsidP="0039737E">
      <w:pPr>
        <w:spacing w:before="0" w:after="0" w:line="240" w:lineRule="auto"/>
        <w:contextualSpacing/>
        <w:rPr>
          <w:rFonts w:ascii="Calibri" w:eastAsia="Calibri" w:hAnsi="Calibri" w:cs="Arial"/>
          <w:b/>
          <w:szCs w:val="24"/>
          <w:lang w:val="en-US"/>
        </w:rPr>
      </w:pPr>
    </w:p>
    <w:p w:rsidR="0039737E" w:rsidRPr="00800A34" w:rsidRDefault="0039737E" w:rsidP="0039737E">
      <w:pPr>
        <w:numPr>
          <w:ilvl w:val="0"/>
          <w:numId w:val="69"/>
        </w:numPr>
        <w:spacing w:before="0" w:after="360" w:line="240" w:lineRule="auto"/>
        <w:contextualSpacing/>
        <w:jc w:val="left"/>
        <w:rPr>
          <w:rFonts w:ascii="Calibri" w:eastAsia="Calibri" w:hAnsi="Calibri" w:cs="Arial"/>
          <w:b/>
          <w:szCs w:val="24"/>
          <w:lang w:val="en-US"/>
        </w:rPr>
      </w:pPr>
      <w:r w:rsidRPr="00800A34">
        <w:rPr>
          <w:rFonts w:ascii="Calibri" w:eastAsia="Calibri" w:hAnsi="Calibri" w:cs="Arial"/>
          <w:b/>
          <w:szCs w:val="24"/>
          <w:lang w:val="en-US"/>
        </w:rPr>
        <w:t>Uspostavljanje stalnog dijaloga sa korisnicima podataka i razvoj partnerstva</w:t>
      </w:r>
    </w:p>
    <w:p w:rsidR="0039737E" w:rsidRPr="00800A34" w:rsidRDefault="0039737E" w:rsidP="0039737E">
      <w:pPr>
        <w:numPr>
          <w:ilvl w:val="0"/>
          <w:numId w:val="71"/>
        </w:numPr>
        <w:spacing w:before="0" w:after="0" w:line="240" w:lineRule="auto"/>
        <w:contextualSpacing/>
        <w:rPr>
          <w:rFonts w:ascii="Calibri" w:eastAsia="Calibri" w:hAnsi="Calibri" w:cs="Arial"/>
          <w:szCs w:val="24"/>
          <w:lang w:val="en-US"/>
        </w:rPr>
      </w:pPr>
      <w:r w:rsidRPr="00800A34">
        <w:rPr>
          <w:rFonts w:ascii="Calibri" w:eastAsia="Calibri" w:hAnsi="Calibri" w:cs="Arial"/>
          <w:szCs w:val="24"/>
          <w:lang w:val="en-US"/>
        </w:rPr>
        <w:t xml:space="preserve">sprovedeno drugo </w:t>
      </w:r>
      <w:r w:rsidRPr="00800A34">
        <w:rPr>
          <w:rFonts w:ascii="Calibri" w:eastAsia="Calibri" w:hAnsi="Calibri" w:cs="Arial"/>
          <w:b/>
          <w:i/>
          <w:szCs w:val="24"/>
          <w:lang w:val="en-US"/>
        </w:rPr>
        <w:t>Istraživanje o zadovoljstvu korisnika</w:t>
      </w:r>
      <w:r w:rsidRPr="00800A34">
        <w:rPr>
          <w:rFonts w:ascii="Calibri" w:eastAsia="Calibri" w:hAnsi="Calibri" w:cs="Arial"/>
          <w:szCs w:val="24"/>
          <w:lang w:val="en-US"/>
        </w:rPr>
        <w:t xml:space="preserve"> u periodu od 6. marta do 27. aprila 2020. godine, koje pruža informacije o potrebama korisnika za rezultatima zvanične statistike i njihovom zadovoljstvu podacima i uslugama koje sistem zvanične statistike Crne Gore proizvodi;</w:t>
      </w:r>
    </w:p>
    <w:p w:rsidR="0039737E" w:rsidRPr="00800A34" w:rsidRDefault="0039737E" w:rsidP="0039737E">
      <w:pPr>
        <w:numPr>
          <w:ilvl w:val="0"/>
          <w:numId w:val="71"/>
        </w:numPr>
        <w:spacing w:before="0" w:after="0" w:line="240" w:lineRule="auto"/>
        <w:contextualSpacing/>
        <w:rPr>
          <w:rFonts w:ascii="Calibri" w:eastAsia="Calibri" w:hAnsi="Calibri" w:cs="Arial"/>
          <w:szCs w:val="24"/>
          <w:lang w:val="en-US"/>
        </w:rPr>
      </w:pPr>
      <w:r w:rsidRPr="00800A34">
        <w:rPr>
          <w:rFonts w:ascii="Calibri" w:eastAsia="Calibri" w:hAnsi="Calibri" w:cs="Arial"/>
          <w:szCs w:val="24"/>
          <w:lang w:val="en-US"/>
        </w:rPr>
        <w:t xml:space="preserve">shodno rezultatima </w:t>
      </w:r>
      <w:r w:rsidRPr="00800A34">
        <w:rPr>
          <w:rFonts w:ascii="Calibri" w:eastAsia="Calibri" w:hAnsi="Calibri" w:cs="Arial"/>
          <w:b/>
          <w:i/>
          <w:szCs w:val="24"/>
          <w:lang w:val="en-US"/>
        </w:rPr>
        <w:t>Istraživanja o zadovoljstvu korisnika</w:t>
      </w:r>
      <w:r w:rsidRPr="00800A34">
        <w:rPr>
          <w:rFonts w:ascii="Calibri" w:eastAsia="Calibri" w:hAnsi="Calibri" w:cs="Arial"/>
          <w:szCs w:val="24"/>
          <w:lang w:val="en-US"/>
        </w:rPr>
        <w:t xml:space="preserve">, ukupna prosječna ocjena zadovoljstva korisnika uslugama Uprave za statistiku na skali od 1 do 5 (1-nezadovoljan, 5-veoma zadovoljan) je 4,0. Posmatrano po elemetima ukupnog indeksa zadovoljstva, korisnici su najviše zadovoljni zaposlenima u Upravi za statistiku (4,3), pouzdanošću </w:t>
      </w:r>
      <w:r w:rsidRPr="00800A34">
        <w:rPr>
          <w:rFonts w:ascii="Calibri" w:eastAsia="Calibri" w:hAnsi="Calibri" w:cs="Arial"/>
          <w:szCs w:val="24"/>
          <w:lang w:val="en-US"/>
        </w:rPr>
        <w:lastRenderedPageBreak/>
        <w:t>podataka (4,1) i uopšteno kvalitetom podataka i usluga (4,0), dok su najmanje zadovoljni internet stranicom Uprave za statistiku (3,8);</w:t>
      </w:r>
    </w:p>
    <w:p w:rsidR="0039737E" w:rsidRPr="00800A34" w:rsidRDefault="0039737E" w:rsidP="0039737E">
      <w:pPr>
        <w:numPr>
          <w:ilvl w:val="0"/>
          <w:numId w:val="71"/>
        </w:numPr>
        <w:spacing w:before="0" w:after="0" w:line="240" w:lineRule="auto"/>
        <w:contextualSpacing/>
        <w:rPr>
          <w:rFonts w:ascii="Calibri" w:eastAsia="Calibri" w:hAnsi="Calibri" w:cs="Arial"/>
          <w:szCs w:val="24"/>
          <w:lang w:val="en-US"/>
        </w:rPr>
      </w:pPr>
      <w:r w:rsidRPr="00800A34">
        <w:rPr>
          <w:rFonts w:ascii="Calibri" w:eastAsia="Calibri" w:hAnsi="Calibri" w:cs="Arial"/>
          <w:szCs w:val="24"/>
          <w:lang w:val="en-US"/>
        </w:rPr>
        <w:t>u saradnji sa licenciranim naučno-istraživačkim institucijama iz Crne Gore iz oblasti zdravstva (Institit za javno zdravlje Crne Gore i Klinički centar Crne Gore) i oblasti ekonomije (Institut za strateške studije i projekcije), pripremljen prijedlog naučno - istraživačkog projekta za javni konkurs Ministarstva nauke za dodjelu grantova za naučno - istraživačke projekte COVID - 19, projekat je pozitivno ocijenjen, što je rezultiralo kreiranim podsistemom zvanične statistike od 60 indikatora;</w:t>
      </w:r>
    </w:p>
    <w:p w:rsidR="0039737E" w:rsidRPr="00800A34" w:rsidRDefault="0039737E" w:rsidP="0039737E">
      <w:pPr>
        <w:numPr>
          <w:ilvl w:val="0"/>
          <w:numId w:val="71"/>
        </w:numPr>
        <w:spacing w:before="0" w:after="0" w:line="240" w:lineRule="auto"/>
        <w:contextualSpacing/>
        <w:rPr>
          <w:rFonts w:ascii="Calibri" w:eastAsia="Calibri" w:hAnsi="Calibri" w:cs="Arial"/>
          <w:szCs w:val="24"/>
          <w:lang w:val="en-US"/>
        </w:rPr>
      </w:pPr>
      <w:r w:rsidRPr="00800A34">
        <w:rPr>
          <w:rFonts w:ascii="Calibri" w:eastAsia="Calibri" w:hAnsi="Calibri" w:cs="Arial"/>
          <w:szCs w:val="24"/>
          <w:lang w:val="en-US"/>
        </w:rPr>
        <w:t>u toku 2020. godine održane su dvije sjednice Savjeta statističkog sistema (u februaru i oktobru), u cilju davanja stručnog mišljenja o pitanjima zvanične statistike.</w:t>
      </w:r>
    </w:p>
    <w:p w:rsidR="0039737E" w:rsidRPr="00800A34" w:rsidRDefault="0039737E" w:rsidP="0039737E">
      <w:pPr>
        <w:spacing w:before="0" w:after="0" w:line="240" w:lineRule="auto"/>
        <w:rPr>
          <w:rFonts w:ascii="Calibri" w:eastAsia="Calibri" w:hAnsi="Calibri" w:cs="Arial"/>
          <w:b/>
          <w:i/>
          <w:szCs w:val="24"/>
          <w:lang w:val="en-US"/>
        </w:rPr>
      </w:pPr>
    </w:p>
    <w:p w:rsidR="0039737E" w:rsidRPr="00800A34" w:rsidRDefault="0039737E" w:rsidP="0039737E">
      <w:pPr>
        <w:numPr>
          <w:ilvl w:val="0"/>
          <w:numId w:val="69"/>
        </w:numPr>
        <w:spacing w:before="0" w:after="0" w:line="240" w:lineRule="auto"/>
        <w:contextualSpacing/>
        <w:rPr>
          <w:rFonts w:ascii="Calibri" w:eastAsia="Calibri" w:hAnsi="Calibri" w:cs="Arial"/>
          <w:b/>
          <w:szCs w:val="24"/>
          <w:lang w:val="en-US"/>
        </w:rPr>
      </w:pPr>
      <w:bookmarkStart w:id="244" w:name="_Hlk60646495"/>
      <w:r w:rsidRPr="00800A34">
        <w:rPr>
          <w:rFonts w:ascii="Calibri" w:eastAsia="Calibri" w:hAnsi="Calibri" w:cs="Arial"/>
          <w:b/>
          <w:szCs w:val="24"/>
          <w:lang w:val="en-US"/>
        </w:rPr>
        <w:t>Edukacija statističara kao naučnika koji rade sa podacima</w:t>
      </w:r>
    </w:p>
    <w:bookmarkEnd w:id="244"/>
    <w:p w:rsidR="0039737E" w:rsidRPr="00800A34" w:rsidRDefault="0039737E" w:rsidP="0039737E">
      <w:pPr>
        <w:numPr>
          <w:ilvl w:val="0"/>
          <w:numId w:val="72"/>
        </w:numPr>
        <w:spacing w:before="0" w:after="0" w:line="240" w:lineRule="auto"/>
        <w:contextualSpacing/>
        <w:rPr>
          <w:rFonts w:ascii="Calibri" w:eastAsia="Calibri" w:hAnsi="Calibri" w:cs="Arial"/>
          <w:szCs w:val="24"/>
          <w:lang w:val="en-US"/>
        </w:rPr>
      </w:pPr>
      <w:r w:rsidRPr="00800A34">
        <w:rPr>
          <w:rFonts w:ascii="Calibri" w:eastAsia="Calibri" w:hAnsi="Calibri" w:cs="Arial"/>
          <w:szCs w:val="24"/>
          <w:lang w:val="en-US"/>
        </w:rPr>
        <w:t>ukupan broj zaposlenih u Upravi za statistiku na kraju 2020. godine je 99 izvršilaca od toga 95 na neodređeno vrijeme i 4 na određeno vrijeme (visokorukovodni kadar);</w:t>
      </w:r>
    </w:p>
    <w:p w:rsidR="0039737E" w:rsidRPr="00800A34" w:rsidRDefault="0039737E" w:rsidP="0039737E">
      <w:pPr>
        <w:numPr>
          <w:ilvl w:val="0"/>
          <w:numId w:val="72"/>
        </w:numPr>
        <w:spacing w:before="0" w:after="0" w:line="240" w:lineRule="auto"/>
        <w:contextualSpacing/>
        <w:rPr>
          <w:rFonts w:ascii="Calibri" w:eastAsia="Calibri" w:hAnsi="Calibri" w:cs="Arial"/>
          <w:szCs w:val="24"/>
          <w:lang w:val="en-US"/>
        </w:rPr>
      </w:pPr>
      <w:r w:rsidRPr="00800A34">
        <w:rPr>
          <w:rFonts w:ascii="Calibri" w:eastAsia="Calibri" w:hAnsi="Calibri" w:cs="Arial"/>
          <w:szCs w:val="24"/>
          <w:lang w:val="en-US"/>
        </w:rPr>
        <w:t>jedan zaposleni Uprave za statistiku je uspješno završio Magistarski evropski program zvanične statistike (eng. European Master in Official Statistics – EMOS), u toku je proces za još četiri zaposlena;</w:t>
      </w:r>
    </w:p>
    <w:p w:rsidR="0039737E" w:rsidRPr="00800A34" w:rsidRDefault="0039737E" w:rsidP="0039737E">
      <w:pPr>
        <w:numPr>
          <w:ilvl w:val="0"/>
          <w:numId w:val="72"/>
        </w:numPr>
        <w:spacing w:before="0" w:after="0" w:line="240" w:lineRule="auto"/>
        <w:contextualSpacing/>
        <w:rPr>
          <w:rFonts w:ascii="Calibri" w:eastAsia="Calibri" w:hAnsi="Calibri" w:cs="Arial"/>
          <w:szCs w:val="24"/>
          <w:lang w:val="en-US"/>
        </w:rPr>
      </w:pPr>
      <w:r w:rsidRPr="00800A34">
        <w:rPr>
          <w:rFonts w:ascii="Calibri" w:eastAsia="Calibri" w:hAnsi="Calibri" w:cs="Arial"/>
          <w:szCs w:val="24"/>
          <w:lang w:val="en-US"/>
        </w:rPr>
        <w:t>ukupan broj učesnika na online seminarima, kursevima i sastancima (EUROSTAT i UN sastanci) je 166. Organizatori online događaja su EUROSTAT, GOPA, ICON institut, UNECE, Energy Community, FAO, itd.</w:t>
      </w:r>
    </w:p>
    <w:p w:rsidR="0039737E" w:rsidRPr="00800A34" w:rsidRDefault="0039737E" w:rsidP="0039737E">
      <w:pPr>
        <w:numPr>
          <w:ilvl w:val="0"/>
          <w:numId w:val="72"/>
        </w:numPr>
        <w:spacing w:before="0" w:after="0" w:line="240" w:lineRule="auto"/>
        <w:contextualSpacing/>
        <w:rPr>
          <w:rFonts w:ascii="Calibri" w:eastAsia="Calibri" w:hAnsi="Calibri" w:cs="Arial"/>
          <w:szCs w:val="24"/>
          <w:lang w:val="en-US"/>
        </w:rPr>
      </w:pPr>
      <w:r w:rsidRPr="00800A34">
        <w:rPr>
          <w:rFonts w:ascii="Calibri" w:eastAsia="Calibri" w:hAnsi="Calibri" w:cs="Arial"/>
          <w:szCs w:val="24"/>
          <w:lang w:val="en-US"/>
        </w:rPr>
        <w:t>organizovana su 24 seminara/obuke unutar Uprave za statistiku za različite teme iz oblasti statistike u cilju razmjene stručnih vještina.</w:t>
      </w:r>
    </w:p>
    <w:p w:rsidR="0039737E" w:rsidRPr="00800A34" w:rsidRDefault="0039737E" w:rsidP="0039737E">
      <w:pPr>
        <w:spacing w:before="0" w:after="0" w:line="240" w:lineRule="auto"/>
        <w:rPr>
          <w:rFonts w:ascii="Calibri" w:eastAsia="Calibri" w:hAnsi="Calibri" w:cs="Arial"/>
          <w:szCs w:val="24"/>
          <w:lang w:val="en-US"/>
        </w:rPr>
      </w:pPr>
    </w:p>
    <w:p w:rsidR="0039737E" w:rsidRPr="00800A34" w:rsidRDefault="0039737E" w:rsidP="0039737E">
      <w:pPr>
        <w:numPr>
          <w:ilvl w:val="0"/>
          <w:numId w:val="69"/>
        </w:numPr>
        <w:spacing w:before="0" w:after="0" w:line="240" w:lineRule="auto"/>
        <w:contextualSpacing/>
        <w:rPr>
          <w:rFonts w:ascii="Calibri" w:eastAsia="Calibri" w:hAnsi="Calibri" w:cs="Arial"/>
          <w:b/>
          <w:szCs w:val="24"/>
          <w:lang w:val="en-US"/>
        </w:rPr>
      </w:pPr>
      <w:r w:rsidRPr="00800A34">
        <w:rPr>
          <w:rFonts w:ascii="Calibri" w:eastAsia="Calibri" w:hAnsi="Calibri" w:cs="Arial"/>
          <w:b/>
          <w:szCs w:val="24"/>
          <w:lang w:val="en-US"/>
        </w:rPr>
        <w:t>Dalja implementacija Kodeksa kvaliteta zvanične statistike</w:t>
      </w:r>
    </w:p>
    <w:p w:rsidR="0039737E" w:rsidRPr="00800A34" w:rsidRDefault="0039737E" w:rsidP="0039737E">
      <w:pPr>
        <w:numPr>
          <w:ilvl w:val="0"/>
          <w:numId w:val="73"/>
        </w:numPr>
        <w:spacing w:before="0" w:after="0" w:line="240" w:lineRule="auto"/>
        <w:contextualSpacing/>
        <w:rPr>
          <w:rFonts w:ascii="Calibri" w:eastAsia="Calibri" w:hAnsi="Calibri" w:cs="Arial"/>
          <w:szCs w:val="24"/>
          <w:lang w:val="en-US"/>
        </w:rPr>
      </w:pPr>
      <w:r w:rsidRPr="00800A34">
        <w:rPr>
          <w:rFonts w:ascii="Calibri" w:eastAsia="Calibri" w:hAnsi="Calibri" w:cs="Arial"/>
          <w:szCs w:val="24"/>
          <w:lang w:val="en-US"/>
        </w:rPr>
        <w:t>definisan Akcioni plan za realizaciju preporuka koje su date nakon realizovane EUROSTAT-ove misije „</w:t>
      </w:r>
      <w:r w:rsidRPr="00800A34">
        <w:rPr>
          <w:rFonts w:ascii="Calibri" w:eastAsia="Calibri" w:hAnsi="Calibri" w:cs="Arial"/>
          <w:i/>
          <w:szCs w:val="24"/>
          <w:lang w:val="en-US"/>
        </w:rPr>
        <w:t>Procjena sistema zvanične statistike</w:t>
      </w:r>
      <w:r w:rsidRPr="00800A34">
        <w:rPr>
          <w:rFonts w:ascii="Calibri" w:eastAsia="Calibri" w:hAnsi="Calibri" w:cs="Arial"/>
          <w:szCs w:val="24"/>
          <w:lang w:val="en-US"/>
        </w:rPr>
        <w:t>“ (Peer review). Realizovane su sve aktivnosti predviđene za 2020. godinu, koje su doprinijele jačanju koordinacije na nivou statističkog sistema Crne Gore, izgradnji kapaciteta i uspostavljanju dijaloga sa korisnicima podataka;</w:t>
      </w:r>
    </w:p>
    <w:p w:rsidR="0039737E" w:rsidRPr="00800A34" w:rsidRDefault="0039737E" w:rsidP="0039737E">
      <w:pPr>
        <w:numPr>
          <w:ilvl w:val="0"/>
          <w:numId w:val="73"/>
        </w:numPr>
        <w:spacing w:before="0" w:after="0" w:line="240" w:lineRule="auto"/>
        <w:contextualSpacing/>
        <w:rPr>
          <w:rFonts w:ascii="Calibri" w:eastAsia="Calibri" w:hAnsi="Calibri" w:cs="Arial"/>
          <w:szCs w:val="24"/>
          <w:lang w:val="en-US"/>
        </w:rPr>
      </w:pPr>
      <w:r w:rsidRPr="00800A34">
        <w:rPr>
          <w:rFonts w:ascii="Calibri" w:eastAsia="Calibri" w:hAnsi="Calibri" w:cs="Arial"/>
          <w:szCs w:val="24"/>
          <w:lang w:val="en-US"/>
        </w:rPr>
        <w:t xml:space="preserve">objavljena </w:t>
      </w:r>
      <w:r w:rsidRPr="00800A34">
        <w:rPr>
          <w:rFonts w:ascii="Calibri" w:eastAsia="Calibri" w:hAnsi="Calibri" w:cs="Arial"/>
          <w:b/>
          <w:i/>
          <w:szCs w:val="24"/>
          <w:lang w:val="en-US"/>
        </w:rPr>
        <w:t>Politika kvaliteta</w:t>
      </w:r>
      <w:r w:rsidRPr="00800A34">
        <w:rPr>
          <w:rFonts w:ascii="Calibri" w:eastAsia="Calibri" w:hAnsi="Calibri" w:cs="Arial"/>
          <w:szCs w:val="24"/>
          <w:lang w:val="en-US"/>
        </w:rPr>
        <w:t xml:space="preserve"> u Upravi za statistiku, dokument kojim se definiše misija i vizija zvanične statistike, kao i definisani strateški i operativni ciljevi;</w:t>
      </w:r>
    </w:p>
    <w:p w:rsidR="0039737E" w:rsidRPr="00800A34" w:rsidRDefault="0039737E" w:rsidP="0039737E">
      <w:pPr>
        <w:numPr>
          <w:ilvl w:val="0"/>
          <w:numId w:val="73"/>
        </w:numPr>
        <w:spacing w:before="0" w:after="0" w:line="240" w:lineRule="auto"/>
        <w:contextualSpacing/>
        <w:rPr>
          <w:rFonts w:ascii="Calibri" w:eastAsia="Calibri" w:hAnsi="Calibri" w:cs="Arial"/>
          <w:szCs w:val="24"/>
          <w:lang w:val="en-US"/>
        </w:rPr>
      </w:pPr>
      <w:r w:rsidRPr="00800A34">
        <w:rPr>
          <w:rFonts w:ascii="Calibri" w:eastAsia="Calibri" w:hAnsi="Calibri" w:cs="Arial"/>
          <w:szCs w:val="24"/>
          <w:lang w:val="en-US"/>
        </w:rPr>
        <w:t xml:space="preserve">radi obezbjeđenja kvaliteta rezultata zvanične statistike Uprava za statistiku donijela </w:t>
      </w:r>
      <w:r w:rsidRPr="00800A34">
        <w:rPr>
          <w:rFonts w:ascii="Calibri" w:eastAsia="Calibri" w:hAnsi="Calibri" w:cs="Arial"/>
          <w:b/>
          <w:i/>
          <w:szCs w:val="24"/>
          <w:lang w:val="en-US"/>
        </w:rPr>
        <w:t>Deklaraciju kvaliteta</w:t>
      </w:r>
      <w:r w:rsidRPr="00800A34">
        <w:rPr>
          <w:rFonts w:ascii="Calibri" w:eastAsia="Calibri" w:hAnsi="Calibri" w:cs="Arial"/>
          <w:szCs w:val="24"/>
          <w:lang w:val="en-US"/>
        </w:rPr>
        <w:t xml:space="preserve"> koja je u skladu sa Politikom kvaliteta i principima zvanične statistike Crne Gore;</w:t>
      </w:r>
    </w:p>
    <w:p w:rsidR="0039737E" w:rsidRPr="00800A34" w:rsidRDefault="0039737E" w:rsidP="0039737E">
      <w:pPr>
        <w:numPr>
          <w:ilvl w:val="0"/>
          <w:numId w:val="73"/>
        </w:numPr>
        <w:spacing w:before="0" w:after="0" w:line="240" w:lineRule="auto"/>
        <w:contextualSpacing/>
        <w:rPr>
          <w:rFonts w:ascii="Calibri" w:eastAsia="Calibri" w:hAnsi="Calibri" w:cs="Arial"/>
          <w:szCs w:val="24"/>
          <w:lang w:val="en-US"/>
        </w:rPr>
      </w:pPr>
      <w:r w:rsidRPr="00800A34">
        <w:rPr>
          <w:rFonts w:ascii="Calibri" w:eastAsia="Calibri" w:hAnsi="Calibri" w:cs="Arial"/>
          <w:szCs w:val="24"/>
          <w:lang w:val="en-US"/>
        </w:rPr>
        <w:t xml:space="preserve">objavljena je </w:t>
      </w:r>
      <w:r w:rsidRPr="00800A34">
        <w:rPr>
          <w:rFonts w:ascii="Calibri" w:eastAsia="Calibri" w:hAnsi="Calibri" w:cs="Arial"/>
          <w:b/>
          <w:i/>
          <w:szCs w:val="24"/>
          <w:lang w:val="en-US"/>
        </w:rPr>
        <w:t>Strategija upravljanja kvalitetom za period 2020 - 2023. godina,</w:t>
      </w:r>
      <w:r w:rsidRPr="00800A34">
        <w:rPr>
          <w:rFonts w:ascii="Calibri" w:eastAsia="Calibri" w:hAnsi="Calibri" w:cs="Arial"/>
          <w:szCs w:val="24"/>
          <w:lang w:val="en-US"/>
        </w:rPr>
        <w:t xml:space="preserve"> koja predstavlja drugi strateški razvojni dokument iz oblasti obezbjeđenja kvaliteta u statističkom sistemu Crne Gore;</w:t>
      </w:r>
    </w:p>
    <w:p w:rsidR="0039737E" w:rsidRPr="00800A34" w:rsidRDefault="0039737E" w:rsidP="0039737E">
      <w:pPr>
        <w:numPr>
          <w:ilvl w:val="0"/>
          <w:numId w:val="73"/>
        </w:numPr>
        <w:spacing w:before="0" w:after="0" w:line="240" w:lineRule="auto"/>
        <w:contextualSpacing/>
        <w:rPr>
          <w:rFonts w:ascii="Calibri" w:eastAsia="Calibri" w:hAnsi="Calibri" w:cs="Arial"/>
          <w:szCs w:val="24"/>
          <w:lang w:val="en-US"/>
        </w:rPr>
      </w:pPr>
      <w:r w:rsidRPr="00800A34">
        <w:rPr>
          <w:rFonts w:ascii="Calibri" w:eastAsia="Calibri" w:hAnsi="Calibri" w:cs="Arial"/>
          <w:szCs w:val="24"/>
          <w:lang w:val="en-US"/>
        </w:rPr>
        <w:t xml:space="preserve">objavljen </w:t>
      </w:r>
      <w:r w:rsidRPr="00800A34">
        <w:rPr>
          <w:rFonts w:ascii="Calibri" w:eastAsia="Calibri" w:hAnsi="Calibri" w:cs="Arial"/>
          <w:b/>
          <w:i/>
          <w:szCs w:val="24"/>
          <w:lang w:val="en-US"/>
        </w:rPr>
        <w:t>Vodič za implementaciju Strategije upravljanja kvalitetom u statističkom sistemu Crne Gore za period 2020 - 2023. godina</w:t>
      </w:r>
      <w:r w:rsidRPr="00800A34">
        <w:rPr>
          <w:rFonts w:ascii="Calibri" w:eastAsia="Calibri" w:hAnsi="Calibri" w:cs="Arial"/>
          <w:szCs w:val="24"/>
          <w:lang w:val="en-US"/>
        </w:rPr>
        <w:t>, dokument koji pruža praktične sugestije za implementaciju strategije;</w:t>
      </w:r>
    </w:p>
    <w:p w:rsidR="0039737E" w:rsidRPr="00800A34" w:rsidRDefault="0039737E" w:rsidP="0039737E">
      <w:pPr>
        <w:numPr>
          <w:ilvl w:val="0"/>
          <w:numId w:val="73"/>
        </w:numPr>
        <w:spacing w:before="0" w:after="0" w:line="240" w:lineRule="auto"/>
        <w:contextualSpacing/>
        <w:rPr>
          <w:rFonts w:ascii="Calibri" w:eastAsia="Calibri" w:hAnsi="Calibri" w:cs="Arial"/>
          <w:szCs w:val="24"/>
          <w:lang w:val="en-US"/>
        </w:rPr>
      </w:pPr>
      <w:r w:rsidRPr="00800A34">
        <w:rPr>
          <w:rFonts w:ascii="Calibri" w:eastAsia="Calibri" w:hAnsi="Calibri" w:cs="Arial"/>
          <w:szCs w:val="24"/>
          <w:lang w:val="en-US"/>
        </w:rPr>
        <w:t>kontinuirano se radi na povećanju nacionalnih izvještaja o kvalitetu za statistička istraživanja, koji su dostupni na sajtu Uprave za statistiku;</w:t>
      </w:r>
    </w:p>
    <w:p w:rsidR="0039737E" w:rsidRPr="00800A34" w:rsidRDefault="0039737E" w:rsidP="0039737E">
      <w:pPr>
        <w:numPr>
          <w:ilvl w:val="0"/>
          <w:numId w:val="73"/>
        </w:numPr>
        <w:spacing w:before="0" w:after="0" w:line="240" w:lineRule="auto"/>
        <w:contextualSpacing/>
        <w:rPr>
          <w:rFonts w:ascii="Calibri" w:eastAsia="Calibri" w:hAnsi="Calibri" w:cs="Arial"/>
          <w:szCs w:val="24"/>
          <w:lang w:val="en-US"/>
        </w:rPr>
      </w:pPr>
      <w:r w:rsidRPr="00800A34">
        <w:rPr>
          <w:rFonts w:ascii="Calibri" w:eastAsia="Calibri" w:hAnsi="Calibri" w:cs="Arial"/>
          <w:szCs w:val="24"/>
          <w:lang w:val="en-US"/>
        </w:rPr>
        <w:t>u skladu sa Kodeksom prakse evropske statistike, pripremljeni su svi preduslovi za realizaciju samoprocjene kvaliteta statističkog sistema, kao jednim od efikasnijih mehanizama procjene statističke proizvodnje;</w:t>
      </w:r>
    </w:p>
    <w:p w:rsidR="0039737E" w:rsidRPr="00800A34" w:rsidRDefault="0039737E" w:rsidP="0039737E">
      <w:pPr>
        <w:numPr>
          <w:ilvl w:val="0"/>
          <w:numId w:val="73"/>
        </w:numPr>
        <w:spacing w:before="0" w:after="0" w:line="240" w:lineRule="auto"/>
        <w:contextualSpacing/>
        <w:rPr>
          <w:rFonts w:ascii="Calibri" w:eastAsia="Calibri" w:hAnsi="Calibri" w:cs="Arial"/>
          <w:szCs w:val="24"/>
          <w:lang w:val="en-US"/>
        </w:rPr>
      </w:pPr>
      <w:r w:rsidRPr="00800A34">
        <w:rPr>
          <w:rFonts w:ascii="Calibri" w:eastAsia="Calibri" w:hAnsi="Calibri" w:cs="Arial"/>
          <w:szCs w:val="24"/>
          <w:lang w:val="en-US"/>
        </w:rPr>
        <w:t>u cilju procjene rada, u toku 2020. godine je izvršeno 13 inspekcijskih nadzora, gdje nije konstatovana veća nepravilnost u radu Uprave za statistiku;</w:t>
      </w:r>
    </w:p>
    <w:p w:rsidR="0039737E" w:rsidRPr="00800A34" w:rsidRDefault="0039737E" w:rsidP="0039737E">
      <w:pPr>
        <w:numPr>
          <w:ilvl w:val="0"/>
          <w:numId w:val="73"/>
        </w:numPr>
        <w:spacing w:before="0" w:after="0" w:line="240" w:lineRule="auto"/>
        <w:contextualSpacing/>
        <w:rPr>
          <w:rFonts w:ascii="Calibri" w:eastAsia="Calibri" w:hAnsi="Calibri" w:cs="Arial"/>
          <w:szCs w:val="24"/>
          <w:lang w:val="en-US"/>
        </w:rPr>
      </w:pPr>
      <w:r w:rsidRPr="00800A34">
        <w:rPr>
          <w:rFonts w:ascii="Calibri" w:eastAsia="Calibri" w:hAnsi="Calibri" w:cs="Arial"/>
          <w:szCs w:val="24"/>
          <w:lang w:val="en-US"/>
        </w:rPr>
        <w:t>pripremljen opšti okvir za razvoj i sprovođenje procesa za definisanje, upravljanje i mjerenje kvaliteta Popisa stanovništva, domaćinstava i stanova 2021. godine.</w:t>
      </w:r>
    </w:p>
    <w:p w:rsidR="0039737E" w:rsidRPr="00800A34" w:rsidRDefault="0039737E" w:rsidP="0039737E">
      <w:pPr>
        <w:spacing w:before="0" w:after="0" w:line="240" w:lineRule="auto"/>
        <w:ind w:left="1080"/>
        <w:contextualSpacing/>
        <w:rPr>
          <w:rFonts w:ascii="Calibri" w:eastAsia="Calibri" w:hAnsi="Calibri" w:cs="Arial"/>
          <w:szCs w:val="24"/>
          <w:lang w:val="en-US"/>
        </w:rPr>
      </w:pPr>
    </w:p>
    <w:p w:rsidR="0039737E" w:rsidRPr="00800A34" w:rsidRDefault="0039737E" w:rsidP="0039737E">
      <w:pPr>
        <w:numPr>
          <w:ilvl w:val="0"/>
          <w:numId w:val="69"/>
        </w:numPr>
        <w:spacing w:before="0" w:after="0" w:line="240" w:lineRule="auto"/>
        <w:contextualSpacing/>
        <w:rPr>
          <w:rFonts w:ascii="Calibri" w:eastAsia="Calibri" w:hAnsi="Calibri" w:cs="Arial"/>
          <w:b/>
          <w:szCs w:val="24"/>
          <w:lang w:val="en-US"/>
        </w:rPr>
      </w:pPr>
      <w:r w:rsidRPr="00800A34">
        <w:rPr>
          <w:rFonts w:ascii="Calibri" w:eastAsia="Calibri" w:hAnsi="Calibri" w:cs="Arial"/>
          <w:b/>
          <w:szCs w:val="24"/>
          <w:lang w:val="en-US"/>
        </w:rPr>
        <w:t>Razvoj IT integrisanog sistema za prikupljanje, obradu, objavljivanje i dokumentovanje rezultata zvanične statistike</w:t>
      </w:r>
    </w:p>
    <w:p w:rsidR="0039737E" w:rsidRPr="00800A34" w:rsidRDefault="0039737E" w:rsidP="0039737E">
      <w:pPr>
        <w:numPr>
          <w:ilvl w:val="0"/>
          <w:numId w:val="73"/>
        </w:numPr>
        <w:spacing w:before="0" w:after="0" w:line="240" w:lineRule="auto"/>
        <w:contextualSpacing/>
        <w:rPr>
          <w:rFonts w:ascii="Calibri" w:eastAsia="Calibri" w:hAnsi="Calibri" w:cs="Arial"/>
          <w:b/>
          <w:szCs w:val="24"/>
          <w:lang w:val="en-US"/>
        </w:rPr>
      </w:pPr>
      <w:r w:rsidRPr="00800A34">
        <w:rPr>
          <w:rFonts w:ascii="Calibri" w:eastAsia="Calibri" w:hAnsi="Calibri" w:cs="Calibri"/>
          <w:kern w:val="20"/>
          <w:szCs w:val="24"/>
          <w:lang w:val="en-US"/>
        </w:rPr>
        <w:t xml:space="preserve">tokom 2020. godine </w:t>
      </w:r>
      <w:r w:rsidRPr="00800A34">
        <w:rPr>
          <w:rFonts w:ascii="Calibri" w:eastAsia="Calibri" w:hAnsi="Calibri" w:cs="Calibri"/>
          <w:b/>
          <w:i/>
          <w:kern w:val="20"/>
          <w:szCs w:val="24"/>
          <w:lang w:val="en-US"/>
        </w:rPr>
        <w:t>povećan je broj setova podataka dostavljenih EUROSTAT-u u SDMX formatu</w:t>
      </w:r>
      <w:r w:rsidRPr="00800A34">
        <w:rPr>
          <w:rFonts w:ascii="Calibri" w:eastAsia="Calibri" w:hAnsi="Calibri" w:cs="Calibri"/>
          <w:kern w:val="20"/>
          <w:szCs w:val="24"/>
          <w:lang w:val="en-US"/>
        </w:rPr>
        <w:t>;</w:t>
      </w:r>
      <w:r w:rsidRPr="00800A34">
        <w:rPr>
          <w:rFonts w:ascii="Calibri" w:eastAsia="Calibri" w:hAnsi="Calibri" w:cs="Calibri"/>
          <w:szCs w:val="24"/>
          <w:lang w:val="en-US"/>
        </w:rPr>
        <w:t xml:space="preserve"> </w:t>
      </w:r>
    </w:p>
    <w:p w:rsidR="0039737E" w:rsidRPr="00800A34" w:rsidRDefault="0039737E" w:rsidP="0039737E">
      <w:pPr>
        <w:numPr>
          <w:ilvl w:val="0"/>
          <w:numId w:val="73"/>
        </w:numPr>
        <w:spacing w:before="0" w:after="0" w:line="240" w:lineRule="auto"/>
        <w:contextualSpacing/>
        <w:rPr>
          <w:rFonts w:ascii="Calibri" w:eastAsia="Calibri" w:hAnsi="Calibri" w:cs="Arial"/>
          <w:szCs w:val="24"/>
          <w:lang w:val="en-US"/>
        </w:rPr>
      </w:pPr>
      <w:r w:rsidRPr="00800A34">
        <w:rPr>
          <w:rFonts w:ascii="Calibri" w:eastAsia="Calibri" w:hAnsi="Calibri" w:cs="Arial"/>
          <w:b/>
          <w:i/>
          <w:szCs w:val="24"/>
          <w:lang w:val="en-US"/>
        </w:rPr>
        <w:t>razvijena softverska rješenja za tri statistička istraživanja</w:t>
      </w:r>
      <w:r w:rsidRPr="00800A34">
        <w:rPr>
          <w:rFonts w:ascii="Calibri" w:eastAsia="Calibri" w:hAnsi="Calibri" w:cs="Arial"/>
          <w:b/>
          <w:szCs w:val="24"/>
          <w:lang w:val="en-US"/>
        </w:rPr>
        <w:t xml:space="preserve"> </w:t>
      </w:r>
      <w:r w:rsidRPr="00800A34">
        <w:rPr>
          <w:rFonts w:ascii="Calibri" w:eastAsia="Calibri" w:hAnsi="Calibri" w:cs="Arial"/>
          <w:szCs w:val="24"/>
          <w:lang w:val="en-US"/>
        </w:rPr>
        <w:t>(Investicije u osnovna sredstva; Istraživanje o prometu pesticida i statistika međunarodnih migracija);</w:t>
      </w:r>
    </w:p>
    <w:p w:rsidR="0039737E" w:rsidRPr="00800A34" w:rsidRDefault="0039737E" w:rsidP="0039737E">
      <w:pPr>
        <w:numPr>
          <w:ilvl w:val="0"/>
          <w:numId w:val="73"/>
        </w:numPr>
        <w:spacing w:before="0" w:after="0" w:line="240" w:lineRule="auto"/>
        <w:contextualSpacing/>
        <w:rPr>
          <w:rFonts w:ascii="Calibri" w:eastAsia="Calibri" w:hAnsi="Calibri" w:cs="Arial"/>
          <w:szCs w:val="24"/>
          <w:lang w:val="en-US"/>
        </w:rPr>
      </w:pPr>
      <w:r w:rsidRPr="00800A34">
        <w:rPr>
          <w:rFonts w:ascii="Calibri" w:eastAsia="Calibri" w:hAnsi="Calibri" w:cs="Arial"/>
          <w:szCs w:val="24"/>
          <w:lang w:val="en-US"/>
        </w:rPr>
        <w:t>za potrebe statistike umrlih i rođenih razvijena su softverska rješenja za obradu podataka u dijelu izračunavanja nedelja smrti i rađanja;</w:t>
      </w:r>
    </w:p>
    <w:p w:rsidR="0039737E" w:rsidRPr="00800A34" w:rsidRDefault="0039737E" w:rsidP="0039737E">
      <w:pPr>
        <w:numPr>
          <w:ilvl w:val="0"/>
          <w:numId w:val="73"/>
        </w:numPr>
        <w:spacing w:before="0" w:after="0" w:line="240" w:lineRule="auto"/>
        <w:contextualSpacing/>
        <w:rPr>
          <w:rFonts w:ascii="Calibri" w:eastAsia="Calibri" w:hAnsi="Calibri" w:cs="Arial"/>
          <w:szCs w:val="24"/>
          <w:lang w:val="en-US"/>
        </w:rPr>
      </w:pPr>
      <w:r w:rsidRPr="00800A34">
        <w:rPr>
          <w:rFonts w:ascii="Calibri" w:eastAsia="Calibri" w:hAnsi="Calibri" w:cs="Arial"/>
          <w:b/>
          <w:i/>
          <w:szCs w:val="24"/>
          <w:lang w:val="en-US"/>
        </w:rPr>
        <w:t>nastavljena modernizacija procesa prikupljanja i obrade podataka</w:t>
      </w:r>
      <w:r w:rsidRPr="00800A34">
        <w:rPr>
          <w:rFonts w:ascii="Calibri" w:eastAsia="Calibri" w:hAnsi="Calibri" w:cs="Arial"/>
          <w:szCs w:val="24"/>
          <w:lang w:val="en-US"/>
        </w:rPr>
        <w:t>, korišćenjem CAPI i CAWI metoda za prikupljanje podataka;</w:t>
      </w:r>
    </w:p>
    <w:p w:rsidR="0039737E" w:rsidRPr="00800A34" w:rsidRDefault="0039737E" w:rsidP="0039737E">
      <w:pPr>
        <w:numPr>
          <w:ilvl w:val="0"/>
          <w:numId w:val="73"/>
        </w:numPr>
        <w:spacing w:before="0" w:after="0" w:line="240" w:lineRule="auto"/>
        <w:contextualSpacing/>
        <w:rPr>
          <w:rFonts w:ascii="Calibri" w:eastAsia="Calibri" w:hAnsi="Calibri" w:cs="Arial"/>
          <w:szCs w:val="24"/>
          <w:lang w:val="en-US"/>
        </w:rPr>
      </w:pPr>
      <w:r w:rsidRPr="00800A34">
        <w:rPr>
          <w:rFonts w:ascii="Calibri" w:eastAsia="Calibri" w:hAnsi="Calibri" w:cs="Arial"/>
          <w:szCs w:val="24"/>
          <w:lang w:val="en-US"/>
        </w:rPr>
        <w:t xml:space="preserve">od strane Državne revizorske institucije </w:t>
      </w:r>
      <w:r w:rsidRPr="00800A34">
        <w:rPr>
          <w:rFonts w:ascii="Calibri" w:eastAsia="Calibri" w:hAnsi="Calibri" w:cs="Arial"/>
          <w:b/>
          <w:i/>
          <w:szCs w:val="24"/>
          <w:lang w:val="en-US"/>
        </w:rPr>
        <w:t>izvršena revizija informacionog sistema</w:t>
      </w:r>
      <w:r w:rsidRPr="00800A34">
        <w:rPr>
          <w:rFonts w:ascii="Calibri" w:eastAsia="Calibri" w:hAnsi="Calibri" w:cs="Arial"/>
          <w:szCs w:val="24"/>
          <w:lang w:val="en-US"/>
        </w:rPr>
        <w:t xml:space="preserve"> Uprave za statistiku u dijelu primjene i poštovanja mjera informacione bezbjednosti;</w:t>
      </w:r>
    </w:p>
    <w:p w:rsidR="0039737E" w:rsidRPr="00800A34" w:rsidRDefault="0039737E" w:rsidP="0039737E">
      <w:pPr>
        <w:numPr>
          <w:ilvl w:val="0"/>
          <w:numId w:val="73"/>
        </w:numPr>
        <w:spacing w:before="0" w:after="0" w:line="240" w:lineRule="auto"/>
        <w:contextualSpacing/>
        <w:rPr>
          <w:rFonts w:ascii="Calibri" w:eastAsia="Calibri" w:hAnsi="Calibri" w:cs="Arial"/>
          <w:szCs w:val="24"/>
          <w:lang w:val="en-US"/>
        </w:rPr>
      </w:pPr>
      <w:r w:rsidRPr="00800A34">
        <w:rPr>
          <w:rFonts w:ascii="Calibri" w:eastAsia="Calibri" w:hAnsi="Calibri" w:cs="Arial"/>
          <w:szCs w:val="24"/>
          <w:lang w:val="en-US"/>
        </w:rPr>
        <w:t>razvijena polazna IT infrastruktura za unos i obradu podataka za potrebe Popisa stanovništva, domaćinstava i stanova 2021. godine.</w:t>
      </w:r>
    </w:p>
    <w:p w:rsidR="0039737E" w:rsidRPr="00800A34" w:rsidRDefault="0039737E" w:rsidP="0039737E">
      <w:pPr>
        <w:spacing w:before="0" w:after="0" w:line="240" w:lineRule="auto"/>
        <w:ind w:left="1080"/>
        <w:contextualSpacing/>
        <w:rPr>
          <w:rFonts w:ascii="Calibri" w:eastAsia="Calibri" w:hAnsi="Calibri" w:cs="Arial"/>
          <w:szCs w:val="24"/>
          <w:lang w:val="en-US"/>
        </w:rPr>
      </w:pPr>
    </w:p>
    <w:p w:rsidR="0039737E" w:rsidRPr="00800A34" w:rsidRDefault="0039737E" w:rsidP="0039737E">
      <w:pPr>
        <w:numPr>
          <w:ilvl w:val="0"/>
          <w:numId w:val="69"/>
        </w:numPr>
        <w:spacing w:before="0" w:after="0" w:line="240" w:lineRule="auto"/>
        <w:contextualSpacing/>
        <w:rPr>
          <w:rFonts w:ascii="Calibri" w:eastAsia="Calibri" w:hAnsi="Calibri" w:cs="Arial"/>
          <w:b/>
          <w:szCs w:val="24"/>
          <w:lang w:val="en-US"/>
        </w:rPr>
      </w:pPr>
      <w:r w:rsidRPr="00800A34">
        <w:rPr>
          <w:rFonts w:ascii="Calibri" w:eastAsia="Calibri" w:hAnsi="Calibri" w:cs="Arial"/>
          <w:b/>
          <w:szCs w:val="24"/>
          <w:lang w:val="en-US"/>
        </w:rPr>
        <w:t>Kreiranje novih izvora podataka za proizvodnju zvanične statistike</w:t>
      </w:r>
    </w:p>
    <w:p w:rsidR="0039737E" w:rsidRPr="00800A34" w:rsidRDefault="0039737E" w:rsidP="0039737E">
      <w:pPr>
        <w:numPr>
          <w:ilvl w:val="0"/>
          <w:numId w:val="75"/>
        </w:numPr>
        <w:spacing w:before="0" w:after="0" w:line="240" w:lineRule="auto"/>
        <w:contextualSpacing/>
        <w:rPr>
          <w:rFonts w:ascii="Calibri" w:eastAsia="Calibri" w:hAnsi="Calibri" w:cs="Arial"/>
          <w:szCs w:val="24"/>
          <w:lang w:val="en-US"/>
        </w:rPr>
      </w:pPr>
      <w:r w:rsidRPr="00800A34">
        <w:rPr>
          <w:rFonts w:ascii="Calibri" w:eastAsia="Calibri" w:hAnsi="Calibri" w:cs="Arial"/>
          <w:szCs w:val="24"/>
          <w:lang w:val="en-US"/>
        </w:rPr>
        <w:t>u saradnji sa UNDP-om nastavljene su aktivnosti za probno preuzimanje podataka iz registra Ministarstva prosvjete preko Jedinstvenog informacionog sistemu za elektronsku razmjenu podataka između državnih organa i organa državne uprave sa kojima Uprava za statistiku ima potpisan Sporazum o saradnji;</w:t>
      </w:r>
    </w:p>
    <w:p w:rsidR="0039737E" w:rsidRPr="00800A34" w:rsidRDefault="0039737E" w:rsidP="0039737E">
      <w:pPr>
        <w:numPr>
          <w:ilvl w:val="0"/>
          <w:numId w:val="75"/>
        </w:numPr>
        <w:spacing w:before="0" w:after="0" w:line="240" w:lineRule="auto"/>
        <w:contextualSpacing/>
        <w:rPr>
          <w:rFonts w:ascii="Calibri" w:eastAsia="Calibri" w:hAnsi="Calibri" w:cs="Arial"/>
          <w:szCs w:val="24"/>
          <w:lang w:val="en-US"/>
        </w:rPr>
      </w:pPr>
      <w:r w:rsidRPr="00800A34">
        <w:rPr>
          <w:rFonts w:ascii="Calibri" w:eastAsia="Calibri" w:hAnsi="Calibri" w:cs="Arial"/>
          <w:szCs w:val="24"/>
          <w:lang w:val="en-US"/>
        </w:rPr>
        <w:t xml:space="preserve">Uprava za statistiku je pripremila predlog za uključivanje oblasti zvanične statistike u </w:t>
      </w:r>
      <w:r w:rsidRPr="00800A34">
        <w:rPr>
          <w:rFonts w:ascii="Calibri" w:eastAsia="Calibri" w:hAnsi="Calibri" w:cs="Arial"/>
          <w:i/>
          <w:szCs w:val="24"/>
          <w:lang w:val="en-US"/>
        </w:rPr>
        <w:t>Strategiju digitalizacije Crne Gore 2021 - 2025. godine</w:t>
      </w:r>
      <w:r w:rsidRPr="00800A34">
        <w:rPr>
          <w:rFonts w:ascii="Calibri" w:eastAsia="Calibri" w:hAnsi="Calibri" w:cs="Arial"/>
          <w:szCs w:val="24"/>
          <w:lang w:val="en-US"/>
        </w:rPr>
        <w:t>, sa ciljem stvaranja jedinstvenog prostora otvorenih podataka kojim upravlja Uprava za statistiku;</w:t>
      </w:r>
    </w:p>
    <w:p w:rsidR="0039737E" w:rsidRPr="00800A34" w:rsidRDefault="0039737E" w:rsidP="0039737E">
      <w:pPr>
        <w:numPr>
          <w:ilvl w:val="0"/>
          <w:numId w:val="75"/>
        </w:numPr>
        <w:spacing w:before="0" w:after="0" w:line="240" w:lineRule="auto"/>
        <w:contextualSpacing/>
        <w:rPr>
          <w:rFonts w:ascii="Calibri" w:eastAsia="Calibri" w:hAnsi="Calibri" w:cs="Arial"/>
          <w:szCs w:val="24"/>
          <w:lang w:val="en-US"/>
        </w:rPr>
      </w:pPr>
      <w:r w:rsidRPr="00800A34">
        <w:rPr>
          <w:rFonts w:ascii="Calibri" w:eastAsia="Calibri" w:hAnsi="Calibri" w:cs="Arial"/>
          <w:szCs w:val="24"/>
          <w:lang w:val="en-US"/>
        </w:rPr>
        <w:t>U toku 2020. godine, u cilju povećanog korišćenja administrativnih izvora podataka za potrebe proizvodnje zvnične statistike, ura</w:t>
      </w:r>
      <w:r w:rsidRPr="00800A34">
        <w:rPr>
          <w:rFonts w:ascii="Calibri" w:eastAsia="Calibri" w:hAnsi="Calibri" w:cs="Arial"/>
          <w:szCs w:val="24"/>
          <w:lang w:val="sr-Latn-ME"/>
        </w:rPr>
        <w:t>đena analiza mogućnosti obračuna zarada iz baza podataka Poreske uprave. Rezultati analize pokazali su da bi glavni problemi pri proizvodnji podataka o zaradama bili vezani za princip pravovremenosti. Naime, podaci bi bili objavljivani 45 dana od mjeseca na koji se zarade odnose. (npr. 15-og marta bi bili publikovani podaci o prosječnim zaradama za januar mjesec).</w:t>
      </w:r>
    </w:p>
    <w:p w:rsidR="0039737E" w:rsidRPr="00800A34" w:rsidRDefault="0039737E" w:rsidP="0039737E">
      <w:pPr>
        <w:spacing w:before="0" w:after="0" w:line="240" w:lineRule="auto"/>
        <w:ind w:left="1440"/>
        <w:contextualSpacing/>
        <w:rPr>
          <w:rFonts w:ascii="Calibri" w:eastAsia="Calibri" w:hAnsi="Calibri" w:cs="Arial"/>
          <w:szCs w:val="24"/>
          <w:lang w:val="en-US"/>
        </w:rPr>
      </w:pPr>
    </w:p>
    <w:p w:rsidR="0039737E" w:rsidRPr="00800A34" w:rsidRDefault="0039737E" w:rsidP="0039737E">
      <w:pPr>
        <w:numPr>
          <w:ilvl w:val="0"/>
          <w:numId w:val="69"/>
        </w:numPr>
        <w:spacing w:before="0" w:after="0" w:line="240" w:lineRule="auto"/>
        <w:contextualSpacing/>
        <w:rPr>
          <w:rFonts w:ascii="Calibri" w:eastAsia="Calibri" w:hAnsi="Calibri" w:cs="Arial"/>
          <w:b/>
          <w:szCs w:val="24"/>
          <w:lang w:val="en-US"/>
        </w:rPr>
      </w:pPr>
      <w:r w:rsidRPr="00800A34">
        <w:rPr>
          <w:rFonts w:ascii="Calibri" w:eastAsia="Calibri" w:hAnsi="Calibri" w:cs="Arial"/>
          <w:b/>
          <w:szCs w:val="24"/>
          <w:lang w:val="en-US"/>
        </w:rPr>
        <w:t>Razvoj diseminacije i komunikacije podataka u skladu sa potrebama digitalnog društva</w:t>
      </w:r>
    </w:p>
    <w:p w:rsidR="0039737E" w:rsidRPr="00800A34" w:rsidRDefault="0039737E" w:rsidP="0039737E">
      <w:pPr>
        <w:numPr>
          <w:ilvl w:val="0"/>
          <w:numId w:val="74"/>
        </w:numPr>
        <w:spacing w:before="0" w:after="0" w:line="240" w:lineRule="auto"/>
        <w:contextualSpacing/>
        <w:rPr>
          <w:rFonts w:ascii="Calibri" w:eastAsia="Calibri" w:hAnsi="Calibri" w:cs="Arial"/>
          <w:szCs w:val="24"/>
          <w:lang w:val="en-US"/>
        </w:rPr>
      </w:pPr>
      <w:r w:rsidRPr="00800A34">
        <w:rPr>
          <w:rFonts w:ascii="Calibri" w:eastAsia="Calibri" w:hAnsi="Calibri" w:cs="Arial"/>
          <w:szCs w:val="24"/>
          <w:lang w:val="en-US"/>
        </w:rPr>
        <w:t xml:space="preserve">promocija rezultata zvanične statistike putem </w:t>
      </w:r>
      <w:r w:rsidRPr="00800A34">
        <w:rPr>
          <w:rFonts w:ascii="Calibri" w:eastAsia="Calibri" w:hAnsi="Calibri" w:cs="Arial"/>
          <w:b/>
          <w:i/>
          <w:szCs w:val="24"/>
          <w:lang w:val="en-US"/>
        </w:rPr>
        <w:t>infografika</w:t>
      </w:r>
      <w:r w:rsidRPr="00800A34">
        <w:rPr>
          <w:rFonts w:ascii="Calibri" w:eastAsia="Calibri" w:hAnsi="Calibri" w:cs="Arial"/>
          <w:szCs w:val="24"/>
          <w:lang w:val="en-US"/>
        </w:rPr>
        <w:t>;</w:t>
      </w:r>
    </w:p>
    <w:p w:rsidR="0039737E" w:rsidRPr="00800A34" w:rsidRDefault="0039737E" w:rsidP="0039737E">
      <w:pPr>
        <w:numPr>
          <w:ilvl w:val="0"/>
          <w:numId w:val="74"/>
        </w:numPr>
        <w:spacing w:before="0" w:after="0" w:line="240" w:lineRule="auto"/>
        <w:contextualSpacing/>
        <w:rPr>
          <w:rFonts w:ascii="Calibri" w:eastAsia="Calibri" w:hAnsi="Calibri" w:cs="Arial"/>
          <w:szCs w:val="24"/>
          <w:lang w:val="en-US"/>
        </w:rPr>
      </w:pPr>
      <w:r w:rsidRPr="00800A34">
        <w:rPr>
          <w:rFonts w:ascii="Calibri" w:eastAsia="Calibri" w:hAnsi="Calibri" w:cs="Arial"/>
          <w:szCs w:val="24"/>
          <w:lang w:val="en-US"/>
        </w:rPr>
        <w:t xml:space="preserve">dostupnost rezultata zvanične statistike i na društvenim mrežama </w:t>
      </w:r>
      <w:r w:rsidRPr="00800A34">
        <w:rPr>
          <w:rFonts w:ascii="Calibri" w:eastAsia="Calibri" w:hAnsi="Calibri" w:cs="Arial"/>
          <w:b/>
          <w:i/>
          <w:szCs w:val="24"/>
          <w:lang w:val="en-US"/>
        </w:rPr>
        <w:t>Twitter i LinkedIn</w:t>
      </w:r>
      <w:r w:rsidRPr="00800A34">
        <w:rPr>
          <w:rFonts w:ascii="Calibri" w:eastAsia="Calibri" w:hAnsi="Calibri" w:cs="Arial"/>
          <w:szCs w:val="24"/>
          <w:lang w:val="en-US"/>
        </w:rPr>
        <w:t>;</w:t>
      </w:r>
    </w:p>
    <w:p w:rsidR="0039737E" w:rsidRPr="00800A34" w:rsidRDefault="0039737E" w:rsidP="0039737E">
      <w:pPr>
        <w:numPr>
          <w:ilvl w:val="0"/>
          <w:numId w:val="74"/>
        </w:numPr>
        <w:spacing w:before="0" w:after="0" w:line="240" w:lineRule="auto"/>
        <w:contextualSpacing/>
        <w:rPr>
          <w:rFonts w:ascii="Calibri" w:eastAsia="Calibri" w:hAnsi="Calibri" w:cs="Arial"/>
          <w:szCs w:val="24"/>
          <w:lang w:val="en-US"/>
        </w:rPr>
      </w:pPr>
      <w:r>
        <w:rPr>
          <w:rFonts w:ascii="Calibri" w:eastAsia="Calibri" w:hAnsi="Calibri" w:cs="Arial"/>
          <w:b/>
          <w:i/>
          <w:szCs w:val="24"/>
          <w:lang w:val="en-US"/>
        </w:rPr>
        <w:t xml:space="preserve">otvoren domen </w:t>
      </w:r>
      <w:r w:rsidRPr="00800A34">
        <w:rPr>
          <w:rFonts w:ascii="Calibri" w:eastAsia="Calibri" w:hAnsi="Calibri" w:cs="Arial"/>
          <w:b/>
          <w:i/>
          <w:szCs w:val="24"/>
          <w:lang w:val="en-US"/>
        </w:rPr>
        <w:t>COVID-19</w:t>
      </w:r>
      <w:r w:rsidRPr="00800A34">
        <w:rPr>
          <w:rFonts w:ascii="Calibri" w:eastAsia="Calibri" w:hAnsi="Calibri" w:cs="Arial"/>
          <w:szCs w:val="24"/>
          <w:lang w:val="en-US"/>
        </w:rPr>
        <w:t xml:space="preserve"> u cilju efikasnijeg informisanja javnosti o promjenama nastalim zbog pandemije COVID-19, a imaju uticaja na poslove proizvođača zvanične statistike;</w:t>
      </w:r>
    </w:p>
    <w:p w:rsidR="0039737E" w:rsidRPr="00800A34" w:rsidRDefault="0039737E" w:rsidP="0039737E">
      <w:pPr>
        <w:numPr>
          <w:ilvl w:val="0"/>
          <w:numId w:val="74"/>
        </w:numPr>
        <w:spacing w:before="0" w:after="0" w:line="240" w:lineRule="auto"/>
        <w:contextualSpacing/>
        <w:rPr>
          <w:rFonts w:ascii="Calibri" w:eastAsia="Calibri" w:hAnsi="Calibri" w:cs="Arial"/>
          <w:szCs w:val="24"/>
          <w:lang w:val="en-US"/>
        </w:rPr>
      </w:pPr>
      <w:r w:rsidRPr="00800A34">
        <w:rPr>
          <w:rFonts w:ascii="Calibri" w:eastAsia="Calibri" w:hAnsi="Calibri" w:cs="Arial"/>
          <w:szCs w:val="24"/>
          <w:lang w:val="en-US"/>
        </w:rPr>
        <w:t>Uprava za statistiku je u prethodnom periodu koristila usluge “</w:t>
      </w:r>
      <w:r w:rsidRPr="00800A34">
        <w:rPr>
          <w:rFonts w:ascii="Calibri" w:eastAsia="Calibri" w:hAnsi="Calibri" w:cs="Arial"/>
          <w:b/>
          <w:i/>
          <w:szCs w:val="24"/>
          <w:lang w:val="en-US"/>
        </w:rPr>
        <w:t>Info biro Montenegro”</w:t>
      </w:r>
      <w:r w:rsidRPr="00800A34">
        <w:rPr>
          <w:rFonts w:ascii="Calibri" w:eastAsia="Calibri" w:hAnsi="Calibri" w:cs="Arial"/>
          <w:szCs w:val="24"/>
          <w:lang w:val="en-US"/>
        </w:rPr>
        <w:t xml:space="preserve"> u cilju pružanja usluga video servisa i distribucije priloga medijima i promocije, zbog nemogućnosti organizovanja konferencija za medije;</w:t>
      </w:r>
    </w:p>
    <w:p w:rsidR="0039737E" w:rsidRPr="00800A34" w:rsidRDefault="0039737E" w:rsidP="0039737E">
      <w:pPr>
        <w:numPr>
          <w:ilvl w:val="0"/>
          <w:numId w:val="74"/>
        </w:numPr>
        <w:spacing w:before="0" w:after="0" w:line="240" w:lineRule="auto"/>
        <w:contextualSpacing/>
        <w:rPr>
          <w:rFonts w:ascii="Calibri" w:eastAsia="Calibri" w:hAnsi="Calibri" w:cs="Arial"/>
          <w:szCs w:val="24"/>
          <w:lang w:val="en-US"/>
        </w:rPr>
      </w:pPr>
      <w:r w:rsidRPr="00800A34">
        <w:rPr>
          <w:rFonts w:ascii="Calibri" w:eastAsia="Calibri" w:hAnsi="Calibri" w:cs="Arial"/>
          <w:b/>
          <w:i/>
          <w:szCs w:val="24"/>
          <w:lang w:val="en-US"/>
        </w:rPr>
        <w:t>objavljeno sedam publikacija i 223 saopštenja</w:t>
      </w:r>
      <w:r w:rsidRPr="00800A34">
        <w:rPr>
          <w:rFonts w:ascii="Calibri" w:eastAsia="Calibri" w:hAnsi="Calibri" w:cs="Arial"/>
          <w:szCs w:val="24"/>
          <w:lang w:val="en-US"/>
        </w:rPr>
        <w:t xml:space="preserve"> u mjesečnoj, kvartalnoj i godišnjoj dinamici;</w:t>
      </w:r>
    </w:p>
    <w:p w:rsidR="0039737E" w:rsidRPr="00800A34" w:rsidRDefault="0039737E" w:rsidP="0039737E">
      <w:pPr>
        <w:numPr>
          <w:ilvl w:val="0"/>
          <w:numId w:val="74"/>
        </w:numPr>
        <w:spacing w:before="0" w:after="0" w:line="240" w:lineRule="auto"/>
        <w:contextualSpacing/>
        <w:rPr>
          <w:rFonts w:ascii="Calibri" w:eastAsia="Calibri" w:hAnsi="Calibri" w:cs="Arial"/>
          <w:szCs w:val="24"/>
          <w:lang w:val="en-US"/>
        </w:rPr>
      </w:pPr>
      <w:r w:rsidRPr="00800A34">
        <w:rPr>
          <w:rFonts w:ascii="Calibri" w:eastAsia="Calibri" w:hAnsi="Calibri" w:cs="Arial"/>
          <w:b/>
          <w:i/>
          <w:szCs w:val="24"/>
          <w:lang w:val="en-US"/>
        </w:rPr>
        <w:t>odgovoreno je na 887 korisničkih zahtjeva</w:t>
      </w:r>
      <w:r w:rsidRPr="00800A34">
        <w:rPr>
          <w:rFonts w:ascii="Calibri" w:eastAsia="Calibri" w:hAnsi="Calibri" w:cs="Arial"/>
          <w:szCs w:val="24"/>
          <w:lang w:val="en-US"/>
        </w:rPr>
        <w:t>, od kojih se 817 odnosi na zahtjeve za podacima i informacijama od strane spoljnih institucija, dok je 70 zahtjeva upućeno od strane medijskih kuća;</w:t>
      </w:r>
    </w:p>
    <w:p w:rsidR="0039737E" w:rsidRPr="00800A34" w:rsidRDefault="0039737E" w:rsidP="0039737E">
      <w:pPr>
        <w:numPr>
          <w:ilvl w:val="0"/>
          <w:numId w:val="74"/>
        </w:numPr>
        <w:spacing w:before="0" w:after="0" w:line="240" w:lineRule="auto"/>
        <w:contextualSpacing/>
        <w:rPr>
          <w:rFonts w:ascii="Calibri" w:eastAsia="Calibri" w:hAnsi="Calibri" w:cs="Arial"/>
          <w:szCs w:val="24"/>
          <w:lang w:val="en-US"/>
        </w:rPr>
      </w:pPr>
      <w:r w:rsidRPr="00800A34">
        <w:rPr>
          <w:rFonts w:ascii="Calibri" w:eastAsia="Calibri" w:hAnsi="Calibri" w:cs="Arial"/>
          <w:szCs w:val="24"/>
          <w:lang w:val="en-US"/>
        </w:rPr>
        <w:t>objavljena je diseminaciona baza za statistiku Spoljne trgovine, u cilju pravovremenog odgovora na zahtjeve korisnika i povećane potražnje za podacima.</w:t>
      </w:r>
    </w:p>
    <w:p w:rsidR="0039737E" w:rsidRPr="00800A34" w:rsidRDefault="0039737E" w:rsidP="0039737E">
      <w:pPr>
        <w:spacing w:before="0" w:after="0" w:line="240" w:lineRule="auto"/>
        <w:rPr>
          <w:rFonts w:ascii="Calibri" w:eastAsia="Calibri" w:hAnsi="Calibri" w:cs="Calibri"/>
          <w:b/>
          <w:color w:val="000000"/>
          <w:szCs w:val="24"/>
          <w:lang w:val="pl-PL"/>
        </w:rPr>
      </w:pPr>
    </w:p>
    <w:p w:rsidR="0039737E" w:rsidRPr="00800A34" w:rsidRDefault="0039737E" w:rsidP="0039737E">
      <w:pPr>
        <w:numPr>
          <w:ilvl w:val="0"/>
          <w:numId w:val="68"/>
        </w:numPr>
        <w:spacing w:before="0" w:after="0" w:line="240" w:lineRule="auto"/>
        <w:contextualSpacing/>
        <w:rPr>
          <w:rFonts w:ascii="Calibri" w:eastAsia="Calibri" w:hAnsi="Calibri" w:cs="Calibri"/>
          <w:b/>
          <w:color w:val="000000"/>
          <w:szCs w:val="24"/>
          <w:lang w:val="pl-PL"/>
        </w:rPr>
      </w:pPr>
      <w:r w:rsidRPr="00800A34">
        <w:rPr>
          <w:rFonts w:ascii="Calibri" w:eastAsia="Calibri" w:hAnsi="Calibri" w:cs="Calibri"/>
          <w:b/>
          <w:color w:val="000000"/>
          <w:szCs w:val="24"/>
          <w:lang w:val="pl-PL"/>
        </w:rPr>
        <w:t>PRIKAZ IZVRŠAVANJA ZAKONA I DRUGIH PROPISA</w:t>
      </w:r>
    </w:p>
    <w:p w:rsidR="0039737E" w:rsidRPr="00800A34" w:rsidRDefault="0039737E" w:rsidP="0039737E">
      <w:pPr>
        <w:numPr>
          <w:ilvl w:val="0"/>
          <w:numId w:val="76"/>
        </w:numPr>
        <w:spacing w:before="0" w:after="240" w:line="240" w:lineRule="auto"/>
        <w:contextualSpacing/>
        <w:rPr>
          <w:rFonts w:ascii="Calibri" w:eastAsia="Times New Roman" w:hAnsi="Calibri" w:cs="Arial"/>
          <w:szCs w:val="24"/>
          <w:lang w:val="en-US"/>
        </w:rPr>
      </w:pPr>
      <w:r w:rsidRPr="00800A34">
        <w:rPr>
          <w:rFonts w:ascii="Calibri" w:eastAsia="Times New Roman" w:hAnsi="Calibri" w:cs="Arial"/>
          <w:szCs w:val="24"/>
          <w:lang w:val="en-US"/>
        </w:rPr>
        <w:lastRenderedPageBreak/>
        <w:t xml:space="preserve">Objavljen </w:t>
      </w:r>
      <w:r w:rsidRPr="00800A34">
        <w:rPr>
          <w:rFonts w:ascii="Calibri" w:eastAsia="Times New Roman" w:hAnsi="Calibri" w:cs="Arial"/>
          <w:b/>
          <w:i/>
          <w:szCs w:val="24"/>
          <w:lang w:val="en-US"/>
        </w:rPr>
        <w:t>Godišnji plan zvanične statistike za 2021. godinu</w:t>
      </w:r>
      <w:r w:rsidRPr="00800A34">
        <w:rPr>
          <w:rFonts w:ascii="Calibri" w:eastAsia="Times New Roman" w:hAnsi="Calibri" w:cs="Arial"/>
          <w:szCs w:val="24"/>
          <w:lang w:val="en-US"/>
        </w:rPr>
        <w:t xml:space="preserve"> (“Službeni list CG”, br. 7/21 od 25.01.2021. godine). Godišnji plan zvanične statistike za 2021. godinu usvojen je na petoj sjednici Vlade Crne Gore održanoj 29.12.2020. godine, kojim je planirana realizacija 211 statističkih istraživanja.</w:t>
      </w:r>
      <w:r w:rsidRPr="00800A34">
        <w:rPr>
          <w:rFonts w:ascii="Calibri" w:eastAsia="Times New Roman" w:hAnsi="Calibri" w:cs="Times New Roman"/>
          <w:szCs w:val="24"/>
          <w:lang w:val="en-US"/>
        </w:rPr>
        <w:t xml:space="preserve"> </w:t>
      </w:r>
    </w:p>
    <w:p w:rsidR="0039737E" w:rsidRPr="00800A34" w:rsidRDefault="0039737E" w:rsidP="0039737E">
      <w:pPr>
        <w:numPr>
          <w:ilvl w:val="0"/>
          <w:numId w:val="76"/>
        </w:numPr>
        <w:spacing w:before="0" w:after="240" w:line="240" w:lineRule="auto"/>
        <w:contextualSpacing/>
        <w:rPr>
          <w:rFonts w:ascii="Calibri" w:eastAsia="Times New Roman" w:hAnsi="Calibri" w:cs="Arial"/>
          <w:szCs w:val="24"/>
          <w:lang w:val="en-US"/>
        </w:rPr>
      </w:pPr>
      <w:r w:rsidRPr="00800A34">
        <w:rPr>
          <w:rFonts w:ascii="Calibri" w:eastAsia="Times New Roman" w:hAnsi="Calibri" w:cs="Arial"/>
          <w:szCs w:val="24"/>
          <w:lang w:val="en-US"/>
        </w:rPr>
        <w:t xml:space="preserve">Objavljen </w:t>
      </w:r>
      <w:r w:rsidRPr="00800A34">
        <w:rPr>
          <w:rFonts w:ascii="Calibri" w:eastAsia="Times New Roman" w:hAnsi="Calibri" w:cs="Arial"/>
          <w:b/>
          <w:i/>
          <w:szCs w:val="24"/>
          <w:lang w:val="en-US"/>
        </w:rPr>
        <w:t>Kalendar objavljivanja statističkih podataka za 2021. godinu</w:t>
      </w:r>
      <w:r w:rsidRPr="00800A34">
        <w:rPr>
          <w:rFonts w:ascii="Calibri" w:eastAsia="Times New Roman" w:hAnsi="Calibri" w:cs="Arial"/>
          <w:b/>
          <w:i/>
          <w:szCs w:val="24"/>
          <w:vertAlign w:val="superscript"/>
          <w:lang w:val="en-US"/>
        </w:rPr>
        <w:footnoteReference w:id="22"/>
      </w:r>
      <w:r w:rsidRPr="00800A34">
        <w:rPr>
          <w:rFonts w:ascii="Calibri" w:eastAsia="Times New Roman" w:hAnsi="Calibri" w:cs="Arial"/>
          <w:szCs w:val="24"/>
          <w:lang w:val="en-US"/>
        </w:rPr>
        <w:t xml:space="preserve"> na zvaničnoj web stranici Uprave za statistiku </w:t>
      </w:r>
      <w:hyperlink r:id="rId31" w:history="1">
        <w:r w:rsidRPr="00800A34">
          <w:rPr>
            <w:rFonts w:ascii="Calibri" w:eastAsia="Times New Roman" w:hAnsi="Calibri" w:cs="Arial"/>
            <w:color w:val="0563C1"/>
            <w:szCs w:val="24"/>
            <w:u w:val="single"/>
            <w:lang w:val="en-US"/>
          </w:rPr>
          <w:t>www.monstat.org</w:t>
        </w:r>
      </w:hyperlink>
      <w:r w:rsidRPr="00800A34">
        <w:rPr>
          <w:rFonts w:ascii="Calibri" w:eastAsia="Times New Roman" w:hAnsi="Calibri" w:cs="Arial"/>
          <w:szCs w:val="24"/>
          <w:lang w:val="en-US"/>
        </w:rPr>
        <w:t xml:space="preserve">. </w:t>
      </w:r>
    </w:p>
    <w:p w:rsidR="0039737E" w:rsidRPr="0039737E" w:rsidRDefault="0039737E" w:rsidP="0039737E">
      <w:pPr>
        <w:numPr>
          <w:ilvl w:val="0"/>
          <w:numId w:val="76"/>
        </w:numPr>
        <w:spacing w:before="0" w:after="240" w:line="240" w:lineRule="auto"/>
        <w:contextualSpacing/>
        <w:rPr>
          <w:rFonts w:ascii="Calibri" w:eastAsia="Times New Roman" w:hAnsi="Calibri" w:cs="Arial"/>
          <w:szCs w:val="24"/>
          <w:lang w:val="en-US"/>
        </w:rPr>
      </w:pPr>
      <w:r w:rsidRPr="00800A34">
        <w:rPr>
          <w:rFonts w:ascii="Calibri" w:eastAsia="Times New Roman" w:hAnsi="Calibri" w:cs="Arial"/>
          <w:szCs w:val="24"/>
          <w:lang w:val="en-US"/>
        </w:rPr>
        <w:t>Pripremljen</w:t>
      </w:r>
      <w:r w:rsidRPr="00800A34">
        <w:rPr>
          <w:rFonts w:ascii="Calibri" w:eastAsia="Times New Roman" w:hAnsi="Calibri" w:cs="Arial"/>
          <w:b/>
          <w:szCs w:val="24"/>
          <w:lang w:val="en-US"/>
        </w:rPr>
        <w:t xml:space="preserve"> Nacrt</w:t>
      </w:r>
      <w:r w:rsidRPr="00800A34">
        <w:rPr>
          <w:rFonts w:ascii="Calibri" w:eastAsia="Times New Roman" w:hAnsi="Calibri" w:cs="Arial"/>
          <w:szCs w:val="24"/>
          <w:lang w:val="en-US"/>
        </w:rPr>
        <w:t xml:space="preserve"> </w:t>
      </w:r>
      <w:r w:rsidRPr="00800A34">
        <w:rPr>
          <w:rFonts w:ascii="Calibri" w:eastAsia="Times New Roman" w:hAnsi="Calibri" w:cs="Arial"/>
          <w:b/>
          <w:szCs w:val="24"/>
          <w:lang w:val="en-US"/>
        </w:rPr>
        <w:t>Zakona o popisu stanovništva, domaćinstava i stanova 2021. godine.</w:t>
      </w:r>
    </w:p>
    <w:p w:rsidR="0039737E" w:rsidRDefault="0039737E" w:rsidP="002E4F7C">
      <w:pPr>
        <w:tabs>
          <w:tab w:val="left" w:pos="1050"/>
        </w:tabs>
        <w:rPr>
          <w:rFonts w:ascii="Calibri" w:hAnsi="Calibri"/>
          <w:b/>
          <w:color w:val="212121"/>
          <w:szCs w:val="24"/>
          <w:shd w:val="clear" w:color="auto" w:fill="FFFFFF"/>
        </w:rPr>
      </w:pPr>
    </w:p>
    <w:p w:rsidR="00DF6DAB" w:rsidRDefault="00DF6DAB" w:rsidP="002E4F7C">
      <w:pPr>
        <w:tabs>
          <w:tab w:val="left" w:pos="1050"/>
        </w:tabs>
        <w:rPr>
          <w:rFonts w:ascii="Calibri" w:hAnsi="Calibri"/>
          <w:b/>
          <w:color w:val="212121"/>
          <w:szCs w:val="24"/>
          <w:shd w:val="clear" w:color="auto" w:fill="FFFFFF"/>
        </w:rPr>
      </w:pPr>
    </w:p>
    <w:p w:rsidR="00DF6DAB" w:rsidRDefault="00DF6DAB" w:rsidP="002E4F7C">
      <w:pPr>
        <w:tabs>
          <w:tab w:val="left" w:pos="1050"/>
        </w:tabs>
        <w:rPr>
          <w:rFonts w:ascii="Calibri" w:hAnsi="Calibri"/>
          <w:b/>
          <w:color w:val="212121"/>
          <w:szCs w:val="24"/>
          <w:shd w:val="clear" w:color="auto" w:fill="FFFFFF"/>
        </w:rPr>
      </w:pPr>
    </w:p>
    <w:p w:rsidR="00DF6DAB" w:rsidRDefault="00DF6DAB" w:rsidP="002E4F7C">
      <w:pPr>
        <w:tabs>
          <w:tab w:val="left" w:pos="1050"/>
        </w:tabs>
        <w:rPr>
          <w:rFonts w:ascii="Calibri" w:hAnsi="Calibri"/>
          <w:b/>
          <w:color w:val="212121"/>
          <w:szCs w:val="24"/>
          <w:shd w:val="clear" w:color="auto" w:fill="FFFFFF"/>
        </w:rPr>
      </w:pPr>
    </w:p>
    <w:p w:rsidR="00DF6DAB" w:rsidRDefault="00DF6DAB" w:rsidP="002E4F7C">
      <w:pPr>
        <w:tabs>
          <w:tab w:val="left" w:pos="1050"/>
        </w:tabs>
        <w:rPr>
          <w:rFonts w:ascii="Calibri" w:hAnsi="Calibri"/>
          <w:b/>
          <w:color w:val="212121"/>
          <w:szCs w:val="24"/>
          <w:shd w:val="clear" w:color="auto" w:fill="FFFFFF"/>
        </w:rPr>
      </w:pPr>
    </w:p>
    <w:p w:rsidR="00DF6DAB" w:rsidRDefault="00DF6DAB" w:rsidP="002E4F7C">
      <w:pPr>
        <w:tabs>
          <w:tab w:val="left" w:pos="1050"/>
        </w:tabs>
        <w:rPr>
          <w:rFonts w:ascii="Calibri" w:hAnsi="Calibri"/>
          <w:b/>
          <w:color w:val="212121"/>
          <w:szCs w:val="24"/>
          <w:shd w:val="clear" w:color="auto" w:fill="FFFFFF"/>
        </w:rPr>
      </w:pPr>
    </w:p>
    <w:p w:rsidR="00DF6DAB" w:rsidRDefault="00DF6DAB" w:rsidP="002E4F7C">
      <w:pPr>
        <w:tabs>
          <w:tab w:val="left" w:pos="1050"/>
        </w:tabs>
        <w:rPr>
          <w:rFonts w:ascii="Calibri" w:hAnsi="Calibri"/>
          <w:b/>
          <w:color w:val="212121"/>
          <w:szCs w:val="24"/>
          <w:shd w:val="clear" w:color="auto" w:fill="FFFFFF"/>
        </w:rPr>
      </w:pPr>
    </w:p>
    <w:p w:rsidR="00DF6DAB" w:rsidRDefault="00DF6DAB" w:rsidP="002E4F7C">
      <w:pPr>
        <w:tabs>
          <w:tab w:val="left" w:pos="1050"/>
        </w:tabs>
        <w:rPr>
          <w:rFonts w:ascii="Calibri" w:hAnsi="Calibri"/>
          <w:b/>
          <w:color w:val="212121"/>
          <w:szCs w:val="24"/>
          <w:shd w:val="clear" w:color="auto" w:fill="FFFFFF"/>
        </w:rPr>
      </w:pPr>
    </w:p>
    <w:p w:rsidR="00DF6DAB" w:rsidRDefault="00DF6DAB" w:rsidP="002E4F7C">
      <w:pPr>
        <w:tabs>
          <w:tab w:val="left" w:pos="1050"/>
        </w:tabs>
        <w:rPr>
          <w:rFonts w:ascii="Calibri" w:hAnsi="Calibri"/>
          <w:b/>
          <w:color w:val="212121"/>
          <w:szCs w:val="24"/>
          <w:shd w:val="clear" w:color="auto" w:fill="FFFFFF"/>
        </w:rPr>
      </w:pPr>
    </w:p>
    <w:p w:rsidR="00DF6DAB" w:rsidRDefault="00DF6DAB" w:rsidP="002E4F7C">
      <w:pPr>
        <w:tabs>
          <w:tab w:val="left" w:pos="1050"/>
        </w:tabs>
        <w:rPr>
          <w:rFonts w:ascii="Calibri" w:hAnsi="Calibri"/>
          <w:b/>
          <w:color w:val="212121"/>
          <w:szCs w:val="24"/>
          <w:shd w:val="clear" w:color="auto" w:fill="FFFFFF"/>
        </w:rPr>
      </w:pPr>
    </w:p>
    <w:p w:rsidR="00DF6DAB" w:rsidRDefault="00DF6DAB" w:rsidP="002E4F7C">
      <w:pPr>
        <w:tabs>
          <w:tab w:val="left" w:pos="1050"/>
        </w:tabs>
        <w:rPr>
          <w:rFonts w:ascii="Calibri" w:hAnsi="Calibri"/>
          <w:b/>
          <w:color w:val="212121"/>
          <w:szCs w:val="24"/>
          <w:shd w:val="clear" w:color="auto" w:fill="FFFFFF"/>
        </w:rPr>
      </w:pPr>
    </w:p>
    <w:p w:rsidR="00DF6DAB" w:rsidRDefault="00DF6DAB" w:rsidP="002E4F7C">
      <w:pPr>
        <w:tabs>
          <w:tab w:val="left" w:pos="1050"/>
        </w:tabs>
        <w:rPr>
          <w:rFonts w:ascii="Calibri" w:hAnsi="Calibri"/>
          <w:b/>
          <w:color w:val="212121"/>
          <w:szCs w:val="24"/>
          <w:shd w:val="clear" w:color="auto" w:fill="FFFFFF"/>
        </w:rPr>
      </w:pPr>
    </w:p>
    <w:p w:rsidR="00DF6DAB" w:rsidRDefault="00DF6DAB" w:rsidP="002E4F7C">
      <w:pPr>
        <w:tabs>
          <w:tab w:val="left" w:pos="1050"/>
        </w:tabs>
        <w:rPr>
          <w:rFonts w:ascii="Calibri" w:hAnsi="Calibri"/>
          <w:b/>
          <w:color w:val="212121"/>
          <w:szCs w:val="24"/>
          <w:shd w:val="clear" w:color="auto" w:fill="FFFFFF"/>
        </w:rPr>
      </w:pPr>
    </w:p>
    <w:p w:rsidR="00DF6DAB" w:rsidRDefault="00DF6DAB" w:rsidP="002E4F7C">
      <w:pPr>
        <w:tabs>
          <w:tab w:val="left" w:pos="1050"/>
        </w:tabs>
        <w:rPr>
          <w:rFonts w:ascii="Calibri" w:hAnsi="Calibri"/>
          <w:b/>
          <w:color w:val="212121"/>
          <w:szCs w:val="24"/>
          <w:shd w:val="clear" w:color="auto" w:fill="FFFFFF"/>
        </w:rPr>
      </w:pPr>
    </w:p>
    <w:p w:rsidR="00DF6DAB" w:rsidRDefault="00DF6DAB" w:rsidP="002E4F7C">
      <w:pPr>
        <w:tabs>
          <w:tab w:val="left" w:pos="1050"/>
        </w:tabs>
        <w:rPr>
          <w:rFonts w:ascii="Calibri" w:hAnsi="Calibri"/>
          <w:b/>
          <w:color w:val="212121"/>
          <w:szCs w:val="24"/>
          <w:shd w:val="clear" w:color="auto" w:fill="FFFFFF"/>
        </w:rPr>
      </w:pPr>
    </w:p>
    <w:p w:rsidR="00DF6DAB" w:rsidRDefault="00DF6DAB" w:rsidP="002E4F7C">
      <w:pPr>
        <w:tabs>
          <w:tab w:val="left" w:pos="1050"/>
        </w:tabs>
        <w:rPr>
          <w:rFonts w:ascii="Calibri" w:hAnsi="Calibri"/>
          <w:b/>
          <w:color w:val="212121"/>
          <w:szCs w:val="24"/>
          <w:shd w:val="clear" w:color="auto" w:fill="FFFFFF"/>
        </w:rPr>
      </w:pPr>
    </w:p>
    <w:p w:rsidR="00DF6DAB" w:rsidRDefault="00DF6DAB" w:rsidP="002E4F7C">
      <w:pPr>
        <w:tabs>
          <w:tab w:val="left" w:pos="1050"/>
        </w:tabs>
        <w:rPr>
          <w:rFonts w:ascii="Calibri" w:hAnsi="Calibri"/>
          <w:b/>
          <w:color w:val="212121"/>
          <w:szCs w:val="24"/>
          <w:shd w:val="clear" w:color="auto" w:fill="FFFFFF"/>
        </w:rPr>
      </w:pPr>
    </w:p>
    <w:p w:rsidR="00DF6DAB" w:rsidRDefault="00DF6DAB" w:rsidP="002E4F7C">
      <w:pPr>
        <w:tabs>
          <w:tab w:val="left" w:pos="1050"/>
        </w:tabs>
        <w:rPr>
          <w:rFonts w:ascii="Calibri" w:hAnsi="Calibri"/>
          <w:b/>
          <w:color w:val="212121"/>
          <w:szCs w:val="24"/>
          <w:shd w:val="clear" w:color="auto" w:fill="FFFFFF"/>
        </w:rPr>
      </w:pPr>
    </w:p>
    <w:p w:rsidR="00DF6DAB" w:rsidRDefault="00DF6DAB" w:rsidP="002E4F7C">
      <w:pPr>
        <w:tabs>
          <w:tab w:val="left" w:pos="1050"/>
        </w:tabs>
        <w:rPr>
          <w:rFonts w:ascii="Calibri" w:hAnsi="Calibri"/>
          <w:b/>
          <w:color w:val="212121"/>
          <w:szCs w:val="24"/>
          <w:shd w:val="clear" w:color="auto" w:fill="FFFFFF"/>
        </w:rPr>
      </w:pPr>
    </w:p>
    <w:p w:rsidR="00DF6DAB" w:rsidRDefault="00DF6DAB" w:rsidP="002E4F7C">
      <w:pPr>
        <w:tabs>
          <w:tab w:val="left" w:pos="1050"/>
        </w:tabs>
        <w:rPr>
          <w:rFonts w:ascii="Calibri" w:hAnsi="Calibri"/>
          <w:b/>
          <w:color w:val="212121"/>
          <w:szCs w:val="24"/>
          <w:shd w:val="clear" w:color="auto" w:fill="FFFFFF"/>
        </w:rPr>
      </w:pPr>
    </w:p>
    <w:p w:rsidR="00DF6DAB" w:rsidRDefault="00DF6DAB" w:rsidP="002E4F7C">
      <w:pPr>
        <w:tabs>
          <w:tab w:val="left" w:pos="1050"/>
        </w:tabs>
        <w:rPr>
          <w:rFonts w:ascii="Calibri" w:hAnsi="Calibri"/>
          <w:b/>
          <w:color w:val="212121"/>
          <w:szCs w:val="24"/>
          <w:shd w:val="clear" w:color="auto" w:fill="FFFFFF"/>
        </w:rPr>
      </w:pPr>
    </w:p>
    <w:p w:rsidR="00DF6DAB" w:rsidRDefault="00DF6DAB" w:rsidP="002E4F7C">
      <w:pPr>
        <w:tabs>
          <w:tab w:val="left" w:pos="1050"/>
        </w:tabs>
        <w:rPr>
          <w:rFonts w:ascii="Calibri" w:hAnsi="Calibri"/>
          <w:b/>
          <w:color w:val="212121"/>
          <w:szCs w:val="24"/>
          <w:shd w:val="clear" w:color="auto" w:fill="FFFFFF"/>
        </w:rPr>
      </w:pPr>
    </w:p>
    <w:p w:rsidR="00DF6DAB" w:rsidRDefault="00DF6DAB" w:rsidP="002E4F7C">
      <w:pPr>
        <w:tabs>
          <w:tab w:val="left" w:pos="1050"/>
        </w:tabs>
        <w:rPr>
          <w:rFonts w:ascii="Calibri" w:hAnsi="Calibri"/>
          <w:b/>
          <w:color w:val="212121"/>
          <w:szCs w:val="24"/>
          <w:shd w:val="clear" w:color="auto" w:fill="FFFFFF"/>
        </w:rPr>
      </w:pPr>
    </w:p>
    <w:p w:rsidR="00DF6DAB" w:rsidRDefault="00DF6DAB" w:rsidP="002E4F7C">
      <w:pPr>
        <w:tabs>
          <w:tab w:val="left" w:pos="1050"/>
        </w:tabs>
        <w:rPr>
          <w:rFonts w:ascii="Calibri" w:hAnsi="Calibri"/>
          <w:b/>
          <w:color w:val="212121"/>
          <w:szCs w:val="24"/>
          <w:shd w:val="clear" w:color="auto" w:fill="FFFFFF"/>
        </w:rPr>
      </w:pPr>
    </w:p>
    <w:p w:rsidR="00DF6DAB" w:rsidRDefault="00DF6DAB" w:rsidP="002E4F7C">
      <w:pPr>
        <w:tabs>
          <w:tab w:val="left" w:pos="1050"/>
        </w:tabs>
        <w:rPr>
          <w:rFonts w:ascii="Calibri" w:hAnsi="Calibri"/>
          <w:b/>
          <w:color w:val="212121"/>
          <w:szCs w:val="24"/>
          <w:shd w:val="clear" w:color="auto" w:fill="FFFFFF"/>
        </w:rPr>
      </w:pPr>
    </w:p>
    <w:p w:rsidR="00DF6DAB" w:rsidRPr="007B3939" w:rsidRDefault="00DF6DAB" w:rsidP="002E4F7C">
      <w:pPr>
        <w:tabs>
          <w:tab w:val="left" w:pos="1050"/>
        </w:tabs>
        <w:rPr>
          <w:rFonts w:ascii="Calibri" w:hAnsi="Calibri"/>
          <w:b/>
          <w:color w:val="212121"/>
          <w:szCs w:val="24"/>
          <w:shd w:val="clear" w:color="auto" w:fill="FFFFFF"/>
        </w:rPr>
      </w:pPr>
    </w:p>
    <w:sectPr w:rsidR="00DF6DAB" w:rsidRPr="007B3939" w:rsidSect="00B67B60">
      <w:headerReference w:type="default" r:id="rId32"/>
      <w:footerReference w:type="default" r:id="rId33"/>
      <w:headerReference w:type="first" r:id="rId34"/>
      <w:pgSz w:w="11906" w:h="16838" w:code="9"/>
      <w:pgMar w:top="1247" w:right="1134" w:bottom="454" w:left="1134" w:header="1134" w:footer="346" w:gutter="0"/>
      <w:pgBorders w:offsetFrom="page">
        <w:top w:val="single" w:sz="4" w:space="24" w:color="F4B29B" w:themeColor="accent1" w:themeTint="66"/>
        <w:left w:val="single" w:sz="4" w:space="24" w:color="F4B29B" w:themeColor="accent1" w:themeTint="66"/>
        <w:bottom w:val="single" w:sz="4" w:space="24" w:color="F4B29B" w:themeColor="accent1" w:themeTint="66"/>
        <w:right w:val="single" w:sz="4" w:space="24" w:color="F4B29B" w:themeColor="accent1" w:themeTint="66"/>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1B25" w:rsidRDefault="00251B25" w:rsidP="00A6505B">
      <w:pPr>
        <w:spacing w:before="0" w:after="0" w:line="240" w:lineRule="auto"/>
      </w:pPr>
      <w:r>
        <w:separator/>
      </w:r>
    </w:p>
  </w:endnote>
  <w:endnote w:type="continuationSeparator" w:id="0">
    <w:p w:rsidR="00251B25" w:rsidRDefault="00251B25"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Noto Sans Symbols">
    <w:charset w:val="00"/>
    <w:family w:val="auto"/>
    <w:pitch w:val="default"/>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Century Schoolbook">
    <w:panose1 w:val="0204060405050502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AgfaRotisSemisans-Light">
    <w:altName w:val="MS Mincho"/>
    <w:panose1 w:val="00000000000000000000"/>
    <w:charset w:val="80"/>
    <w:family w:val="auto"/>
    <w:notTrueType/>
    <w:pitch w:val="default"/>
    <w:sig w:usb0="00000000" w:usb1="08070000" w:usb2="00000010" w:usb3="00000000" w:csb0="00020001" w:csb1="00000000"/>
  </w:font>
  <w:font w:name="Calibri-Bold">
    <w:altName w:val="MS Mincho"/>
    <w:panose1 w:val="00000000000000000000"/>
    <w:charset w:val="EE"/>
    <w:family w:val="auto"/>
    <w:notTrueType/>
    <w:pitch w:val="default"/>
    <w:sig w:usb0="00000005" w:usb1="00000000" w:usb2="00000000" w:usb3="00000000" w:csb0="00000003" w:csb1="00000000"/>
  </w:font>
  <w:font w:name="MinionPro-Cn">
    <w:altName w:val="Yu Gothic UI"/>
    <w:panose1 w:val="00000000000000000000"/>
    <w:charset w:val="80"/>
    <w:family w:val="roman"/>
    <w:notTrueType/>
    <w:pitch w:val="default"/>
    <w:sig w:usb0="00000001" w:usb1="08070000" w:usb2="00000010" w:usb3="00000000" w:csb0="00020000" w:csb1="00000000"/>
  </w:font>
  <w:font w:name="Helvetica">
    <w:panose1 w:val="020B05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tantia">
    <w:panose1 w:val="02030602050306030303"/>
    <w:charset w:val="EE"/>
    <w:family w:val="roman"/>
    <w:pitch w:val="variable"/>
    <w:sig w:usb0="A00002EF" w:usb1="400020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4901091"/>
      <w:docPartObj>
        <w:docPartGallery w:val="Page Numbers (Bottom of Page)"/>
        <w:docPartUnique/>
      </w:docPartObj>
    </w:sdtPr>
    <w:sdtEndPr>
      <w:rPr>
        <w:noProof/>
      </w:rPr>
    </w:sdtEndPr>
    <w:sdtContent>
      <w:p w:rsidR="00864951" w:rsidRDefault="00864951" w:rsidP="00CF098B">
        <w:pPr>
          <w:pStyle w:val="Footer"/>
          <w:jc w:val="center"/>
        </w:pPr>
        <w:r>
          <w:fldChar w:fldCharType="begin"/>
        </w:r>
        <w:r>
          <w:instrText xml:space="preserve"> PAGE   \* MERGEFORMAT </w:instrText>
        </w:r>
        <w:r>
          <w:fldChar w:fldCharType="separate"/>
        </w:r>
        <w:r w:rsidR="00F37CB8">
          <w:rPr>
            <w:noProof/>
          </w:rPr>
          <w:t>249</w:t>
        </w:r>
        <w:r>
          <w:rPr>
            <w:noProof/>
          </w:rPr>
          <w:fldChar w:fldCharType="end"/>
        </w:r>
      </w:p>
    </w:sdtContent>
  </w:sdt>
  <w:p w:rsidR="00864951" w:rsidRDefault="0086495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1B25" w:rsidRDefault="00251B25" w:rsidP="00A6505B">
      <w:pPr>
        <w:spacing w:before="0" w:after="0" w:line="240" w:lineRule="auto"/>
      </w:pPr>
      <w:r>
        <w:separator/>
      </w:r>
    </w:p>
  </w:footnote>
  <w:footnote w:type="continuationSeparator" w:id="0">
    <w:p w:rsidR="00251B25" w:rsidRDefault="00251B25" w:rsidP="00A6505B">
      <w:pPr>
        <w:spacing w:before="0" w:after="0" w:line="240" w:lineRule="auto"/>
      </w:pPr>
      <w:r>
        <w:continuationSeparator/>
      </w:r>
    </w:p>
  </w:footnote>
  <w:footnote w:id="1">
    <w:p w:rsidR="00864951" w:rsidRPr="007A04CE" w:rsidRDefault="00864951" w:rsidP="007A04CE">
      <w:pPr>
        <w:rPr>
          <w:rFonts w:ascii="Cambria" w:hAnsi="Cambria"/>
          <w:color w:val="1F497D"/>
          <w:sz w:val="22"/>
        </w:rPr>
      </w:pPr>
      <w:r w:rsidRPr="007A04CE">
        <w:rPr>
          <w:rStyle w:val="FootnoteReference"/>
          <w:rFonts w:ascii="Cambria" w:hAnsi="Cambria"/>
          <w:sz w:val="22"/>
        </w:rPr>
        <w:footnoteRef/>
      </w:r>
      <w:hyperlink r:id="rId1" w:history="1">
        <w:r w:rsidRPr="007A04CE">
          <w:rPr>
            <w:rStyle w:val="Hyperlink"/>
            <w:rFonts w:ascii="Cambria" w:hAnsi="Cambria"/>
            <w:sz w:val="22"/>
          </w:rPr>
          <w:t>http://www.gov.me/naslovna/vijesti-iz-ministarstava/182503/Saopstenje-Medunarodna-investiciona-arbitraza.html</w:t>
        </w:r>
      </w:hyperlink>
    </w:p>
    <w:p w:rsidR="00864951" w:rsidRPr="007A04CE" w:rsidRDefault="00864951" w:rsidP="007A04CE">
      <w:pPr>
        <w:rPr>
          <w:rFonts w:ascii="Cambria" w:hAnsi="Cambria"/>
          <w:color w:val="1F497D"/>
          <w:sz w:val="22"/>
        </w:rPr>
      </w:pPr>
      <w:hyperlink r:id="rId2" w:history="1">
        <w:r w:rsidRPr="007A04CE">
          <w:rPr>
            <w:rStyle w:val="Hyperlink"/>
            <w:rFonts w:ascii="Cambria" w:hAnsi="Cambria"/>
            <w:sz w:val="22"/>
          </w:rPr>
          <w:t>http://www.gov.me/en/News/182523/Press-release-International-Investment-Arbitration.html</w:t>
        </w:r>
      </w:hyperlink>
    </w:p>
    <w:p w:rsidR="00864951" w:rsidRPr="007A04CE" w:rsidRDefault="00864951" w:rsidP="007A04CE">
      <w:pPr>
        <w:rPr>
          <w:rFonts w:ascii="Cambria" w:hAnsi="Cambria"/>
          <w:color w:val="1F497D"/>
          <w:sz w:val="22"/>
        </w:rPr>
      </w:pPr>
      <w:hyperlink r:id="rId3" w:history="1">
        <w:r w:rsidRPr="007A04CE">
          <w:rPr>
            <w:rStyle w:val="Hyperlink"/>
            <w:rFonts w:ascii="Cambria" w:hAnsi="Cambria"/>
            <w:sz w:val="22"/>
          </w:rPr>
          <w:t>http://www.mif.gov.me/vijesti/182503/Saopstenje-Medunarodna-investiciona-arbitraza.html</w:t>
        </w:r>
      </w:hyperlink>
    </w:p>
    <w:p w:rsidR="00864951" w:rsidRPr="007A04CE" w:rsidRDefault="00864951" w:rsidP="007A04CE">
      <w:pPr>
        <w:rPr>
          <w:rFonts w:ascii="Cambria" w:hAnsi="Cambria"/>
          <w:color w:val="1F497D"/>
          <w:sz w:val="22"/>
        </w:rPr>
      </w:pPr>
      <w:hyperlink r:id="rId4" w:history="1">
        <w:r w:rsidRPr="007A04CE">
          <w:rPr>
            <w:rStyle w:val="Hyperlink"/>
            <w:rFonts w:ascii="Cambria" w:hAnsi="Cambria"/>
            <w:sz w:val="22"/>
          </w:rPr>
          <w:t>http://www.mif.gov.me/en/news/182504/Press-release-International-Investment-Arbitration.html?alphabet=lat</w:t>
        </w:r>
      </w:hyperlink>
    </w:p>
    <w:p w:rsidR="00864951" w:rsidRPr="0023222A" w:rsidRDefault="00864951" w:rsidP="007A04CE">
      <w:pPr>
        <w:pStyle w:val="FootnoteText"/>
      </w:pPr>
    </w:p>
  </w:footnote>
  <w:footnote w:id="2">
    <w:p w:rsidR="00864951" w:rsidRPr="007A04CE" w:rsidRDefault="00864951" w:rsidP="007A04CE">
      <w:pPr>
        <w:pStyle w:val="FootnoteText"/>
        <w:rPr>
          <w:rFonts w:ascii="Cambria" w:hAnsi="Cambria"/>
          <w:lang w:val="sr-Latn-ME"/>
        </w:rPr>
      </w:pPr>
      <w:r w:rsidRPr="007A04CE">
        <w:rPr>
          <w:rStyle w:val="FootnoteReference"/>
          <w:rFonts w:ascii="Cambria" w:hAnsi="Cambria"/>
        </w:rPr>
        <w:footnoteRef/>
      </w:r>
      <w:r w:rsidRPr="007A04CE">
        <w:rPr>
          <w:rFonts w:ascii="Cambria" w:hAnsi="Cambria"/>
        </w:rPr>
        <w:t xml:space="preserve"> </w:t>
      </w:r>
      <w:hyperlink r:id="rId5" w:history="1">
        <w:r w:rsidRPr="007A04CE">
          <w:rPr>
            <w:rStyle w:val="Hyperlink"/>
            <w:rFonts w:ascii="Cambria" w:hAnsi="Cambria"/>
          </w:rPr>
          <w:t>https://mif.gov.me/rubrike/javne_rasprave/234889/Javna-rasprava-o-Nacrtu-pravilnika-o-izmjenama-i-dopunama-Pravilnika-o-deponovanju-i-ulaganju-sredstava-tehnickih-rezervi-i-sred.html</w:t>
        </w:r>
      </w:hyperlink>
      <w:r w:rsidRPr="007A04CE">
        <w:rPr>
          <w:rFonts w:ascii="Cambria" w:hAnsi="Cambria"/>
        </w:rPr>
        <w:t xml:space="preserve"> </w:t>
      </w:r>
    </w:p>
  </w:footnote>
  <w:footnote w:id="3">
    <w:p w:rsidR="00864951" w:rsidRPr="007A04CE" w:rsidRDefault="00864951" w:rsidP="007A04CE">
      <w:pPr>
        <w:pStyle w:val="FootnoteText"/>
        <w:rPr>
          <w:rFonts w:ascii="Cambria" w:hAnsi="Cambria"/>
          <w:lang w:val="sr-Latn-ME"/>
        </w:rPr>
      </w:pPr>
      <w:r w:rsidRPr="007A04CE">
        <w:rPr>
          <w:rStyle w:val="FootnoteReference"/>
          <w:rFonts w:ascii="Cambria" w:hAnsi="Cambria"/>
        </w:rPr>
        <w:footnoteRef/>
      </w:r>
      <w:r w:rsidRPr="007A04CE">
        <w:rPr>
          <w:rFonts w:ascii="Cambria" w:hAnsi="Cambria"/>
        </w:rPr>
        <w:t xml:space="preserve"> </w:t>
      </w:r>
      <w:hyperlink r:id="rId6" w:history="1">
        <w:r w:rsidRPr="007A04CE">
          <w:rPr>
            <w:rStyle w:val="Hyperlink"/>
            <w:rFonts w:ascii="Cambria" w:hAnsi="Cambria"/>
          </w:rPr>
          <w:t>https://mif.gov.me/rubrike/javne_rasprave/237407/Javni-poziv-za-javnu-raspravu-o-Nacrtu-zakona-o-igrama-na-srecu-i-nagradnim-igrama.html</w:t>
        </w:r>
      </w:hyperlink>
      <w:r w:rsidRPr="007A04CE">
        <w:rPr>
          <w:rFonts w:ascii="Cambria" w:hAnsi="Cambria"/>
        </w:rPr>
        <w:t xml:space="preserve"> </w:t>
      </w:r>
    </w:p>
  </w:footnote>
  <w:footnote w:id="4">
    <w:p w:rsidR="00864951" w:rsidRPr="007A04CE" w:rsidRDefault="00864951" w:rsidP="007A04CE">
      <w:pPr>
        <w:pStyle w:val="FootnoteText"/>
        <w:rPr>
          <w:rFonts w:ascii="Cambria" w:hAnsi="Cambria"/>
          <w:lang w:val="sr-Latn-ME"/>
        </w:rPr>
      </w:pPr>
      <w:r w:rsidRPr="007A04CE">
        <w:rPr>
          <w:rStyle w:val="FootnoteReference"/>
          <w:rFonts w:ascii="Cambria" w:hAnsi="Cambria"/>
        </w:rPr>
        <w:footnoteRef/>
      </w:r>
      <w:r w:rsidRPr="007A04CE">
        <w:rPr>
          <w:rFonts w:ascii="Cambria" w:hAnsi="Cambria"/>
        </w:rPr>
        <w:t xml:space="preserve"> </w:t>
      </w:r>
      <w:hyperlink r:id="rId7" w:history="1">
        <w:r w:rsidRPr="007A04CE">
          <w:rPr>
            <w:rStyle w:val="Hyperlink"/>
            <w:rFonts w:ascii="Cambria" w:hAnsi="Cambria"/>
          </w:rPr>
          <w:t>http://eusluge.euprava.me/eParticipacija/Item/?Id=385</w:t>
        </w:r>
      </w:hyperlink>
      <w:r w:rsidRPr="007A04CE">
        <w:rPr>
          <w:rFonts w:ascii="Cambria" w:hAnsi="Cambria"/>
        </w:rPr>
        <w:t xml:space="preserve"> </w:t>
      </w:r>
    </w:p>
  </w:footnote>
  <w:footnote w:id="5">
    <w:p w:rsidR="00864951" w:rsidRPr="007A04CE" w:rsidRDefault="00864951" w:rsidP="007A04CE">
      <w:pPr>
        <w:pStyle w:val="FootnoteText"/>
        <w:rPr>
          <w:rFonts w:ascii="Cambria" w:hAnsi="Cambria"/>
          <w:lang w:val="sr-Latn-ME"/>
        </w:rPr>
      </w:pPr>
      <w:r w:rsidRPr="007A04CE">
        <w:rPr>
          <w:rStyle w:val="FootnoteReference"/>
          <w:rFonts w:ascii="Cambria" w:hAnsi="Cambria"/>
        </w:rPr>
        <w:footnoteRef/>
      </w:r>
      <w:r w:rsidRPr="007A04CE">
        <w:rPr>
          <w:rFonts w:ascii="Cambria" w:hAnsi="Cambria"/>
        </w:rPr>
        <w:t xml:space="preserve"> </w:t>
      </w:r>
      <w:r w:rsidRPr="007A04CE">
        <w:rPr>
          <w:rFonts w:ascii="Cambria" w:hAnsi="Cambria"/>
          <w:lang w:val="sr-Latn-ME"/>
        </w:rPr>
        <w:t xml:space="preserve">Javni poziv je, zajedno sa materijalom, elektronskim putem (mailom), dostavljen svim priređivačima igara na sreću. </w:t>
      </w:r>
    </w:p>
  </w:footnote>
  <w:footnote w:id="6">
    <w:p w:rsidR="00864951" w:rsidRPr="007A04CE" w:rsidRDefault="00864951" w:rsidP="007A04CE">
      <w:pPr>
        <w:rPr>
          <w:rFonts w:ascii="Cambria" w:hAnsi="Cambria"/>
          <w:sz w:val="22"/>
        </w:rPr>
      </w:pPr>
      <w:r>
        <w:rPr>
          <w:rStyle w:val="FootnoteReference"/>
        </w:rPr>
        <w:footnoteRef/>
      </w:r>
      <w:r>
        <w:t xml:space="preserve"> </w:t>
      </w:r>
      <w:r w:rsidRPr="007A04CE">
        <w:rPr>
          <w:rFonts w:ascii="Cambria" w:hAnsi="Cambria"/>
          <w:sz w:val="22"/>
        </w:rPr>
        <w:t>U slučaju neispunjavanja strateških mjera donator ima pravo da ne plati drugu tranšu finansijske kontribucije korisniku.</w:t>
      </w:r>
    </w:p>
    <w:p w:rsidR="00864951" w:rsidRPr="004E252E" w:rsidRDefault="00864951" w:rsidP="007A04CE">
      <w:pPr>
        <w:pStyle w:val="FootnoteText"/>
        <w:rPr>
          <w:lang w:val="sr-Latn-ME"/>
        </w:rPr>
      </w:pPr>
    </w:p>
  </w:footnote>
  <w:footnote w:id="7">
    <w:p w:rsidR="00864951" w:rsidRPr="004F04C3" w:rsidRDefault="00864951" w:rsidP="004F04C3">
      <w:pPr>
        <w:pStyle w:val="FootnoteText"/>
        <w:rPr>
          <w:rFonts w:ascii="Cambria" w:hAnsi="Cambria"/>
          <w:lang w:val="sr-Latn-ME"/>
        </w:rPr>
      </w:pPr>
      <w:r w:rsidRPr="004F04C3">
        <w:rPr>
          <w:rStyle w:val="FootnoteReference"/>
          <w:rFonts w:ascii="Cambria" w:hAnsi="Cambria"/>
        </w:rPr>
        <w:footnoteRef/>
      </w:r>
      <w:r w:rsidRPr="004F04C3">
        <w:rPr>
          <w:rFonts w:ascii="Cambria" w:hAnsi="Cambria"/>
        </w:rPr>
        <w:t xml:space="preserve"> </w:t>
      </w:r>
      <w:hyperlink r:id="rId8" w:history="1">
        <w:r w:rsidRPr="004F04C3">
          <w:rPr>
            <w:rStyle w:val="Hyperlink"/>
            <w:rFonts w:ascii="Cambria" w:hAnsi="Cambria"/>
          </w:rPr>
          <w:t>https://www.euprava.me/elicence1/detalji_elicence?generatedServiceId=947</w:t>
        </w:r>
      </w:hyperlink>
    </w:p>
  </w:footnote>
  <w:footnote w:id="8">
    <w:p w:rsidR="00864951" w:rsidRPr="004F04C3" w:rsidRDefault="00864951" w:rsidP="004F04C3">
      <w:pPr>
        <w:pStyle w:val="FootnoteText"/>
        <w:rPr>
          <w:rFonts w:ascii="Cambria" w:hAnsi="Cambria"/>
          <w:lang w:val="sr-Latn-ME"/>
        </w:rPr>
      </w:pPr>
      <w:r w:rsidRPr="004F04C3">
        <w:rPr>
          <w:rStyle w:val="FootnoteReference"/>
          <w:rFonts w:ascii="Cambria" w:hAnsi="Cambria"/>
        </w:rPr>
        <w:footnoteRef/>
      </w:r>
      <w:r w:rsidRPr="004F04C3">
        <w:rPr>
          <w:rFonts w:ascii="Cambria" w:hAnsi="Cambria"/>
        </w:rPr>
        <w:t xml:space="preserve"> </w:t>
      </w:r>
      <w:hyperlink r:id="rId9" w:history="1">
        <w:r w:rsidRPr="004F04C3">
          <w:rPr>
            <w:rStyle w:val="Hyperlink"/>
            <w:rFonts w:ascii="Cambria" w:hAnsi="Cambria"/>
          </w:rPr>
          <w:t>http://www.javninameti.me/</w:t>
        </w:r>
      </w:hyperlink>
    </w:p>
  </w:footnote>
  <w:footnote w:id="9">
    <w:p w:rsidR="00864951" w:rsidRPr="00232B55" w:rsidRDefault="00864951" w:rsidP="00232B55">
      <w:pPr>
        <w:pStyle w:val="FootnoteText"/>
        <w:rPr>
          <w:rFonts w:ascii="Calibri Light" w:hAnsi="Calibri Light" w:cs="Calibri Light"/>
          <w:lang w:val="sr-Latn-ME"/>
        </w:rPr>
      </w:pPr>
      <w:r w:rsidRPr="00232B55">
        <w:rPr>
          <w:rStyle w:val="FootnoteReference"/>
          <w:rFonts w:ascii="Calibri Light" w:hAnsi="Calibri Light" w:cs="Calibri Light"/>
        </w:rPr>
        <w:footnoteRef/>
      </w:r>
      <w:r w:rsidRPr="00232B55">
        <w:rPr>
          <w:rFonts w:ascii="Calibri Light" w:hAnsi="Calibri Light" w:cs="Calibri Light"/>
        </w:rPr>
        <w:t xml:space="preserve"> </w:t>
      </w:r>
      <w:r w:rsidRPr="00232B55">
        <w:rPr>
          <w:rFonts w:ascii="Calibri Light" w:hAnsi="Calibri Light" w:cs="Calibri Light"/>
          <w:color w:val="000000"/>
          <w:lang w:val="sl-SI"/>
        </w:rPr>
        <w:t>Za 4 grupe unutra</w:t>
      </w:r>
      <w:r w:rsidRPr="00232B55">
        <w:rPr>
          <w:rFonts w:ascii="Calibri Light" w:hAnsi="Calibri Light" w:cs="Calibri Light"/>
          <w:color w:val="000000"/>
        </w:rPr>
        <w:t>šnjih revizora</w:t>
      </w:r>
    </w:p>
  </w:footnote>
  <w:footnote w:id="10">
    <w:p w:rsidR="00864951" w:rsidRPr="006920F3" w:rsidRDefault="00864951" w:rsidP="007369A4">
      <w:pPr>
        <w:pStyle w:val="FootnoteText"/>
        <w:jc w:val="left"/>
        <w:rPr>
          <w:rFonts w:ascii="Calibri" w:hAnsi="Calibri"/>
          <w:b/>
          <w:i/>
          <w:sz w:val="16"/>
          <w:szCs w:val="16"/>
        </w:rPr>
      </w:pPr>
      <w:r w:rsidRPr="006920F3">
        <w:rPr>
          <w:rStyle w:val="FootnoteReference"/>
          <w:rFonts w:ascii="Calibri" w:hAnsi="Calibri"/>
          <w:sz w:val="16"/>
          <w:szCs w:val="16"/>
        </w:rPr>
        <w:footnoteRef/>
      </w:r>
      <w:r w:rsidRPr="006920F3">
        <w:rPr>
          <w:rFonts w:ascii="Calibri" w:hAnsi="Calibri"/>
          <w:sz w:val="16"/>
          <w:szCs w:val="16"/>
        </w:rPr>
        <w:t xml:space="preserve"> Programom rada Vlade Crne Gore nije predviđeno donošenje </w:t>
      </w:r>
      <w:r w:rsidRPr="006920F3">
        <w:rPr>
          <w:rFonts w:ascii="Calibri" w:hAnsi="Calibri" w:cs="Times New Roman"/>
          <w:sz w:val="16"/>
          <w:szCs w:val="16"/>
          <w:lang w:val="sr-Latn-ME"/>
        </w:rPr>
        <w:t>Zakona o izmjenama Zakona o budžetu i fiskalnoj odgovornosti</w:t>
      </w:r>
      <w:r w:rsidRPr="006920F3">
        <w:rPr>
          <w:rFonts w:ascii="Calibri" w:hAnsi="Calibri"/>
          <w:sz w:val="16"/>
          <w:szCs w:val="16"/>
        </w:rPr>
        <w:t xml:space="preserve"> u pogledu  zaštite finansijkih interesa  Evropske unije, pa je neophodno naći drugu pravnu osnovu iz koje će proizilaziti ova dva dokumenta</w:t>
      </w:r>
    </w:p>
  </w:footnote>
  <w:footnote w:id="11">
    <w:p w:rsidR="00864951" w:rsidRPr="00982156" w:rsidRDefault="00864951" w:rsidP="007369A4">
      <w:pPr>
        <w:pStyle w:val="FootnoteText"/>
        <w:rPr>
          <w:rFonts w:ascii="Times New Roman" w:hAnsi="Times New Roman" w:cs="Times New Roman"/>
          <w:b/>
          <w:i/>
          <w:sz w:val="16"/>
          <w:szCs w:val="16"/>
        </w:rPr>
      </w:pPr>
      <w:r w:rsidRPr="00982156">
        <w:rPr>
          <w:rStyle w:val="FootnoteReference"/>
          <w:rFonts w:ascii="Times New Roman" w:hAnsi="Times New Roman" w:cs="Times New Roman"/>
          <w:sz w:val="16"/>
          <w:szCs w:val="16"/>
        </w:rPr>
        <w:footnoteRef/>
      </w:r>
      <w:r w:rsidRPr="00982156">
        <w:rPr>
          <w:rFonts w:ascii="Times New Roman" w:hAnsi="Times New Roman" w:cs="Times New Roman"/>
          <w:sz w:val="16"/>
          <w:szCs w:val="16"/>
        </w:rPr>
        <w:t xml:space="preserve"> IMS –elektronski sistem za prijavljivanje nepravilnosti, korišćen od strane OLAF-a i zemlje korisnice sredstava-, pristup slanja i kontrole tehničke ispravnosti dokumenta ima samo AFCOS kancelarija kroz pomenuti softver </w:t>
      </w:r>
    </w:p>
  </w:footnote>
  <w:footnote w:id="12">
    <w:p w:rsidR="00864951" w:rsidRPr="00DE022C" w:rsidRDefault="00864951" w:rsidP="007369A4">
      <w:pPr>
        <w:pStyle w:val="FootnoteText"/>
        <w:rPr>
          <w:rFonts w:ascii="Times New Roman" w:hAnsi="Times New Roman" w:cs="Times New Roman"/>
          <w:sz w:val="22"/>
          <w:szCs w:val="22"/>
        </w:rPr>
      </w:pPr>
      <w:r w:rsidRPr="00982156">
        <w:rPr>
          <w:rStyle w:val="FootnoteReference"/>
          <w:rFonts w:ascii="Times New Roman" w:hAnsi="Times New Roman" w:cs="Times New Roman"/>
          <w:sz w:val="16"/>
          <w:szCs w:val="16"/>
        </w:rPr>
        <w:footnoteRef/>
      </w:r>
      <w:r w:rsidRPr="00982156">
        <w:rPr>
          <w:rFonts w:ascii="Times New Roman" w:hAnsi="Times New Roman" w:cs="Times New Roman"/>
          <w:sz w:val="16"/>
          <w:szCs w:val="16"/>
        </w:rPr>
        <w:t xml:space="preserve">AFCOS kancelarija </w:t>
      </w:r>
      <w:r w:rsidRPr="00982156">
        <w:rPr>
          <w:rFonts w:ascii="Times New Roman" w:hAnsi="Times New Roman" w:cs="Times New Roman"/>
          <w:sz w:val="16"/>
          <w:szCs w:val="16"/>
          <w:lang w:val="sr-Latn-ME"/>
        </w:rPr>
        <w:t>je u januaru 2020. godine podnijela EUIF prijavu  koja je odobrena 1. jula 2020. godine na 14</w:t>
      </w:r>
      <w:r w:rsidRPr="00982156">
        <w:rPr>
          <w:rFonts w:ascii="Times New Roman" w:hAnsi="Times New Roman" w:cs="Times New Roman"/>
          <w:sz w:val="16"/>
          <w:szCs w:val="16"/>
          <w:vertAlign w:val="superscript"/>
          <w:lang w:val="sr-Latn-ME"/>
        </w:rPr>
        <w:t>om</w:t>
      </w:r>
      <w:r w:rsidRPr="00982156">
        <w:rPr>
          <w:rFonts w:ascii="Times New Roman" w:hAnsi="Times New Roman" w:cs="Times New Roman"/>
          <w:sz w:val="16"/>
          <w:szCs w:val="16"/>
          <w:lang w:val="sr-Latn-ME"/>
        </w:rPr>
        <w:t xml:space="preserve"> sastanku Upravnog odbora EUIF, na kojem su učestvovali predstavnici Delegacije Evropske unije za Crnu Goru, predstavnici Kancelarije za evropske integracije i predstavnici MF</w:t>
      </w:r>
    </w:p>
  </w:footnote>
  <w:footnote w:id="13">
    <w:p w:rsidR="00864951" w:rsidRPr="00CF4CB3" w:rsidRDefault="00864951" w:rsidP="007369A4">
      <w:pPr>
        <w:pStyle w:val="FootnoteText"/>
        <w:rPr>
          <w:rFonts w:ascii="Times New Roman" w:hAnsi="Times New Roman" w:cs="Times New Roman"/>
          <w:b/>
          <w:i/>
          <w:sz w:val="16"/>
          <w:szCs w:val="16"/>
        </w:rPr>
      </w:pPr>
      <w:r w:rsidRPr="00CF4CB3">
        <w:rPr>
          <w:rStyle w:val="FootnoteReference"/>
          <w:rFonts w:ascii="Times New Roman" w:hAnsi="Times New Roman" w:cs="Times New Roman"/>
          <w:sz w:val="16"/>
          <w:szCs w:val="16"/>
        </w:rPr>
        <w:footnoteRef/>
      </w:r>
      <w:r w:rsidRPr="00CF4CB3">
        <w:rPr>
          <w:rFonts w:ascii="Times New Roman" w:hAnsi="Times New Roman" w:cs="Times New Roman"/>
          <w:sz w:val="16"/>
          <w:szCs w:val="16"/>
        </w:rPr>
        <w:t xml:space="preserve"> Zbog zainteresovanosti polaznika, najvećim dijelom iz zemalja članica seminar je ponovljen tri puta tokom godine. Predstavnik AFCOS kancelarije je imao manju ulogu, zbog tematike, jer su mahom polaznici predstavnici institucija revizije, Upravljačkih tijela u raznim institucijama širom EU, mada je tema AFCOS-a u okviru pojma zaštite finansijskih sredstava uvrštena u Agendu </w:t>
      </w:r>
    </w:p>
  </w:footnote>
  <w:footnote w:id="14">
    <w:p w:rsidR="00864951" w:rsidRPr="00CF4CB3" w:rsidRDefault="00864951" w:rsidP="007369A4">
      <w:pPr>
        <w:pStyle w:val="FootnoteText"/>
        <w:rPr>
          <w:rFonts w:ascii="Times New Roman" w:hAnsi="Times New Roman" w:cs="Times New Roman"/>
          <w:b/>
          <w:i/>
          <w:sz w:val="16"/>
          <w:szCs w:val="16"/>
        </w:rPr>
      </w:pPr>
      <w:r w:rsidRPr="00CF4CB3">
        <w:rPr>
          <w:rStyle w:val="FootnoteReference"/>
          <w:rFonts w:ascii="Times New Roman" w:hAnsi="Times New Roman" w:cs="Times New Roman"/>
          <w:sz w:val="16"/>
          <w:szCs w:val="16"/>
        </w:rPr>
        <w:footnoteRef/>
      </w:r>
      <w:r w:rsidRPr="00CF4CB3">
        <w:rPr>
          <w:rFonts w:ascii="Times New Roman" w:hAnsi="Times New Roman" w:cs="Times New Roman"/>
          <w:sz w:val="16"/>
          <w:szCs w:val="16"/>
        </w:rPr>
        <w:t xml:space="preserve"> Pododbor za ekonomska i finansijska pitanja i statistiku zajedničko je tijelo EU i CG uspostavljeno s ciljem praćenja sprovođenja Sporazuma o stabilizaciji i pridruživanju</w:t>
      </w:r>
    </w:p>
  </w:footnote>
  <w:footnote w:id="15">
    <w:p w:rsidR="00864951" w:rsidRPr="00D86BA0" w:rsidRDefault="00864951" w:rsidP="007369A4">
      <w:pPr>
        <w:pStyle w:val="FootnoteText"/>
        <w:rPr>
          <w:b/>
          <w:i/>
          <w:sz w:val="16"/>
          <w:szCs w:val="16"/>
        </w:rPr>
      </w:pPr>
      <w:r w:rsidRPr="00D86BA0">
        <w:rPr>
          <w:rStyle w:val="FootnoteReference"/>
          <w:rFonts w:cs="Times New Roman"/>
          <w:sz w:val="16"/>
          <w:szCs w:val="16"/>
        </w:rPr>
        <w:footnoteRef/>
      </w:r>
      <w:r w:rsidRPr="00D86BA0">
        <w:rPr>
          <w:rFonts w:cs="Times New Roman"/>
          <w:sz w:val="16"/>
          <w:szCs w:val="16"/>
        </w:rPr>
        <w:t xml:space="preserve"> Zero notification report je tzv. Nulti izvještaj –zemlja korisnica sredstava ima obavezu da i u slučaju da u navedenom izvještajnom periodu nije bilo nepravilnosti navedeno izvijesti u određenoj formi izvještavanja</w:t>
      </w:r>
    </w:p>
  </w:footnote>
  <w:footnote w:id="16">
    <w:p w:rsidR="00864951" w:rsidRPr="00D86BA0" w:rsidRDefault="00864951" w:rsidP="007369A4">
      <w:pPr>
        <w:rPr>
          <w:sz w:val="16"/>
          <w:szCs w:val="16"/>
        </w:rPr>
      </w:pPr>
      <w:r w:rsidRPr="00D86BA0">
        <w:rPr>
          <w:rStyle w:val="FootnoteReference"/>
          <w:sz w:val="16"/>
          <w:szCs w:val="16"/>
        </w:rPr>
        <w:footnoteRef/>
      </w:r>
      <w:r w:rsidRPr="00D86BA0">
        <w:rPr>
          <w:rFonts w:cs="Times New Roman"/>
          <w:sz w:val="16"/>
          <w:szCs w:val="16"/>
        </w:rPr>
        <w:t xml:space="preserve"> Direkcija za prvi nivo kontrole (CFCU-a) koja, u ulozi kontrolnog tijela, vrši provjeru prihvatljivosti troškova za trilateralni program Italija-Albanija-Crna Gora, sprovela je administrativne provjere za sve dostavljene izvještaje, kao i provjeru na licu mjesta (on the spot control) za projekat ADRINET. Administrativnim provjerama utvrđeno je da je sva dostavljena prateća dokumentacija u okviru prijavljenih budžetskih linija, definisana takođe programskim priručnikom papirološki ispravna, kao i da su ispoštovani budžeti predviđeni za svaku pojedinačnu aktivnost. </w:t>
      </w:r>
      <w:r w:rsidRPr="00D86BA0">
        <w:rPr>
          <w:sz w:val="16"/>
          <w:szCs w:val="16"/>
        </w:rPr>
        <w:t xml:space="preserve"> </w:t>
      </w:r>
    </w:p>
  </w:footnote>
  <w:footnote w:id="17">
    <w:p w:rsidR="00864951" w:rsidRPr="00D86BA0" w:rsidRDefault="00864951" w:rsidP="007369A4">
      <w:pPr>
        <w:pStyle w:val="FootnoteText"/>
      </w:pPr>
      <w:r w:rsidRPr="00D86BA0">
        <w:rPr>
          <w:rStyle w:val="FootnoteReference"/>
          <w:sz w:val="16"/>
          <w:szCs w:val="16"/>
        </w:rPr>
        <w:footnoteRef/>
      </w:r>
      <w:r w:rsidRPr="00D86BA0">
        <w:rPr>
          <w:sz w:val="16"/>
          <w:szCs w:val="16"/>
        </w:rPr>
        <w:t xml:space="preserve"> </w:t>
      </w:r>
      <w:r w:rsidRPr="00D86BA0">
        <w:rPr>
          <w:rFonts w:cs="Times New Roman"/>
          <w:sz w:val="16"/>
          <w:szCs w:val="16"/>
        </w:rPr>
        <w:t>AFCOS kancelarija je savjetovala Direktoratu za finansiranje i ugovaranje sredstava pomoći EU da sprovođenjem detaljnije kontrole utvrdi da li su na pomenutom projektu mogle nastati nepravilnosti ili greške koje nemaju finansijskih posljedica za budžet EU, i koje se kao takve ne izvještavaju OLAF-u,već Upravljačkom tijelu trilateralnog programa</w:t>
      </w:r>
      <w:r>
        <w:rPr>
          <w:rFonts w:ascii="Times New Roman" w:hAnsi="Times New Roman" w:cs="Times New Roman"/>
        </w:rPr>
        <w:t>,</w:t>
      </w:r>
    </w:p>
  </w:footnote>
  <w:footnote w:id="18">
    <w:p w:rsidR="00864951" w:rsidRDefault="00864951" w:rsidP="00494617">
      <w:pPr>
        <w:pStyle w:val="FootnoteText"/>
      </w:pPr>
      <w:r>
        <w:rPr>
          <w:rStyle w:val="FootnoteReference"/>
        </w:rPr>
        <w:footnoteRef/>
      </w:r>
      <w:r>
        <w:t xml:space="preserve"> Svi novčani iznosi u tabelama su izraženi u EUR (€)</w:t>
      </w:r>
    </w:p>
  </w:footnote>
  <w:footnote w:id="19">
    <w:p w:rsidR="00864951" w:rsidRPr="00230ECA" w:rsidRDefault="00864951" w:rsidP="00494617">
      <w:pPr>
        <w:pStyle w:val="FootnoteText"/>
        <w:rPr>
          <w:rFonts w:ascii="Times New Roman" w:hAnsi="Times New Roman"/>
        </w:rPr>
      </w:pPr>
      <w:r>
        <w:rPr>
          <w:rStyle w:val="FootnoteReference"/>
        </w:rPr>
        <w:footnoteRef/>
      </w:r>
      <w:r>
        <w:t xml:space="preserve"> </w:t>
      </w:r>
      <w:r w:rsidRPr="00230ECA">
        <w:rPr>
          <w:rFonts w:ascii="Times New Roman" w:hAnsi="Times New Roman"/>
        </w:rPr>
        <w:t>Nakon odluke Ustavnog suda Crne Gore Uprava za igre na sreću više ne izdaje koncesije za priređivanje posebnih igara na sreću – kladioničke igre putem terminala za klađenje u ugostiteljskim objektima, niti dozvoljava premještanje terminala iz jednog ugostiteljskog objekta u drugi.</w:t>
      </w:r>
    </w:p>
  </w:footnote>
  <w:footnote w:id="20">
    <w:p w:rsidR="00864951" w:rsidRPr="00E029CA" w:rsidRDefault="00864951" w:rsidP="0039737E">
      <w:pPr>
        <w:pStyle w:val="FootnoteText"/>
        <w:rPr>
          <w:rFonts w:ascii="Arial" w:hAnsi="Arial" w:cs="Arial"/>
          <w:sz w:val="16"/>
          <w:szCs w:val="16"/>
          <w:lang w:val="sr-Latn-ME"/>
        </w:rPr>
      </w:pPr>
      <w:r w:rsidRPr="00E029CA">
        <w:rPr>
          <w:rStyle w:val="FootnoteReference"/>
          <w:sz w:val="16"/>
          <w:szCs w:val="16"/>
        </w:rPr>
        <w:footnoteRef/>
      </w:r>
      <w:r w:rsidRPr="00E029CA">
        <w:rPr>
          <w:rFonts w:ascii="Arial" w:hAnsi="Arial" w:cs="Arial"/>
          <w:sz w:val="16"/>
          <w:szCs w:val="16"/>
        </w:rPr>
        <w:t xml:space="preserve"> </w:t>
      </w:r>
      <w:r w:rsidRPr="00E029CA">
        <w:rPr>
          <w:rFonts w:ascii="Arial" w:hAnsi="Arial" w:cs="Arial"/>
          <w:sz w:val="16"/>
          <w:szCs w:val="16"/>
          <w:lang w:val="sr-Latn-ME"/>
        </w:rPr>
        <w:t>Program zvanične statistike 201</w:t>
      </w:r>
      <w:r>
        <w:rPr>
          <w:rFonts w:ascii="Arial" w:hAnsi="Arial" w:cs="Arial"/>
          <w:sz w:val="16"/>
          <w:szCs w:val="16"/>
          <w:lang w:val="sr-Latn-ME"/>
        </w:rPr>
        <w:t>9</w:t>
      </w:r>
      <w:r w:rsidRPr="00E029CA">
        <w:rPr>
          <w:rFonts w:ascii="Arial" w:hAnsi="Arial" w:cs="Arial"/>
          <w:sz w:val="16"/>
          <w:szCs w:val="16"/>
          <w:lang w:val="sr-Latn-ME"/>
        </w:rPr>
        <w:t xml:space="preserve"> – 20</w:t>
      </w:r>
      <w:r>
        <w:rPr>
          <w:rFonts w:ascii="Arial" w:hAnsi="Arial" w:cs="Arial"/>
          <w:sz w:val="16"/>
          <w:szCs w:val="16"/>
          <w:lang w:val="sr-Latn-ME"/>
        </w:rPr>
        <w:t>23</w:t>
      </w:r>
      <w:r w:rsidRPr="00E029CA">
        <w:rPr>
          <w:rFonts w:ascii="Arial" w:hAnsi="Arial" w:cs="Arial"/>
          <w:sz w:val="16"/>
          <w:szCs w:val="16"/>
          <w:lang w:val="sr-Latn-ME"/>
        </w:rPr>
        <w:t xml:space="preserve"> godine (201</w:t>
      </w:r>
      <w:r>
        <w:rPr>
          <w:rFonts w:ascii="Arial" w:hAnsi="Arial" w:cs="Arial"/>
          <w:sz w:val="16"/>
          <w:szCs w:val="16"/>
          <w:lang w:val="sr-Latn-ME"/>
        </w:rPr>
        <w:t>9</w:t>
      </w:r>
      <w:r w:rsidRPr="00E029CA">
        <w:rPr>
          <w:rFonts w:ascii="Arial" w:hAnsi="Arial" w:cs="Arial"/>
          <w:sz w:val="16"/>
          <w:szCs w:val="16"/>
          <w:lang w:val="sr-Latn-ME"/>
        </w:rPr>
        <w:t xml:space="preserve">) </w:t>
      </w:r>
      <w:r>
        <w:rPr>
          <w:rFonts w:ascii="Arial" w:hAnsi="Arial" w:cs="Arial"/>
          <w:sz w:val="16"/>
          <w:szCs w:val="16"/>
          <w:lang w:val="sr-Latn-ME"/>
        </w:rPr>
        <w:t>Uprava</w:t>
      </w:r>
      <w:r w:rsidRPr="00E029CA">
        <w:rPr>
          <w:rFonts w:ascii="Arial" w:hAnsi="Arial" w:cs="Arial"/>
          <w:sz w:val="16"/>
          <w:szCs w:val="16"/>
          <w:lang w:val="sr-Latn-ME"/>
        </w:rPr>
        <w:t xml:space="preserve"> za statistiku </w:t>
      </w:r>
      <w:hyperlink r:id="rId10" w:history="1">
        <w:r w:rsidRPr="00084C66">
          <w:rPr>
            <w:rStyle w:val="Hyperlink"/>
            <w:rFonts w:ascii="Arial" w:hAnsi="Arial" w:cs="Arial"/>
            <w:sz w:val="16"/>
            <w:szCs w:val="16"/>
            <w:lang w:val="sr-Latn-ME"/>
          </w:rPr>
          <w:t>https://www.monstat.org/cg/page.php?id=10&amp;pageid=10</w:t>
        </w:r>
      </w:hyperlink>
      <w:r>
        <w:rPr>
          <w:rFonts w:ascii="Arial" w:hAnsi="Arial" w:cs="Arial"/>
          <w:sz w:val="16"/>
          <w:szCs w:val="16"/>
          <w:lang w:val="sr-Latn-ME"/>
        </w:rPr>
        <w:t xml:space="preserve"> </w:t>
      </w:r>
    </w:p>
  </w:footnote>
  <w:footnote w:id="21">
    <w:p w:rsidR="00864951" w:rsidRPr="00E029CA" w:rsidRDefault="00864951" w:rsidP="0039737E">
      <w:pPr>
        <w:pStyle w:val="FootnoteText"/>
        <w:rPr>
          <w:rFonts w:ascii="Arial" w:hAnsi="Arial" w:cs="Arial"/>
          <w:sz w:val="16"/>
          <w:szCs w:val="16"/>
          <w:lang w:val="sr-Latn-ME"/>
        </w:rPr>
      </w:pPr>
      <w:r w:rsidRPr="00E029CA">
        <w:rPr>
          <w:rStyle w:val="FootnoteReference"/>
          <w:sz w:val="16"/>
          <w:szCs w:val="16"/>
        </w:rPr>
        <w:footnoteRef/>
      </w:r>
      <w:r w:rsidRPr="00E029CA">
        <w:rPr>
          <w:rFonts w:ascii="Arial" w:hAnsi="Arial" w:cs="Arial"/>
          <w:sz w:val="16"/>
          <w:szCs w:val="16"/>
        </w:rPr>
        <w:t xml:space="preserve"> Strategija razvoja zvanične statistike 20</w:t>
      </w:r>
      <w:r>
        <w:rPr>
          <w:rFonts w:ascii="Arial" w:hAnsi="Arial" w:cs="Arial"/>
          <w:sz w:val="16"/>
          <w:szCs w:val="16"/>
        </w:rPr>
        <w:t>19</w:t>
      </w:r>
      <w:r w:rsidRPr="00E029CA">
        <w:rPr>
          <w:rFonts w:ascii="Arial" w:hAnsi="Arial" w:cs="Arial"/>
          <w:sz w:val="16"/>
          <w:szCs w:val="16"/>
        </w:rPr>
        <w:t xml:space="preserve"> - 20</w:t>
      </w:r>
      <w:r>
        <w:rPr>
          <w:rFonts w:ascii="Arial" w:hAnsi="Arial" w:cs="Arial"/>
          <w:sz w:val="16"/>
          <w:szCs w:val="16"/>
        </w:rPr>
        <w:t>23</w:t>
      </w:r>
      <w:r w:rsidRPr="00E029CA">
        <w:rPr>
          <w:rFonts w:ascii="Arial" w:hAnsi="Arial" w:cs="Arial"/>
          <w:sz w:val="16"/>
          <w:szCs w:val="16"/>
        </w:rPr>
        <w:t>. godine (20</w:t>
      </w:r>
      <w:r>
        <w:rPr>
          <w:rFonts w:ascii="Arial" w:hAnsi="Arial" w:cs="Arial"/>
          <w:sz w:val="16"/>
          <w:szCs w:val="16"/>
        </w:rPr>
        <w:t>19</w:t>
      </w:r>
      <w:r w:rsidRPr="00E029CA">
        <w:rPr>
          <w:rFonts w:ascii="Arial" w:hAnsi="Arial" w:cs="Arial"/>
          <w:sz w:val="16"/>
          <w:szCs w:val="16"/>
        </w:rPr>
        <w:t xml:space="preserve">) </w:t>
      </w:r>
      <w:r>
        <w:rPr>
          <w:rFonts w:ascii="Arial" w:hAnsi="Arial" w:cs="Arial"/>
          <w:sz w:val="16"/>
          <w:szCs w:val="16"/>
        </w:rPr>
        <w:t>Uprava</w:t>
      </w:r>
      <w:r w:rsidRPr="00E029CA">
        <w:rPr>
          <w:rFonts w:ascii="Arial" w:hAnsi="Arial" w:cs="Arial"/>
          <w:sz w:val="16"/>
          <w:szCs w:val="16"/>
        </w:rPr>
        <w:t xml:space="preserve"> za statistiku </w:t>
      </w:r>
      <w:hyperlink r:id="rId11" w:history="1">
        <w:r w:rsidRPr="00E029CA">
          <w:rPr>
            <w:rStyle w:val="Hyperlink"/>
            <w:rFonts w:ascii="Arial" w:hAnsi="Arial" w:cs="Arial"/>
            <w:sz w:val="16"/>
            <w:szCs w:val="16"/>
          </w:rPr>
          <w:t>http://www.monstat.org/cg/page.php?id=7&amp;pageid=7</w:t>
        </w:r>
      </w:hyperlink>
      <w:r w:rsidRPr="00E029CA">
        <w:rPr>
          <w:rFonts w:ascii="Arial" w:hAnsi="Arial" w:cs="Arial"/>
          <w:sz w:val="16"/>
          <w:szCs w:val="16"/>
        </w:rPr>
        <w:t xml:space="preserve"> </w:t>
      </w:r>
    </w:p>
  </w:footnote>
  <w:footnote w:id="22">
    <w:p w:rsidR="00864951" w:rsidRPr="00322EDF" w:rsidRDefault="00864951" w:rsidP="0039737E">
      <w:pPr>
        <w:pStyle w:val="FootnoteText"/>
        <w:rPr>
          <w:sz w:val="18"/>
          <w:szCs w:val="18"/>
        </w:rPr>
      </w:pPr>
      <w:r w:rsidRPr="00322EDF">
        <w:rPr>
          <w:rStyle w:val="FootnoteReference"/>
          <w:sz w:val="18"/>
          <w:szCs w:val="18"/>
        </w:rPr>
        <w:footnoteRef/>
      </w:r>
      <w:r w:rsidRPr="00322EDF">
        <w:rPr>
          <w:rFonts w:ascii="Arial" w:hAnsi="Arial" w:cs="Arial"/>
          <w:sz w:val="18"/>
          <w:szCs w:val="18"/>
        </w:rPr>
        <w:t xml:space="preserve"> Kalendar objavljivanja statističkih podataka za 2021. godinu </w:t>
      </w:r>
      <w:hyperlink r:id="rId12" w:history="1">
        <w:r w:rsidRPr="00322EDF">
          <w:rPr>
            <w:rStyle w:val="Hyperlink"/>
            <w:rFonts w:ascii="Arial" w:hAnsi="Arial" w:cs="Arial"/>
            <w:sz w:val="18"/>
            <w:szCs w:val="18"/>
          </w:rPr>
          <w:t>https://www.monstat.org/uploads/files/O%20NAMA/Kalendar%20objavljivanja%20statisti%C4%8Dkih%20podataka%20za%202021.%20godinu%20-%20MNE%20-za%20web%20sajt.pdf</w:t>
        </w:r>
      </w:hyperlink>
      <w:r w:rsidRPr="00322EDF">
        <w:rPr>
          <w:sz w:val="18"/>
          <w:szCs w:val="18"/>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4951" w:rsidRDefault="00864951" w:rsidP="00A6505B">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4951" w:rsidRPr="00451F6C" w:rsidRDefault="00864951" w:rsidP="00451F6C">
    <w:pPr>
      <w:pStyle w:val="Title"/>
      <w:rPr>
        <w:rFonts w:eastAsiaTheme="majorEastAsia" w:cstheme="majorBidi"/>
      </w:rPr>
    </w:pPr>
    <w:r>
      <w:rPr>
        <w:lang w:val="sr-Latn-RS" w:eastAsia="sr-Latn-RS"/>
      </w:rPr>
      <mc:AlternateContent>
        <mc:Choice Requires="wps">
          <w:drawing>
            <wp:anchor distT="45720" distB="45720" distL="114300" distR="114300" simplePos="0" relativeHeight="251662336" behindDoc="0" locked="0" layoutInCell="1" allowOverlap="1">
              <wp:simplePos x="0" y="0"/>
              <wp:positionH relativeFrom="column">
                <wp:posOffset>3909695</wp:posOffset>
              </wp:positionH>
              <wp:positionV relativeFrom="paragraph">
                <wp:posOffset>128905</wp:posOffset>
              </wp:positionV>
              <wp:extent cx="2442210" cy="1174115"/>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2210" cy="1174115"/>
                      </a:xfrm>
                      <a:prstGeom prst="rect">
                        <a:avLst/>
                      </a:prstGeom>
                      <a:solidFill>
                        <a:srgbClr val="FFFFFF"/>
                      </a:solidFill>
                      <a:ln w="9525">
                        <a:noFill/>
                        <a:miter lim="800000"/>
                        <a:headEnd/>
                        <a:tailEnd/>
                      </a:ln>
                    </wps:spPr>
                    <wps:txbx>
                      <w:txbxContent>
                        <w:p w:rsidR="00864951" w:rsidRPr="00AF27FF" w:rsidRDefault="00864951" w:rsidP="00B003EE">
                          <w:pPr>
                            <w:spacing w:before="0" w:after="0" w:line="240" w:lineRule="auto"/>
                            <w:jc w:val="right"/>
                            <w:rPr>
                              <w:sz w:val="20"/>
                            </w:rPr>
                          </w:pPr>
                          <w:r w:rsidRPr="00AF27FF">
                            <w:rPr>
                              <w:sz w:val="20"/>
                            </w:rPr>
                            <w:t xml:space="preserve">Adresa: </w:t>
                          </w:r>
                          <w:r>
                            <w:rPr>
                              <w:sz w:val="20"/>
                            </w:rPr>
                            <w:t>ul. Stanka Dragojevića 2</w:t>
                          </w:r>
                          <w:r w:rsidRPr="00AF27FF">
                            <w:rPr>
                              <w:sz w:val="20"/>
                            </w:rPr>
                            <w:t xml:space="preserve">, </w:t>
                          </w:r>
                        </w:p>
                        <w:p w:rsidR="00864951" w:rsidRPr="00AF27FF" w:rsidRDefault="00864951" w:rsidP="00B003EE">
                          <w:pPr>
                            <w:spacing w:before="0" w:after="0" w:line="240" w:lineRule="auto"/>
                            <w:jc w:val="right"/>
                            <w:rPr>
                              <w:sz w:val="20"/>
                            </w:rPr>
                          </w:pPr>
                          <w:r w:rsidRPr="00AF27FF">
                            <w:rPr>
                              <w:sz w:val="20"/>
                            </w:rPr>
                            <w:t>81000 Podgorica, Crna Gora</w:t>
                          </w:r>
                        </w:p>
                        <w:p w:rsidR="00864951" w:rsidRPr="00AF27FF" w:rsidRDefault="00864951" w:rsidP="00B003EE">
                          <w:pPr>
                            <w:spacing w:before="0" w:after="0" w:line="240" w:lineRule="auto"/>
                            <w:jc w:val="right"/>
                            <w:rPr>
                              <w:sz w:val="20"/>
                            </w:rPr>
                          </w:pPr>
                          <w:r>
                            <w:rPr>
                              <w:sz w:val="20"/>
                            </w:rPr>
                            <w:t>tel: +382 20 242 835</w:t>
                          </w:r>
                          <w:r w:rsidRPr="00AF27FF">
                            <w:rPr>
                              <w:sz w:val="20"/>
                            </w:rPr>
                            <w:t xml:space="preserve"> </w:t>
                          </w:r>
                        </w:p>
                        <w:p w:rsidR="00864951" w:rsidRPr="00AF27FF" w:rsidRDefault="00864951" w:rsidP="00B003EE">
                          <w:pPr>
                            <w:spacing w:before="0" w:after="0" w:line="240" w:lineRule="auto"/>
                            <w:jc w:val="right"/>
                            <w:rPr>
                              <w:sz w:val="20"/>
                            </w:rPr>
                          </w:pPr>
                          <w:r>
                            <w:rPr>
                              <w:sz w:val="20"/>
                            </w:rPr>
                            <w:t>fax: +382 20 224 450</w:t>
                          </w:r>
                        </w:p>
                        <w:p w:rsidR="00864951" w:rsidRPr="00AF27FF" w:rsidRDefault="00864951" w:rsidP="00B003EE">
                          <w:pPr>
                            <w:spacing w:before="0" w:after="0" w:line="240" w:lineRule="auto"/>
                            <w:jc w:val="right"/>
                            <w:rPr>
                              <w:color w:val="0070C0"/>
                              <w:sz w:val="20"/>
                            </w:rPr>
                          </w:pPr>
                          <w:r w:rsidRPr="00AF27FF">
                            <w:rPr>
                              <w:color w:val="0070C0"/>
                              <w:sz w:val="20"/>
                            </w:rPr>
                            <w:t>www.</w:t>
                          </w:r>
                          <w:r>
                            <w:rPr>
                              <w:color w:val="0070C0"/>
                              <w:sz w:val="20"/>
                            </w:rPr>
                            <w:t>mif</w:t>
                          </w:r>
                          <w:r w:rsidRPr="00AF27FF">
                            <w:rPr>
                              <w:color w:val="0070C0"/>
                              <w:sz w:val="20"/>
                            </w:rPr>
                            <w:t>.gov.me</w:t>
                          </w:r>
                        </w:p>
                        <w:p w:rsidR="00864951" w:rsidRPr="00AF27FF" w:rsidRDefault="00864951" w:rsidP="00B003EE">
                          <w:pPr>
                            <w:spacing w:line="240" w:lineRule="auto"/>
                            <w:rPr>
                              <w:sz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07.85pt;margin-top:10.15pt;width:192.3pt;height:92.45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" stroked="f">
              <v:textbox style="mso-fit-shape-to-text:t">
                <w:txbxContent>
                  <w:p w:rsidR="003611CF" w:rsidRPr="00AF27FF" w:rsidRDefault="003611CF" w:rsidP="00B003EE">
                    <w:pPr>
                      <w:spacing w:before="0" w:after="0" w:line="240" w:lineRule="auto"/>
                      <w:jc w:val="right"/>
                      <w:rPr>
                        <w:sz w:val="20"/>
                      </w:rPr>
                    </w:pPr>
                    <w:r w:rsidRPr="00AF27FF">
                      <w:rPr>
                        <w:sz w:val="20"/>
                      </w:rPr>
                      <w:t xml:space="preserve">Adresa: </w:t>
                    </w:r>
                    <w:r>
                      <w:rPr>
                        <w:sz w:val="20"/>
                      </w:rPr>
                      <w:t>ul. Stanka Dragojevića 2</w:t>
                    </w:r>
                    <w:r w:rsidRPr="00AF27FF">
                      <w:rPr>
                        <w:sz w:val="20"/>
                      </w:rPr>
                      <w:t xml:space="preserve">, </w:t>
                    </w:r>
                  </w:p>
                  <w:p w:rsidR="003611CF" w:rsidRPr="00AF27FF" w:rsidRDefault="003611CF" w:rsidP="00B003EE">
                    <w:pPr>
                      <w:spacing w:before="0" w:after="0" w:line="240" w:lineRule="auto"/>
                      <w:jc w:val="right"/>
                      <w:rPr>
                        <w:sz w:val="20"/>
                      </w:rPr>
                    </w:pPr>
                    <w:r w:rsidRPr="00AF27FF">
                      <w:rPr>
                        <w:sz w:val="20"/>
                      </w:rPr>
                      <w:t>81000 Podgorica, Crna Gora</w:t>
                    </w:r>
                  </w:p>
                  <w:p w:rsidR="003611CF" w:rsidRPr="00AF27FF" w:rsidRDefault="003611CF" w:rsidP="00B003EE">
                    <w:pPr>
                      <w:spacing w:before="0" w:after="0" w:line="240" w:lineRule="auto"/>
                      <w:jc w:val="right"/>
                      <w:rPr>
                        <w:sz w:val="20"/>
                      </w:rPr>
                    </w:pPr>
                    <w:r>
                      <w:rPr>
                        <w:sz w:val="20"/>
                      </w:rPr>
                      <w:t>tel: +382 20 242 835</w:t>
                    </w:r>
                    <w:r w:rsidRPr="00AF27FF">
                      <w:rPr>
                        <w:sz w:val="20"/>
                      </w:rPr>
                      <w:t xml:space="preserve"> </w:t>
                    </w:r>
                  </w:p>
                  <w:p w:rsidR="003611CF" w:rsidRPr="00AF27FF" w:rsidRDefault="003611CF" w:rsidP="00B003EE">
                    <w:pPr>
                      <w:spacing w:before="0" w:after="0" w:line="240" w:lineRule="auto"/>
                      <w:jc w:val="right"/>
                      <w:rPr>
                        <w:sz w:val="20"/>
                      </w:rPr>
                    </w:pPr>
                    <w:r>
                      <w:rPr>
                        <w:sz w:val="20"/>
                      </w:rPr>
                      <w:t>fax: +382 20 224 450</w:t>
                    </w:r>
                  </w:p>
                  <w:p w:rsidR="003611CF" w:rsidRPr="00AF27FF" w:rsidRDefault="003611CF" w:rsidP="00B003EE">
                    <w:pPr>
                      <w:spacing w:before="0" w:after="0" w:line="240" w:lineRule="auto"/>
                      <w:jc w:val="right"/>
                      <w:rPr>
                        <w:color w:val="0070C0"/>
                        <w:sz w:val="20"/>
                      </w:rPr>
                    </w:pPr>
                    <w:r w:rsidRPr="00AF27FF">
                      <w:rPr>
                        <w:color w:val="0070C0"/>
                        <w:sz w:val="20"/>
                      </w:rPr>
                      <w:t>www.</w:t>
                    </w:r>
                    <w:r>
                      <w:rPr>
                        <w:color w:val="0070C0"/>
                        <w:sz w:val="20"/>
                      </w:rPr>
                      <w:t>mif</w:t>
                    </w:r>
                    <w:r w:rsidRPr="00AF27FF">
                      <w:rPr>
                        <w:color w:val="0070C0"/>
                        <w:sz w:val="20"/>
                      </w:rPr>
                      <w:t>.gov.me</w:t>
                    </w:r>
                  </w:p>
                  <w:p w:rsidR="003611CF" w:rsidRPr="00AF27FF" w:rsidRDefault="003611CF" w:rsidP="00B003EE">
                    <w:pPr>
                      <w:spacing w:line="240" w:lineRule="auto"/>
                      <w:rPr>
                        <w:sz w:val="20"/>
                      </w:rPr>
                    </w:pPr>
                  </w:p>
                </w:txbxContent>
              </v:textbox>
            </v:shape>
          </w:pict>
        </mc:Fallback>
      </mc:AlternateContent>
    </w:r>
    <w:r>
      <w:rPr>
        <w:lang w:val="sr-Latn-RS" w:eastAsia="sr-Latn-RS"/>
      </w:rPr>
      <mc:AlternateContent>
        <mc:Choice Requires="wps">
          <w:drawing>
            <wp:anchor distT="0" distB="0" distL="114299" distR="114299" simplePos="0" relativeHeight="251659264" behindDoc="0" locked="0" layoutInCell="1" allowOverlap="1">
              <wp:simplePos x="0" y="0"/>
              <wp:positionH relativeFrom="column">
                <wp:posOffset>622299</wp:posOffset>
              </wp:positionH>
              <wp:positionV relativeFrom="paragraph">
                <wp:posOffset>52705</wp:posOffset>
              </wp:positionV>
              <wp:extent cx="0" cy="635000"/>
              <wp:effectExtent l="0" t="0" r="19050" b="317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567E10" id="Straight Connector 27"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" strokecolor="#d5b03d" strokeweight="1.5pt">
              <o:lock v:ext="edit" shapetype="f"/>
            </v:line>
          </w:pict>
        </mc:Fallback>
      </mc:AlternateContent>
    </w:r>
    <w:r w:rsidRPr="00451F6C">
      <w:rPr>
        <w:lang w:val="sr-Latn-RS" w:eastAsia="sr-Latn-RS"/>
      </w:rPr>
      <w:drawing>
        <wp:anchor distT="0" distB="0" distL="114300" distR="114300" simplePos="0" relativeHeight="251660288" behindDoc="0" locked="0" layoutInCell="1" allowOverlap="1">
          <wp:simplePos x="0" y="0"/>
          <wp:positionH relativeFrom="column">
            <wp:posOffset>-16510</wp:posOffset>
          </wp:positionH>
          <wp:positionV relativeFrom="paragraph">
            <wp:posOffset>57150</wp:posOffset>
          </wp:positionV>
          <wp:extent cx="539115" cy="621665"/>
          <wp:effectExtent l="0" t="0" r="0" b="698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451F6C">
      <w:t xml:space="preserve">Crna </w:t>
    </w:r>
    <w:r>
      <w:t>Gora</w:t>
    </w:r>
  </w:p>
  <w:p w:rsidR="00864951" w:rsidRDefault="00864951" w:rsidP="00EB4B28">
    <w:pPr>
      <w:pStyle w:val="Title"/>
      <w:spacing w:after="0"/>
    </w:pPr>
    <w:r>
      <w:t>Ministarstvo finansija i socijalnog staranja</w:t>
    </w:r>
  </w:p>
  <w:p w:rsidR="00864951" w:rsidRPr="00F323F6" w:rsidRDefault="00864951" w:rsidP="00F127D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msoAD22"/>
      </v:shape>
    </w:pict>
  </w:numPicBullet>
  <w:abstractNum w:abstractNumId="0" w15:restartNumberingAfterBreak="0">
    <w:nsid w:val="021F065F"/>
    <w:multiLevelType w:val="hybridMultilevel"/>
    <w:tmpl w:val="EAFAFA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174E4"/>
    <w:multiLevelType w:val="hybridMultilevel"/>
    <w:tmpl w:val="25885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877896"/>
    <w:multiLevelType w:val="hybridMultilevel"/>
    <w:tmpl w:val="BBAC59D0"/>
    <w:lvl w:ilvl="0" w:tplc="92F06D32">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3E5BFE"/>
    <w:multiLevelType w:val="hybridMultilevel"/>
    <w:tmpl w:val="DD886F60"/>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5791FC4"/>
    <w:multiLevelType w:val="hybridMultilevel"/>
    <w:tmpl w:val="B2DC0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9A0594"/>
    <w:multiLevelType w:val="hybridMultilevel"/>
    <w:tmpl w:val="5504E388"/>
    <w:lvl w:ilvl="0" w:tplc="04090001">
      <w:start w:val="1"/>
      <w:numFmt w:val="bullet"/>
      <w:lvlText w:val=""/>
      <w:lvlJc w:val="left"/>
      <w:pPr>
        <w:tabs>
          <w:tab w:val="num" w:pos="945"/>
        </w:tabs>
        <w:ind w:left="945" w:hanging="360"/>
      </w:pPr>
      <w:rPr>
        <w:rFonts w:ascii="Symbol" w:hAnsi="Symbol" w:hint="default"/>
      </w:rPr>
    </w:lvl>
    <w:lvl w:ilvl="1" w:tplc="04090003" w:tentative="1">
      <w:start w:val="1"/>
      <w:numFmt w:val="bullet"/>
      <w:lvlText w:val="o"/>
      <w:lvlJc w:val="left"/>
      <w:pPr>
        <w:tabs>
          <w:tab w:val="num" w:pos="1665"/>
        </w:tabs>
        <w:ind w:left="1665" w:hanging="360"/>
      </w:pPr>
      <w:rPr>
        <w:rFonts w:ascii="Courier New" w:hAnsi="Courier New" w:hint="default"/>
      </w:rPr>
    </w:lvl>
    <w:lvl w:ilvl="2" w:tplc="04090005" w:tentative="1">
      <w:start w:val="1"/>
      <w:numFmt w:val="bullet"/>
      <w:lvlText w:val=""/>
      <w:lvlJc w:val="left"/>
      <w:pPr>
        <w:tabs>
          <w:tab w:val="num" w:pos="2385"/>
        </w:tabs>
        <w:ind w:left="2385" w:hanging="360"/>
      </w:pPr>
      <w:rPr>
        <w:rFonts w:ascii="Wingdings" w:hAnsi="Wingdings" w:hint="default"/>
      </w:rPr>
    </w:lvl>
    <w:lvl w:ilvl="3" w:tplc="04090001" w:tentative="1">
      <w:start w:val="1"/>
      <w:numFmt w:val="bullet"/>
      <w:lvlText w:val=""/>
      <w:lvlJc w:val="left"/>
      <w:pPr>
        <w:tabs>
          <w:tab w:val="num" w:pos="3105"/>
        </w:tabs>
        <w:ind w:left="3105" w:hanging="360"/>
      </w:pPr>
      <w:rPr>
        <w:rFonts w:ascii="Symbol" w:hAnsi="Symbol" w:hint="default"/>
      </w:rPr>
    </w:lvl>
    <w:lvl w:ilvl="4" w:tplc="04090003" w:tentative="1">
      <w:start w:val="1"/>
      <w:numFmt w:val="bullet"/>
      <w:lvlText w:val="o"/>
      <w:lvlJc w:val="left"/>
      <w:pPr>
        <w:tabs>
          <w:tab w:val="num" w:pos="3825"/>
        </w:tabs>
        <w:ind w:left="3825" w:hanging="360"/>
      </w:pPr>
      <w:rPr>
        <w:rFonts w:ascii="Courier New" w:hAnsi="Courier New" w:hint="default"/>
      </w:rPr>
    </w:lvl>
    <w:lvl w:ilvl="5" w:tplc="04090005" w:tentative="1">
      <w:start w:val="1"/>
      <w:numFmt w:val="bullet"/>
      <w:lvlText w:val=""/>
      <w:lvlJc w:val="left"/>
      <w:pPr>
        <w:tabs>
          <w:tab w:val="num" w:pos="4545"/>
        </w:tabs>
        <w:ind w:left="4545" w:hanging="360"/>
      </w:pPr>
      <w:rPr>
        <w:rFonts w:ascii="Wingdings" w:hAnsi="Wingdings" w:hint="default"/>
      </w:rPr>
    </w:lvl>
    <w:lvl w:ilvl="6" w:tplc="04090001" w:tentative="1">
      <w:start w:val="1"/>
      <w:numFmt w:val="bullet"/>
      <w:lvlText w:val=""/>
      <w:lvlJc w:val="left"/>
      <w:pPr>
        <w:tabs>
          <w:tab w:val="num" w:pos="5265"/>
        </w:tabs>
        <w:ind w:left="5265" w:hanging="360"/>
      </w:pPr>
      <w:rPr>
        <w:rFonts w:ascii="Symbol" w:hAnsi="Symbol" w:hint="default"/>
      </w:rPr>
    </w:lvl>
    <w:lvl w:ilvl="7" w:tplc="04090003" w:tentative="1">
      <w:start w:val="1"/>
      <w:numFmt w:val="bullet"/>
      <w:lvlText w:val="o"/>
      <w:lvlJc w:val="left"/>
      <w:pPr>
        <w:tabs>
          <w:tab w:val="num" w:pos="5985"/>
        </w:tabs>
        <w:ind w:left="5985" w:hanging="360"/>
      </w:pPr>
      <w:rPr>
        <w:rFonts w:ascii="Courier New" w:hAnsi="Courier New" w:hint="default"/>
      </w:rPr>
    </w:lvl>
    <w:lvl w:ilvl="8" w:tplc="04090005" w:tentative="1">
      <w:start w:val="1"/>
      <w:numFmt w:val="bullet"/>
      <w:lvlText w:val=""/>
      <w:lvlJc w:val="left"/>
      <w:pPr>
        <w:tabs>
          <w:tab w:val="num" w:pos="6705"/>
        </w:tabs>
        <w:ind w:left="6705" w:hanging="360"/>
      </w:pPr>
      <w:rPr>
        <w:rFonts w:ascii="Wingdings" w:hAnsi="Wingdings" w:hint="default"/>
      </w:rPr>
    </w:lvl>
  </w:abstractNum>
  <w:abstractNum w:abstractNumId="6" w15:restartNumberingAfterBreak="0">
    <w:nsid w:val="07AD35A9"/>
    <w:multiLevelType w:val="hybridMultilevel"/>
    <w:tmpl w:val="F9E0CC38"/>
    <w:lvl w:ilvl="0" w:tplc="4E2C617C">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141719"/>
    <w:multiLevelType w:val="hybridMultilevel"/>
    <w:tmpl w:val="A48ACF4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8E9790E"/>
    <w:multiLevelType w:val="hybridMultilevel"/>
    <w:tmpl w:val="92F2C5F6"/>
    <w:lvl w:ilvl="0" w:tplc="2C1A000D">
      <w:start w:val="1"/>
      <w:numFmt w:val="bullet"/>
      <w:lvlText w:val=""/>
      <w:lvlJc w:val="left"/>
      <w:pPr>
        <w:ind w:left="360" w:hanging="360"/>
      </w:pPr>
      <w:rPr>
        <w:rFonts w:ascii="Wingdings" w:hAnsi="Wingdings" w:hint="default"/>
        <w:color w:val="auto"/>
      </w:rPr>
    </w:lvl>
    <w:lvl w:ilvl="1" w:tplc="041A0003">
      <w:start w:val="1"/>
      <w:numFmt w:val="bullet"/>
      <w:lvlText w:val="o"/>
      <w:lvlJc w:val="left"/>
      <w:pPr>
        <w:ind w:left="1582" w:hanging="360"/>
      </w:pPr>
      <w:rPr>
        <w:rFonts w:ascii="Courier New" w:hAnsi="Courier New" w:cs="Courier New" w:hint="default"/>
      </w:rPr>
    </w:lvl>
    <w:lvl w:ilvl="2" w:tplc="041A0005">
      <w:start w:val="1"/>
      <w:numFmt w:val="bullet"/>
      <w:lvlText w:val=""/>
      <w:lvlJc w:val="left"/>
      <w:pPr>
        <w:ind w:left="2302" w:hanging="360"/>
      </w:pPr>
      <w:rPr>
        <w:rFonts w:ascii="Wingdings" w:hAnsi="Wingdings" w:hint="default"/>
      </w:rPr>
    </w:lvl>
    <w:lvl w:ilvl="3" w:tplc="041A0001" w:tentative="1">
      <w:start w:val="1"/>
      <w:numFmt w:val="bullet"/>
      <w:lvlText w:val=""/>
      <w:lvlJc w:val="left"/>
      <w:pPr>
        <w:ind w:left="3022" w:hanging="360"/>
      </w:pPr>
      <w:rPr>
        <w:rFonts w:ascii="Symbol" w:hAnsi="Symbol" w:hint="default"/>
      </w:rPr>
    </w:lvl>
    <w:lvl w:ilvl="4" w:tplc="041A0003" w:tentative="1">
      <w:start w:val="1"/>
      <w:numFmt w:val="bullet"/>
      <w:lvlText w:val="o"/>
      <w:lvlJc w:val="left"/>
      <w:pPr>
        <w:ind w:left="3742" w:hanging="360"/>
      </w:pPr>
      <w:rPr>
        <w:rFonts w:ascii="Courier New" w:hAnsi="Courier New" w:cs="Courier New" w:hint="default"/>
      </w:rPr>
    </w:lvl>
    <w:lvl w:ilvl="5" w:tplc="041A0005" w:tentative="1">
      <w:start w:val="1"/>
      <w:numFmt w:val="bullet"/>
      <w:lvlText w:val=""/>
      <w:lvlJc w:val="left"/>
      <w:pPr>
        <w:ind w:left="4462" w:hanging="360"/>
      </w:pPr>
      <w:rPr>
        <w:rFonts w:ascii="Wingdings" w:hAnsi="Wingdings" w:hint="default"/>
      </w:rPr>
    </w:lvl>
    <w:lvl w:ilvl="6" w:tplc="041A0001" w:tentative="1">
      <w:start w:val="1"/>
      <w:numFmt w:val="bullet"/>
      <w:lvlText w:val=""/>
      <w:lvlJc w:val="left"/>
      <w:pPr>
        <w:ind w:left="5182" w:hanging="360"/>
      </w:pPr>
      <w:rPr>
        <w:rFonts w:ascii="Symbol" w:hAnsi="Symbol" w:hint="default"/>
      </w:rPr>
    </w:lvl>
    <w:lvl w:ilvl="7" w:tplc="041A0003" w:tentative="1">
      <w:start w:val="1"/>
      <w:numFmt w:val="bullet"/>
      <w:lvlText w:val="o"/>
      <w:lvlJc w:val="left"/>
      <w:pPr>
        <w:ind w:left="5902" w:hanging="360"/>
      </w:pPr>
      <w:rPr>
        <w:rFonts w:ascii="Courier New" w:hAnsi="Courier New" w:cs="Courier New" w:hint="default"/>
      </w:rPr>
    </w:lvl>
    <w:lvl w:ilvl="8" w:tplc="041A0005" w:tentative="1">
      <w:start w:val="1"/>
      <w:numFmt w:val="bullet"/>
      <w:lvlText w:val=""/>
      <w:lvlJc w:val="left"/>
      <w:pPr>
        <w:ind w:left="6622" w:hanging="360"/>
      </w:pPr>
      <w:rPr>
        <w:rFonts w:ascii="Wingdings" w:hAnsi="Wingdings" w:hint="default"/>
      </w:rPr>
    </w:lvl>
  </w:abstractNum>
  <w:abstractNum w:abstractNumId="9" w15:restartNumberingAfterBreak="0">
    <w:nsid w:val="0BC6668F"/>
    <w:multiLevelType w:val="hybridMultilevel"/>
    <w:tmpl w:val="A0682E1C"/>
    <w:lvl w:ilvl="0" w:tplc="0424000D">
      <w:start w:val="1"/>
      <w:numFmt w:val="bullet"/>
      <w:lvlText w:val=""/>
      <w:lvlJc w:val="left"/>
      <w:pPr>
        <w:ind w:left="507" w:hanging="360"/>
      </w:pPr>
      <w:rPr>
        <w:rFonts w:ascii="Wingdings" w:hAnsi="Wingdings" w:hint="default"/>
      </w:rPr>
    </w:lvl>
    <w:lvl w:ilvl="1" w:tplc="04240003" w:tentative="1">
      <w:start w:val="1"/>
      <w:numFmt w:val="bullet"/>
      <w:lvlText w:val="o"/>
      <w:lvlJc w:val="left"/>
      <w:pPr>
        <w:ind w:left="1227" w:hanging="360"/>
      </w:pPr>
      <w:rPr>
        <w:rFonts w:ascii="Courier New" w:hAnsi="Courier New" w:cs="Courier New" w:hint="default"/>
      </w:rPr>
    </w:lvl>
    <w:lvl w:ilvl="2" w:tplc="04240005" w:tentative="1">
      <w:start w:val="1"/>
      <w:numFmt w:val="bullet"/>
      <w:lvlText w:val=""/>
      <w:lvlJc w:val="left"/>
      <w:pPr>
        <w:ind w:left="1947" w:hanging="360"/>
      </w:pPr>
      <w:rPr>
        <w:rFonts w:ascii="Wingdings" w:hAnsi="Wingdings" w:hint="default"/>
      </w:rPr>
    </w:lvl>
    <w:lvl w:ilvl="3" w:tplc="04240001" w:tentative="1">
      <w:start w:val="1"/>
      <w:numFmt w:val="bullet"/>
      <w:lvlText w:val=""/>
      <w:lvlJc w:val="left"/>
      <w:pPr>
        <w:ind w:left="2667" w:hanging="360"/>
      </w:pPr>
      <w:rPr>
        <w:rFonts w:ascii="Symbol" w:hAnsi="Symbol" w:hint="default"/>
      </w:rPr>
    </w:lvl>
    <w:lvl w:ilvl="4" w:tplc="04240003" w:tentative="1">
      <w:start w:val="1"/>
      <w:numFmt w:val="bullet"/>
      <w:lvlText w:val="o"/>
      <w:lvlJc w:val="left"/>
      <w:pPr>
        <w:ind w:left="3387" w:hanging="360"/>
      </w:pPr>
      <w:rPr>
        <w:rFonts w:ascii="Courier New" w:hAnsi="Courier New" w:cs="Courier New" w:hint="default"/>
      </w:rPr>
    </w:lvl>
    <w:lvl w:ilvl="5" w:tplc="04240005" w:tentative="1">
      <w:start w:val="1"/>
      <w:numFmt w:val="bullet"/>
      <w:lvlText w:val=""/>
      <w:lvlJc w:val="left"/>
      <w:pPr>
        <w:ind w:left="4107" w:hanging="360"/>
      </w:pPr>
      <w:rPr>
        <w:rFonts w:ascii="Wingdings" w:hAnsi="Wingdings" w:hint="default"/>
      </w:rPr>
    </w:lvl>
    <w:lvl w:ilvl="6" w:tplc="04240001" w:tentative="1">
      <w:start w:val="1"/>
      <w:numFmt w:val="bullet"/>
      <w:lvlText w:val=""/>
      <w:lvlJc w:val="left"/>
      <w:pPr>
        <w:ind w:left="4827" w:hanging="360"/>
      </w:pPr>
      <w:rPr>
        <w:rFonts w:ascii="Symbol" w:hAnsi="Symbol" w:hint="default"/>
      </w:rPr>
    </w:lvl>
    <w:lvl w:ilvl="7" w:tplc="04240003" w:tentative="1">
      <w:start w:val="1"/>
      <w:numFmt w:val="bullet"/>
      <w:lvlText w:val="o"/>
      <w:lvlJc w:val="left"/>
      <w:pPr>
        <w:ind w:left="5547" w:hanging="360"/>
      </w:pPr>
      <w:rPr>
        <w:rFonts w:ascii="Courier New" w:hAnsi="Courier New" w:cs="Courier New" w:hint="default"/>
      </w:rPr>
    </w:lvl>
    <w:lvl w:ilvl="8" w:tplc="04240005" w:tentative="1">
      <w:start w:val="1"/>
      <w:numFmt w:val="bullet"/>
      <w:lvlText w:val=""/>
      <w:lvlJc w:val="left"/>
      <w:pPr>
        <w:ind w:left="6267" w:hanging="360"/>
      </w:pPr>
      <w:rPr>
        <w:rFonts w:ascii="Wingdings" w:hAnsi="Wingdings" w:hint="default"/>
      </w:rPr>
    </w:lvl>
  </w:abstractNum>
  <w:abstractNum w:abstractNumId="10" w15:restartNumberingAfterBreak="0">
    <w:nsid w:val="0C0D08F2"/>
    <w:multiLevelType w:val="hybridMultilevel"/>
    <w:tmpl w:val="CC76584E"/>
    <w:lvl w:ilvl="0" w:tplc="2C1A0007">
      <w:start w:val="1"/>
      <w:numFmt w:val="bullet"/>
      <w:lvlText w:val=""/>
      <w:lvlPicBulletId w:val="0"/>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0C745D46"/>
    <w:multiLevelType w:val="hybridMultilevel"/>
    <w:tmpl w:val="09926E1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103870E7"/>
    <w:multiLevelType w:val="hybridMultilevel"/>
    <w:tmpl w:val="6A001A32"/>
    <w:lvl w:ilvl="0" w:tplc="0424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3A2B19"/>
    <w:multiLevelType w:val="hybridMultilevel"/>
    <w:tmpl w:val="0EC28562"/>
    <w:lvl w:ilvl="0" w:tplc="04090007">
      <w:start w:val="1"/>
      <w:numFmt w:val="bullet"/>
      <w:lvlText w:val=""/>
      <w:lvlPicBulletId w:val="0"/>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10BB15BE"/>
    <w:multiLevelType w:val="hybridMultilevel"/>
    <w:tmpl w:val="A4109EB2"/>
    <w:lvl w:ilvl="0" w:tplc="081A000F">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5" w15:restartNumberingAfterBreak="0">
    <w:nsid w:val="12E05357"/>
    <w:multiLevelType w:val="hybridMultilevel"/>
    <w:tmpl w:val="DF348E54"/>
    <w:lvl w:ilvl="0" w:tplc="081A000F">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6" w15:restartNumberingAfterBreak="0">
    <w:nsid w:val="12FC7B8D"/>
    <w:multiLevelType w:val="hybridMultilevel"/>
    <w:tmpl w:val="2984107A"/>
    <w:lvl w:ilvl="0" w:tplc="2C1A0007">
      <w:start w:val="1"/>
      <w:numFmt w:val="bullet"/>
      <w:lvlText w:val=""/>
      <w:lvlPicBulletId w:val="0"/>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 w15:restartNumberingAfterBreak="0">
    <w:nsid w:val="13985847"/>
    <w:multiLevelType w:val="hybridMultilevel"/>
    <w:tmpl w:val="CF1A9364"/>
    <w:lvl w:ilvl="0" w:tplc="DC5E7EB0">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3E27F9D"/>
    <w:multiLevelType w:val="hybridMultilevel"/>
    <w:tmpl w:val="576E81F8"/>
    <w:lvl w:ilvl="0" w:tplc="4E2C8802">
      <w:start w:val="1"/>
      <w:numFmt w:val="decimal"/>
      <w:lvlText w:val="%1."/>
      <w:lvlJc w:val="left"/>
      <w:pPr>
        <w:ind w:left="468" w:hanging="360"/>
      </w:pPr>
      <w:rPr>
        <w:rFonts w:hint="default"/>
      </w:rPr>
    </w:lvl>
    <w:lvl w:ilvl="1" w:tplc="041A0019" w:tentative="1">
      <w:start w:val="1"/>
      <w:numFmt w:val="lowerLetter"/>
      <w:lvlText w:val="%2."/>
      <w:lvlJc w:val="left"/>
      <w:pPr>
        <w:ind w:left="1188" w:hanging="360"/>
      </w:pPr>
    </w:lvl>
    <w:lvl w:ilvl="2" w:tplc="041A001B" w:tentative="1">
      <w:start w:val="1"/>
      <w:numFmt w:val="lowerRoman"/>
      <w:lvlText w:val="%3."/>
      <w:lvlJc w:val="right"/>
      <w:pPr>
        <w:ind w:left="1908" w:hanging="180"/>
      </w:pPr>
    </w:lvl>
    <w:lvl w:ilvl="3" w:tplc="041A000F" w:tentative="1">
      <w:start w:val="1"/>
      <w:numFmt w:val="decimal"/>
      <w:lvlText w:val="%4."/>
      <w:lvlJc w:val="left"/>
      <w:pPr>
        <w:ind w:left="2628" w:hanging="360"/>
      </w:pPr>
    </w:lvl>
    <w:lvl w:ilvl="4" w:tplc="041A0019" w:tentative="1">
      <w:start w:val="1"/>
      <w:numFmt w:val="lowerLetter"/>
      <w:lvlText w:val="%5."/>
      <w:lvlJc w:val="left"/>
      <w:pPr>
        <w:ind w:left="3348" w:hanging="360"/>
      </w:pPr>
    </w:lvl>
    <w:lvl w:ilvl="5" w:tplc="041A001B" w:tentative="1">
      <w:start w:val="1"/>
      <w:numFmt w:val="lowerRoman"/>
      <w:lvlText w:val="%6."/>
      <w:lvlJc w:val="right"/>
      <w:pPr>
        <w:ind w:left="4068" w:hanging="180"/>
      </w:pPr>
    </w:lvl>
    <w:lvl w:ilvl="6" w:tplc="041A000F" w:tentative="1">
      <w:start w:val="1"/>
      <w:numFmt w:val="decimal"/>
      <w:lvlText w:val="%7."/>
      <w:lvlJc w:val="left"/>
      <w:pPr>
        <w:ind w:left="4788" w:hanging="360"/>
      </w:pPr>
    </w:lvl>
    <w:lvl w:ilvl="7" w:tplc="041A0019" w:tentative="1">
      <w:start w:val="1"/>
      <w:numFmt w:val="lowerLetter"/>
      <w:lvlText w:val="%8."/>
      <w:lvlJc w:val="left"/>
      <w:pPr>
        <w:ind w:left="5508" w:hanging="360"/>
      </w:pPr>
    </w:lvl>
    <w:lvl w:ilvl="8" w:tplc="041A001B" w:tentative="1">
      <w:start w:val="1"/>
      <w:numFmt w:val="lowerRoman"/>
      <w:lvlText w:val="%9."/>
      <w:lvlJc w:val="right"/>
      <w:pPr>
        <w:ind w:left="6228" w:hanging="180"/>
      </w:pPr>
    </w:lvl>
  </w:abstractNum>
  <w:abstractNum w:abstractNumId="19" w15:restartNumberingAfterBreak="0">
    <w:nsid w:val="14B06925"/>
    <w:multiLevelType w:val="hybridMultilevel"/>
    <w:tmpl w:val="319464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14F54020"/>
    <w:multiLevelType w:val="hybridMultilevel"/>
    <w:tmpl w:val="32F8C7B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15ED6B52"/>
    <w:multiLevelType w:val="hybridMultilevel"/>
    <w:tmpl w:val="0DE454E2"/>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7CA474F"/>
    <w:multiLevelType w:val="hybridMultilevel"/>
    <w:tmpl w:val="A4C2287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3" w15:restartNumberingAfterBreak="0">
    <w:nsid w:val="188426FD"/>
    <w:multiLevelType w:val="hybridMultilevel"/>
    <w:tmpl w:val="4D449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B2936AC"/>
    <w:multiLevelType w:val="hybridMultilevel"/>
    <w:tmpl w:val="51CC8244"/>
    <w:lvl w:ilvl="0" w:tplc="92F06D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C6C226F"/>
    <w:multiLevelType w:val="hybridMultilevel"/>
    <w:tmpl w:val="60343B3A"/>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6" w15:restartNumberingAfterBreak="0">
    <w:nsid w:val="1E0F63B6"/>
    <w:multiLevelType w:val="hybridMultilevel"/>
    <w:tmpl w:val="0CBE511C"/>
    <w:lvl w:ilvl="0" w:tplc="2C1A0007">
      <w:start w:val="1"/>
      <w:numFmt w:val="bullet"/>
      <w:lvlText w:val=""/>
      <w:lvlPicBulletId w:val="0"/>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7" w15:restartNumberingAfterBreak="0">
    <w:nsid w:val="1E817BB7"/>
    <w:multiLevelType w:val="hybridMultilevel"/>
    <w:tmpl w:val="A648C404"/>
    <w:lvl w:ilvl="0" w:tplc="04090009">
      <w:start w:val="1"/>
      <w:numFmt w:val="bullet"/>
      <w:lvlText w:val=""/>
      <w:lvlJc w:val="left"/>
      <w:pPr>
        <w:ind w:left="720" w:hanging="360"/>
      </w:pPr>
      <w:rPr>
        <w:rFonts w:ascii="Wingdings" w:hAnsi="Wingdings" w:hint="default"/>
      </w:rPr>
    </w:lvl>
    <w:lvl w:ilvl="1" w:tplc="60C27282">
      <w:numFmt w:val="bullet"/>
      <w:lvlText w:val="-"/>
      <w:lvlJc w:val="left"/>
      <w:pPr>
        <w:ind w:left="1800" w:hanging="720"/>
      </w:pPr>
      <w:rPr>
        <w:rFonts w:ascii="Cambria" w:eastAsia="Times New Roman" w:hAnsi="Cambri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F3B5D11"/>
    <w:multiLevelType w:val="hybridMultilevel"/>
    <w:tmpl w:val="E38E5DE4"/>
    <w:lvl w:ilvl="0" w:tplc="ADC0510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09653E3"/>
    <w:multiLevelType w:val="hybridMultilevel"/>
    <w:tmpl w:val="0BBC7CB4"/>
    <w:lvl w:ilvl="0" w:tplc="2C1A0007">
      <w:start w:val="1"/>
      <w:numFmt w:val="bullet"/>
      <w:lvlText w:val=""/>
      <w:lvlPicBulletId w:val="0"/>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0" w15:restartNumberingAfterBreak="0">
    <w:nsid w:val="21381F53"/>
    <w:multiLevelType w:val="hybridMultilevel"/>
    <w:tmpl w:val="3E9C7B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265259F"/>
    <w:multiLevelType w:val="hybridMultilevel"/>
    <w:tmpl w:val="02E45F12"/>
    <w:lvl w:ilvl="0" w:tplc="0424000B">
      <w:start w:val="1"/>
      <w:numFmt w:val="bullet"/>
      <w:lvlText w:val=""/>
      <w:lvlJc w:val="left"/>
      <w:pPr>
        <w:ind w:left="1353" w:hanging="360"/>
      </w:pPr>
      <w:rPr>
        <w:rFonts w:ascii="Wingdings" w:hAnsi="Wingdings" w:hint="default"/>
      </w:rPr>
    </w:lvl>
    <w:lvl w:ilvl="1" w:tplc="04240003" w:tentative="1">
      <w:start w:val="1"/>
      <w:numFmt w:val="bullet"/>
      <w:lvlText w:val="o"/>
      <w:lvlJc w:val="left"/>
      <w:pPr>
        <w:ind w:left="2073" w:hanging="360"/>
      </w:pPr>
      <w:rPr>
        <w:rFonts w:ascii="Courier New" w:hAnsi="Courier New" w:cs="Courier New" w:hint="default"/>
      </w:rPr>
    </w:lvl>
    <w:lvl w:ilvl="2" w:tplc="04240005" w:tentative="1">
      <w:start w:val="1"/>
      <w:numFmt w:val="bullet"/>
      <w:lvlText w:val=""/>
      <w:lvlJc w:val="left"/>
      <w:pPr>
        <w:ind w:left="2793" w:hanging="360"/>
      </w:pPr>
      <w:rPr>
        <w:rFonts w:ascii="Wingdings" w:hAnsi="Wingdings" w:hint="default"/>
      </w:rPr>
    </w:lvl>
    <w:lvl w:ilvl="3" w:tplc="04240001" w:tentative="1">
      <w:start w:val="1"/>
      <w:numFmt w:val="bullet"/>
      <w:lvlText w:val=""/>
      <w:lvlJc w:val="left"/>
      <w:pPr>
        <w:ind w:left="3513" w:hanging="360"/>
      </w:pPr>
      <w:rPr>
        <w:rFonts w:ascii="Symbol" w:hAnsi="Symbol" w:hint="default"/>
      </w:rPr>
    </w:lvl>
    <w:lvl w:ilvl="4" w:tplc="04240003" w:tentative="1">
      <w:start w:val="1"/>
      <w:numFmt w:val="bullet"/>
      <w:lvlText w:val="o"/>
      <w:lvlJc w:val="left"/>
      <w:pPr>
        <w:ind w:left="4233" w:hanging="360"/>
      </w:pPr>
      <w:rPr>
        <w:rFonts w:ascii="Courier New" w:hAnsi="Courier New" w:cs="Courier New" w:hint="default"/>
      </w:rPr>
    </w:lvl>
    <w:lvl w:ilvl="5" w:tplc="04240005" w:tentative="1">
      <w:start w:val="1"/>
      <w:numFmt w:val="bullet"/>
      <w:lvlText w:val=""/>
      <w:lvlJc w:val="left"/>
      <w:pPr>
        <w:ind w:left="4953" w:hanging="360"/>
      </w:pPr>
      <w:rPr>
        <w:rFonts w:ascii="Wingdings" w:hAnsi="Wingdings" w:hint="default"/>
      </w:rPr>
    </w:lvl>
    <w:lvl w:ilvl="6" w:tplc="04240001" w:tentative="1">
      <w:start w:val="1"/>
      <w:numFmt w:val="bullet"/>
      <w:lvlText w:val=""/>
      <w:lvlJc w:val="left"/>
      <w:pPr>
        <w:ind w:left="5673" w:hanging="360"/>
      </w:pPr>
      <w:rPr>
        <w:rFonts w:ascii="Symbol" w:hAnsi="Symbol" w:hint="default"/>
      </w:rPr>
    </w:lvl>
    <w:lvl w:ilvl="7" w:tplc="04240003" w:tentative="1">
      <w:start w:val="1"/>
      <w:numFmt w:val="bullet"/>
      <w:lvlText w:val="o"/>
      <w:lvlJc w:val="left"/>
      <w:pPr>
        <w:ind w:left="6393" w:hanging="360"/>
      </w:pPr>
      <w:rPr>
        <w:rFonts w:ascii="Courier New" w:hAnsi="Courier New" w:cs="Courier New" w:hint="default"/>
      </w:rPr>
    </w:lvl>
    <w:lvl w:ilvl="8" w:tplc="04240005" w:tentative="1">
      <w:start w:val="1"/>
      <w:numFmt w:val="bullet"/>
      <w:lvlText w:val=""/>
      <w:lvlJc w:val="left"/>
      <w:pPr>
        <w:ind w:left="7113" w:hanging="360"/>
      </w:pPr>
      <w:rPr>
        <w:rFonts w:ascii="Wingdings" w:hAnsi="Wingdings" w:hint="default"/>
      </w:rPr>
    </w:lvl>
  </w:abstractNum>
  <w:abstractNum w:abstractNumId="32" w15:restartNumberingAfterBreak="0">
    <w:nsid w:val="22A97500"/>
    <w:multiLevelType w:val="hybridMultilevel"/>
    <w:tmpl w:val="A5DEAA58"/>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3" w15:restartNumberingAfterBreak="0">
    <w:nsid w:val="23E372CF"/>
    <w:multiLevelType w:val="hybridMultilevel"/>
    <w:tmpl w:val="61EE7C74"/>
    <w:lvl w:ilvl="0" w:tplc="2C1A0007">
      <w:start w:val="1"/>
      <w:numFmt w:val="bullet"/>
      <w:lvlText w:val=""/>
      <w:lvlPicBulletId w:val="0"/>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4" w15:restartNumberingAfterBreak="0">
    <w:nsid w:val="243A7B69"/>
    <w:multiLevelType w:val="hybridMultilevel"/>
    <w:tmpl w:val="8D684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43D7BE2"/>
    <w:multiLevelType w:val="hybridMultilevel"/>
    <w:tmpl w:val="C152E09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5607E35"/>
    <w:multiLevelType w:val="hybridMultilevel"/>
    <w:tmpl w:val="0936DFE4"/>
    <w:lvl w:ilvl="0" w:tplc="2C1A0007">
      <w:start w:val="1"/>
      <w:numFmt w:val="bullet"/>
      <w:lvlText w:val=""/>
      <w:lvlPicBulletId w:val="0"/>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7" w15:restartNumberingAfterBreak="0">
    <w:nsid w:val="259B5810"/>
    <w:multiLevelType w:val="hybridMultilevel"/>
    <w:tmpl w:val="C9CAF0CE"/>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5F26C51"/>
    <w:multiLevelType w:val="hybridMultilevel"/>
    <w:tmpl w:val="9D987430"/>
    <w:lvl w:ilvl="0" w:tplc="92F06D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75B7799"/>
    <w:multiLevelType w:val="hybridMultilevel"/>
    <w:tmpl w:val="5142B290"/>
    <w:lvl w:ilvl="0" w:tplc="92F06D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875561E"/>
    <w:multiLevelType w:val="hybridMultilevel"/>
    <w:tmpl w:val="E6BC3776"/>
    <w:lvl w:ilvl="0" w:tplc="AA646E74">
      <w:start w:val="48"/>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2B297739"/>
    <w:multiLevelType w:val="hybridMultilevel"/>
    <w:tmpl w:val="53B2312A"/>
    <w:lvl w:ilvl="0" w:tplc="92F06D3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BF75479"/>
    <w:multiLevelType w:val="hybridMultilevel"/>
    <w:tmpl w:val="CAC6942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2CF900B0"/>
    <w:multiLevelType w:val="hybridMultilevel"/>
    <w:tmpl w:val="1F845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DEC6C61"/>
    <w:multiLevelType w:val="hybridMultilevel"/>
    <w:tmpl w:val="049641E2"/>
    <w:lvl w:ilvl="0" w:tplc="92F06D32">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2E5E01ED"/>
    <w:multiLevelType w:val="hybridMultilevel"/>
    <w:tmpl w:val="17DE10A4"/>
    <w:lvl w:ilvl="0" w:tplc="92F06D32">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E7F7985"/>
    <w:multiLevelType w:val="hybridMultilevel"/>
    <w:tmpl w:val="54AE291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2F0056D1"/>
    <w:multiLevelType w:val="hybridMultilevel"/>
    <w:tmpl w:val="800E1B9A"/>
    <w:lvl w:ilvl="0" w:tplc="92F06D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0DB748A"/>
    <w:multiLevelType w:val="hybridMultilevel"/>
    <w:tmpl w:val="48B018DA"/>
    <w:lvl w:ilvl="0" w:tplc="08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0F4396E"/>
    <w:multiLevelType w:val="hybridMultilevel"/>
    <w:tmpl w:val="E8C0B0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19439E6"/>
    <w:multiLevelType w:val="multilevel"/>
    <w:tmpl w:val="EAE86C50"/>
    <w:lvl w:ilvl="0">
      <w:start w:val="1"/>
      <w:numFmt w:val="none"/>
      <w:pStyle w:val="Heading1a"/>
      <w:suff w:val="nothing"/>
      <w:lvlText w:val="%1"/>
      <w:lvlJc w:val="left"/>
      <w:pPr>
        <w:ind w:left="0" w:firstLine="0"/>
      </w:pPr>
      <w:rPr>
        <w:rFonts w:hint="default"/>
      </w:rPr>
    </w:lvl>
    <w:lvl w:ilvl="1">
      <w:start w:val="1"/>
      <w:numFmt w:val="decimal"/>
      <w:pStyle w:val="MainParanoChapter"/>
      <w:lvlText w:val="%2."/>
      <w:lvlJc w:val="left"/>
      <w:pPr>
        <w:tabs>
          <w:tab w:val="num" w:pos="1080"/>
        </w:tabs>
        <w:ind w:left="1080" w:hanging="720"/>
      </w:pPr>
      <w:rPr>
        <w:rFonts w:hint="default"/>
        <w:color w:val="auto"/>
      </w:rPr>
    </w:lvl>
    <w:lvl w:ilvl="2">
      <w:start w:val="1"/>
      <w:numFmt w:val="lowerLetter"/>
      <w:pStyle w:val="Sub-Para1underX"/>
      <w:lvlText w:val="(%3)"/>
      <w:lvlJc w:val="left"/>
      <w:pPr>
        <w:tabs>
          <w:tab w:val="num" w:pos="1080"/>
        </w:tabs>
        <w:ind w:left="720" w:hanging="360"/>
      </w:pPr>
      <w:rPr>
        <w:rFonts w:hint="default"/>
      </w:rPr>
    </w:lvl>
    <w:lvl w:ilvl="3">
      <w:start w:val="1"/>
      <w:numFmt w:val="lowerRoman"/>
      <w:pStyle w:val="Sub-Para2underX"/>
      <w:lvlText w:val="(%4)"/>
      <w:lvlJc w:val="left"/>
      <w:pPr>
        <w:tabs>
          <w:tab w:val="num" w:pos="1800"/>
        </w:tabs>
        <w:ind w:left="1080" w:hanging="360"/>
      </w:pPr>
      <w:rPr>
        <w:rFonts w:hint="default"/>
      </w:rPr>
    </w:lvl>
    <w:lvl w:ilvl="4">
      <w:start w:val="1"/>
      <w:numFmt w:val="lowerLetter"/>
      <w:pStyle w:val="Sub-Para3underX"/>
      <w:lvlText w:val="%5."/>
      <w:lvlJc w:val="left"/>
      <w:pPr>
        <w:tabs>
          <w:tab w:val="num" w:pos="1440"/>
        </w:tabs>
        <w:ind w:left="1440" w:hanging="360"/>
      </w:pPr>
      <w:rPr>
        <w:rFonts w:hint="default"/>
      </w:rPr>
    </w:lvl>
    <w:lvl w:ilvl="5">
      <w:start w:val="1"/>
      <w:numFmt w:val="lowerRoman"/>
      <w:pStyle w:val="Sub-Para4underX"/>
      <w:lvlText w:val="%6."/>
      <w:lvlJc w:val="left"/>
      <w:pPr>
        <w:tabs>
          <w:tab w:val="num" w:pos="2160"/>
        </w:tabs>
        <w:ind w:left="1800" w:hanging="360"/>
      </w:pPr>
      <w:rPr>
        <w:rFonts w:hint="default"/>
      </w:rPr>
    </w:lvl>
    <w:lvl w:ilvl="6">
      <w:start w:val="1"/>
      <w:numFmt w:val="decimal"/>
      <w:lvlText w:val="%7."/>
      <w:lvlJc w:val="left"/>
      <w:pPr>
        <w:tabs>
          <w:tab w:val="num" w:pos="360"/>
        </w:tabs>
        <w:ind w:left="360" w:hanging="360"/>
      </w:pPr>
      <w:rPr>
        <w:rFonts w:hint="default"/>
        <w:b w:val="0"/>
        <w:i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31A54111"/>
    <w:multiLevelType w:val="multilevel"/>
    <w:tmpl w:val="DEF85C6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2" w15:restartNumberingAfterBreak="0">
    <w:nsid w:val="33DE7958"/>
    <w:multiLevelType w:val="hybridMultilevel"/>
    <w:tmpl w:val="C2FE0886"/>
    <w:lvl w:ilvl="0" w:tplc="60E00002">
      <w:start w:val="1"/>
      <w:numFmt w:val="decimal"/>
      <w:lvlText w:val="%1."/>
      <w:lvlJc w:val="left"/>
      <w:pPr>
        <w:tabs>
          <w:tab w:val="num" w:pos="540"/>
        </w:tabs>
        <w:ind w:left="540" w:hanging="360"/>
      </w:pPr>
      <w:rPr>
        <w:rFonts w:hint="default"/>
      </w:rPr>
    </w:lvl>
    <w:lvl w:ilvl="1" w:tplc="04090019">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53" w15:restartNumberingAfterBreak="0">
    <w:nsid w:val="35E41911"/>
    <w:multiLevelType w:val="hybridMultilevel"/>
    <w:tmpl w:val="446EA04E"/>
    <w:lvl w:ilvl="0" w:tplc="388E276A">
      <w:start w:val="1"/>
      <w:numFmt w:val="decimal"/>
      <w:pStyle w:val="Style4"/>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35F112D7"/>
    <w:multiLevelType w:val="hybridMultilevel"/>
    <w:tmpl w:val="0366DE1C"/>
    <w:lvl w:ilvl="0" w:tplc="92F06D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5F1248B"/>
    <w:multiLevelType w:val="hybridMultilevel"/>
    <w:tmpl w:val="381C18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6517530"/>
    <w:multiLevelType w:val="multilevel"/>
    <w:tmpl w:val="197024A0"/>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7" w15:restartNumberingAfterBreak="0">
    <w:nsid w:val="36DD0214"/>
    <w:multiLevelType w:val="hybridMultilevel"/>
    <w:tmpl w:val="7382D656"/>
    <w:lvl w:ilvl="0" w:tplc="0424000B">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8" w15:restartNumberingAfterBreak="0">
    <w:nsid w:val="37A8679C"/>
    <w:multiLevelType w:val="hybridMultilevel"/>
    <w:tmpl w:val="3E0848FC"/>
    <w:lvl w:ilvl="0" w:tplc="2C1A0007">
      <w:start w:val="1"/>
      <w:numFmt w:val="bullet"/>
      <w:lvlText w:val=""/>
      <w:lvlPicBulletId w:val="0"/>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9" w15:restartNumberingAfterBreak="0">
    <w:nsid w:val="38072C8E"/>
    <w:multiLevelType w:val="hybridMultilevel"/>
    <w:tmpl w:val="7662006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0" w15:restartNumberingAfterBreak="0">
    <w:nsid w:val="382942D3"/>
    <w:multiLevelType w:val="hybridMultilevel"/>
    <w:tmpl w:val="BCC09024"/>
    <w:lvl w:ilvl="0" w:tplc="92F06D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8386F1E"/>
    <w:multiLevelType w:val="hybridMultilevel"/>
    <w:tmpl w:val="F0C43EC6"/>
    <w:lvl w:ilvl="0" w:tplc="4A563710">
      <w:start w:val="1"/>
      <w:numFmt w:val="decimal"/>
      <w:lvlText w:val="%1."/>
      <w:lvlJc w:val="left"/>
      <w:pPr>
        <w:ind w:left="924" w:hanging="5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85671B1"/>
    <w:multiLevelType w:val="hybridMultilevel"/>
    <w:tmpl w:val="6B04D564"/>
    <w:lvl w:ilvl="0" w:tplc="0409000B">
      <w:start w:val="1"/>
      <w:numFmt w:val="bullet"/>
      <w:lvlText w:val=""/>
      <w:lvlJc w:val="left"/>
      <w:pPr>
        <w:ind w:left="1080" w:hanging="360"/>
      </w:pPr>
      <w:rPr>
        <w:rFonts w:ascii="Wingdings" w:hAnsi="Wingdings"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392916AD"/>
    <w:multiLevelType w:val="hybridMultilevel"/>
    <w:tmpl w:val="2D44041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4" w15:restartNumberingAfterBreak="0">
    <w:nsid w:val="39AF1C0F"/>
    <w:multiLevelType w:val="hybridMultilevel"/>
    <w:tmpl w:val="D79ACCCC"/>
    <w:lvl w:ilvl="0" w:tplc="77DCAD5A">
      <w:start w:val="1"/>
      <w:numFmt w:val="decimal"/>
      <w:lvlText w:val="%1."/>
      <w:lvlJc w:val="left"/>
      <w:pPr>
        <w:ind w:left="1070" w:hanging="360"/>
      </w:pPr>
      <w:rPr>
        <w:rFonts w:hint="default"/>
      </w:rPr>
    </w:lvl>
    <w:lvl w:ilvl="1" w:tplc="041A0019" w:tentative="1">
      <w:start w:val="1"/>
      <w:numFmt w:val="lowerLetter"/>
      <w:lvlText w:val="%2."/>
      <w:lvlJc w:val="left"/>
      <w:pPr>
        <w:ind w:left="1790" w:hanging="360"/>
      </w:pPr>
    </w:lvl>
    <w:lvl w:ilvl="2" w:tplc="041A001B" w:tentative="1">
      <w:start w:val="1"/>
      <w:numFmt w:val="lowerRoman"/>
      <w:lvlText w:val="%3."/>
      <w:lvlJc w:val="right"/>
      <w:pPr>
        <w:ind w:left="2510" w:hanging="180"/>
      </w:pPr>
    </w:lvl>
    <w:lvl w:ilvl="3" w:tplc="041A000F" w:tentative="1">
      <w:start w:val="1"/>
      <w:numFmt w:val="decimal"/>
      <w:lvlText w:val="%4."/>
      <w:lvlJc w:val="left"/>
      <w:pPr>
        <w:ind w:left="3230" w:hanging="360"/>
      </w:pPr>
    </w:lvl>
    <w:lvl w:ilvl="4" w:tplc="041A0019" w:tentative="1">
      <w:start w:val="1"/>
      <w:numFmt w:val="lowerLetter"/>
      <w:lvlText w:val="%5."/>
      <w:lvlJc w:val="left"/>
      <w:pPr>
        <w:ind w:left="3950" w:hanging="360"/>
      </w:pPr>
    </w:lvl>
    <w:lvl w:ilvl="5" w:tplc="041A001B" w:tentative="1">
      <w:start w:val="1"/>
      <w:numFmt w:val="lowerRoman"/>
      <w:lvlText w:val="%6."/>
      <w:lvlJc w:val="right"/>
      <w:pPr>
        <w:ind w:left="4670" w:hanging="180"/>
      </w:pPr>
    </w:lvl>
    <w:lvl w:ilvl="6" w:tplc="041A000F" w:tentative="1">
      <w:start w:val="1"/>
      <w:numFmt w:val="decimal"/>
      <w:lvlText w:val="%7."/>
      <w:lvlJc w:val="left"/>
      <w:pPr>
        <w:ind w:left="5390" w:hanging="360"/>
      </w:pPr>
    </w:lvl>
    <w:lvl w:ilvl="7" w:tplc="041A0019" w:tentative="1">
      <w:start w:val="1"/>
      <w:numFmt w:val="lowerLetter"/>
      <w:lvlText w:val="%8."/>
      <w:lvlJc w:val="left"/>
      <w:pPr>
        <w:ind w:left="6110" w:hanging="360"/>
      </w:pPr>
    </w:lvl>
    <w:lvl w:ilvl="8" w:tplc="041A001B" w:tentative="1">
      <w:start w:val="1"/>
      <w:numFmt w:val="lowerRoman"/>
      <w:lvlText w:val="%9."/>
      <w:lvlJc w:val="right"/>
      <w:pPr>
        <w:ind w:left="6830" w:hanging="180"/>
      </w:pPr>
    </w:lvl>
  </w:abstractNum>
  <w:abstractNum w:abstractNumId="65" w15:restartNumberingAfterBreak="0">
    <w:nsid w:val="3B1552D2"/>
    <w:multiLevelType w:val="hybridMultilevel"/>
    <w:tmpl w:val="B4B4F028"/>
    <w:lvl w:ilvl="0" w:tplc="950097EC">
      <w:start w:val="1"/>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6" w15:restartNumberingAfterBreak="0">
    <w:nsid w:val="3C59703F"/>
    <w:multiLevelType w:val="hybridMultilevel"/>
    <w:tmpl w:val="CA34D248"/>
    <w:lvl w:ilvl="0" w:tplc="92F06D32">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7" w15:restartNumberingAfterBreak="0">
    <w:nsid w:val="3C5F3E2F"/>
    <w:multiLevelType w:val="hybridMultilevel"/>
    <w:tmpl w:val="67A48148"/>
    <w:lvl w:ilvl="0" w:tplc="2C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8" w15:restartNumberingAfterBreak="0">
    <w:nsid w:val="3D5B089A"/>
    <w:multiLevelType w:val="hybridMultilevel"/>
    <w:tmpl w:val="A10013CA"/>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9" w15:restartNumberingAfterBreak="0">
    <w:nsid w:val="3F607460"/>
    <w:multiLevelType w:val="hybridMultilevel"/>
    <w:tmpl w:val="9AE01394"/>
    <w:lvl w:ilvl="0" w:tplc="DC5E7EB0">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F793989"/>
    <w:multiLevelType w:val="hybridMultilevel"/>
    <w:tmpl w:val="AEC44AD8"/>
    <w:lvl w:ilvl="0" w:tplc="04090001">
      <w:start w:val="1"/>
      <w:numFmt w:val="bullet"/>
      <w:lvlText w:val=""/>
      <w:lvlJc w:val="left"/>
      <w:pPr>
        <w:ind w:left="502" w:hanging="360"/>
      </w:pPr>
      <w:rPr>
        <w:rFonts w:ascii="Symbol" w:hAnsi="Symbol" w:hint="default"/>
        <w:b/>
      </w:r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71" w15:restartNumberingAfterBreak="0">
    <w:nsid w:val="41615BEB"/>
    <w:multiLevelType w:val="hybridMultilevel"/>
    <w:tmpl w:val="12D00E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2" w15:restartNumberingAfterBreak="0">
    <w:nsid w:val="41DA0C42"/>
    <w:multiLevelType w:val="hybridMultilevel"/>
    <w:tmpl w:val="99083AEA"/>
    <w:lvl w:ilvl="0" w:tplc="2C1A000D">
      <w:start w:val="1"/>
      <w:numFmt w:val="bullet"/>
      <w:lvlText w:val=""/>
      <w:lvlJc w:val="left"/>
      <w:pPr>
        <w:ind w:left="862" w:hanging="360"/>
      </w:pPr>
      <w:rPr>
        <w:rFonts w:ascii="Wingdings" w:hAnsi="Wingdings" w:hint="default"/>
      </w:rPr>
    </w:lvl>
    <w:lvl w:ilvl="1" w:tplc="2C1A0003" w:tentative="1">
      <w:start w:val="1"/>
      <w:numFmt w:val="bullet"/>
      <w:lvlText w:val="o"/>
      <w:lvlJc w:val="left"/>
      <w:pPr>
        <w:ind w:left="1582" w:hanging="360"/>
      </w:pPr>
      <w:rPr>
        <w:rFonts w:ascii="Courier New" w:hAnsi="Courier New" w:cs="Courier New" w:hint="default"/>
      </w:rPr>
    </w:lvl>
    <w:lvl w:ilvl="2" w:tplc="2C1A0005" w:tentative="1">
      <w:start w:val="1"/>
      <w:numFmt w:val="bullet"/>
      <w:lvlText w:val=""/>
      <w:lvlJc w:val="left"/>
      <w:pPr>
        <w:ind w:left="2302" w:hanging="360"/>
      </w:pPr>
      <w:rPr>
        <w:rFonts w:ascii="Wingdings" w:hAnsi="Wingdings" w:hint="default"/>
      </w:rPr>
    </w:lvl>
    <w:lvl w:ilvl="3" w:tplc="2C1A0001" w:tentative="1">
      <w:start w:val="1"/>
      <w:numFmt w:val="bullet"/>
      <w:lvlText w:val=""/>
      <w:lvlJc w:val="left"/>
      <w:pPr>
        <w:ind w:left="3022" w:hanging="360"/>
      </w:pPr>
      <w:rPr>
        <w:rFonts w:ascii="Symbol" w:hAnsi="Symbol" w:hint="default"/>
      </w:rPr>
    </w:lvl>
    <w:lvl w:ilvl="4" w:tplc="2C1A0003" w:tentative="1">
      <w:start w:val="1"/>
      <w:numFmt w:val="bullet"/>
      <w:lvlText w:val="o"/>
      <w:lvlJc w:val="left"/>
      <w:pPr>
        <w:ind w:left="3742" w:hanging="360"/>
      </w:pPr>
      <w:rPr>
        <w:rFonts w:ascii="Courier New" w:hAnsi="Courier New" w:cs="Courier New" w:hint="default"/>
      </w:rPr>
    </w:lvl>
    <w:lvl w:ilvl="5" w:tplc="2C1A0005" w:tentative="1">
      <w:start w:val="1"/>
      <w:numFmt w:val="bullet"/>
      <w:lvlText w:val=""/>
      <w:lvlJc w:val="left"/>
      <w:pPr>
        <w:ind w:left="4462" w:hanging="360"/>
      </w:pPr>
      <w:rPr>
        <w:rFonts w:ascii="Wingdings" w:hAnsi="Wingdings" w:hint="default"/>
      </w:rPr>
    </w:lvl>
    <w:lvl w:ilvl="6" w:tplc="2C1A0001" w:tentative="1">
      <w:start w:val="1"/>
      <w:numFmt w:val="bullet"/>
      <w:lvlText w:val=""/>
      <w:lvlJc w:val="left"/>
      <w:pPr>
        <w:ind w:left="5182" w:hanging="360"/>
      </w:pPr>
      <w:rPr>
        <w:rFonts w:ascii="Symbol" w:hAnsi="Symbol" w:hint="default"/>
      </w:rPr>
    </w:lvl>
    <w:lvl w:ilvl="7" w:tplc="2C1A0003" w:tentative="1">
      <w:start w:val="1"/>
      <w:numFmt w:val="bullet"/>
      <w:lvlText w:val="o"/>
      <w:lvlJc w:val="left"/>
      <w:pPr>
        <w:ind w:left="5902" w:hanging="360"/>
      </w:pPr>
      <w:rPr>
        <w:rFonts w:ascii="Courier New" w:hAnsi="Courier New" w:cs="Courier New" w:hint="default"/>
      </w:rPr>
    </w:lvl>
    <w:lvl w:ilvl="8" w:tplc="2C1A0005" w:tentative="1">
      <w:start w:val="1"/>
      <w:numFmt w:val="bullet"/>
      <w:lvlText w:val=""/>
      <w:lvlJc w:val="left"/>
      <w:pPr>
        <w:ind w:left="6622" w:hanging="360"/>
      </w:pPr>
      <w:rPr>
        <w:rFonts w:ascii="Wingdings" w:hAnsi="Wingdings" w:hint="default"/>
      </w:rPr>
    </w:lvl>
  </w:abstractNum>
  <w:abstractNum w:abstractNumId="73" w15:restartNumberingAfterBreak="0">
    <w:nsid w:val="42A036BB"/>
    <w:multiLevelType w:val="hybridMultilevel"/>
    <w:tmpl w:val="AE466416"/>
    <w:lvl w:ilvl="0" w:tplc="92F06D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2D82548"/>
    <w:multiLevelType w:val="hybridMultilevel"/>
    <w:tmpl w:val="044E71F0"/>
    <w:lvl w:ilvl="0" w:tplc="041A000F">
      <w:start w:val="1"/>
      <w:numFmt w:val="decimal"/>
      <w:lvlText w:val="%1."/>
      <w:lvlJc w:val="left"/>
      <w:pPr>
        <w:ind w:left="2025" w:hanging="360"/>
      </w:pPr>
    </w:lvl>
    <w:lvl w:ilvl="1" w:tplc="041A0019" w:tentative="1">
      <w:start w:val="1"/>
      <w:numFmt w:val="lowerLetter"/>
      <w:lvlText w:val="%2."/>
      <w:lvlJc w:val="left"/>
      <w:pPr>
        <w:ind w:left="2745" w:hanging="360"/>
      </w:pPr>
    </w:lvl>
    <w:lvl w:ilvl="2" w:tplc="041A001B" w:tentative="1">
      <w:start w:val="1"/>
      <w:numFmt w:val="lowerRoman"/>
      <w:lvlText w:val="%3."/>
      <w:lvlJc w:val="right"/>
      <w:pPr>
        <w:ind w:left="3465" w:hanging="180"/>
      </w:pPr>
    </w:lvl>
    <w:lvl w:ilvl="3" w:tplc="041A000F" w:tentative="1">
      <w:start w:val="1"/>
      <w:numFmt w:val="decimal"/>
      <w:lvlText w:val="%4."/>
      <w:lvlJc w:val="left"/>
      <w:pPr>
        <w:ind w:left="4185" w:hanging="360"/>
      </w:pPr>
    </w:lvl>
    <w:lvl w:ilvl="4" w:tplc="041A0019" w:tentative="1">
      <w:start w:val="1"/>
      <w:numFmt w:val="lowerLetter"/>
      <w:lvlText w:val="%5."/>
      <w:lvlJc w:val="left"/>
      <w:pPr>
        <w:ind w:left="4905" w:hanging="360"/>
      </w:pPr>
    </w:lvl>
    <w:lvl w:ilvl="5" w:tplc="041A001B" w:tentative="1">
      <w:start w:val="1"/>
      <w:numFmt w:val="lowerRoman"/>
      <w:lvlText w:val="%6."/>
      <w:lvlJc w:val="right"/>
      <w:pPr>
        <w:ind w:left="5625" w:hanging="180"/>
      </w:pPr>
    </w:lvl>
    <w:lvl w:ilvl="6" w:tplc="041A000F" w:tentative="1">
      <w:start w:val="1"/>
      <w:numFmt w:val="decimal"/>
      <w:lvlText w:val="%7."/>
      <w:lvlJc w:val="left"/>
      <w:pPr>
        <w:ind w:left="6345" w:hanging="360"/>
      </w:pPr>
    </w:lvl>
    <w:lvl w:ilvl="7" w:tplc="041A0019" w:tentative="1">
      <w:start w:val="1"/>
      <w:numFmt w:val="lowerLetter"/>
      <w:lvlText w:val="%8."/>
      <w:lvlJc w:val="left"/>
      <w:pPr>
        <w:ind w:left="7065" w:hanging="360"/>
      </w:pPr>
    </w:lvl>
    <w:lvl w:ilvl="8" w:tplc="041A001B" w:tentative="1">
      <w:start w:val="1"/>
      <w:numFmt w:val="lowerRoman"/>
      <w:lvlText w:val="%9."/>
      <w:lvlJc w:val="right"/>
      <w:pPr>
        <w:ind w:left="7785" w:hanging="180"/>
      </w:pPr>
    </w:lvl>
  </w:abstractNum>
  <w:abstractNum w:abstractNumId="75" w15:restartNumberingAfterBreak="0">
    <w:nsid w:val="4551749E"/>
    <w:multiLevelType w:val="hybridMultilevel"/>
    <w:tmpl w:val="4C56DBE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466268D1"/>
    <w:multiLevelType w:val="hybridMultilevel"/>
    <w:tmpl w:val="DF2E6D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6EA3BF1"/>
    <w:multiLevelType w:val="hybridMultilevel"/>
    <w:tmpl w:val="73DAEBCE"/>
    <w:lvl w:ilvl="0" w:tplc="2C1A0007">
      <w:start w:val="1"/>
      <w:numFmt w:val="bullet"/>
      <w:lvlText w:val=""/>
      <w:lvlPicBulletId w:val="0"/>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8" w15:restartNumberingAfterBreak="0">
    <w:nsid w:val="46EE4EEB"/>
    <w:multiLevelType w:val="hybridMultilevel"/>
    <w:tmpl w:val="C75A7002"/>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9" w15:restartNumberingAfterBreak="0">
    <w:nsid w:val="47A13A96"/>
    <w:multiLevelType w:val="hybridMultilevel"/>
    <w:tmpl w:val="B03EB4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47CB72AE"/>
    <w:multiLevelType w:val="hybridMultilevel"/>
    <w:tmpl w:val="C1264E12"/>
    <w:lvl w:ilvl="0" w:tplc="04090001">
      <w:start w:val="1"/>
      <w:numFmt w:val="bullet"/>
      <w:lvlText w:val=""/>
      <w:lvlJc w:val="left"/>
      <w:pPr>
        <w:ind w:left="720" w:hanging="360"/>
      </w:pPr>
      <w:rPr>
        <w:rFonts w:ascii="Symbol" w:hAnsi="Symbol" w:hint="default"/>
      </w:rPr>
    </w:lvl>
    <w:lvl w:ilvl="1" w:tplc="081A0003">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81" w15:restartNumberingAfterBreak="0">
    <w:nsid w:val="47CE5DB3"/>
    <w:multiLevelType w:val="hybridMultilevel"/>
    <w:tmpl w:val="3ABA751C"/>
    <w:lvl w:ilvl="0" w:tplc="081A000D">
      <w:start w:val="1"/>
      <w:numFmt w:val="bullet"/>
      <w:lvlText w:val=""/>
      <w:lvlJc w:val="left"/>
      <w:pPr>
        <w:ind w:left="1440" w:hanging="360"/>
      </w:pPr>
      <w:rPr>
        <w:rFonts w:ascii="Wingdings" w:hAnsi="Wingdings" w:hint="default"/>
        <w:color w:val="000000" w:themeColor="text1"/>
      </w:rPr>
    </w:lvl>
    <w:lvl w:ilvl="1" w:tplc="081A0003" w:tentative="1">
      <w:start w:val="1"/>
      <w:numFmt w:val="bullet"/>
      <w:lvlText w:val="o"/>
      <w:lvlJc w:val="left"/>
      <w:pPr>
        <w:ind w:left="2160" w:hanging="360"/>
      </w:pPr>
      <w:rPr>
        <w:rFonts w:ascii="Courier New" w:hAnsi="Courier New" w:cs="Courier New" w:hint="default"/>
      </w:rPr>
    </w:lvl>
    <w:lvl w:ilvl="2" w:tplc="081A0005" w:tentative="1">
      <w:start w:val="1"/>
      <w:numFmt w:val="bullet"/>
      <w:lvlText w:val=""/>
      <w:lvlJc w:val="left"/>
      <w:pPr>
        <w:ind w:left="2880" w:hanging="360"/>
      </w:pPr>
      <w:rPr>
        <w:rFonts w:ascii="Wingdings" w:hAnsi="Wingdings" w:hint="default"/>
      </w:rPr>
    </w:lvl>
    <w:lvl w:ilvl="3" w:tplc="081A0001" w:tentative="1">
      <w:start w:val="1"/>
      <w:numFmt w:val="bullet"/>
      <w:lvlText w:val=""/>
      <w:lvlJc w:val="left"/>
      <w:pPr>
        <w:ind w:left="3600" w:hanging="360"/>
      </w:pPr>
      <w:rPr>
        <w:rFonts w:ascii="Symbol" w:hAnsi="Symbol" w:hint="default"/>
      </w:rPr>
    </w:lvl>
    <w:lvl w:ilvl="4" w:tplc="081A0003" w:tentative="1">
      <w:start w:val="1"/>
      <w:numFmt w:val="bullet"/>
      <w:lvlText w:val="o"/>
      <w:lvlJc w:val="left"/>
      <w:pPr>
        <w:ind w:left="4320" w:hanging="360"/>
      </w:pPr>
      <w:rPr>
        <w:rFonts w:ascii="Courier New" w:hAnsi="Courier New" w:cs="Courier New" w:hint="default"/>
      </w:rPr>
    </w:lvl>
    <w:lvl w:ilvl="5" w:tplc="081A0005" w:tentative="1">
      <w:start w:val="1"/>
      <w:numFmt w:val="bullet"/>
      <w:lvlText w:val=""/>
      <w:lvlJc w:val="left"/>
      <w:pPr>
        <w:ind w:left="5040" w:hanging="360"/>
      </w:pPr>
      <w:rPr>
        <w:rFonts w:ascii="Wingdings" w:hAnsi="Wingdings" w:hint="default"/>
      </w:rPr>
    </w:lvl>
    <w:lvl w:ilvl="6" w:tplc="081A0001" w:tentative="1">
      <w:start w:val="1"/>
      <w:numFmt w:val="bullet"/>
      <w:lvlText w:val=""/>
      <w:lvlJc w:val="left"/>
      <w:pPr>
        <w:ind w:left="5760" w:hanging="360"/>
      </w:pPr>
      <w:rPr>
        <w:rFonts w:ascii="Symbol" w:hAnsi="Symbol" w:hint="default"/>
      </w:rPr>
    </w:lvl>
    <w:lvl w:ilvl="7" w:tplc="081A0003" w:tentative="1">
      <w:start w:val="1"/>
      <w:numFmt w:val="bullet"/>
      <w:lvlText w:val="o"/>
      <w:lvlJc w:val="left"/>
      <w:pPr>
        <w:ind w:left="6480" w:hanging="360"/>
      </w:pPr>
      <w:rPr>
        <w:rFonts w:ascii="Courier New" w:hAnsi="Courier New" w:cs="Courier New" w:hint="default"/>
      </w:rPr>
    </w:lvl>
    <w:lvl w:ilvl="8" w:tplc="081A0005" w:tentative="1">
      <w:start w:val="1"/>
      <w:numFmt w:val="bullet"/>
      <w:lvlText w:val=""/>
      <w:lvlJc w:val="left"/>
      <w:pPr>
        <w:ind w:left="7200" w:hanging="360"/>
      </w:pPr>
      <w:rPr>
        <w:rFonts w:ascii="Wingdings" w:hAnsi="Wingdings" w:hint="default"/>
      </w:rPr>
    </w:lvl>
  </w:abstractNum>
  <w:abstractNum w:abstractNumId="82" w15:restartNumberingAfterBreak="0">
    <w:nsid w:val="482F64FB"/>
    <w:multiLevelType w:val="hybridMultilevel"/>
    <w:tmpl w:val="57EE9938"/>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48D30302"/>
    <w:multiLevelType w:val="hybridMultilevel"/>
    <w:tmpl w:val="25B4E380"/>
    <w:lvl w:ilvl="0" w:tplc="DC5E7EB0">
      <w:start w:val="1"/>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4" w15:restartNumberingAfterBreak="0">
    <w:nsid w:val="48E95FC9"/>
    <w:multiLevelType w:val="hybridMultilevel"/>
    <w:tmpl w:val="09D44F6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5" w15:restartNumberingAfterBreak="0">
    <w:nsid w:val="498E189A"/>
    <w:multiLevelType w:val="hybridMultilevel"/>
    <w:tmpl w:val="1F6AADB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6" w15:restartNumberingAfterBreak="0">
    <w:nsid w:val="4A630178"/>
    <w:multiLevelType w:val="hybridMultilevel"/>
    <w:tmpl w:val="33B06870"/>
    <w:lvl w:ilvl="0" w:tplc="4F862020">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87" w15:restartNumberingAfterBreak="0">
    <w:nsid w:val="4B08454D"/>
    <w:multiLevelType w:val="hybridMultilevel"/>
    <w:tmpl w:val="DA70B6E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4B8D30AD"/>
    <w:multiLevelType w:val="multilevel"/>
    <w:tmpl w:val="3BBAB09C"/>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 w15:restartNumberingAfterBreak="0">
    <w:nsid w:val="4BD4581E"/>
    <w:multiLevelType w:val="hybridMultilevel"/>
    <w:tmpl w:val="A5702C2E"/>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0" w15:restartNumberingAfterBreak="0">
    <w:nsid w:val="4BD61231"/>
    <w:multiLevelType w:val="hybridMultilevel"/>
    <w:tmpl w:val="418ADE46"/>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1" w15:restartNumberingAfterBreak="0">
    <w:nsid w:val="4C232794"/>
    <w:multiLevelType w:val="hybridMultilevel"/>
    <w:tmpl w:val="5E9634DC"/>
    <w:lvl w:ilvl="0" w:tplc="937EE78A">
      <w:numFmt w:val="bullet"/>
      <w:lvlText w:val="-"/>
      <w:lvlJc w:val="left"/>
      <w:pPr>
        <w:ind w:left="720" w:hanging="360"/>
      </w:pPr>
      <w:rPr>
        <w:rFonts w:ascii="Calibri" w:eastAsiaTheme="minorHAnsi"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2" w15:restartNumberingAfterBreak="0">
    <w:nsid w:val="4C7D168A"/>
    <w:multiLevelType w:val="hybridMultilevel"/>
    <w:tmpl w:val="AF42E32C"/>
    <w:lvl w:ilvl="0" w:tplc="92F06D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DE33D67"/>
    <w:multiLevelType w:val="hybridMultilevel"/>
    <w:tmpl w:val="AF0E460C"/>
    <w:lvl w:ilvl="0" w:tplc="04090003">
      <w:start w:val="1"/>
      <w:numFmt w:val="bullet"/>
      <w:lvlText w:val="o"/>
      <w:lvlJc w:val="left"/>
      <w:pPr>
        <w:ind w:left="1069" w:hanging="360"/>
      </w:pPr>
      <w:rPr>
        <w:rFonts w:ascii="Courier New" w:hAnsi="Courier New" w:cs="Courier New"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94" w15:restartNumberingAfterBreak="0">
    <w:nsid w:val="4ED57F65"/>
    <w:multiLevelType w:val="hybridMultilevel"/>
    <w:tmpl w:val="3F32AC6C"/>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5" w15:restartNumberingAfterBreak="0">
    <w:nsid w:val="4F34566F"/>
    <w:multiLevelType w:val="hybridMultilevel"/>
    <w:tmpl w:val="6C2A11F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6" w15:restartNumberingAfterBreak="0">
    <w:nsid w:val="4FC86A2E"/>
    <w:multiLevelType w:val="hybridMultilevel"/>
    <w:tmpl w:val="51103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0BB65E8"/>
    <w:multiLevelType w:val="multilevel"/>
    <w:tmpl w:val="7770603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8" w15:restartNumberingAfterBreak="0">
    <w:nsid w:val="51794354"/>
    <w:multiLevelType w:val="hybridMultilevel"/>
    <w:tmpl w:val="0232A322"/>
    <w:lvl w:ilvl="0" w:tplc="88AA5A8C">
      <w:start w:val="12"/>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517A7464"/>
    <w:multiLevelType w:val="hybridMultilevel"/>
    <w:tmpl w:val="D69802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0" w15:restartNumberingAfterBreak="0">
    <w:nsid w:val="524610B2"/>
    <w:multiLevelType w:val="hybridMultilevel"/>
    <w:tmpl w:val="44F6EE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2F420DA"/>
    <w:multiLevelType w:val="hybridMultilevel"/>
    <w:tmpl w:val="1C3A6520"/>
    <w:lvl w:ilvl="0" w:tplc="4C2A6E26">
      <w:start w:val="1"/>
      <w:numFmt w:val="bullet"/>
      <w:lvlText w:val="-"/>
      <w:lvlJc w:val="left"/>
      <w:pPr>
        <w:ind w:left="720" w:hanging="360"/>
      </w:pPr>
      <w:rPr>
        <w:rFonts w:ascii="Cambria" w:eastAsiaTheme="minorHAnsi" w:hAnsi="Cambria" w:cstheme="minorHAnsi" w:hint="default"/>
        <w:b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53313827"/>
    <w:multiLevelType w:val="hybridMultilevel"/>
    <w:tmpl w:val="20523120"/>
    <w:lvl w:ilvl="0" w:tplc="456825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4050C33"/>
    <w:multiLevelType w:val="hybridMultilevel"/>
    <w:tmpl w:val="7FCAE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43E1A5F"/>
    <w:multiLevelType w:val="hybridMultilevel"/>
    <w:tmpl w:val="CFB00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55770647"/>
    <w:multiLevelType w:val="hybridMultilevel"/>
    <w:tmpl w:val="22FA37B0"/>
    <w:lvl w:ilvl="0" w:tplc="92F06D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677557C"/>
    <w:multiLevelType w:val="hybridMultilevel"/>
    <w:tmpl w:val="9AEE1A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7" w15:restartNumberingAfterBreak="0">
    <w:nsid w:val="56D56511"/>
    <w:multiLevelType w:val="hybridMultilevel"/>
    <w:tmpl w:val="F3ACB954"/>
    <w:lvl w:ilvl="0" w:tplc="2C1A0007">
      <w:start w:val="1"/>
      <w:numFmt w:val="bullet"/>
      <w:lvlText w:val=""/>
      <w:lvlPicBulletId w:val="0"/>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8" w15:restartNumberingAfterBreak="0">
    <w:nsid w:val="57535948"/>
    <w:multiLevelType w:val="hybridMultilevel"/>
    <w:tmpl w:val="D72C4382"/>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9" w15:restartNumberingAfterBreak="0">
    <w:nsid w:val="580E6372"/>
    <w:multiLevelType w:val="hybridMultilevel"/>
    <w:tmpl w:val="5274BF16"/>
    <w:lvl w:ilvl="0" w:tplc="319A5388">
      <w:start w:val="1"/>
      <w:numFmt w:val="bullet"/>
      <w:lvlText w:val="-"/>
      <w:lvlJc w:val="left"/>
      <w:pPr>
        <w:ind w:left="1222" w:hanging="360"/>
      </w:pPr>
      <w:rPr>
        <w:rFonts w:ascii="Arial" w:eastAsia="Calibri" w:hAnsi="Arial" w:cs="Arial" w:hint="default"/>
        <w:b w:val="0"/>
        <w:color w:val="auto"/>
      </w:rPr>
    </w:lvl>
    <w:lvl w:ilvl="1" w:tplc="2C1A0003">
      <w:start w:val="1"/>
      <w:numFmt w:val="bullet"/>
      <w:lvlText w:val="o"/>
      <w:lvlJc w:val="left"/>
      <w:pPr>
        <w:ind w:left="2095" w:hanging="360"/>
      </w:pPr>
      <w:rPr>
        <w:rFonts w:ascii="Courier New" w:hAnsi="Courier New" w:cs="Courier New" w:hint="default"/>
      </w:rPr>
    </w:lvl>
    <w:lvl w:ilvl="2" w:tplc="2C1A0005">
      <w:start w:val="1"/>
      <w:numFmt w:val="bullet"/>
      <w:lvlText w:val=""/>
      <w:lvlJc w:val="left"/>
      <w:pPr>
        <w:ind w:left="2815" w:hanging="360"/>
      </w:pPr>
      <w:rPr>
        <w:rFonts w:ascii="Wingdings" w:hAnsi="Wingdings" w:hint="default"/>
      </w:rPr>
    </w:lvl>
    <w:lvl w:ilvl="3" w:tplc="2C1A0001" w:tentative="1">
      <w:start w:val="1"/>
      <w:numFmt w:val="bullet"/>
      <w:lvlText w:val=""/>
      <w:lvlJc w:val="left"/>
      <w:pPr>
        <w:ind w:left="3535" w:hanging="360"/>
      </w:pPr>
      <w:rPr>
        <w:rFonts w:ascii="Symbol" w:hAnsi="Symbol" w:hint="default"/>
      </w:rPr>
    </w:lvl>
    <w:lvl w:ilvl="4" w:tplc="2C1A0003" w:tentative="1">
      <w:start w:val="1"/>
      <w:numFmt w:val="bullet"/>
      <w:lvlText w:val="o"/>
      <w:lvlJc w:val="left"/>
      <w:pPr>
        <w:ind w:left="4255" w:hanging="360"/>
      </w:pPr>
      <w:rPr>
        <w:rFonts w:ascii="Courier New" w:hAnsi="Courier New" w:cs="Courier New" w:hint="default"/>
      </w:rPr>
    </w:lvl>
    <w:lvl w:ilvl="5" w:tplc="2C1A0005" w:tentative="1">
      <w:start w:val="1"/>
      <w:numFmt w:val="bullet"/>
      <w:lvlText w:val=""/>
      <w:lvlJc w:val="left"/>
      <w:pPr>
        <w:ind w:left="4975" w:hanging="360"/>
      </w:pPr>
      <w:rPr>
        <w:rFonts w:ascii="Wingdings" w:hAnsi="Wingdings" w:hint="default"/>
      </w:rPr>
    </w:lvl>
    <w:lvl w:ilvl="6" w:tplc="2C1A0001" w:tentative="1">
      <w:start w:val="1"/>
      <w:numFmt w:val="bullet"/>
      <w:lvlText w:val=""/>
      <w:lvlJc w:val="left"/>
      <w:pPr>
        <w:ind w:left="5695" w:hanging="360"/>
      </w:pPr>
      <w:rPr>
        <w:rFonts w:ascii="Symbol" w:hAnsi="Symbol" w:hint="default"/>
      </w:rPr>
    </w:lvl>
    <w:lvl w:ilvl="7" w:tplc="2C1A0003" w:tentative="1">
      <w:start w:val="1"/>
      <w:numFmt w:val="bullet"/>
      <w:lvlText w:val="o"/>
      <w:lvlJc w:val="left"/>
      <w:pPr>
        <w:ind w:left="6415" w:hanging="360"/>
      </w:pPr>
      <w:rPr>
        <w:rFonts w:ascii="Courier New" w:hAnsi="Courier New" w:cs="Courier New" w:hint="default"/>
      </w:rPr>
    </w:lvl>
    <w:lvl w:ilvl="8" w:tplc="2C1A0005" w:tentative="1">
      <w:start w:val="1"/>
      <w:numFmt w:val="bullet"/>
      <w:lvlText w:val=""/>
      <w:lvlJc w:val="left"/>
      <w:pPr>
        <w:ind w:left="7135" w:hanging="360"/>
      </w:pPr>
      <w:rPr>
        <w:rFonts w:ascii="Wingdings" w:hAnsi="Wingdings" w:hint="default"/>
      </w:rPr>
    </w:lvl>
  </w:abstractNum>
  <w:abstractNum w:abstractNumId="110" w15:restartNumberingAfterBreak="0">
    <w:nsid w:val="58D06D4A"/>
    <w:multiLevelType w:val="hybridMultilevel"/>
    <w:tmpl w:val="66DEDB7E"/>
    <w:lvl w:ilvl="0" w:tplc="30405A96">
      <w:start w:val="1"/>
      <w:numFmt w:val="decimal"/>
      <w:lvlText w:val="%1."/>
      <w:lvlJc w:val="left"/>
      <w:pPr>
        <w:ind w:left="502" w:hanging="360"/>
      </w:pPr>
      <w:rPr>
        <w:rFonts w:hint="default"/>
        <w:b w:val="0"/>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11" w15:restartNumberingAfterBreak="0">
    <w:nsid w:val="5A176A17"/>
    <w:multiLevelType w:val="hybridMultilevel"/>
    <w:tmpl w:val="97868B28"/>
    <w:lvl w:ilvl="0" w:tplc="0424000B">
      <w:start w:val="1"/>
      <w:numFmt w:val="bullet"/>
      <w:lvlText w:val=""/>
      <w:lvlJc w:val="left"/>
      <w:pPr>
        <w:ind w:left="1211" w:hanging="360"/>
      </w:pPr>
      <w:rPr>
        <w:rFonts w:ascii="Wingdings" w:hAnsi="Wingdings"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112" w15:restartNumberingAfterBreak="0">
    <w:nsid w:val="5AB172F4"/>
    <w:multiLevelType w:val="hybridMultilevel"/>
    <w:tmpl w:val="952050E4"/>
    <w:lvl w:ilvl="0" w:tplc="0424000B">
      <w:start w:val="1"/>
      <w:numFmt w:val="bullet"/>
      <w:lvlText w:val=""/>
      <w:lvlJc w:val="left"/>
      <w:pPr>
        <w:ind w:left="1283" w:hanging="360"/>
      </w:pPr>
      <w:rPr>
        <w:rFonts w:ascii="Wingdings" w:hAnsi="Wingdings" w:hint="default"/>
      </w:rPr>
    </w:lvl>
    <w:lvl w:ilvl="1" w:tplc="04240003" w:tentative="1">
      <w:start w:val="1"/>
      <w:numFmt w:val="bullet"/>
      <w:lvlText w:val="o"/>
      <w:lvlJc w:val="left"/>
      <w:pPr>
        <w:ind w:left="2003" w:hanging="360"/>
      </w:pPr>
      <w:rPr>
        <w:rFonts w:ascii="Courier New" w:hAnsi="Courier New" w:cs="Courier New" w:hint="default"/>
      </w:rPr>
    </w:lvl>
    <w:lvl w:ilvl="2" w:tplc="04240005" w:tentative="1">
      <w:start w:val="1"/>
      <w:numFmt w:val="bullet"/>
      <w:lvlText w:val=""/>
      <w:lvlJc w:val="left"/>
      <w:pPr>
        <w:ind w:left="2723" w:hanging="360"/>
      </w:pPr>
      <w:rPr>
        <w:rFonts w:ascii="Wingdings" w:hAnsi="Wingdings" w:hint="default"/>
      </w:rPr>
    </w:lvl>
    <w:lvl w:ilvl="3" w:tplc="04240001" w:tentative="1">
      <w:start w:val="1"/>
      <w:numFmt w:val="bullet"/>
      <w:lvlText w:val=""/>
      <w:lvlJc w:val="left"/>
      <w:pPr>
        <w:ind w:left="3443" w:hanging="360"/>
      </w:pPr>
      <w:rPr>
        <w:rFonts w:ascii="Symbol" w:hAnsi="Symbol" w:hint="default"/>
      </w:rPr>
    </w:lvl>
    <w:lvl w:ilvl="4" w:tplc="04240003" w:tentative="1">
      <w:start w:val="1"/>
      <w:numFmt w:val="bullet"/>
      <w:lvlText w:val="o"/>
      <w:lvlJc w:val="left"/>
      <w:pPr>
        <w:ind w:left="4163" w:hanging="360"/>
      </w:pPr>
      <w:rPr>
        <w:rFonts w:ascii="Courier New" w:hAnsi="Courier New" w:cs="Courier New" w:hint="default"/>
      </w:rPr>
    </w:lvl>
    <w:lvl w:ilvl="5" w:tplc="04240005" w:tentative="1">
      <w:start w:val="1"/>
      <w:numFmt w:val="bullet"/>
      <w:lvlText w:val=""/>
      <w:lvlJc w:val="left"/>
      <w:pPr>
        <w:ind w:left="4883" w:hanging="360"/>
      </w:pPr>
      <w:rPr>
        <w:rFonts w:ascii="Wingdings" w:hAnsi="Wingdings" w:hint="default"/>
      </w:rPr>
    </w:lvl>
    <w:lvl w:ilvl="6" w:tplc="04240001" w:tentative="1">
      <w:start w:val="1"/>
      <w:numFmt w:val="bullet"/>
      <w:lvlText w:val=""/>
      <w:lvlJc w:val="left"/>
      <w:pPr>
        <w:ind w:left="5603" w:hanging="360"/>
      </w:pPr>
      <w:rPr>
        <w:rFonts w:ascii="Symbol" w:hAnsi="Symbol" w:hint="default"/>
      </w:rPr>
    </w:lvl>
    <w:lvl w:ilvl="7" w:tplc="04240003" w:tentative="1">
      <w:start w:val="1"/>
      <w:numFmt w:val="bullet"/>
      <w:lvlText w:val="o"/>
      <w:lvlJc w:val="left"/>
      <w:pPr>
        <w:ind w:left="6323" w:hanging="360"/>
      </w:pPr>
      <w:rPr>
        <w:rFonts w:ascii="Courier New" w:hAnsi="Courier New" w:cs="Courier New" w:hint="default"/>
      </w:rPr>
    </w:lvl>
    <w:lvl w:ilvl="8" w:tplc="04240005" w:tentative="1">
      <w:start w:val="1"/>
      <w:numFmt w:val="bullet"/>
      <w:lvlText w:val=""/>
      <w:lvlJc w:val="left"/>
      <w:pPr>
        <w:ind w:left="7043" w:hanging="360"/>
      </w:pPr>
      <w:rPr>
        <w:rFonts w:ascii="Wingdings" w:hAnsi="Wingdings" w:hint="default"/>
      </w:rPr>
    </w:lvl>
  </w:abstractNum>
  <w:abstractNum w:abstractNumId="113" w15:restartNumberingAfterBreak="0">
    <w:nsid w:val="5BB57454"/>
    <w:multiLevelType w:val="hybridMultilevel"/>
    <w:tmpl w:val="0806425A"/>
    <w:lvl w:ilvl="0" w:tplc="081A000F">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14" w15:restartNumberingAfterBreak="0">
    <w:nsid w:val="5C043F98"/>
    <w:multiLevelType w:val="hybridMultilevel"/>
    <w:tmpl w:val="564AEE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C765950"/>
    <w:multiLevelType w:val="hybridMultilevel"/>
    <w:tmpl w:val="13482760"/>
    <w:lvl w:ilvl="0" w:tplc="0809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6" w15:restartNumberingAfterBreak="0">
    <w:nsid w:val="5C9504C5"/>
    <w:multiLevelType w:val="hybridMultilevel"/>
    <w:tmpl w:val="C72215A4"/>
    <w:lvl w:ilvl="0" w:tplc="4E2C617C">
      <w:start w:val="1"/>
      <w:numFmt w:val="decimal"/>
      <w:lvlText w:val="%1."/>
      <w:lvlJc w:val="left"/>
      <w:pPr>
        <w:tabs>
          <w:tab w:val="num" w:pos="540"/>
        </w:tabs>
        <w:ind w:left="5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D085222"/>
    <w:multiLevelType w:val="multilevel"/>
    <w:tmpl w:val="48369B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D530EF4"/>
    <w:multiLevelType w:val="multilevel"/>
    <w:tmpl w:val="7E62D5FC"/>
    <w:lvl w:ilvl="0">
      <w:start w:val="1"/>
      <w:numFmt w:val="decimal"/>
      <w:lvlText w:val="%1."/>
      <w:lvlJc w:val="left"/>
      <w:pPr>
        <w:ind w:left="720" w:hanging="360"/>
      </w:pPr>
      <w:rPr>
        <w:b/>
      </w:rPr>
    </w:lvl>
    <w:lvl w:ilvl="1">
      <w:start w:val="1"/>
      <w:numFmt w:val="bullet"/>
      <w:lvlText w:val=""/>
      <w:lvlJc w:val="left"/>
      <w:pPr>
        <w:ind w:left="720" w:hanging="360"/>
      </w:pPr>
      <w:rPr>
        <w:rFonts w:ascii="Wingdings" w:hAnsi="Wingdings" w:hint="default"/>
      </w:rPr>
    </w:lvl>
    <w:lvl w:ilvl="2">
      <w:start w:val="1"/>
      <w:numFmt w:val="decimal"/>
      <w:isLgl/>
      <w:lvlText w:val="%1.%2.%3"/>
      <w:lvlJc w:val="left"/>
      <w:pPr>
        <w:ind w:left="1080" w:hanging="720"/>
      </w:pPr>
      <w:rPr>
        <w:rFonts w:hint="default"/>
      </w:rPr>
    </w:lvl>
    <w:lvl w:ilvl="3">
      <w:start w:val="1"/>
      <w:numFmt w:val="bullet"/>
      <w:lvlText w:val=""/>
      <w:lvlJc w:val="left"/>
      <w:pPr>
        <w:ind w:left="1080" w:hanging="720"/>
      </w:pPr>
      <w:rPr>
        <w:rFonts w:ascii="Wingdings" w:hAnsi="Wingding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9" w15:restartNumberingAfterBreak="0">
    <w:nsid w:val="5DC800FC"/>
    <w:multiLevelType w:val="hybridMultilevel"/>
    <w:tmpl w:val="F806C1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5E8D0647"/>
    <w:multiLevelType w:val="hybridMultilevel"/>
    <w:tmpl w:val="F73C67AC"/>
    <w:lvl w:ilvl="0" w:tplc="92F06D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5F383D3B"/>
    <w:multiLevelType w:val="hybridMultilevel"/>
    <w:tmpl w:val="693A48D6"/>
    <w:lvl w:ilvl="0" w:tplc="92F06D32">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2" w15:restartNumberingAfterBreak="0">
    <w:nsid w:val="60317389"/>
    <w:multiLevelType w:val="hybridMultilevel"/>
    <w:tmpl w:val="389E5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606D0B22"/>
    <w:multiLevelType w:val="hybridMultilevel"/>
    <w:tmpl w:val="EA7062D0"/>
    <w:lvl w:ilvl="0" w:tplc="1FA41F22">
      <w:start w:val="1"/>
      <w:numFmt w:val="decimal"/>
      <w:lvlText w:val="%1."/>
      <w:lvlJc w:val="left"/>
      <w:pPr>
        <w:tabs>
          <w:tab w:val="num" w:pos="540"/>
        </w:tabs>
        <w:ind w:left="5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1FB3535"/>
    <w:multiLevelType w:val="hybridMultilevel"/>
    <w:tmpl w:val="C34A6CAA"/>
    <w:lvl w:ilvl="0" w:tplc="92F06D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63615250"/>
    <w:multiLevelType w:val="hybridMultilevel"/>
    <w:tmpl w:val="0CEC01AC"/>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6" w15:restartNumberingAfterBreak="0">
    <w:nsid w:val="63B3052C"/>
    <w:multiLevelType w:val="hybridMultilevel"/>
    <w:tmpl w:val="25940862"/>
    <w:lvl w:ilvl="0" w:tplc="92F06D32">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7" w15:restartNumberingAfterBreak="0">
    <w:nsid w:val="66226890"/>
    <w:multiLevelType w:val="hybridMultilevel"/>
    <w:tmpl w:val="23ACD704"/>
    <w:lvl w:ilvl="0" w:tplc="9410A6D8">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6330DAE"/>
    <w:multiLevelType w:val="hybridMultilevel"/>
    <w:tmpl w:val="10E6C394"/>
    <w:lvl w:ilvl="0" w:tplc="92F06D32">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9" w15:restartNumberingAfterBreak="0">
    <w:nsid w:val="66D84852"/>
    <w:multiLevelType w:val="hybridMultilevel"/>
    <w:tmpl w:val="F4146976"/>
    <w:lvl w:ilvl="0" w:tplc="101686A8">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0" w15:restartNumberingAfterBreak="0">
    <w:nsid w:val="67AC0968"/>
    <w:multiLevelType w:val="hybridMultilevel"/>
    <w:tmpl w:val="0130C9CC"/>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1" w15:restartNumberingAfterBreak="0">
    <w:nsid w:val="681C3B9F"/>
    <w:multiLevelType w:val="hybridMultilevel"/>
    <w:tmpl w:val="F642C58C"/>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15:restartNumberingAfterBreak="0">
    <w:nsid w:val="6876557A"/>
    <w:multiLevelType w:val="hybridMultilevel"/>
    <w:tmpl w:val="C7905770"/>
    <w:lvl w:ilvl="0" w:tplc="92F06D32">
      <w:start w:val="1"/>
      <w:numFmt w:val="bullet"/>
      <w:lvlText w:val="-"/>
      <w:lvlJc w:val="left"/>
      <w:pPr>
        <w:ind w:left="766" w:hanging="360"/>
      </w:pPr>
      <w:rPr>
        <w:rFonts w:ascii="Times New Roman" w:eastAsia="Times New Roman" w:hAnsi="Times New Roman" w:cs="Times New Roman" w:hint="default"/>
      </w:rPr>
    </w:lvl>
    <w:lvl w:ilvl="1" w:tplc="041A0003" w:tentative="1">
      <w:start w:val="1"/>
      <w:numFmt w:val="bullet"/>
      <w:lvlText w:val="o"/>
      <w:lvlJc w:val="left"/>
      <w:pPr>
        <w:ind w:left="1486" w:hanging="360"/>
      </w:pPr>
      <w:rPr>
        <w:rFonts w:ascii="Courier New" w:hAnsi="Courier New" w:cs="Courier New" w:hint="default"/>
      </w:rPr>
    </w:lvl>
    <w:lvl w:ilvl="2" w:tplc="041A0005" w:tentative="1">
      <w:start w:val="1"/>
      <w:numFmt w:val="bullet"/>
      <w:lvlText w:val=""/>
      <w:lvlJc w:val="left"/>
      <w:pPr>
        <w:ind w:left="2206" w:hanging="360"/>
      </w:pPr>
      <w:rPr>
        <w:rFonts w:ascii="Wingdings" w:hAnsi="Wingdings" w:hint="default"/>
      </w:rPr>
    </w:lvl>
    <w:lvl w:ilvl="3" w:tplc="041A0001" w:tentative="1">
      <w:start w:val="1"/>
      <w:numFmt w:val="bullet"/>
      <w:lvlText w:val=""/>
      <w:lvlJc w:val="left"/>
      <w:pPr>
        <w:ind w:left="2926" w:hanging="360"/>
      </w:pPr>
      <w:rPr>
        <w:rFonts w:ascii="Symbol" w:hAnsi="Symbol" w:hint="default"/>
      </w:rPr>
    </w:lvl>
    <w:lvl w:ilvl="4" w:tplc="041A0003" w:tentative="1">
      <w:start w:val="1"/>
      <w:numFmt w:val="bullet"/>
      <w:lvlText w:val="o"/>
      <w:lvlJc w:val="left"/>
      <w:pPr>
        <w:ind w:left="3646" w:hanging="360"/>
      </w:pPr>
      <w:rPr>
        <w:rFonts w:ascii="Courier New" w:hAnsi="Courier New" w:cs="Courier New" w:hint="default"/>
      </w:rPr>
    </w:lvl>
    <w:lvl w:ilvl="5" w:tplc="041A0005" w:tentative="1">
      <w:start w:val="1"/>
      <w:numFmt w:val="bullet"/>
      <w:lvlText w:val=""/>
      <w:lvlJc w:val="left"/>
      <w:pPr>
        <w:ind w:left="4366" w:hanging="360"/>
      </w:pPr>
      <w:rPr>
        <w:rFonts w:ascii="Wingdings" w:hAnsi="Wingdings" w:hint="default"/>
      </w:rPr>
    </w:lvl>
    <w:lvl w:ilvl="6" w:tplc="041A0001" w:tentative="1">
      <w:start w:val="1"/>
      <w:numFmt w:val="bullet"/>
      <w:lvlText w:val=""/>
      <w:lvlJc w:val="left"/>
      <w:pPr>
        <w:ind w:left="5086" w:hanging="360"/>
      </w:pPr>
      <w:rPr>
        <w:rFonts w:ascii="Symbol" w:hAnsi="Symbol" w:hint="default"/>
      </w:rPr>
    </w:lvl>
    <w:lvl w:ilvl="7" w:tplc="041A0003" w:tentative="1">
      <w:start w:val="1"/>
      <w:numFmt w:val="bullet"/>
      <w:lvlText w:val="o"/>
      <w:lvlJc w:val="left"/>
      <w:pPr>
        <w:ind w:left="5806" w:hanging="360"/>
      </w:pPr>
      <w:rPr>
        <w:rFonts w:ascii="Courier New" w:hAnsi="Courier New" w:cs="Courier New" w:hint="default"/>
      </w:rPr>
    </w:lvl>
    <w:lvl w:ilvl="8" w:tplc="041A0005" w:tentative="1">
      <w:start w:val="1"/>
      <w:numFmt w:val="bullet"/>
      <w:lvlText w:val=""/>
      <w:lvlJc w:val="left"/>
      <w:pPr>
        <w:ind w:left="6526" w:hanging="360"/>
      </w:pPr>
      <w:rPr>
        <w:rFonts w:ascii="Wingdings" w:hAnsi="Wingdings" w:hint="default"/>
      </w:rPr>
    </w:lvl>
  </w:abstractNum>
  <w:abstractNum w:abstractNumId="133" w15:restartNumberingAfterBreak="0">
    <w:nsid w:val="6AB609AE"/>
    <w:multiLevelType w:val="hybridMultilevel"/>
    <w:tmpl w:val="767C09B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4" w15:restartNumberingAfterBreak="0">
    <w:nsid w:val="6D96590D"/>
    <w:multiLevelType w:val="hybridMultilevel"/>
    <w:tmpl w:val="BCCEA09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5" w15:restartNumberingAfterBreak="0">
    <w:nsid w:val="6E6741F3"/>
    <w:multiLevelType w:val="hybridMultilevel"/>
    <w:tmpl w:val="9014FCCE"/>
    <w:lvl w:ilvl="0" w:tplc="04090001">
      <w:start w:val="1"/>
      <w:numFmt w:val="bullet"/>
      <w:lvlText w:val=""/>
      <w:lvlJc w:val="left"/>
      <w:pPr>
        <w:ind w:left="2880" w:hanging="360"/>
      </w:pPr>
      <w:rPr>
        <w:rFonts w:ascii="Symbol" w:hAnsi="Symbol" w:hint="default"/>
        <w:b/>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6" w15:restartNumberingAfterBreak="0">
    <w:nsid w:val="6EBA2C9D"/>
    <w:multiLevelType w:val="hybridMultilevel"/>
    <w:tmpl w:val="8EDC30BA"/>
    <w:lvl w:ilvl="0" w:tplc="92F06D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6FB1330C"/>
    <w:multiLevelType w:val="hybridMultilevel"/>
    <w:tmpl w:val="021EAC50"/>
    <w:lvl w:ilvl="0" w:tplc="041A0003">
      <w:start w:val="1"/>
      <w:numFmt w:val="bullet"/>
      <w:lvlText w:val="o"/>
      <w:lvlJc w:val="left"/>
      <w:pPr>
        <w:ind w:left="1440" w:hanging="360"/>
      </w:pPr>
      <w:rPr>
        <w:rFonts w:ascii="Courier New" w:hAnsi="Courier New" w:cs="Courier New"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38" w15:restartNumberingAfterBreak="0">
    <w:nsid w:val="70105A00"/>
    <w:multiLevelType w:val="multilevel"/>
    <w:tmpl w:val="6C4E7DEA"/>
    <w:lvl w:ilvl="0">
      <w:start w:val="1"/>
      <w:numFmt w:val="decimal"/>
      <w:pStyle w:val="PRILOGpodnaslov"/>
      <w:lvlText w:val="%1."/>
      <w:lvlJc w:val="left"/>
      <w:pPr>
        <w:ind w:left="454" w:hanging="454"/>
      </w:pPr>
      <w:rPr>
        <w:rFonts w:hint="default"/>
      </w:rPr>
    </w:lvl>
    <w:lvl w:ilvl="1">
      <w:start w:val="1"/>
      <w:numFmt w:val="decimal"/>
      <w:pStyle w:val="PRILOGPodpodnaslov"/>
      <w:lvlText w:val="%1.%2"/>
      <w:lvlJc w:val="left"/>
      <w:pPr>
        <w:ind w:left="510" w:hanging="510"/>
      </w:pPr>
      <w:rPr>
        <w:rFonts w:hint="default"/>
      </w:rPr>
    </w:lvl>
    <w:lvl w:ilvl="2">
      <w:start w:val="1"/>
      <w:numFmt w:val="decimal"/>
      <w:pStyle w:val="PRILOGpodpodpodnaslov"/>
      <w:lvlText w:val="%1.%2.%3"/>
      <w:lvlJc w:val="left"/>
      <w:pPr>
        <w:ind w:left="624" w:hanging="62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9" w15:restartNumberingAfterBreak="0">
    <w:nsid w:val="707B6917"/>
    <w:multiLevelType w:val="hybridMultilevel"/>
    <w:tmpl w:val="AE80F502"/>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0" w15:restartNumberingAfterBreak="0">
    <w:nsid w:val="70C8780D"/>
    <w:multiLevelType w:val="hybridMultilevel"/>
    <w:tmpl w:val="B4C68BBE"/>
    <w:lvl w:ilvl="0" w:tplc="92F06D32">
      <w:start w:val="1"/>
      <w:numFmt w:val="bullet"/>
      <w:lvlText w:val="-"/>
      <w:lvlJc w:val="left"/>
      <w:pPr>
        <w:ind w:left="1425" w:hanging="360"/>
      </w:pPr>
      <w:rPr>
        <w:rFonts w:ascii="Times New Roman" w:eastAsia="Times New Roman" w:hAnsi="Times New Roman" w:cs="Times New Roman" w:hint="default"/>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141" w15:restartNumberingAfterBreak="0">
    <w:nsid w:val="70E72D62"/>
    <w:multiLevelType w:val="hybridMultilevel"/>
    <w:tmpl w:val="886E45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2D52014"/>
    <w:multiLevelType w:val="hybridMultilevel"/>
    <w:tmpl w:val="B2D4DE3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734319BF"/>
    <w:multiLevelType w:val="hybridMultilevel"/>
    <w:tmpl w:val="371A3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73BD76A8"/>
    <w:multiLevelType w:val="hybridMultilevel"/>
    <w:tmpl w:val="9EB2BC1C"/>
    <w:lvl w:ilvl="0" w:tplc="78444368">
      <w:start w:val="1"/>
      <w:numFmt w:val="bullet"/>
      <w:lvlText w:val=""/>
      <w:lvlJc w:val="left"/>
      <w:pPr>
        <w:ind w:left="840" w:hanging="360"/>
      </w:pPr>
      <w:rPr>
        <w:rFonts w:ascii="Wingdings" w:hAnsi="Wingdings" w:hint="default"/>
        <w:color w:val="auto"/>
      </w:rPr>
    </w:lvl>
    <w:lvl w:ilvl="1" w:tplc="041A0003" w:tentative="1">
      <w:start w:val="1"/>
      <w:numFmt w:val="bullet"/>
      <w:lvlText w:val="o"/>
      <w:lvlJc w:val="left"/>
      <w:pPr>
        <w:ind w:left="1560" w:hanging="360"/>
      </w:pPr>
      <w:rPr>
        <w:rFonts w:ascii="Courier New" w:hAnsi="Courier New" w:cs="Courier New" w:hint="default"/>
      </w:rPr>
    </w:lvl>
    <w:lvl w:ilvl="2" w:tplc="041A0005" w:tentative="1">
      <w:start w:val="1"/>
      <w:numFmt w:val="bullet"/>
      <w:lvlText w:val=""/>
      <w:lvlJc w:val="left"/>
      <w:pPr>
        <w:ind w:left="2280" w:hanging="360"/>
      </w:pPr>
      <w:rPr>
        <w:rFonts w:ascii="Wingdings" w:hAnsi="Wingdings" w:hint="default"/>
      </w:rPr>
    </w:lvl>
    <w:lvl w:ilvl="3" w:tplc="041A0001" w:tentative="1">
      <w:start w:val="1"/>
      <w:numFmt w:val="bullet"/>
      <w:lvlText w:val=""/>
      <w:lvlJc w:val="left"/>
      <w:pPr>
        <w:ind w:left="3000" w:hanging="360"/>
      </w:pPr>
      <w:rPr>
        <w:rFonts w:ascii="Symbol" w:hAnsi="Symbol" w:hint="default"/>
      </w:rPr>
    </w:lvl>
    <w:lvl w:ilvl="4" w:tplc="041A0003" w:tentative="1">
      <w:start w:val="1"/>
      <w:numFmt w:val="bullet"/>
      <w:lvlText w:val="o"/>
      <w:lvlJc w:val="left"/>
      <w:pPr>
        <w:ind w:left="3720" w:hanging="360"/>
      </w:pPr>
      <w:rPr>
        <w:rFonts w:ascii="Courier New" w:hAnsi="Courier New" w:cs="Courier New" w:hint="default"/>
      </w:rPr>
    </w:lvl>
    <w:lvl w:ilvl="5" w:tplc="041A0005" w:tentative="1">
      <w:start w:val="1"/>
      <w:numFmt w:val="bullet"/>
      <w:lvlText w:val=""/>
      <w:lvlJc w:val="left"/>
      <w:pPr>
        <w:ind w:left="4440" w:hanging="360"/>
      </w:pPr>
      <w:rPr>
        <w:rFonts w:ascii="Wingdings" w:hAnsi="Wingdings" w:hint="default"/>
      </w:rPr>
    </w:lvl>
    <w:lvl w:ilvl="6" w:tplc="041A0001" w:tentative="1">
      <w:start w:val="1"/>
      <w:numFmt w:val="bullet"/>
      <w:lvlText w:val=""/>
      <w:lvlJc w:val="left"/>
      <w:pPr>
        <w:ind w:left="5160" w:hanging="360"/>
      </w:pPr>
      <w:rPr>
        <w:rFonts w:ascii="Symbol" w:hAnsi="Symbol" w:hint="default"/>
      </w:rPr>
    </w:lvl>
    <w:lvl w:ilvl="7" w:tplc="041A0003" w:tentative="1">
      <w:start w:val="1"/>
      <w:numFmt w:val="bullet"/>
      <w:lvlText w:val="o"/>
      <w:lvlJc w:val="left"/>
      <w:pPr>
        <w:ind w:left="5880" w:hanging="360"/>
      </w:pPr>
      <w:rPr>
        <w:rFonts w:ascii="Courier New" w:hAnsi="Courier New" w:cs="Courier New" w:hint="default"/>
      </w:rPr>
    </w:lvl>
    <w:lvl w:ilvl="8" w:tplc="041A0005" w:tentative="1">
      <w:start w:val="1"/>
      <w:numFmt w:val="bullet"/>
      <w:lvlText w:val=""/>
      <w:lvlJc w:val="left"/>
      <w:pPr>
        <w:ind w:left="6600" w:hanging="360"/>
      </w:pPr>
      <w:rPr>
        <w:rFonts w:ascii="Wingdings" w:hAnsi="Wingdings" w:hint="default"/>
      </w:rPr>
    </w:lvl>
  </w:abstractNum>
  <w:abstractNum w:abstractNumId="145" w15:restartNumberingAfterBreak="0">
    <w:nsid w:val="74B64060"/>
    <w:multiLevelType w:val="hybridMultilevel"/>
    <w:tmpl w:val="ECB0E4DA"/>
    <w:lvl w:ilvl="0" w:tplc="DC5E7EB0">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76742124"/>
    <w:multiLevelType w:val="hybridMultilevel"/>
    <w:tmpl w:val="3EC6A5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768C2FC1"/>
    <w:multiLevelType w:val="hybridMultilevel"/>
    <w:tmpl w:val="7DBC123C"/>
    <w:lvl w:ilvl="0" w:tplc="92F06D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77252157"/>
    <w:multiLevelType w:val="hybridMultilevel"/>
    <w:tmpl w:val="5BFA0794"/>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9" w15:restartNumberingAfterBreak="0">
    <w:nsid w:val="77DD3670"/>
    <w:multiLevelType w:val="hybridMultilevel"/>
    <w:tmpl w:val="317A7E12"/>
    <w:lvl w:ilvl="0" w:tplc="2C1A0007">
      <w:start w:val="1"/>
      <w:numFmt w:val="bullet"/>
      <w:lvlText w:val=""/>
      <w:lvlPicBulletId w:val="0"/>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0" w15:restartNumberingAfterBreak="0">
    <w:nsid w:val="78260E95"/>
    <w:multiLevelType w:val="hybridMultilevel"/>
    <w:tmpl w:val="4FBE8634"/>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1" w15:restartNumberingAfterBreak="0">
    <w:nsid w:val="78355EDE"/>
    <w:multiLevelType w:val="hybridMultilevel"/>
    <w:tmpl w:val="10EA334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2" w15:restartNumberingAfterBreak="0">
    <w:nsid w:val="783A2D09"/>
    <w:multiLevelType w:val="hybridMultilevel"/>
    <w:tmpl w:val="9BAA4B2A"/>
    <w:lvl w:ilvl="0" w:tplc="C696F42A">
      <w:start w:val="1"/>
      <w:numFmt w:val="bullet"/>
      <w:lvlText w:val="-"/>
      <w:lvlJc w:val="left"/>
      <w:pPr>
        <w:ind w:left="720" w:hanging="360"/>
      </w:pPr>
      <w:rPr>
        <w:rFonts w:ascii="Verdana" w:hAnsi="Verdana"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3" w15:restartNumberingAfterBreak="0">
    <w:nsid w:val="78E07805"/>
    <w:multiLevelType w:val="hybridMultilevel"/>
    <w:tmpl w:val="D0C25C3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4" w15:restartNumberingAfterBreak="0">
    <w:nsid w:val="79C97166"/>
    <w:multiLevelType w:val="hybridMultilevel"/>
    <w:tmpl w:val="2876942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5" w15:restartNumberingAfterBreak="0">
    <w:nsid w:val="7BFF31E4"/>
    <w:multiLevelType w:val="hybridMultilevel"/>
    <w:tmpl w:val="51D4A07A"/>
    <w:lvl w:ilvl="0" w:tplc="081A000D">
      <w:start w:val="1"/>
      <w:numFmt w:val="bullet"/>
      <w:lvlText w:val=""/>
      <w:lvlJc w:val="left"/>
      <w:pPr>
        <w:ind w:left="1440" w:hanging="360"/>
      </w:pPr>
      <w:rPr>
        <w:rFonts w:ascii="Wingdings" w:hAnsi="Wingdings" w:hint="default"/>
      </w:rPr>
    </w:lvl>
    <w:lvl w:ilvl="1" w:tplc="081A0003" w:tentative="1">
      <w:start w:val="1"/>
      <w:numFmt w:val="bullet"/>
      <w:lvlText w:val="o"/>
      <w:lvlJc w:val="left"/>
      <w:pPr>
        <w:ind w:left="2160" w:hanging="360"/>
      </w:pPr>
      <w:rPr>
        <w:rFonts w:ascii="Courier New" w:hAnsi="Courier New" w:cs="Courier New" w:hint="default"/>
      </w:rPr>
    </w:lvl>
    <w:lvl w:ilvl="2" w:tplc="081A0005" w:tentative="1">
      <w:start w:val="1"/>
      <w:numFmt w:val="bullet"/>
      <w:lvlText w:val=""/>
      <w:lvlJc w:val="left"/>
      <w:pPr>
        <w:ind w:left="2880" w:hanging="360"/>
      </w:pPr>
      <w:rPr>
        <w:rFonts w:ascii="Wingdings" w:hAnsi="Wingdings" w:hint="default"/>
      </w:rPr>
    </w:lvl>
    <w:lvl w:ilvl="3" w:tplc="081A0001" w:tentative="1">
      <w:start w:val="1"/>
      <w:numFmt w:val="bullet"/>
      <w:lvlText w:val=""/>
      <w:lvlJc w:val="left"/>
      <w:pPr>
        <w:ind w:left="3600" w:hanging="360"/>
      </w:pPr>
      <w:rPr>
        <w:rFonts w:ascii="Symbol" w:hAnsi="Symbol" w:hint="default"/>
      </w:rPr>
    </w:lvl>
    <w:lvl w:ilvl="4" w:tplc="081A0003" w:tentative="1">
      <w:start w:val="1"/>
      <w:numFmt w:val="bullet"/>
      <w:lvlText w:val="o"/>
      <w:lvlJc w:val="left"/>
      <w:pPr>
        <w:ind w:left="4320" w:hanging="360"/>
      </w:pPr>
      <w:rPr>
        <w:rFonts w:ascii="Courier New" w:hAnsi="Courier New" w:cs="Courier New" w:hint="default"/>
      </w:rPr>
    </w:lvl>
    <w:lvl w:ilvl="5" w:tplc="081A0005" w:tentative="1">
      <w:start w:val="1"/>
      <w:numFmt w:val="bullet"/>
      <w:lvlText w:val=""/>
      <w:lvlJc w:val="left"/>
      <w:pPr>
        <w:ind w:left="5040" w:hanging="360"/>
      </w:pPr>
      <w:rPr>
        <w:rFonts w:ascii="Wingdings" w:hAnsi="Wingdings" w:hint="default"/>
      </w:rPr>
    </w:lvl>
    <w:lvl w:ilvl="6" w:tplc="081A0001" w:tentative="1">
      <w:start w:val="1"/>
      <w:numFmt w:val="bullet"/>
      <w:lvlText w:val=""/>
      <w:lvlJc w:val="left"/>
      <w:pPr>
        <w:ind w:left="5760" w:hanging="360"/>
      </w:pPr>
      <w:rPr>
        <w:rFonts w:ascii="Symbol" w:hAnsi="Symbol" w:hint="default"/>
      </w:rPr>
    </w:lvl>
    <w:lvl w:ilvl="7" w:tplc="081A0003" w:tentative="1">
      <w:start w:val="1"/>
      <w:numFmt w:val="bullet"/>
      <w:lvlText w:val="o"/>
      <w:lvlJc w:val="left"/>
      <w:pPr>
        <w:ind w:left="6480" w:hanging="360"/>
      </w:pPr>
      <w:rPr>
        <w:rFonts w:ascii="Courier New" w:hAnsi="Courier New" w:cs="Courier New" w:hint="default"/>
      </w:rPr>
    </w:lvl>
    <w:lvl w:ilvl="8" w:tplc="081A0005" w:tentative="1">
      <w:start w:val="1"/>
      <w:numFmt w:val="bullet"/>
      <w:lvlText w:val=""/>
      <w:lvlJc w:val="left"/>
      <w:pPr>
        <w:ind w:left="7200" w:hanging="360"/>
      </w:pPr>
      <w:rPr>
        <w:rFonts w:ascii="Wingdings" w:hAnsi="Wingdings" w:hint="default"/>
      </w:rPr>
    </w:lvl>
  </w:abstractNum>
  <w:abstractNum w:abstractNumId="156" w15:restartNumberingAfterBreak="0">
    <w:nsid w:val="7CA75E61"/>
    <w:multiLevelType w:val="hybridMultilevel"/>
    <w:tmpl w:val="06BA65EA"/>
    <w:lvl w:ilvl="0" w:tplc="92F06D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7D893399"/>
    <w:multiLevelType w:val="multilevel"/>
    <w:tmpl w:val="5586620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8" w15:restartNumberingAfterBreak="0">
    <w:nsid w:val="7DCA0E3F"/>
    <w:multiLevelType w:val="hybridMultilevel"/>
    <w:tmpl w:val="5D9A61BA"/>
    <w:lvl w:ilvl="0" w:tplc="92F06D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3"/>
  </w:num>
  <w:num w:numId="2">
    <w:abstractNumId w:val="63"/>
  </w:num>
  <w:num w:numId="3">
    <w:abstractNumId w:val="148"/>
  </w:num>
  <w:num w:numId="4">
    <w:abstractNumId w:val="129"/>
  </w:num>
  <w:num w:numId="5">
    <w:abstractNumId w:val="20"/>
  </w:num>
  <w:num w:numId="6">
    <w:abstractNumId w:val="80"/>
  </w:num>
  <w:num w:numId="7">
    <w:abstractNumId w:val="119"/>
  </w:num>
  <w:num w:numId="8">
    <w:abstractNumId w:val="93"/>
  </w:num>
  <w:num w:numId="9">
    <w:abstractNumId w:val="99"/>
  </w:num>
  <w:num w:numId="10">
    <w:abstractNumId w:val="131"/>
  </w:num>
  <w:num w:numId="11">
    <w:abstractNumId w:val="15"/>
  </w:num>
  <w:num w:numId="12">
    <w:abstractNumId w:val="155"/>
  </w:num>
  <w:num w:numId="13">
    <w:abstractNumId w:val="113"/>
  </w:num>
  <w:num w:numId="14">
    <w:abstractNumId w:val="86"/>
  </w:num>
  <w:num w:numId="15">
    <w:abstractNumId w:val="81"/>
  </w:num>
  <w:num w:numId="16">
    <w:abstractNumId w:val="14"/>
  </w:num>
  <w:num w:numId="17">
    <w:abstractNumId w:val="27"/>
  </w:num>
  <w:num w:numId="18">
    <w:abstractNumId w:val="34"/>
  </w:num>
  <w:num w:numId="19">
    <w:abstractNumId w:val="37"/>
  </w:num>
  <w:num w:numId="20">
    <w:abstractNumId w:val="13"/>
  </w:num>
  <w:num w:numId="21">
    <w:abstractNumId w:val="35"/>
  </w:num>
  <w:num w:numId="22">
    <w:abstractNumId w:val="125"/>
  </w:num>
  <w:num w:numId="23">
    <w:abstractNumId w:val="108"/>
  </w:num>
  <w:num w:numId="24">
    <w:abstractNumId w:val="89"/>
  </w:num>
  <w:num w:numId="25">
    <w:abstractNumId w:val="16"/>
  </w:num>
  <w:num w:numId="26">
    <w:abstractNumId w:val="10"/>
  </w:num>
  <w:num w:numId="27">
    <w:abstractNumId w:val="53"/>
  </w:num>
  <w:num w:numId="28">
    <w:abstractNumId w:val="100"/>
  </w:num>
  <w:num w:numId="29">
    <w:abstractNumId w:val="142"/>
  </w:num>
  <w:num w:numId="30">
    <w:abstractNumId w:val="3"/>
  </w:num>
  <w:num w:numId="31">
    <w:abstractNumId w:val="146"/>
  </w:num>
  <w:num w:numId="32">
    <w:abstractNumId w:val="149"/>
  </w:num>
  <w:num w:numId="33">
    <w:abstractNumId w:val="78"/>
  </w:num>
  <w:num w:numId="34">
    <w:abstractNumId w:val="150"/>
  </w:num>
  <w:num w:numId="35">
    <w:abstractNumId w:val="25"/>
  </w:num>
  <w:num w:numId="36">
    <w:abstractNumId w:val="90"/>
  </w:num>
  <w:num w:numId="37">
    <w:abstractNumId w:val="32"/>
  </w:num>
  <w:num w:numId="38">
    <w:abstractNumId w:val="29"/>
  </w:num>
  <w:num w:numId="39">
    <w:abstractNumId w:val="33"/>
  </w:num>
  <w:num w:numId="40">
    <w:abstractNumId w:val="36"/>
  </w:num>
  <w:num w:numId="41">
    <w:abstractNumId w:val="26"/>
  </w:num>
  <w:num w:numId="42">
    <w:abstractNumId w:val="58"/>
  </w:num>
  <w:num w:numId="43">
    <w:abstractNumId w:val="107"/>
  </w:num>
  <w:num w:numId="44">
    <w:abstractNumId w:val="77"/>
  </w:num>
  <w:num w:numId="45">
    <w:abstractNumId w:val="101"/>
  </w:num>
  <w:num w:numId="46">
    <w:abstractNumId w:val="152"/>
  </w:num>
  <w:num w:numId="47">
    <w:abstractNumId w:val="56"/>
  </w:num>
  <w:num w:numId="48">
    <w:abstractNumId w:val="51"/>
  </w:num>
  <w:num w:numId="49">
    <w:abstractNumId w:val="97"/>
  </w:num>
  <w:num w:numId="50">
    <w:abstractNumId w:val="84"/>
  </w:num>
  <w:num w:numId="51">
    <w:abstractNumId w:val="91"/>
  </w:num>
  <w:num w:numId="52">
    <w:abstractNumId w:val="98"/>
  </w:num>
  <w:num w:numId="53">
    <w:abstractNumId w:val="102"/>
  </w:num>
  <w:num w:numId="54">
    <w:abstractNumId w:val="82"/>
  </w:num>
  <w:num w:numId="55">
    <w:abstractNumId w:val="130"/>
  </w:num>
  <w:num w:numId="56">
    <w:abstractNumId w:val="94"/>
  </w:num>
  <w:num w:numId="57">
    <w:abstractNumId w:val="9"/>
  </w:num>
  <w:num w:numId="58">
    <w:abstractNumId w:val="21"/>
  </w:num>
  <w:num w:numId="59">
    <w:abstractNumId w:val="139"/>
  </w:num>
  <w:num w:numId="60">
    <w:abstractNumId w:val="57"/>
  </w:num>
  <w:num w:numId="61">
    <w:abstractNumId w:val="106"/>
  </w:num>
  <w:num w:numId="62">
    <w:abstractNumId w:val="112"/>
  </w:num>
  <w:num w:numId="63">
    <w:abstractNumId w:val="12"/>
  </w:num>
  <w:num w:numId="64">
    <w:abstractNumId w:val="111"/>
  </w:num>
  <w:num w:numId="65">
    <w:abstractNumId w:val="31"/>
  </w:num>
  <w:num w:numId="66">
    <w:abstractNumId w:val="79"/>
  </w:num>
  <w:num w:numId="67">
    <w:abstractNumId w:val="138"/>
  </w:num>
  <w:num w:numId="68">
    <w:abstractNumId w:val="134"/>
  </w:num>
  <w:num w:numId="69">
    <w:abstractNumId w:val="118"/>
  </w:num>
  <w:num w:numId="70">
    <w:abstractNumId w:val="62"/>
  </w:num>
  <w:num w:numId="71">
    <w:abstractNumId w:val="87"/>
  </w:num>
  <w:num w:numId="72">
    <w:abstractNumId w:val="46"/>
  </w:num>
  <w:num w:numId="73">
    <w:abstractNumId w:val="7"/>
  </w:num>
  <w:num w:numId="74">
    <w:abstractNumId w:val="42"/>
  </w:num>
  <w:num w:numId="75">
    <w:abstractNumId w:val="75"/>
  </w:num>
  <w:num w:numId="76">
    <w:abstractNumId w:val="55"/>
  </w:num>
  <w:num w:numId="77">
    <w:abstractNumId w:val="141"/>
  </w:num>
  <w:num w:numId="78">
    <w:abstractNumId w:val="122"/>
  </w:num>
  <w:num w:numId="79">
    <w:abstractNumId w:val="115"/>
  </w:num>
  <w:num w:numId="80">
    <w:abstractNumId w:val="48"/>
  </w:num>
  <w:num w:numId="81">
    <w:abstractNumId w:val="1"/>
  </w:num>
  <w:num w:numId="82">
    <w:abstractNumId w:val="104"/>
  </w:num>
  <w:num w:numId="8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3"/>
  </w:num>
  <w:num w:numId="85">
    <w:abstractNumId w:val="68"/>
  </w:num>
  <w:num w:numId="86">
    <w:abstractNumId w:val="28"/>
  </w:num>
  <w:num w:numId="87">
    <w:abstractNumId w:val="50"/>
  </w:num>
  <w:num w:numId="88">
    <w:abstractNumId w:val="52"/>
  </w:num>
  <w:num w:numId="8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10"/>
  </w:num>
  <w:num w:numId="91">
    <w:abstractNumId w:val="74"/>
  </w:num>
  <w:num w:numId="92">
    <w:abstractNumId w:val="70"/>
  </w:num>
  <w:num w:numId="93">
    <w:abstractNumId w:val="109"/>
  </w:num>
  <w:num w:numId="94">
    <w:abstractNumId w:val="8"/>
  </w:num>
  <w:num w:numId="95">
    <w:abstractNumId w:val="72"/>
  </w:num>
  <w:num w:numId="96">
    <w:abstractNumId w:val="76"/>
  </w:num>
  <w:num w:numId="97">
    <w:abstractNumId w:val="103"/>
  </w:num>
  <w:num w:numId="98">
    <w:abstractNumId w:val="49"/>
  </w:num>
  <w:num w:numId="99">
    <w:abstractNumId w:val="144"/>
  </w:num>
  <w:num w:numId="100">
    <w:abstractNumId w:val="67"/>
  </w:num>
  <w:num w:numId="101">
    <w:abstractNumId w:val="153"/>
  </w:num>
  <w:num w:numId="102">
    <w:abstractNumId w:val="59"/>
  </w:num>
  <w:num w:numId="103">
    <w:abstractNumId w:val="151"/>
  </w:num>
  <w:num w:numId="104">
    <w:abstractNumId w:val="85"/>
  </w:num>
  <w:num w:numId="105">
    <w:abstractNumId w:val="154"/>
  </w:num>
  <w:num w:numId="106">
    <w:abstractNumId w:val="61"/>
  </w:num>
  <w:num w:numId="107">
    <w:abstractNumId w:val="137"/>
  </w:num>
  <w:num w:numId="108">
    <w:abstractNumId w:val="83"/>
  </w:num>
  <w:num w:numId="109">
    <w:abstractNumId w:val="22"/>
  </w:num>
  <w:num w:numId="110">
    <w:abstractNumId w:val="18"/>
  </w:num>
  <w:num w:numId="111">
    <w:abstractNumId w:val="40"/>
  </w:num>
  <w:num w:numId="112">
    <w:abstractNumId w:val="64"/>
  </w:num>
  <w:num w:numId="113">
    <w:abstractNumId w:val="38"/>
  </w:num>
  <w:num w:numId="114">
    <w:abstractNumId w:val="65"/>
  </w:num>
  <w:num w:numId="115">
    <w:abstractNumId w:val="71"/>
  </w:num>
  <w:num w:numId="116">
    <w:abstractNumId w:val="127"/>
  </w:num>
  <w:num w:numId="117">
    <w:abstractNumId w:val="88"/>
  </w:num>
  <w:num w:numId="118">
    <w:abstractNumId w:val="23"/>
  </w:num>
  <w:num w:numId="119">
    <w:abstractNumId w:val="117"/>
  </w:num>
  <w:num w:numId="120">
    <w:abstractNumId w:val="143"/>
  </w:num>
  <w:num w:numId="121">
    <w:abstractNumId w:val="96"/>
  </w:num>
  <w:num w:numId="122">
    <w:abstractNumId w:val="19"/>
  </w:num>
  <w:num w:numId="123">
    <w:abstractNumId w:val="95"/>
  </w:num>
  <w:num w:numId="124">
    <w:abstractNumId w:val="157"/>
  </w:num>
  <w:num w:numId="125">
    <w:abstractNumId w:val="30"/>
  </w:num>
  <w:num w:numId="126">
    <w:abstractNumId w:val="45"/>
  </w:num>
  <w:num w:numId="127">
    <w:abstractNumId w:val="140"/>
  </w:num>
  <w:num w:numId="128">
    <w:abstractNumId w:val="47"/>
  </w:num>
  <w:num w:numId="129">
    <w:abstractNumId w:val="92"/>
  </w:num>
  <w:num w:numId="130">
    <w:abstractNumId w:val="124"/>
  </w:num>
  <w:num w:numId="131">
    <w:abstractNumId w:val="39"/>
  </w:num>
  <w:num w:numId="132">
    <w:abstractNumId w:val="120"/>
  </w:num>
  <w:num w:numId="133">
    <w:abstractNumId w:val="116"/>
  </w:num>
  <w:num w:numId="134">
    <w:abstractNumId w:val="6"/>
  </w:num>
  <w:num w:numId="135">
    <w:abstractNumId w:val="73"/>
  </w:num>
  <w:num w:numId="136">
    <w:abstractNumId w:val="147"/>
  </w:num>
  <w:num w:numId="137">
    <w:abstractNumId w:val="41"/>
  </w:num>
  <w:num w:numId="138">
    <w:abstractNumId w:val="123"/>
  </w:num>
  <w:num w:numId="139">
    <w:abstractNumId w:val="156"/>
  </w:num>
  <w:num w:numId="140">
    <w:abstractNumId w:val="2"/>
  </w:num>
  <w:num w:numId="141">
    <w:abstractNumId w:val="44"/>
  </w:num>
  <w:num w:numId="142">
    <w:abstractNumId w:val="121"/>
  </w:num>
  <w:num w:numId="143">
    <w:abstractNumId w:val="132"/>
  </w:num>
  <w:num w:numId="144">
    <w:abstractNumId w:val="4"/>
  </w:num>
  <w:num w:numId="145">
    <w:abstractNumId w:val="128"/>
  </w:num>
  <w:num w:numId="146">
    <w:abstractNumId w:val="136"/>
  </w:num>
  <w:num w:numId="147">
    <w:abstractNumId w:val="126"/>
  </w:num>
  <w:num w:numId="148">
    <w:abstractNumId w:val="114"/>
  </w:num>
  <w:num w:numId="149">
    <w:abstractNumId w:val="54"/>
  </w:num>
  <w:num w:numId="150">
    <w:abstractNumId w:val="158"/>
  </w:num>
  <w:num w:numId="151">
    <w:abstractNumId w:val="0"/>
  </w:num>
  <w:num w:numId="152">
    <w:abstractNumId w:val="66"/>
  </w:num>
  <w:num w:numId="153">
    <w:abstractNumId w:val="24"/>
  </w:num>
  <w:num w:numId="154">
    <w:abstractNumId w:val="60"/>
  </w:num>
  <w:num w:numId="155">
    <w:abstractNumId w:val="105"/>
  </w:num>
  <w:num w:numId="156">
    <w:abstractNumId w:val="135"/>
  </w:num>
  <w:num w:numId="157">
    <w:abstractNumId w:val="69"/>
  </w:num>
  <w:num w:numId="158">
    <w:abstractNumId w:val="17"/>
  </w:num>
  <w:num w:numId="159">
    <w:abstractNumId w:val="145"/>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defaultTabStop w:val="709"/>
  <w:hyphenationZone w:val="425"/>
  <w:characterSpacingControl w:val="doNotCompress"/>
  <w:hdrShapeDefaults>
    <o:shapedefaults v:ext="edit" spidmax="2049">
      <o:colormru v:ext="edit" colors="#deded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05B"/>
    <w:rsid w:val="00001178"/>
    <w:rsid w:val="00006F70"/>
    <w:rsid w:val="00011749"/>
    <w:rsid w:val="00012EE8"/>
    <w:rsid w:val="00014BD4"/>
    <w:rsid w:val="00015B8C"/>
    <w:rsid w:val="000171E7"/>
    <w:rsid w:val="00020673"/>
    <w:rsid w:val="00022D23"/>
    <w:rsid w:val="0002360F"/>
    <w:rsid w:val="000248B6"/>
    <w:rsid w:val="00024ECA"/>
    <w:rsid w:val="00042FAA"/>
    <w:rsid w:val="00046B07"/>
    <w:rsid w:val="000527EB"/>
    <w:rsid w:val="000619DD"/>
    <w:rsid w:val="0007139B"/>
    <w:rsid w:val="00074834"/>
    <w:rsid w:val="000848B0"/>
    <w:rsid w:val="00084BCC"/>
    <w:rsid w:val="00093262"/>
    <w:rsid w:val="00094746"/>
    <w:rsid w:val="000A381D"/>
    <w:rsid w:val="000B068B"/>
    <w:rsid w:val="000B1799"/>
    <w:rsid w:val="000B1E42"/>
    <w:rsid w:val="000B7BDA"/>
    <w:rsid w:val="000C2335"/>
    <w:rsid w:val="000C3D1E"/>
    <w:rsid w:val="000C4B04"/>
    <w:rsid w:val="000C66F9"/>
    <w:rsid w:val="000C73E1"/>
    <w:rsid w:val="000D1EC7"/>
    <w:rsid w:val="000E66CC"/>
    <w:rsid w:val="000F2AA0"/>
    <w:rsid w:val="000F2B95"/>
    <w:rsid w:val="000F2BFC"/>
    <w:rsid w:val="000F37B5"/>
    <w:rsid w:val="000F3FD4"/>
    <w:rsid w:val="001012B0"/>
    <w:rsid w:val="00101664"/>
    <w:rsid w:val="00105263"/>
    <w:rsid w:val="001053EE"/>
    <w:rsid w:val="001072A4"/>
    <w:rsid w:val="00107821"/>
    <w:rsid w:val="00114C51"/>
    <w:rsid w:val="001244F5"/>
    <w:rsid w:val="0013300C"/>
    <w:rsid w:val="00133311"/>
    <w:rsid w:val="0013652F"/>
    <w:rsid w:val="00137B97"/>
    <w:rsid w:val="00137C93"/>
    <w:rsid w:val="00141AB3"/>
    <w:rsid w:val="0014324F"/>
    <w:rsid w:val="00146EBE"/>
    <w:rsid w:val="00147545"/>
    <w:rsid w:val="0015012A"/>
    <w:rsid w:val="00150BF8"/>
    <w:rsid w:val="00153B56"/>
    <w:rsid w:val="00154D42"/>
    <w:rsid w:val="00154DBE"/>
    <w:rsid w:val="00156373"/>
    <w:rsid w:val="00163135"/>
    <w:rsid w:val="00163EAE"/>
    <w:rsid w:val="001640A4"/>
    <w:rsid w:val="001708B9"/>
    <w:rsid w:val="001733F0"/>
    <w:rsid w:val="001822FC"/>
    <w:rsid w:val="001847FD"/>
    <w:rsid w:val="00193C79"/>
    <w:rsid w:val="00193D63"/>
    <w:rsid w:val="0019468B"/>
    <w:rsid w:val="00196664"/>
    <w:rsid w:val="001A6AA6"/>
    <w:rsid w:val="001A79B6"/>
    <w:rsid w:val="001A7E96"/>
    <w:rsid w:val="001B59AC"/>
    <w:rsid w:val="001C13C3"/>
    <w:rsid w:val="001C2C33"/>
    <w:rsid w:val="001C2DA5"/>
    <w:rsid w:val="001C47C5"/>
    <w:rsid w:val="001C4C88"/>
    <w:rsid w:val="001C7271"/>
    <w:rsid w:val="001D30A5"/>
    <w:rsid w:val="001D3909"/>
    <w:rsid w:val="001D5D25"/>
    <w:rsid w:val="001D64BF"/>
    <w:rsid w:val="001E2F22"/>
    <w:rsid w:val="001E3FFF"/>
    <w:rsid w:val="001E41B4"/>
    <w:rsid w:val="001E4A9C"/>
    <w:rsid w:val="001E521A"/>
    <w:rsid w:val="001E77FB"/>
    <w:rsid w:val="001F07C9"/>
    <w:rsid w:val="001F63E8"/>
    <w:rsid w:val="001F75D5"/>
    <w:rsid w:val="001F7FE1"/>
    <w:rsid w:val="00202A1E"/>
    <w:rsid w:val="00205759"/>
    <w:rsid w:val="00207DF2"/>
    <w:rsid w:val="00225109"/>
    <w:rsid w:val="002259BA"/>
    <w:rsid w:val="00225C4F"/>
    <w:rsid w:val="00230A33"/>
    <w:rsid w:val="00231B79"/>
    <w:rsid w:val="00232B55"/>
    <w:rsid w:val="00235552"/>
    <w:rsid w:val="002423BC"/>
    <w:rsid w:val="002464CE"/>
    <w:rsid w:val="0024765B"/>
    <w:rsid w:val="002511E4"/>
    <w:rsid w:val="00251B25"/>
    <w:rsid w:val="00252A36"/>
    <w:rsid w:val="00254E15"/>
    <w:rsid w:val="00261633"/>
    <w:rsid w:val="002636AE"/>
    <w:rsid w:val="002675E5"/>
    <w:rsid w:val="00276064"/>
    <w:rsid w:val="002766DE"/>
    <w:rsid w:val="0028250E"/>
    <w:rsid w:val="00285C3E"/>
    <w:rsid w:val="00292D5E"/>
    <w:rsid w:val="00292FC4"/>
    <w:rsid w:val="0029402A"/>
    <w:rsid w:val="0029458F"/>
    <w:rsid w:val="002A3AD1"/>
    <w:rsid w:val="002A7CB3"/>
    <w:rsid w:val="002A7E7D"/>
    <w:rsid w:val="002B2743"/>
    <w:rsid w:val="002B7636"/>
    <w:rsid w:val="002D34A1"/>
    <w:rsid w:val="002D701C"/>
    <w:rsid w:val="002E0ED2"/>
    <w:rsid w:val="002E47A0"/>
    <w:rsid w:val="002E48D4"/>
    <w:rsid w:val="002E4F7C"/>
    <w:rsid w:val="002E6067"/>
    <w:rsid w:val="002F07BB"/>
    <w:rsid w:val="002F16DA"/>
    <w:rsid w:val="002F329D"/>
    <w:rsid w:val="002F461C"/>
    <w:rsid w:val="002F47AD"/>
    <w:rsid w:val="002F73A8"/>
    <w:rsid w:val="00301FE8"/>
    <w:rsid w:val="00304763"/>
    <w:rsid w:val="00305293"/>
    <w:rsid w:val="003052CC"/>
    <w:rsid w:val="00311192"/>
    <w:rsid w:val="00312B7F"/>
    <w:rsid w:val="003138D5"/>
    <w:rsid w:val="00314B45"/>
    <w:rsid w:val="00316480"/>
    <w:rsid w:val="00316886"/>
    <w:rsid w:val="003168DA"/>
    <w:rsid w:val="003210D9"/>
    <w:rsid w:val="00322A39"/>
    <w:rsid w:val="003327F8"/>
    <w:rsid w:val="00333987"/>
    <w:rsid w:val="003417B8"/>
    <w:rsid w:val="00342B4D"/>
    <w:rsid w:val="00350578"/>
    <w:rsid w:val="0035286B"/>
    <w:rsid w:val="00354D08"/>
    <w:rsid w:val="0035593C"/>
    <w:rsid w:val="00357FF2"/>
    <w:rsid w:val="0036087D"/>
    <w:rsid w:val="00360C72"/>
    <w:rsid w:val="003611CF"/>
    <w:rsid w:val="00363BF3"/>
    <w:rsid w:val="00364F2D"/>
    <w:rsid w:val="003654CD"/>
    <w:rsid w:val="0036770B"/>
    <w:rsid w:val="003708A9"/>
    <w:rsid w:val="00374DDD"/>
    <w:rsid w:val="00375D08"/>
    <w:rsid w:val="0037617A"/>
    <w:rsid w:val="00391BB6"/>
    <w:rsid w:val="00392D56"/>
    <w:rsid w:val="00395368"/>
    <w:rsid w:val="00395523"/>
    <w:rsid w:val="0039737E"/>
    <w:rsid w:val="003A201B"/>
    <w:rsid w:val="003A6DB5"/>
    <w:rsid w:val="003B1D60"/>
    <w:rsid w:val="003B75E6"/>
    <w:rsid w:val="003C3148"/>
    <w:rsid w:val="003C6D1D"/>
    <w:rsid w:val="003C7A19"/>
    <w:rsid w:val="003C7CC1"/>
    <w:rsid w:val="003D1DC1"/>
    <w:rsid w:val="003D1E49"/>
    <w:rsid w:val="003D1E99"/>
    <w:rsid w:val="003D693D"/>
    <w:rsid w:val="003E3F53"/>
    <w:rsid w:val="003E4463"/>
    <w:rsid w:val="003E4671"/>
    <w:rsid w:val="003E7064"/>
    <w:rsid w:val="003F17DF"/>
    <w:rsid w:val="003F1A8C"/>
    <w:rsid w:val="003F1D8D"/>
    <w:rsid w:val="003F46A7"/>
    <w:rsid w:val="003F7112"/>
    <w:rsid w:val="004051EE"/>
    <w:rsid w:val="00405DBC"/>
    <w:rsid w:val="00405F24"/>
    <w:rsid w:val="00407184"/>
    <w:rsid w:val="004112D5"/>
    <w:rsid w:val="004120BA"/>
    <w:rsid w:val="00413BBD"/>
    <w:rsid w:val="00413C20"/>
    <w:rsid w:val="004223D4"/>
    <w:rsid w:val="00424477"/>
    <w:rsid w:val="0042669F"/>
    <w:rsid w:val="004279D3"/>
    <w:rsid w:val="004311B0"/>
    <w:rsid w:val="00433074"/>
    <w:rsid w:val="00435880"/>
    <w:rsid w:val="004378E1"/>
    <w:rsid w:val="00440A97"/>
    <w:rsid w:val="004465EF"/>
    <w:rsid w:val="00446CEC"/>
    <w:rsid w:val="00451F6C"/>
    <w:rsid w:val="00451FF9"/>
    <w:rsid w:val="00457390"/>
    <w:rsid w:val="0046171A"/>
    <w:rsid w:val="00464321"/>
    <w:rsid w:val="00465261"/>
    <w:rsid w:val="00466603"/>
    <w:rsid w:val="0046766A"/>
    <w:rsid w:val="004679C3"/>
    <w:rsid w:val="004702EC"/>
    <w:rsid w:val="00473F03"/>
    <w:rsid w:val="00483B52"/>
    <w:rsid w:val="00484860"/>
    <w:rsid w:val="004927B7"/>
    <w:rsid w:val="00493CE3"/>
    <w:rsid w:val="00494617"/>
    <w:rsid w:val="00494B9E"/>
    <w:rsid w:val="00495FBD"/>
    <w:rsid w:val="004A5AB6"/>
    <w:rsid w:val="004B2B1C"/>
    <w:rsid w:val="004C001E"/>
    <w:rsid w:val="004C36BF"/>
    <w:rsid w:val="004C42D0"/>
    <w:rsid w:val="004C5AD5"/>
    <w:rsid w:val="004D06FA"/>
    <w:rsid w:val="004D31B7"/>
    <w:rsid w:val="004D6CB4"/>
    <w:rsid w:val="004E12BF"/>
    <w:rsid w:val="004E3DA7"/>
    <w:rsid w:val="004E6DC8"/>
    <w:rsid w:val="004F04C3"/>
    <w:rsid w:val="004F08D7"/>
    <w:rsid w:val="004F0954"/>
    <w:rsid w:val="004F0FD7"/>
    <w:rsid w:val="004F24B0"/>
    <w:rsid w:val="004F5D79"/>
    <w:rsid w:val="00502700"/>
    <w:rsid w:val="00504B35"/>
    <w:rsid w:val="00513980"/>
    <w:rsid w:val="00513EE1"/>
    <w:rsid w:val="0051475A"/>
    <w:rsid w:val="00520B6C"/>
    <w:rsid w:val="00523147"/>
    <w:rsid w:val="005252F6"/>
    <w:rsid w:val="00526520"/>
    <w:rsid w:val="00531F43"/>
    <w:rsid w:val="00531FDF"/>
    <w:rsid w:val="005341ED"/>
    <w:rsid w:val="00537B42"/>
    <w:rsid w:val="005413A4"/>
    <w:rsid w:val="005424B7"/>
    <w:rsid w:val="005439CA"/>
    <w:rsid w:val="00544379"/>
    <w:rsid w:val="0055066D"/>
    <w:rsid w:val="0055118E"/>
    <w:rsid w:val="00552E09"/>
    <w:rsid w:val="005565E8"/>
    <w:rsid w:val="005620FA"/>
    <w:rsid w:val="0056383C"/>
    <w:rsid w:val="00566AC3"/>
    <w:rsid w:val="005723C7"/>
    <w:rsid w:val="00573681"/>
    <w:rsid w:val="0057787E"/>
    <w:rsid w:val="005815D7"/>
    <w:rsid w:val="00586871"/>
    <w:rsid w:val="00586ECE"/>
    <w:rsid w:val="00590FC4"/>
    <w:rsid w:val="0059217F"/>
    <w:rsid w:val="00595577"/>
    <w:rsid w:val="005A4E7E"/>
    <w:rsid w:val="005A553E"/>
    <w:rsid w:val="005B44BF"/>
    <w:rsid w:val="005B4DEF"/>
    <w:rsid w:val="005B5196"/>
    <w:rsid w:val="005B5FA2"/>
    <w:rsid w:val="005C022A"/>
    <w:rsid w:val="005C1120"/>
    <w:rsid w:val="005C3091"/>
    <w:rsid w:val="005C3143"/>
    <w:rsid w:val="005C4A8D"/>
    <w:rsid w:val="005C4AC7"/>
    <w:rsid w:val="005C6A82"/>
    <w:rsid w:val="005C6F24"/>
    <w:rsid w:val="005D0B80"/>
    <w:rsid w:val="005D185C"/>
    <w:rsid w:val="005D23FD"/>
    <w:rsid w:val="005D4156"/>
    <w:rsid w:val="005D5F4F"/>
    <w:rsid w:val="005E3391"/>
    <w:rsid w:val="005E3B68"/>
    <w:rsid w:val="005E775C"/>
    <w:rsid w:val="005F07F2"/>
    <w:rsid w:val="005F293F"/>
    <w:rsid w:val="005F3DA1"/>
    <w:rsid w:val="005F56D9"/>
    <w:rsid w:val="005F74DF"/>
    <w:rsid w:val="00602D75"/>
    <w:rsid w:val="006049CE"/>
    <w:rsid w:val="00604AE4"/>
    <w:rsid w:val="00607AFD"/>
    <w:rsid w:val="00607B97"/>
    <w:rsid w:val="00610B7A"/>
    <w:rsid w:val="0061160D"/>
    <w:rsid w:val="00612213"/>
    <w:rsid w:val="00613B2B"/>
    <w:rsid w:val="006208E6"/>
    <w:rsid w:val="006235BA"/>
    <w:rsid w:val="00624988"/>
    <w:rsid w:val="00626B57"/>
    <w:rsid w:val="00630A76"/>
    <w:rsid w:val="00632490"/>
    <w:rsid w:val="006367CB"/>
    <w:rsid w:val="00637260"/>
    <w:rsid w:val="00637EDD"/>
    <w:rsid w:val="00646244"/>
    <w:rsid w:val="00646EB9"/>
    <w:rsid w:val="00647F41"/>
    <w:rsid w:val="0065427D"/>
    <w:rsid w:val="00655630"/>
    <w:rsid w:val="00662C2B"/>
    <w:rsid w:val="0066419D"/>
    <w:rsid w:val="00665EC9"/>
    <w:rsid w:val="006739CA"/>
    <w:rsid w:val="00674E2C"/>
    <w:rsid w:val="006767E0"/>
    <w:rsid w:val="00680198"/>
    <w:rsid w:val="00680861"/>
    <w:rsid w:val="0069081D"/>
    <w:rsid w:val="0069389C"/>
    <w:rsid w:val="00694B6E"/>
    <w:rsid w:val="006A2062"/>
    <w:rsid w:val="006A24FA"/>
    <w:rsid w:val="006A2C40"/>
    <w:rsid w:val="006A3C0E"/>
    <w:rsid w:val="006A7B78"/>
    <w:rsid w:val="006A7DF8"/>
    <w:rsid w:val="006B0CEE"/>
    <w:rsid w:val="006B60BA"/>
    <w:rsid w:val="006B7F7C"/>
    <w:rsid w:val="006C0DF1"/>
    <w:rsid w:val="006C5125"/>
    <w:rsid w:val="006D1F13"/>
    <w:rsid w:val="006D6384"/>
    <w:rsid w:val="006D711E"/>
    <w:rsid w:val="006E262C"/>
    <w:rsid w:val="006E3A3C"/>
    <w:rsid w:val="006E5F07"/>
    <w:rsid w:val="006E6E61"/>
    <w:rsid w:val="006F2567"/>
    <w:rsid w:val="00703DEA"/>
    <w:rsid w:val="007064F9"/>
    <w:rsid w:val="00707FF3"/>
    <w:rsid w:val="0071300D"/>
    <w:rsid w:val="00713845"/>
    <w:rsid w:val="007176C2"/>
    <w:rsid w:val="00722040"/>
    <w:rsid w:val="007248CF"/>
    <w:rsid w:val="00725C06"/>
    <w:rsid w:val="007324B8"/>
    <w:rsid w:val="0073561A"/>
    <w:rsid w:val="007369A4"/>
    <w:rsid w:val="00745D02"/>
    <w:rsid w:val="00750865"/>
    <w:rsid w:val="0075231B"/>
    <w:rsid w:val="00755FF5"/>
    <w:rsid w:val="00760788"/>
    <w:rsid w:val="0077079D"/>
    <w:rsid w:val="0077100B"/>
    <w:rsid w:val="00775559"/>
    <w:rsid w:val="007774B9"/>
    <w:rsid w:val="00777CA8"/>
    <w:rsid w:val="0078262A"/>
    <w:rsid w:val="00786F2E"/>
    <w:rsid w:val="007904A7"/>
    <w:rsid w:val="007921A4"/>
    <w:rsid w:val="0079448C"/>
    <w:rsid w:val="00794586"/>
    <w:rsid w:val="007978B6"/>
    <w:rsid w:val="007A04CE"/>
    <w:rsid w:val="007A0B7E"/>
    <w:rsid w:val="007A417E"/>
    <w:rsid w:val="007A6AB1"/>
    <w:rsid w:val="007B2B13"/>
    <w:rsid w:val="007B3939"/>
    <w:rsid w:val="007B563D"/>
    <w:rsid w:val="007B6751"/>
    <w:rsid w:val="007C34EE"/>
    <w:rsid w:val="007C3C9B"/>
    <w:rsid w:val="007C7884"/>
    <w:rsid w:val="007D0034"/>
    <w:rsid w:val="007D12AC"/>
    <w:rsid w:val="007D5C55"/>
    <w:rsid w:val="007E168A"/>
    <w:rsid w:val="007E65D0"/>
    <w:rsid w:val="007F3140"/>
    <w:rsid w:val="0080011C"/>
    <w:rsid w:val="00800A34"/>
    <w:rsid w:val="00801793"/>
    <w:rsid w:val="0080180A"/>
    <w:rsid w:val="00805EB4"/>
    <w:rsid w:val="00810444"/>
    <w:rsid w:val="00811D7B"/>
    <w:rsid w:val="00813CCA"/>
    <w:rsid w:val="0081425B"/>
    <w:rsid w:val="00814D21"/>
    <w:rsid w:val="008211C2"/>
    <w:rsid w:val="00822579"/>
    <w:rsid w:val="00841082"/>
    <w:rsid w:val="008454B2"/>
    <w:rsid w:val="00851D1F"/>
    <w:rsid w:val="008536F3"/>
    <w:rsid w:val="008541C2"/>
    <w:rsid w:val="008610B5"/>
    <w:rsid w:val="008631B0"/>
    <w:rsid w:val="00863F9C"/>
    <w:rsid w:val="00864951"/>
    <w:rsid w:val="008708A8"/>
    <w:rsid w:val="0088156B"/>
    <w:rsid w:val="008823F9"/>
    <w:rsid w:val="008834F7"/>
    <w:rsid w:val="00885190"/>
    <w:rsid w:val="0089394C"/>
    <w:rsid w:val="008A451D"/>
    <w:rsid w:val="008B45ED"/>
    <w:rsid w:val="008B47EB"/>
    <w:rsid w:val="008B694E"/>
    <w:rsid w:val="008B6BAF"/>
    <w:rsid w:val="008B7553"/>
    <w:rsid w:val="008C1CE1"/>
    <w:rsid w:val="008C37D8"/>
    <w:rsid w:val="008C484C"/>
    <w:rsid w:val="008C512C"/>
    <w:rsid w:val="008C5B2C"/>
    <w:rsid w:val="008C60A1"/>
    <w:rsid w:val="008C7EB5"/>
    <w:rsid w:val="008C7F82"/>
    <w:rsid w:val="008D0B16"/>
    <w:rsid w:val="008E5886"/>
    <w:rsid w:val="008E66CA"/>
    <w:rsid w:val="008E7B9E"/>
    <w:rsid w:val="008F1063"/>
    <w:rsid w:val="008F33B9"/>
    <w:rsid w:val="008F38B6"/>
    <w:rsid w:val="008F5F7F"/>
    <w:rsid w:val="008F659F"/>
    <w:rsid w:val="008F68A8"/>
    <w:rsid w:val="0090222B"/>
    <w:rsid w:val="00902E6C"/>
    <w:rsid w:val="00907170"/>
    <w:rsid w:val="009130A0"/>
    <w:rsid w:val="00913DDE"/>
    <w:rsid w:val="00916DE3"/>
    <w:rsid w:val="00922A8D"/>
    <w:rsid w:val="00924A9F"/>
    <w:rsid w:val="00924E57"/>
    <w:rsid w:val="00930461"/>
    <w:rsid w:val="009304DB"/>
    <w:rsid w:val="00933724"/>
    <w:rsid w:val="0093439A"/>
    <w:rsid w:val="00942F98"/>
    <w:rsid w:val="00943F04"/>
    <w:rsid w:val="00944754"/>
    <w:rsid w:val="009466B4"/>
    <w:rsid w:val="00946A67"/>
    <w:rsid w:val="00946D0F"/>
    <w:rsid w:val="0095769A"/>
    <w:rsid w:val="00957C90"/>
    <w:rsid w:val="00957CE9"/>
    <w:rsid w:val="0096107C"/>
    <w:rsid w:val="00965D3B"/>
    <w:rsid w:val="009672A7"/>
    <w:rsid w:val="00974960"/>
    <w:rsid w:val="009828F9"/>
    <w:rsid w:val="009857BF"/>
    <w:rsid w:val="00996099"/>
    <w:rsid w:val="00997C04"/>
    <w:rsid w:val="009A31A5"/>
    <w:rsid w:val="009A61FC"/>
    <w:rsid w:val="009B2229"/>
    <w:rsid w:val="009B2C99"/>
    <w:rsid w:val="009B54B8"/>
    <w:rsid w:val="009C30BF"/>
    <w:rsid w:val="009C392C"/>
    <w:rsid w:val="009C3C48"/>
    <w:rsid w:val="009C72E1"/>
    <w:rsid w:val="009C7454"/>
    <w:rsid w:val="009C7599"/>
    <w:rsid w:val="009D6F64"/>
    <w:rsid w:val="009D71DA"/>
    <w:rsid w:val="009E0760"/>
    <w:rsid w:val="009E08C6"/>
    <w:rsid w:val="009E52A8"/>
    <w:rsid w:val="009E797A"/>
    <w:rsid w:val="009F02CD"/>
    <w:rsid w:val="009F162A"/>
    <w:rsid w:val="009F291B"/>
    <w:rsid w:val="009F3E30"/>
    <w:rsid w:val="009F412E"/>
    <w:rsid w:val="009F6783"/>
    <w:rsid w:val="00A112FE"/>
    <w:rsid w:val="00A15982"/>
    <w:rsid w:val="00A27A45"/>
    <w:rsid w:val="00A27AE0"/>
    <w:rsid w:val="00A3292B"/>
    <w:rsid w:val="00A32D14"/>
    <w:rsid w:val="00A51FBC"/>
    <w:rsid w:val="00A61D3E"/>
    <w:rsid w:val="00A61EAA"/>
    <w:rsid w:val="00A620AC"/>
    <w:rsid w:val="00A6366B"/>
    <w:rsid w:val="00A6505B"/>
    <w:rsid w:val="00A70628"/>
    <w:rsid w:val="00A711E8"/>
    <w:rsid w:val="00A72F16"/>
    <w:rsid w:val="00A736D5"/>
    <w:rsid w:val="00A8160E"/>
    <w:rsid w:val="00A8182D"/>
    <w:rsid w:val="00A90812"/>
    <w:rsid w:val="00A9450D"/>
    <w:rsid w:val="00A94EE5"/>
    <w:rsid w:val="00A962C7"/>
    <w:rsid w:val="00A97518"/>
    <w:rsid w:val="00AA06AA"/>
    <w:rsid w:val="00AA36FA"/>
    <w:rsid w:val="00AA4456"/>
    <w:rsid w:val="00AA4499"/>
    <w:rsid w:val="00AB2C5D"/>
    <w:rsid w:val="00AB7DDE"/>
    <w:rsid w:val="00AC571A"/>
    <w:rsid w:val="00AC7099"/>
    <w:rsid w:val="00AD3BDB"/>
    <w:rsid w:val="00AE01E6"/>
    <w:rsid w:val="00AE2763"/>
    <w:rsid w:val="00AE42D0"/>
    <w:rsid w:val="00AE7D06"/>
    <w:rsid w:val="00AF03FA"/>
    <w:rsid w:val="00AF27FF"/>
    <w:rsid w:val="00AF2F52"/>
    <w:rsid w:val="00AF2F9C"/>
    <w:rsid w:val="00B003EE"/>
    <w:rsid w:val="00B00BF5"/>
    <w:rsid w:val="00B02015"/>
    <w:rsid w:val="00B0426C"/>
    <w:rsid w:val="00B04883"/>
    <w:rsid w:val="00B109D6"/>
    <w:rsid w:val="00B112DD"/>
    <w:rsid w:val="00B12061"/>
    <w:rsid w:val="00B135BD"/>
    <w:rsid w:val="00B13AFC"/>
    <w:rsid w:val="00B14FA6"/>
    <w:rsid w:val="00B167AC"/>
    <w:rsid w:val="00B249D8"/>
    <w:rsid w:val="00B34325"/>
    <w:rsid w:val="00B40A06"/>
    <w:rsid w:val="00B473C2"/>
    <w:rsid w:val="00B47D2C"/>
    <w:rsid w:val="00B50ABA"/>
    <w:rsid w:val="00B55665"/>
    <w:rsid w:val="00B64C8A"/>
    <w:rsid w:val="00B669DB"/>
    <w:rsid w:val="00B67B60"/>
    <w:rsid w:val="00B70C51"/>
    <w:rsid w:val="00B81CBB"/>
    <w:rsid w:val="00B83F7A"/>
    <w:rsid w:val="00B84F08"/>
    <w:rsid w:val="00B86803"/>
    <w:rsid w:val="00B87EBF"/>
    <w:rsid w:val="00B92D5F"/>
    <w:rsid w:val="00B934F9"/>
    <w:rsid w:val="00BA2D30"/>
    <w:rsid w:val="00BA47A1"/>
    <w:rsid w:val="00BA7C7C"/>
    <w:rsid w:val="00BC2293"/>
    <w:rsid w:val="00BC2D77"/>
    <w:rsid w:val="00BC6666"/>
    <w:rsid w:val="00BD646F"/>
    <w:rsid w:val="00BE1E99"/>
    <w:rsid w:val="00BE3206"/>
    <w:rsid w:val="00BE3532"/>
    <w:rsid w:val="00BF13D5"/>
    <w:rsid w:val="00BF464E"/>
    <w:rsid w:val="00BF77B6"/>
    <w:rsid w:val="00BF7CAC"/>
    <w:rsid w:val="00C05A78"/>
    <w:rsid w:val="00C123D2"/>
    <w:rsid w:val="00C14DCD"/>
    <w:rsid w:val="00C175E2"/>
    <w:rsid w:val="00C176EB"/>
    <w:rsid w:val="00C20E0A"/>
    <w:rsid w:val="00C20EB9"/>
    <w:rsid w:val="00C22332"/>
    <w:rsid w:val="00C2622E"/>
    <w:rsid w:val="00C32AB9"/>
    <w:rsid w:val="00C331DD"/>
    <w:rsid w:val="00C33301"/>
    <w:rsid w:val="00C36B6E"/>
    <w:rsid w:val="00C4431F"/>
    <w:rsid w:val="00C46F57"/>
    <w:rsid w:val="00C56CD1"/>
    <w:rsid w:val="00C57083"/>
    <w:rsid w:val="00C60869"/>
    <w:rsid w:val="00C62FB8"/>
    <w:rsid w:val="00C655C0"/>
    <w:rsid w:val="00C704F1"/>
    <w:rsid w:val="00C71274"/>
    <w:rsid w:val="00C71FFB"/>
    <w:rsid w:val="00C762F4"/>
    <w:rsid w:val="00C76FE8"/>
    <w:rsid w:val="00C770C1"/>
    <w:rsid w:val="00C81D2D"/>
    <w:rsid w:val="00C84028"/>
    <w:rsid w:val="00C913B2"/>
    <w:rsid w:val="00C970B1"/>
    <w:rsid w:val="00C97FA9"/>
    <w:rsid w:val="00CA0EFE"/>
    <w:rsid w:val="00CA4058"/>
    <w:rsid w:val="00CB3A99"/>
    <w:rsid w:val="00CB5BEE"/>
    <w:rsid w:val="00CB79BF"/>
    <w:rsid w:val="00CC1C12"/>
    <w:rsid w:val="00CC2580"/>
    <w:rsid w:val="00CC41A5"/>
    <w:rsid w:val="00CD159D"/>
    <w:rsid w:val="00CE103E"/>
    <w:rsid w:val="00CE19E8"/>
    <w:rsid w:val="00CF098B"/>
    <w:rsid w:val="00CF1827"/>
    <w:rsid w:val="00CF332C"/>
    <w:rsid w:val="00CF3BBE"/>
    <w:rsid w:val="00CF540B"/>
    <w:rsid w:val="00CF7512"/>
    <w:rsid w:val="00D0198A"/>
    <w:rsid w:val="00D02234"/>
    <w:rsid w:val="00D0320A"/>
    <w:rsid w:val="00D03807"/>
    <w:rsid w:val="00D066E6"/>
    <w:rsid w:val="00D0672B"/>
    <w:rsid w:val="00D2050B"/>
    <w:rsid w:val="00D2084B"/>
    <w:rsid w:val="00D23B4D"/>
    <w:rsid w:val="00D2455F"/>
    <w:rsid w:val="00D24E64"/>
    <w:rsid w:val="00D26552"/>
    <w:rsid w:val="00D33E9B"/>
    <w:rsid w:val="00D348A9"/>
    <w:rsid w:val="00D4124F"/>
    <w:rsid w:val="00D41F89"/>
    <w:rsid w:val="00D45469"/>
    <w:rsid w:val="00D474C7"/>
    <w:rsid w:val="00D53D13"/>
    <w:rsid w:val="00D609B3"/>
    <w:rsid w:val="00D636C6"/>
    <w:rsid w:val="00D6590D"/>
    <w:rsid w:val="00D67BE7"/>
    <w:rsid w:val="00D7121E"/>
    <w:rsid w:val="00D723BC"/>
    <w:rsid w:val="00D75593"/>
    <w:rsid w:val="00D76FAA"/>
    <w:rsid w:val="00D77B49"/>
    <w:rsid w:val="00D817CB"/>
    <w:rsid w:val="00D8442C"/>
    <w:rsid w:val="00D8678A"/>
    <w:rsid w:val="00D9275F"/>
    <w:rsid w:val="00D95EB6"/>
    <w:rsid w:val="00D963A0"/>
    <w:rsid w:val="00D979F1"/>
    <w:rsid w:val="00DA30E0"/>
    <w:rsid w:val="00DB3CD9"/>
    <w:rsid w:val="00DB733D"/>
    <w:rsid w:val="00DC495A"/>
    <w:rsid w:val="00DC5DF1"/>
    <w:rsid w:val="00DC6FE1"/>
    <w:rsid w:val="00DD0B90"/>
    <w:rsid w:val="00DD1969"/>
    <w:rsid w:val="00DD31D5"/>
    <w:rsid w:val="00DE041F"/>
    <w:rsid w:val="00DE1984"/>
    <w:rsid w:val="00DE46BD"/>
    <w:rsid w:val="00DF4150"/>
    <w:rsid w:val="00DF4520"/>
    <w:rsid w:val="00DF47AE"/>
    <w:rsid w:val="00DF60F7"/>
    <w:rsid w:val="00DF6DAB"/>
    <w:rsid w:val="00E00657"/>
    <w:rsid w:val="00E025F6"/>
    <w:rsid w:val="00E04B44"/>
    <w:rsid w:val="00E06831"/>
    <w:rsid w:val="00E07A16"/>
    <w:rsid w:val="00E12D92"/>
    <w:rsid w:val="00E150B9"/>
    <w:rsid w:val="00E25A0F"/>
    <w:rsid w:val="00E323B7"/>
    <w:rsid w:val="00E44B4F"/>
    <w:rsid w:val="00E46C80"/>
    <w:rsid w:val="00E51ACE"/>
    <w:rsid w:val="00E56C87"/>
    <w:rsid w:val="00E572FF"/>
    <w:rsid w:val="00E62874"/>
    <w:rsid w:val="00E65D3D"/>
    <w:rsid w:val="00E73A9B"/>
    <w:rsid w:val="00E74629"/>
    <w:rsid w:val="00E74F68"/>
    <w:rsid w:val="00E75466"/>
    <w:rsid w:val="00E764A5"/>
    <w:rsid w:val="00E776C7"/>
    <w:rsid w:val="00E779C1"/>
    <w:rsid w:val="00E80CAE"/>
    <w:rsid w:val="00E8697F"/>
    <w:rsid w:val="00E91BF1"/>
    <w:rsid w:val="00E94B78"/>
    <w:rsid w:val="00E97265"/>
    <w:rsid w:val="00EA0DF4"/>
    <w:rsid w:val="00EA3D7D"/>
    <w:rsid w:val="00EA6690"/>
    <w:rsid w:val="00EA7D61"/>
    <w:rsid w:val="00EB3214"/>
    <w:rsid w:val="00EB4B28"/>
    <w:rsid w:val="00EC000F"/>
    <w:rsid w:val="00EC43CC"/>
    <w:rsid w:val="00EC793E"/>
    <w:rsid w:val="00ED06BF"/>
    <w:rsid w:val="00ED0951"/>
    <w:rsid w:val="00ED3D61"/>
    <w:rsid w:val="00ED4DCC"/>
    <w:rsid w:val="00EE5BF3"/>
    <w:rsid w:val="00EE7F90"/>
    <w:rsid w:val="00EF0078"/>
    <w:rsid w:val="00F000CF"/>
    <w:rsid w:val="00F121BE"/>
    <w:rsid w:val="00F127D8"/>
    <w:rsid w:val="00F14B0C"/>
    <w:rsid w:val="00F160E5"/>
    <w:rsid w:val="00F16A7E"/>
    <w:rsid w:val="00F16D1B"/>
    <w:rsid w:val="00F216CB"/>
    <w:rsid w:val="00F21A4A"/>
    <w:rsid w:val="00F23190"/>
    <w:rsid w:val="00F263CD"/>
    <w:rsid w:val="00F323F6"/>
    <w:rsid w:val="00F328F8"/>
    <w:rsid w:val="00F32E22"/>
    <w:rsid w:val="00F37CB8"/>
    <w:rsid w:val="00F40609"/>
    <w:rsid w:val="00F41A7E"/>
    <w:rsid w:val="00F449DE"/>
    <w:rsid w:val="00F540E3"/>
    <w:rsid w:val="00F63FBA"/>
    <w:rsid w:val="00F64657"/>
    <w:rsid w:val="00F75562"/>
    <w:rsid w:val="00F87CD1"/>
    <w:rsid w:val="00F91BB9"/>
    <w:rsid w:val="00F938E8"/>
    <w:rsid w:val="00F97B87"/>
    <w:rsid w:val="00FA3E52"/>
    <w:rsid w:val="00FA7430"/>
    <w:rsid w:val="00FB22BD"/>
    <w:rsid w:val="00FB45F9"/>
    <w:rsid w:val="00FB6CD5"/>
    <w:rsid w:val="00FB7E7C"/>
    <w:rsid w:val="00FD6B4A"/>
    <w:rsid w:val="00FE2893"/>
    <w:rsid w:val="00FE4CFA"/>
    <w:rsid w:val="00FF02E8"/>
    <w:rsid w:val="00FF15B5"/>
    <w:rsid w:val="00FF17C9"/>
    <w:rsid w:val="00FF2841"/>
    <w:rsid w:val="00FF368D"/>
    <w:rsid w:val="00FF74FD"/>
  </w:rsids>
  <m:mathPr>
    <m:mathFont m:val="Cambria Math"/>
    <m:brkBin m:val="before"/>
    <m:brkBinSub m:val="--"/>
    <m:smallFrac m:val="0"/>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dedede"/>
    </o:shapedefaults>
    <o:shapelayout v:ext="edit">
      <o:idmap v:ext="edit" data="1"/>
    </o:shapelayout>
  </w:shapeDefaults>
  <w:decimalSymbol w:val=","/>
  <w:listSeparator w:val=";"/>
  <w14:docId w14:val="1DE47416"/>
  <w15:docId w15:val="{E6E9420B-0302-46B8-80F0-92908A076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1D7B"/>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aliases w:val="Section-Title,Title Header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paragraph" w:styleId="Heading6">
    <w:name w:val="heading 6"/>
    <w:basedOn w:val="Normal"/>
    <w:next w:val="Normal"/>
    <w:link w:val="Heading6Char"/>
    <w:uiPriority w:val="9"/>
    <w:unhideWhenUsed/>
    <w:qFormat/>
    <w:rsid w:val="00DF6DAB"/>
    <w:pPr>
      <w:spacing w:before="240" w:after="60" w:line="240" w:lineRule="auto"/>
      <w:jc w:val="left"/>
      <w:outlineLvl w:val="5"/>
    </w:pPr>
    <w:rPr>
      <w:rFonts w:ascii="Calibri" w:eastAsia="Times New Roman" w:hAnsi="Calibri" w:cs="Times New Roman"/>
      <w:b/>
      <w:bCs/>
      <w:sz w:val="22"/>
      <w:lang w:val="en-US"/>
    </w:rPr>
  </w:style>
  <w:style w:type="paragraph" w:styleId="Heading7">
    <w:name w:val="heading 7"/>
    <w:basedOn w:val="Normal"/>
    <w:next w:val="Normal"/>
    <w:link w:val="Heading7Char"/>
    <w:uiPriority w:val="9"/>
    <w:unhideWhenUsed/>
    <w:qFormat/>
    <w:rsid w:val="00DF6DAB"/>
    <w:pPr>
      <w:spacing w:before="240" w:after="60" w:line="240" w:lineRule="auto"/>
      <w:jc w:val="left"/>
      <w:outlineLvl w:val="6"/>
    </w:pPr>
    <w:rPr>
      <w:rFonts w:ascii="Calibri" w:eastAsia="Times New Roman" w:hAnsi="Calibri" w:cs="Times New Roman"/>
      <w:szCs w:val="24"/>
      <w:lang w:val="en-US"/>
    </w:rPr>
  </w:style>
  <w:style w:type="paragraph" w:styleId="Heading8">
    <w:name w:val="heading 8"/>
    <w:basedOn w:val="Normal"/>
    <w:next w:val="Normal"/>
    <w:link w:val="Heading8Char"/>
    <w:uiPriority w:val="9"/>
    <w:unhideWhenUsed/>
    <w:qFormat/>
    <w:rsid w:val="00DF6DAB"/>
    <w:pPr>
      <w:spacing w:before="240" w:after="60" w:line="240" w:lineRule="auto"/>
      <w:jc w:val="left"/>
      <w:outlineLvl w:val="7"/>
    </w:pPr>
    <w:rPr>
      <w:rFonts w:ascii="Calibri" w:eastAsia="Times New Roman" w:hAnsi="Calibri" w:cs="Times New Roman"/>
      <w:i/>
      <w:iCs/>
      <w:szCs w:val="24"/>
      <w:lang w:val="en-US"/>
    </w:rPr>
  </w:style>
  <w:style w:type="paragraph" w:styleId="Heading9">
    <w:name w:val="heading 9"/>
    <w:basedOn w:val="Normal"/>
    <w:next w:val="Normal"/>
    <w:link w:val="Heading9Char"/>
    <w:uiPriority w:val="9"/>
    <w:unhideWhenUsed/>
    <w:qFormat/>
    <w:rsid w:val="00DF6DAB"/>
    <w:pPr>
      <w:spacing w:before="240" w:after="60" w:line="240" w:lineRule="auto"/>
      <w:jc w:val="left"/>
      <w:outlineLvl w:val="8"/>
    </w:pPr>
    <w:rPr>
      <w:rFonts w:ascii="Calibri Light" w:eastAsia="Times New Roman" w:hAnsi="Calibri Light" w:cs="Times New Roman"/>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aliases w:val="Section-Title Char2,Title Header2 Char1"/>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A6505B"/>
    <w:rPr>
      <w:rFonts w:ascii="Tahoma" w:hAnsi="Tahoma" w:cs="Tahoma"/>
      <w:sz w:val="16"/>
      <w:szCs w:val="16"/>
    </w:rPr>
  </w:style>
  <w:style w:type="paragraph" w:styleId="NormalWeb">
    <w:name w:val="Normal (Web)"/>
    <w:basedOn w:val="Normal"/>
    <w:uiPriority w:val="99"/>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CC9900"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paragraph" w:styleId="ListParagraph">
    <w:name w:val="List Paragraph"/>
    <w:aliases w:val="List_Paragraph,Multilevel para_II,List Paragraph1,Akapit z listą BS,Bullet1,List Paragraph 1,List Paragraph (numbered (a)),Numbered list,Forth level,NumberedParas,Bullets,PAD,Main numbered paragraph,List Paragraph-ExecSummary,References"/>
    <w:basedOn w:val="Normal"/>
    <w:link w:val="ListParagraphChar"/>
    <w:uiPriority w:val="34"/>
    <w:qFormat/>
    <w:rsid w:val="00F000CF"/>
    <w:pPr>
      <w:ind w:left="720"/>
      <w:contextualSpacing/>
    </w:pPr>
  </w:style>
  <w:style w:type="paragraph" w:styleId="PlainText">
    <w:name w:val="Plain Text"/>
    <w:basedOn w:val="Normal"/>
    <w:link w:val="PlainTextChar1"/>
    <w:uiPriority w:val="99"/>
    <w:unhideWhenUsed/>
    <w:rsid w:val="00F000CF"/>
    <w:pPr>
      <w:spacing w:before="0" w:after="0" w:line="240" w:lineRule="auto"/>
      <w:jc w:val="left"/>
    </w:pPr>
    <w:rPr>
      <w:rFonts w:ascii="Consolas" w:eastAsia="Calibri" w:hAnsi="Consolas" w:cs="Times New Roman"/>
      <w:sz w:val="22"/>
      <w:lang w:val="en-US"/>
    </w:rPr>
  </w:style>
  <w:style w:type="character" w:customStyle="1" w:styleId="PlainTextChar">
    <w:name w:val="Plain Text Char"/>
    <w:basedOn w:val="DefaultParagraphFont"/>
    <w:uiPriority w:val="99"/>
    <w:rsid w:val="00F000CF"/>
    <w:rPr>
      <w:rFonts w:ascii="Consolas" w:hAnsi="Consolas" w:cs="Consolas"/>
      <w:sz w:val="21"/>
      <w:szCs w:val="21"/>
    </w:rPr>
  </w:style>
  <w:style w:type="character" w:customStyle="1" w:styleId="PlainTextChar1">
    <w:name w:val="Plain Text Char1"/>
    <w:link w:val="PlainText"/>
    <w:locked/>
    <w:rsid w:val="00F000CF"/>
    <w:rPr>
      <w:rFonts w:ascii="Consolas" w:eastAsia="Calibri" w:hAnsi="Consolas" w:cs="Times New Roman"/>
      <w:lang w:val="en-US"/>
    </w:rPr>
  </w:style>
  <w:style w:type="character" w:customStyle="1" w:styleId="ListParagraphChar">
    <w:name w:val="List Paragraph Char"/>
    <w:aliases w:val="List_Paragraph Char,Multilevel para_II Char,List Paragraph1 Char,Akapit z listą BS Char,Bullet1 Char,List Paragraph 1 Char,List Paragraph (numbered (a)) Char,Numbered list Char,Forth level Char,NumberedParas Char,Bullets Char"/>
    <w:basedOn w:val="DefaultParagraphFont"/>
    <w:link w:val="ListParagraph"/>
    <w:uiPriority w:val="34"/>
    <w:qFormat/>
    <w:locked/>
    <w:rsid w:val="008C1CE1"/>
    <w:rPr>
      <w:sz w:val="24"/>
    </w:rPr>
  </w:style>
  <w:style w:type="paragraph" w:styleId="NoSpacing">
    <w:name w:val="No Spacing"/>
    <w:link w:val="NoSpacingChar"/>
    <w:uiPriority w:val="1"/>
    <w:qFormat/>
    <w:rsid w:val="008C1CE1"/>
    <w:pPr>
      <w:spacing w:after="0" w:line="240" w:lineRule="auto"/>
    </w:pPr>
    <w:rPr>
      <w:rFonts w:ascii="Calibri" w:eastAsia="Calibri" w:hAnsi="Calibri" w:cs="Calibri"/>
      <w:lang w:val="en-US"/>
    </w:rPr>
  </w:style>
  <w:style w:type="character" w:customStyle="1" w:styleId="NoSpacingChar">
    <w:name w:val="No Spacing Char"/>
    <w:basedOn w:val="DefaultParagraphFont"/>
    <w:link w:val="NoSpacing"/>
    <w:locked/>
    <w:rsid w:val="00E12D92"/>
    <w:rPr>
      <w:rFonts w:ascii="Calibri" w:eastAsia="Calibri" w:hAnsi="Calibri" w:cs="Calibri"/>
      <w:lang w:val="en-US"/>
    </w:rPr>
  </w:style>
  <w:style w:type="table" w:styleId="TableGrid">
    <w:name w:val="Table Grid"/>
    <w:basedOn w:val="TableNormal"/>
    <w:rsid w:val="00706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F659F"/>
    <w:rPr>
      <w:i/>
      <w:iCs/>
    </w:rPr>
  </w:style>
  <w:style w:type="paragraph" w:customStyle="1" w:styleId="Default">
    <w:name w:val="Default"/>
    <w:rsid w:val="008F659F"/>
    <w:pPr>
      <w:autoSpaceDE w:val="0"/>
      <w:autoSpaceDN w:val="0"/>
      <w:adjustRightInd w:val="0"/>
      <w:spacing w:after="0" w:line="240" w:lineRule="auto"/>
    </w:pPr>
    <w:rPr>
      <w:rFonts w:ascii="Arial" w:hAnsi="Arial" w:cs="Arial"/>
      <w:color w:val="000000"/>
      <w:sz w:val="24"/>
      <w:szCs w:val="24"/>
      <w:lang w:val="en-US"/>
    </w:rPr>
  </w:style>
  <w:style w:type="character" w:customStyle="1" w:styleId="apple-converted-space">
    <w:name w:val="apple-converted-space"/>
    <w:basedOn w:val="DefaultParagraphFont"/>
    <w:rsid w:val="008F659F"/>
  </w:style>
  <w:style w:type="paragraph" w:customStyle="1" w:styleId="Standard">
    <w:name w:val="Standard"/>
    <w:rsid w:val="007C34EE"/>
    <w:pPr>
      <w:suppressAutoHyphens/>
      <w:autoSpaceDN w:val="0"/>
      <w:spacing w:after="160" w:line="254" w:lineRule="auto"/>
      <w:textAlignment w:val="baseline"/>
    </w:pPr>
    <w:rPr>
      <w:rFonts w:ascii="Calibri" w:eastAsia="Calibri" w:hAnsi="Calibri" w:cs="Times New Roman"/>
      <w:kern w:val="3"/>
      <w:lang w:val="sr-Latn-ME" w:eastAsia="zh-CN"/>
    </w:rPr>
  </w:style>
  <w:style w:type="table" w:customStyle="1" w:styleId="LightList-Accent51">
    <w:name w:val="Light List - Accent 51"/>
    <w:basedOn w:val="TableNormal"/>
    <w:next w:val="LightList-Accent5"/>
    <w:uiPriority w:val="61"/>
    <w:rsid w:val="00150BF8"/>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5">
    <w:name w:val="Light List Accent 5"/>
    <w:basedOn w:val="TableNormal"/>
    <w:uiPriority w:val="61"/>
    <w:semiHidden/>
    <w:unhideWhenUsed/>
    <w:rsid w:val="00150BF8"/>
    <w:pPr>
      <w:spacing w:after="0" w:line="240" w:lineRule="auto"/>
    </w:pPr>
    <w:tblPr>
      <w:tblStyleRowBandSize w:val="1"/>
      <w:tblStyleColBandSize w:val="1"/>
      <w:tblBorders>
        <w:top w:val="single" w:sz="8" w:space="0" w:color="918485" w:themeColor="accent5"/>
        <w:left w:val="single" w:sz="8" w:space="0" w:color="918485" w:themeColor="accent5"/>
        <w:bottom w:val="single" w:sz="8" w:space="0" w:color="918485" w:themeColor="accent5"/>
        <w:right w:val="single" w:sz="8" w:space="0" w:color="918485" w:themeColor="accent5"/>
      </w:tblBorders>
    </w:tblPr>
    <w:tblStylePr w:type="firstRow">
      <w:pPr>
        <w:spacing w:before="0" w:after="0" w:line="240" w:lineRule="auto"/>
      </w:pPr>
      <w:rPr>
        <w:b/>
        <w:bCs/>
        <w:color w:val="FFFFFF" w:themeColor="background1"/>
      </w:rPr>
      <w:tblPr/>
      <w:tcPr>
        <w:shd w:val="clear" w:color="auto" w:fill="918485" w:themeFill="accent5"/>
      </w:tcPr>
    </w:tblStylePr>
    <w:tblStylePr w:type="lastRow">
      <w:pPr>
        <w:spacing w:before="0" w:after="0" w:line="240" w:lineRule="auto"/>
      </w:pPr>
      <w:rPr>
        <w:b/>
        <w:bCs/>
      </w:rPr>
      <w:tblPr/>
      <w:tcPr>
        <w:tcBorders>
          <w:top w:val="double" w:sz="6" w:space="0" w:color="918485" w:themeColor="accent5"/>
          <w:left w:val="single" w:sz="8" w:space="0" w:color="918485" w:themeColor="accent5"/>
          <w:bottom w:val="single" w:sz="8" w:space="0" w:color="918485" w:themeColor="accent5"/>
          <w:right w:val="single" w:sz="8" w:space="0" w:color="918485" w:themeColor="accent5"/>
        </w:tcBorders>
      </w:tcPr>
    </w:tblStylePr>
    <w:tblStylePr w:type="firstCol">
      <w:rPr>
        <w:b/>
        <w:bCs/>
      </w:rPr>
    </w:tblStylePr>
    <w:tblStylePr w:type="lastCol">
      <w:rPr>
        <w:b/>
        <w:bCs/>
      </w:rPr>
    </w:tblStylePr>
    <w:tblStylePr w:type="band1Vert">
      <w:tblPr/>
      <w:tcPr>
        <w:tcBorders>
          <w:top w:val="single" w:sz="8" w:space="0" w:color="918485" w:themeColor="accent5"/>
          <w:left w:val="single" w:sz="8" w:space="0" w:color="918485" w:themeColor="accent5"/>
          <w:bottom w:val="single" w:sz="8" w:space="0" w:color="918485" w:themeColor="accent5"/>
          <w:right w:val="single" w:sz="8" w:space="0" w:color="918485" w:themeColor="accent5"/>
        </w:tcBorders>
      </w:tcPr>
    </w:tblStylePr>
    <w:tblStylePr w:type="band1Horz">
      <w:tblPr/>
      <w:tcPr>
        <w:tcBorders>
          <w:top w:val="single" w:sz="8" w:space="0" w:color="918485" w:themeColor="accent5"/>
          <w:left w:val="single" w:sz="8" w:space="0" w:color="918485" w:themeColor="accent5"/>
          <w:bottom w:val="single" w:sz="8" w:space="0" w:color="918485" w:themeColor="accent5"/>
          <w:right w:val="single" w:sz="8" w:space="0" w:color="918485" w:themeColor="accent5"/>
        </w:tcBorders>
      </w:tcPr>
    </w:tblStylePr>
  </w:style>
  <w:style w:type="paragraph" w:styleId="FootnoteText">
    <w:name w:val="footnote text"/>
    <w:basedOn w:val="Normal"/>
    <w:link w:val="FootnoteTextChar"/>
    <w:uiPriority w:val="99"/>
    <w:unhideWhenUsed/>
    <w:rsid w:val="007A04CE"/>
    <w:pPr>
      <w:spacing w:before="0" w:after="0" w:line="240" w:lineRule="auto"/>
    </w:pPr>
    <w:rPr>
      <w:sz w:val="20"/>
      <w:szCs w:val="20"/>
    </w:rPr>
  </w:style>
  <w:style w:type="character" w:customStyle="1" w:styleId="FootnoteTextChar">
    <w:name w:val="Footnote Text Char"/>
    <w:basedOn w:val="DefaultParagraphFont"/>
    <w:link w:val="FootnoteText"/>
    <w:uiPriority w:val="99"/>
    <w:rsid w:val="007A04CE"/>
    <w:rPr>
      <w:sz w:val="20"/>
      <w:szCs w:val="20"/>
    </w:rPr>
  </w:style>
  <w:style w:type="character" w:styleId="FootnoteReference">
    <w:name w:val="footnote reference"/>
    <w:basedOn w:val="DefaultParagraphFont"/>
    <w:uiPriority w:val="99"/>
    <w:unhideWhenUsed/>
    <w:rsid w:val="007A04CE"/>
    <w:rPr>
      <w:vertAlign w:val="superscript"/>
    </w:rPr>
  </w:style>
  <w:style w:type="numbering" w:customStyle="1" w:styleId="NoList1">
    <w:name w:val="No List1"/>
    <w:next w:val="NoList"/>
    <w:uiPriority w:val="99"/>
    <w:semiHidden/>
    <w:unhideWhenUsed/>
    <w:rsid w:val="004F04C3"/>
  </w:style>
  <w:style w:type="paragraph" w:styleId="BodyText3">
    <w:name w:val="Body Text 3"/>
    <w:basedOn w:val="Normal"/>
    <w:link w:val="BodyText3Char"/>
    <w:uiPriority w:val="99"/>
    <w:rsid w:val="004F04C3"/>
    <w:pPr>
      <w:spacing w:before="0" w:line="240" w:lineRule="auto"/>
      <w:jc w:val="left"/>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4F04C3"/>
    <w:rPr>
      <w:rFonts w:ascii="Times New Roman" w:eastAsia="Times New Roman" w:hAnsi="Times New Roman" w:cs="Times New Roman"/>
      <w:sz w:val="16"/>
      <w:szCs w:val="16"/>
    </w:rPr>
  </w:style>
  <w:style w:type="paragraph" w:customStyle="1" w:styleId="Style4">
    <w:name w:val="Style4"/>
    <w:basedOn w:val="Heading4"/>
    <w:link w:val="Style4Char"/>
    <w:qFormat/>
    <w:rsid w:val="004F04C3"/>
    <w:pPr>
      <w:numPr>
        <w:numId w:val="27"/>
      </w:numPr>
      <w:spacing w:before="200" w:after="0" w:line="240" w:lineRule="auto"/>
    </w:pPr>
    <w:rPr>
      <w:rFonts w:ascii="Garamond" w:eastAsia="Times New Roman" w:hAnsi="Garamond" w:cs="Arial"/>
      <w:b/>
      <w:bCs w:val="0"/>
      <w:i/>
      <w:iCs w:val="0"/>
      <w:szCs w:val="24"/>
      <w:u w:val="none"/>
      <w:lang w:val="pl-PL"/>
    </w:rPr>
  </w:style>
  <w:style w:type="character" w:customStyle="1" w:styleId="Style4Char">
    <w:name w:val="Style4 Char"/>
    <w:basedOn w:val="DefaultParagraphFont"/>
    <w:link w:val="Style4"/>
    <w:rsid w:val="004F04C3"/>
    <w:rPr>
      <w:rFonts w:ascii="Garamond" w:eastAsia="Times New Roman" w:hAnsi="Garamond" w:cs="Arial"/>
      <w:b/>
      <w:i/>
      <w:sz w:val="24"/>
      <w:szCs w:val="24"/>
      <w:lang w:val="pl-PL"/>
    </w:rPr>
  </w:style>
  <w:style w:type="character" w:customStyle="1" w:styleId="FontStyle15">
    <w:name w:val="Font Style15"/>
    <w:basedOn w:val="DefaultParagraphFont"/>
    <w:uiPriority w:val="99"/>
    <w:rsid w:val="004F04C3"/>
    <w:rPr>
      <w:rFonts w:ascii="Arial Narrow" w:hAnsi="Arial Narrow" w:cs="Arial Narrow"/>
      <w:sz w:val="24"/>
      <w:szCs w:val="24"/>
    </w:rPr>
  </w:style>
  <w:style w:type="character" w:styleId="Strong">
    <w:name w:val="Strong"/>
    <w:basedOn w:val="DefaultParagraphFont"/>
    <w:uiPriority w:val="22"/>
    <w:qFormat/>
    <w:rsid w:val="004F04C3"/>
    <w:rPr>
      <w:b/>
      <w:bCs/>
    </w:rPr>
  </w:style>
  <w:style w:type="paragraph" w:styleId="HTMLPreformatted">
    <w:name w:val="HTML Preformatted"/>
    <w:basedOn w:val="Normal"/>
    <w:link w:val="HTMLPreformattedChar"/>
    <w:uiPriority w:val="99"/>
    <w:unhideWhenUsed/>
    <w:rsid w:val="004F0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4F04C3"/>
    <w:rPr>
      <w:rFonts w:ascii="Courier New" w:eastAsia="Times New Roman" w:hAnsi="Courier New" w:cs="Courier New"/>
      <w:sz w:val="20"/>
      <w:szCs w:val="20"/>
      <w:lang w:val="en-US"/>
    </w:rPr>
  </w:style>
  <w:style w:type="character" w:customStyle="1" w:styleId="FontStyle52">
    <w:name w:val="Font Style52"/>
    <w:basedOn w:val="DefaultParagraphFont"/>
    <w:uiPriority w:val="99"/>
    <w:rsid w:val="004F04C3"/>
    <w:rPr>
      <w:rFonts w:ascii="Palatino Linotype" w:hAnsi="Palatino Linotype" w:cs="Palatino Linotype"/>
      <w:color w:val="000000"/>
      <w:sz w:val="18"/>
      <w:szCs w:val="18"/>
    </w:rPr>
  </w:style>
  <w:style w:type="paragraph" w:styleId="BodyText">
    <w:name w:val="Body Text"/>
    <w:basedOn w:val="Normal"/>
    <w:link w:val="BodyTextChar"/>
    <w:uiPriority w:val="99"/>
    <w:unhideWhenUsed/>
    <w:rsid w:val="004F04C3"/>
    <w:pPr>
      <w:spacing w:before="0" w:line="240" w:lineRule="auto"/>
      <w:jc w:val="left"/>
    </w:pPr>
    <w:rPr>
      <w:rFonts w:ascii="Times New Roman" w:eastAsia="Times New Roman" w:hAnsi="Times New Roman" w:cs="Times New Roman"/>
      <w:noProof/>
      <w:szCs w:val="24"/>
      <w:lang w:eastAsia="sr-Latn-CS"/>
    </w:rPr>
  </w:style>
  <w:style w:type="character" w:customStyle="1" w:styleId="BodyTextChar">
    <w:name w:val="Body Text Char"/>
    <w:basedOn w:val="DefaultParagraphFont"/>
    <w:link w:val="BodyText"/>
    <w:uiPriority w:val="99"/>
    <w:rsid w:val="004F04C3"/>
    <w:rPr>
      <w:rFonts w:ascii="Times New Roman" w:eastAsia="Times New Roman" w:hAnsi="Times New Roman" w:cs="Times New Roman"/>
      <w:noProof/>
      <w:sz w:val="24"/>
      <w:szCs w:val="24"/>
      <w:lang w:eastAsia="sr-Latn-CS"/>
    </w:rPr>
  </w:style>
  <w:style w:type="paragraph" w:customStyle="1" w:styleId="CM1">
    <w:name w:val="CM1"/>
    <w:basedOn w:val="Default"/>
    <w:next w:val="Default"/>
    <w:uiPriority w:val="99"/>
    <w:rsid w:val="004F04C3"/>
    <w:rPr>
      <w:rFonts w:ascii="EUAlbertina" w:eastAsia="Times New Roman" w:hAnsi="EUAlbertina" w:cs="Times New Roman"/>
      <w:color w:val="auto"/>
    </w:rPr>
  </w:style>
  <w:style w:type="character" w:customStyle="1" w:styleId="Art">
    <w:name w:val="Art"/>
    <w:uiPriority w:val="99"/>
    <w:rsid w:val="004F04C3"/>
    <w:rPr>
      <w:i/>
      <w:iCs/>
    </w:rPr>
  </w:style>
  <w:style w:type="paragraph" w:customStyle="1" w:styleId="ProgramNaslov3">
    <w:name w:val="Program Naslov 3"/>
    <w:basedOn w:val="Normal"/>
    <w:link w:val="ProgramNaslov3Char"/>
    <w:qFormat/>
    <w:rsid w:val="004F04C3"/>
    <w:pPr>
      <w:spacing w:before="0" w:after="0" w:line="240" w:lineRule="auto"/>
      <w:ind w:left="993"/>
      <w:jc w:val="left"/>
    </w:pPr>
    <w:rPr>
      <w:rFonts w:ascii="Times New Roman" w:hAnsi="Times New Roman" w:cs="Times New Roman"/>
      <w:lang w:val="en-US"/>
    </w:rPr>
  </w:style>
  <w:style w:type="character" w:customStyle="1" w:styleId="ProgramNaslov3Char">
    <w:name w:val="Program Naslov 3 Char"/>
    <w:basedOn w:val="DefaultParagraphFont"/>
    <w:link w:val="ProgramNaslov3"/>
    <w:rsid w:val="004F04C3"/>
    <w:rPr>
      <w:rFonts w:ascii="Times New Roman" w:hAnsi="Times New Roman" w:cs="Times New Roman"/>
      <w:sz w:val="24"/>
      <w:lang w:val="en-US"/>
    </w:rPr>
  </w:style>
  <w:style w:type="paragraph" w:customStyle="1" w:styleId="N01Z">
    <w:name w:val="N01Z"/>
    <w:basedOn w:val="Normal"/>
    <w:uiPriority w:val="99"/>
    <w:rsid w:val="004F04C3"/>
    <w:pPr>
      <w:autoSpaceDE w:val="0"/>
      <w:autoSpaceDN w:val="0"/>
      <w:adjustRightInd w:val="0"/>
      <w:spacing w:before="60" w:after="60" w:line="240" w:lineRule="auto"/>
      <w:jc w:val="center"/>
    </w:pPr>
    <w:rPr>
      <w:rFonts w:ascii="Times New Roman" w:eastAsia="Times New Roman" w:hAnsi="Times New Roman" w:cs="Times New Roman"/>
      <w:b/>
      <w:bCs/>
      <w:color w:val="000000"/>
      <w:sz w:val="20"/>
      <w:szCs w:val="20"/>
      <w:lang w:val="en-US"/>
    </w:rPr>
  </w:style>
  <w:style w:type="paragraph" w:customStyle="1" w:styleId="Normal1">
    <w:name w:val="Normal1"/>
    <w:basedOn w:val="Normal"/>
    <w:uiPriority w:val="99"/>
    <w:rsid w:val="004F04C3"/>
    <w:pPr>
      <w:spacing w:before="0" w:after="200" w:line="276" w:lineRule="auto"/>
      <w:jc w:val="left"/>
    </w:pPr>
    <w:rPr>
      <w:rFonts w:ascii="Calibri" w:eastAsia="Calibri" w:hAnsi="Calibri" w:cs="Times New Roman"/>
      <w:color w:val="000000"/>
      <w:sz w:val="22"/>
      <w:lang w:val="en-US"/>
    </w:rPr>
  </w:style>
  <w:style w:type="character" w:styleId="PlaceholderText">
    <w:name w:val="Placeholder Text"/>
    <w:basedOn w:val="DefaultParagraphFont"/>
    <w:uiPriority w:val="99"/>
    <w:semiHidden/>
    <w:rsid w:val="004F04C3"/>
    <w:rPr>
      <w:color w:val="808080"/>
    </w:rPr>
  </w:style>
  <w:style w:type="table" w:customStyle="1" w:styleId="TableGrid1">
    <w:name w:val="Table Grid1"/>
    <w:basedOn w:val="TableNormal"/>
    <w:next w:val="TableGrid"/>
    <w:uiPriority w:val="59"/>
    <w:rsid w:val="002F16D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B135BD"/>
    <w:pPr>
      <w:spacing w:line="480" w:lineRule="auto"/>
    </w:pPr>
  </w:style>
  <w:style w:type="character" w:customStyle="1" w:styleId="BodyText2Char">
    <w:name w:val="Body Text 2 Char"/>
    <w:basedOn w:val="DefaultParagraphFont"/>
    <w:link w:val="BodyText2"/>
    <w:uiPriority w:val="99"/>
    <w:rsid w:val="00B135BD"/>
    <w:rPr>
      <w:sz w:val="24"/>
    </w:rPr>
  </w:style>
  <w:style w:type="table" w:styleId="MediumGrid3-Accent1">
    <w:name w:val="Medium Grid 3 Accent 1"/>
    <w:basedOn w:val="TableNormal"/>
    <w:uiPriority w:val="69"/>
    <w:rsid w:val="00531F43"/>
    <w:pPr>
      <w:spacing w:after="0" w:line="240" w:lineRule="auto"/>
    </w:pPr>
    <w:rPr>
      <w:rFonts w:ascii="Calibri" w:eastAsia="Calibri" w:hAnsi="Calibri" w:cs="Times New Roman"/>
      <w:sz w:val="20"/>
      <w:szCs w:val="20"/>
      <w:lang w:val="sl-SI" w:eastAsia="sl-S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NoList2">
    <w:name w:val="No List2"/>
    <w:next w:val="NoList"/>
    <w:uiPriority w:val="99"/>
    <w:semiHidden/>
    <w:unhideWhenUsed/>
    <w:rsid w:val="00E46C80"/>
  </w:style>
  <w:style w:type="numbering" w:customStyle="1" w:styleId="NoList11">
    <w:name w:val="No List11"/>
    <w:next w:val="NoList"/>
    <w:uiPriority w:val="99"/>
    <w:semiHidden/>
    <w:unhideWhenUsed/>
    <w:rsid w:val="00E46C80"/>
  </w:style>
  <w:style w:type="numbering" w:customStyle="1" w:styleId="NoList111">
    <w:name w:val="No List111"/>
    <w:next w:val="NoList"/>
    <w:uiPriority w:val="99"/>
    <w:semiHidden/>
    <w:unhideWhenUsed/>
    <w:rsid w:val="00E46C80"/>
  </w:style>
  <w:style w:type="paragraph" w:styleId="BodyTextIndent">
    <w:name w:val="Body Text Indent"/>
    <w:basedOn w:val="Normal"/>
    <w:link w:val="BodyTextIndentChar"/>
    <w:unhideWhenUsed/>
    <w:rsid w:val="00E46C80"/>
    <w:pPr>
      <w:spacing w:before="0" w:after="0" w:line="240" w:lineRule="auto"/>
      <w:ind w:firstLine="360"/>
    </w:pPr>
    <w:rPr>
      <w:rFonts w:ascii="Times New Roman" w:eastAsia="Times New Roman" w:hAnsi="Times New Roman" w:cs="Times New Roman"/>
      <w:i/>
      <w:iCs/>
      <w:szCs w:val="24"/>
      <w:lang w:val="en-US"/>
    </w:rPr>
  </w:style>
  <w:style w:type="character" w:customStyle="1" w:styleId="BodyTextIndentChar">
    <w:name w:val="Body Text Indent Char"/>
    <w:basedOn w:val="DefaultParagraphFont"/>
    <w:link w:val="BodyTextIndent"/>
    <w:uiPriority w:val="99"/>
    <w:semiHidden/>
    <w:rsid w:val="00E46C80"/>
    <w:rPr>
      <w:rFonts w:ascii="Times New Roman" w:eastAsia="Times New Roman" w:hAnsi="Times New Roman" w:cs="Times New Roman"/>
      <w:i/>
      <w:iCs/>
      <w:sz w:val="24"/>
      <w:szCs w:val="24"/>
      <w:lang w:val="en-US"/>
    </w:rPr>
  </w:style>
  <w:style w:type="paragraph" w:styleId="BodyTextIndent2">
    <w:name w:val="Body Text Indent 2"/>
    <w:basedOn w:val="Normal"/>
    <w:link w:val="BodyTextIndent2Char"/>
    <w:unhideWhenUsed/>
    <w:rsid w:val="00E46C80"/>
    <w:pPr>
      <w:spacing w:before="0" w:line="480" w:lineRule="auto"/>
      <w:ind w:left="360"/>
      <w:jc w:val="left"/>
    </w:pPr>
    <w:rPr>
      <w:rFonts w:ascii="Times New Roman" w:eastAsia="Times New Roman" w:hAnsi="Times New Roman" w:cs="Times New Roman"/>
      <w:szCs w:val="24"/>
      <w:lang w:val="en-US"/>
    </w:rPr>
  </w:style>
  <w:style w:type="character" w:customStyle="1" w:styleId="BodyTextIndent2Char">
    <w:name w:val="Body Text Indent 2 Char"/>
    <w:basedOn w:val="DefaultParagraphFont"/>
    <w:link w:val="BodyTextIndent2"/>
    <w:uiPriority w:val="99"/>
    <w:semiHidden/>
    <w:rsid w:val="00E46C80"/>
    <w:rPr>
      <w:rFonts w:ascii="Times New Roman" w:eastAsia="Times New Roman" w:hAnsi="Times New Roman" w:cs="Times New Roman"/>
      <w:sz w:val="24"/>
      <w:szCs w:val="24"/>
      <w:lang w:val="en-US"/>
    </w:rPr>
  </w:style>
  <w:style w:type="paragraph" w:styleId="BodyTextIndent3">
    <w:name w:val="Body Text Indent 3"/>
    <w:basedOn w:val="Normal"/>
    <w:link w:val="BodyTextIndent3Char"/>
    <w:uiPriority w:val="99"/>
    <w:unhideWhenUsed/>
    <w:rsid w:val="00E46C80"/>
    <w:pPr>
      <w:spacing w:before="0" w:line="240" w:lineRule="auto"/>
      <w:ind w:left="360"/>
      <w:jc w:val="left"/>
    </w:pPr>
    <w:rPr>
      <w:rFonts w:ascii="Times New Roman" w:eastAsia="Times New Roman" w:hAnsi="Times New Roman" w:cs="Times New Roman"/>
      <w:sz w:val="16"/>
      <w:szCs w:val="16"/>
      <w:lang w:val="en-US"/>
    </w:rPr>
  </w:style>
  <w:style w:type="character" w:customStyle="1" w:styleId="BodyTextIndent3Char">
    <w:name w:val="Body Text Indent 3 Char"/>
    <w:basedOn w:val="DefaultParagraphFont"/>
    <w:link w:val="BodyTextIndent3"/>
    <w:uiPriority w:val="99"/>
    <w:rsid w:val="00E46C80"/>
    <w:rPr>
      <w:rFonts w:ascii="Times New Roman" w:eastAsia="Times New Roman" w:hAnsi="Times New Roman" w:cs="Times New Roman"/>
      <w:sz w:val="16"/>
      <w:szCs w:val="16"/>
      <w:lang w:val="en-US"/>
    </w:rPr>
  </w:style>
  <w:style w:type="paragraph" w:customStyle="1" w:styleId="a2">
    <w:name w:val="a2"/>
    <w:basedOn w:val="Normal"/>
    <w:uiPriority w:val="99"/>
    <w:rsid w:val="00E46C80"/>
    <w:pPr>
      <w:spacing w:before="100" w:beforeAutospacing="1" w:after="100" w:afterAutospacing="1" w:line="240" w:lineRule="auto"/>
    </w:pPr>
    <w:rPr>
      <w:rFonts w:ascii="Times New Roman" w:eastAsia="Times New Roman" w:hAnsi="Times New Roman" w:cs="Times New Roman"/>
      <w:szCs w:val="24"/>
      <w:lang w:val="en-US"/>
    </w:rPr>
  </w:style>
  <w:style w:type="paragraph" w:customStyle="1" w:styleId="msonormalcxspmiddle">
    <w:name w:val="msonormalcxspmiddle"/>
    <w:basedOn w:val="Normal"/>
    <w:uiPriority w:val="99"/>
    <w:rsid w:val="00E46C80"/>
    <w:pPr>
      <w:spacing w:before="100" w:beforeAutospacing="1" w:after="100" w:afterAutospacing="1" w:line="240" w:lineRule="auto"/>
      <w:jc w:val="left"/>
    </w:pPr>
    <w:rPr>
      <w:rFonts w:ascii="Times New Roman" w:eastAsia="Times New Roman" w:hAnsi="Times New Roman" w:cs="Times New Roman"/>
      <w:szCs w:val="24"/>
      <w:lang w:val="en-US"/>
    </w:rPr>
  </w:style>
  <w:style w:type="paragraph" w:customStyle="1" w:styleId="msonormalcxsplast">
    <w:name w:val="msonormalcxsplast"/>
    <w:basedOn w:val="Normal"/>
    <w:uiPriority w:val="99"/>
    <w:rsid w:val="00E46C80"/>
    <w:pPr>
      <w:spacing w:before="100" w:beforeAutospacing="1" w:after="100" w:afterAutospacing="1" w:line="240" w:lineRule="auto"/>
      <w:jc w:val="left"/>
    </w:pPr>
    <w:rPr>
      <w:rFonts w:ascii="Times New Roman" w:eastAsia="Times New Roman" w:hAnsi="Times New Roman" w:cs="Times New Roman"/>
      <w:szCs w:val="24"/>
      <w:lang w:val="en-US"/>
    </w:rPr>
  </w:style>
  <w:style w:type="paragraph" w:customStyle="1" w:styleId="CharCharChar">
    <w:name w:val="Char Char Char"/>
    <w:basedOn w:val="Normal"/>
    <w:rsid w:val="00E46C80"/>
    <w:pPr>
      <w:spacing w:before="0" w:after="160" w:line="240" w:lineRule="exact"/>
      <w:jc w:val="left"/>
    </w:pPr>
    <w:rPr>
      <w:rFonts w:ascii="Tahoma" w:eastAsia="Times New Roman" w:hAnsi="Tahoma" w:cs="Times New Roman"/>
      <w:sz w:val="20"/>
      <w:szCs w:val="20"/>
      <w:lang w:val="en-US"/>
    </w:rPr>
  </w:style>
  <w:style w:type="paragraph" w:customStyle="1" w:styleId="CharCharCharChar">
    <w:name w:val="Char Char Char Char"/>
    <w:basedOn w:val="Normal"/>
    <w:uiPriority w:val="99"/>
    <w:semiHidden/>
    <w:rsid w:val="00E46C80"/>
    <w:pPr>
      <w:spacing w:before="0" w:after="160" w:line="240" w:lineRule="exact"/>
      <w:jc w:val="left"/>
    </w:pPr>
    <w:rPr>
      <w:rFonts w:ascii="Tahoma" w:eastAsia="Times New Roman" w:hAnsi="Tahoma" w:cs="Times New Roman"/>
      <w:sz w:val="20"/>
      <w:szCs w:val="20"/>
      <w:lang w:val="en-US"/>
    </w:rPr>
  </w:style>
  <w:style w:type="paragraph" w:customStyle="1" w:styleId="CharChar1">
    <w:name w:val="Char Char1"/>
    <w:basedOn w:val="Normal"/>
    <w:uiPriority w:val="99"/>
    <w:semiHidden/>
    <w:rsid w:val="00E46C80"/>
    <w:pPr>
      <w:spacing w:before="0" w:after="160" w:line="240" w:lineRule="exact"/>
      <w:jc w:val="left"/>
    </w:pPr>
    <w:rPr>
      <w:rFonts w:ascii="Tahoma" w:eastAsia="Times New Roman" w:hAnsi="Tahoma" w:cs="Times New Roman"/>
      <w:sz w:val="20"/>
      <w:szCs w:val="20"/>
      <w:lang w:val="en-US"/>
    </w:rPr>
  </w:style>
  <w:style w:type="character" w:styleId="PageNumber">
    <w:name w:val="page number"/>
    <w:unhideWhenUsed/>
    <w:rsid w:val="00E46C80"/>
    <w:rPr>
      <w:rFonts w:ascii="Times New Roman" w:hAnsi="Times New Roman" w:cs="Times New Roman" w:hint="default"/>
    </w:rPr>
  </w:style>
  <w:style w:type="character" w:customStyle="1" w:styleId="f01">
    <w:name w:val="f01"/>
    <w:uiPriority w:val="99"/>
    <w:rsid w:val="00E46C80"/>
    <w:rPr>
      <w:rFonts w:ascii="Arial" w:hAnsi="Arial" w:cs="Arial" w:hint="default"/>
      <w:color w:val="000000"/>
      <w:sz w:val="18"/>
    </w:rPr>
  </w:style>
  <w:style w:type="table" w:customStyle="1" w:styleId="TableGrid2">
    <w:name w:val="Table Grid2"/>
    <w:basedOn w:val="TableNormal"/>
    <w:next w:val="TableGrid"/>
    <w:uiPriority w:val="59"/>
    <w:rsid w:val="00E46C80"/>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020table1">
    <w:name w:val="normal_0020table1"/>
    <w:basedOn w:val="Normal"/>
    <w:rsid w:val="00E46C80"/>
    <w:pPr>
      <w:spacing w:before="0" w:after="0" w:line="240" w:lineRule="auto"/>
      <w:jc w:val="left"/>
    </w:pPr>
    <w:rPr>
      <w:rFonts w:ascii="Times New Roman" w:eastAsia="Times New Roman" w:hAnsi="Times New Roman" w:cs="Times New Roman"/>
      <w:szCs w:val="24"/>
      <w:lang w:val="en-US"/>
    </w:rPr>
  </w:style>
  <w:style w:type="paragraph" w:customStyle="1" w:styleId="xmsolistparagraph">
    <w:name w:val="x_msolistparagraph"/>
    <w:basedOn w:val="Normal"/>
    <w:rsid w:val="00E46C80"/>
    <w:pPr>
      <w:spacing w:before="100" w:beforeAutospacing="1" w:after="100" w:afterAutospacing="1" w:line="240" w:lineRule="auto"/>
      <w:jc w:val="left"/>
    </w:pPr>
    <w:rPr>
      <w:rFonts w:ascii="Times New Roman" w:eastAsia="Times New Roman" w:hAnsi="Times New Roman" w:cs="Times New Roman"/>
      <w:szCs w:val="24"/>
      <w:lang w:val="en-US"/>
    </w:rPr>
  </w:style>
  <w:style w:type="paragraph" w:customStyle="1" w:styleId="xmsonormal">
    <w:name w:val="x_msonormal"/>
    <w:basedOn w:val="Normal"/>
    <w:rsid w:val="00E46C80"/>
    <w:pPr>
      <w:spacing w:before="100" w:beforeAutospacing="1" w:after="100" w:afterAutospacing="1" w:line="240" w:lineRule="auto"/>
      <w:jc w:val="left"/>
    </w:pPr>
    <w:rPr>
      <w:rFonts w:ascii="Times New Roman" w:eastAsia="Times New Roman" w:hAnsi="Times New Roman" w:cs="Times New Roman"/>
      <w:szCs w:val="24"/>
      <w:lang w:val="en-US"/>
    </w:rPr>
  </w:style>
  <w:style w:type="paragraph" w:customStyle="1" w:styleId="msolistparagraph0">
    <w:name w:val="msolistparagraph"/>
    <w:basedOn w:val="Normal"/>
    <w:rsid w:val="00E46C80"/>
    <w:pPr>
      <w:spacing w:before="100" w:beforeAutospacing="1" w:after="100" w:afterAutospacing="1" w:line="240" w:lineRule="auto"/>
      <w:jc w:val="left"/>
    </w:pPr>
    <w:rPr>
      <w:rFonts w:ascii="Times New Roman" w:eastAsia="Times New Roman" w:hAnsi="Times New Roman" w:cs="Times New Roman"/>
      <w:szCs w:val="24"/>
      <w:lang w:val="en-US"/>
    </w:rPr>
  </w:style>
  <w:style w:type="paragraph" w:customStyle="1" w:styleId="msolistparagraphcxspmiddle">
    <w:name w:val="msolistparagraphcxspmiddle"/>
    <w:basedOn w:val="Normal"/>
    <w:rsid w:val="00E46C80"/>
    <w:pPr>
      <w:spacing w:before="100" w:beforeAutospacing="1" w:after="100" w:afterAutospacing="1" w:line="240" w:lineRule="auto"/>
      <w:jc w:val="left"/>
    </w:pPr>
    <w:rPr>
      <w:rFonts w:ascii="Times New Roman" w:eastAsia="Times New Roman" w:hAnsi="Times New Roman" w:cs="Times New Roman"/>
      <w:szCs w:val="24"/>
      <w:lang w:val="en-US"/>
    </w:rPr>
  </w:style>
  <w:style w:type="paragraph" w:customStyle="1" w:styleId="msolistparagraphcxsplast">
    <w:name w:val="msolistparagraphcxsplast"/>
    <w:basedOn w:val="Normal"/>
    <w:rsid w:val="00E46C80"/>
    <w:pPr>
      <w:spacing w:before="100" w:beforeAutospacing="1" w:after="100" w:afterAutospacing="1" w:line="240" w:lineRule="auto"/>
      <w:jc w:val="left"/>
    </w:pPr>
    <w:rPr>
      <w:rFonts w:ascii="Times New Roman" w:eastAsia="Times New Roman" w:hAnsi="Times New Roman" w:cs="Times New Roman"/>
      <w:szCs w:val="24"/>
      <w:lang w:val="en-US"/>
    </w:rPr>
  </w:style>
  <w:style w:type="paragraph" w:customStyle="1" w:styleId="stil1tekst">
    <w:name w:val="stil_1tekst"/>
    <w:basedOn w:val="Normal"/>
    <w:rsid w:val="00E46C80"/>
    <w:pPr>
      <w:spacing w:before="0" w:after="0" w:line="240" w:lineRule="auto"/>
      <w:ind w:left="376" w:right="376" w:firstLine="240"/>
    </w:pPr>
    <w:rPr>
      <w:rFonts w:ascii="Times New Roman" w:eastAsia="Times New Roman" w:hAnsi="Times New Roman" w:cs="Times New Roman"/>
      <w:sz w:val="17"/>
      <w:szCs w:val="17"/>
      <w:lang w:val="en-US"/>
    </w:rPr>
  </w:style>
  <w:style w:type="paragraph" w:customStyle="1" w:styleId="stil2zakon">
    <w:name w:val="stil_2zakon"/>
    <w:basedOn w:val="Normal"/>
    <w:rsid w:val="00E46C80"/>
    <w:pPr>
      <w:spacing w:before="100" w:beforeAutospacing="1" w:after="100" w:afterAutospacing="1" w:line="240" w:lineRule="auto"/>
      <w:jc w:val="center"/>
    </w:pPr>
    <w:rPr>
      <w:rFonts w:ascii="Times New Roman" w:eastAsia="Times New Roman" w:hAnsi="Times New Roman" w:cs="Times New Roman"/>
      <w:color w:val="0033CC"/>
      <w:sz w:val="38"/>
      <w:szCs w:val="38"/>
      <w:lang w:val="en-US"/>
    </w:rPr>
  </w:style>
  <w:style w:type="table" w:customStyle="1" w:styleId="TableGrid11">
    <w:name w:val="Table Grid11"/>
    <w:basedOn w:val="TableNormal"/>
    <w:next w:val="TableGrid"/>
    <w:uiPriority w:val="59"/>
    <w:rsid w:val="00E46C80"/>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E46C80"/>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46C80"/>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46C80"/>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46C80"/>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na16">
    <w:name w:val="tb-na16"/>
    <w:basedOn w:val="Normal"/>
    <w:rsid w:val="00E46C80"/>
    <w:pPr>
      <w:spacing w:before="100" w:beforeAutospacing="1" w:after="100" w:afterAutospacing="1" w:line="240" w:lineRule="auto"/>
      <w:jc w:val="left"/>
    </w:pPr>
    <w:rPr>
      <w:rFonts w:ascii="Times New Roman" w:eastAsia="Times New Roman" w:hAnsi="Times New Roman" w:cs="Times New Roman"/>
      <w:szCs w:val="24"/>
      <w:lang w:val="en-US"/>
    </w:rPr>
  </w:style>
  <w:style w:type="table" w:customStyle="1" w:styleId="TableGrid6">
    <w:name w:val="Table Grid6"/>
    <w:basedOn w:val="TableNormal"/>
    <w:next w:val="TableGrid"/>
    <w:uiPriority w:val="59"/>
    <w:rsid w:val="00E46C80"/>
    <w:pPr>
      <w:spacing w:after="0" w:line="240" w:lineRule="auto"/>
    </w:pPr>
    <w:rPr>
      <w:rFonts w:ascii="Arial" w:eastAsia="Times New Roman" w:hAnsi="Arial" w:cs="Times New Roman"/>
      <w:sz w:val="20"/>
      <w:szCs w:val="20"/>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E46C80"/>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E46C80"/>
    <w:rPr>
      <w:rFonts w:ascii="Calibri" w:eastAsia="Calibri" w:hAnsi="Calibri" w:cs="Times New Roman"/>
      <w:lang w:val="sl-SI"/>
    </w:rPr>
  </w:style>
  <w:style w:type="paragraph" w:styleId="TOCHeading">
    <w:name w:val="TOC Heading"/>
    <w:basedOn w:val="Heading1"/>
    <w:next w:val="Normal"/>
    <w:uiPriority w:val="39"/>
    <w:unhideWhenUsed/>
    <w:qFormat/>
    <w:rsid w:val="00E46C80"/>
    <w:pPr>
      <w:keepNext/>
      <w:keepLines/>
      <w:spacing w:before="480" w:line="276" w:lineRule="auto"/>
      <w:ind w:left="927"/>
      <w:jc w:val="left"/>
      <w:outlineLvl w:val="9"/>
    </w:pPr>
    <w:rPr>
      <w:rFonts w:ascii="Cambria" w:eastAsia="MS Gothic" w:hAnsi="Cambria" w:cs="Times New Roman"/>
      <w:b/>
      <w:bCs w:val="0"/>
      <w:color w:val="365F91"/>
      <w:szCs w:val="24"/>
      <w:lang w:val="en-US" w:eastAsia="ja-JP"/>
    </w:rPr>
  </w:style>
  <w:style w:type="paragraph" w:styleId="TOC2">
    <w:name w:val="toc 2"/>
    <w:basedOn w:val="Normal"/>
    <w:next w:val="Normal"/>
    <w:autoRedefine/>
    <w:uiPriority w:val="39"/>
    <w:unhideWhenUsed/>
    <w:qFormat/>
    <w:rsid w:val="00E46C80"/>
    <w:pPr>
      <w:tabs>
        <w:tab w:val="right" w:leader="dot" w:pos="8495"/>
      </w:tabs>
      <w:spacing w:before="0" w:after="100" w:line="276" w:lineRule="auto"/>
      <w:ind w:left="220"/>
      <w:jc w:val="left"/>
    </w:pPr>
    <w:rPr>
      <w:rFonts w:ascii="Times New Roman" w:eastAsia="MS Mincho" w:hAnsi="Times New Roman" w:cs="Times New Roman"/>
      <w:noProof/>
      <w:sz w:val="22"/>
      <w:lang w:val="en-US" w:eastAsia="ja-JP"/>
    </w:rPr>
  </w:style>
  <w:style w:type="paragraph" w:styleId="TOC3">
    <w:name w:val="toc 3"/>
    <w:basedOn w:val="Normal"/>
    <w:next w:val="Normal"/>
    <w:autoRedefine/>
    <w:uiPriority w:val="39"/>
    <w:unhideWhenUsed/>
    <w:qFormat/>
    <w:rsid w:val="00E46C80"/>
    <w:pPr>
      <w:spacing w:before="0" w:after="100" w:line="276" w:lineRule="auto"/>
      <w:ind w:left="440"/>
      <w:jc w:val="left"/>
    </w:pPr>
    <w:rPr>
      <w:rFonts w:ascii="Calibri" w:eastAsia="MS Mincho" w:hAnsi="Calibri" w:cs="Arial"/>
      <w:sz w:val="22"/>
      <w:lang w:val="en-US" w:eastAsia="ja-JP"/>
    </w:rPr>
  </w:style>
  <w:style w:type="table" w:styleId="MediumShading2-Accent1">
    <w:name w:val="Medium Shading 2 Accent 1"/>
    <w:basedOn w:val="TableNormal"/>
    <w:uiPriority w:val="64"/>
    <w:rsid w:val="00E46C80"/>
    <w:pPr>
      <w:spacing w:after="0" w:line="240" w:lineRule="auto"/>
    </w:pPr>
    <w:rPr>
      <w:rFonts w:ascii="Calibri" w:eastAsia="Calibri" w:hAnsi="Calibri" w:cs="Times New Roman"/>
      <w:sz w:val="20"/>
      <w:szCs w:val="20"/>
      <w:lang w:val="sl-SI" w:eastAsia="sl-S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21">
    <w:name w:val="No List21"/>
    <w:next w:val="NoList"/>
    <w:semiHidden/>
    <w:rsid w:val="00E46C80"/>
  </w:style>
  <w:style w:type="table" w:customStyle="1" w:styleId="TableGrid8">
    <w:name w:val="Table Grid8"/>
    <w:basedOn w:val="TableNormal"/>
    <w:next w:val="TableGrid"/>
    <w:uiPriority w:val="59"/>
    <w:rsid w:val="00E46C80"/>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11">
    <w:name w:val="Medium Grid 1 - Accent 11"/>
    <w:basedOn w:val="TableNormal"/>
    <w:next w:val="MediumGrid1-Accent1"/>
    <w:uiPriority w:val="67"/>
    <w:rsid w:val="00E46C80"/>
    <w:pPr>
      <w:spacing w:after="0" w:line="240" w:lineRule="auto"/>
    </w:pPr>
    <w:rPr>
      <w:rFonts w:ascii="Calibri" w:eastAsia="Calibri" w:hAnsi="Calibri" w:cs="Times New Roman"/>
      <w:sz w:val="20"/>
      <w:szCs w:val="20"/>
      <w:lang w:val="sl-SI" w:eastAsia="sl-SI"/>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TableGrid9">
    <w:name w:val="Table Grid9"/>
    <w:basedOn w:val="TableNormal"/>
    <w:next w:val="TableGrid"/>
    <w:uiPriority w:val="59"/>
    <w:rsid w:val="00E46C80"/>
    <w:pPr>
      <w:spacing w:after="0" w:line="240" w:lineRule="auto"/>
    </w:pPr>
    <w:rPr>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1">
    <w:name w:val="Medium Shading 1 - Accent 11"/>
    <w:basedOn w:val="TableNormal"/>
    <w:next w:val="MediumShading1-Accent1"/>
    <w:uiPriority w:val="63"/>
    <w:rsid w:val="00E46C80"/>
    <w:pPr>
      <w:spacing w:after="0" w:line="240" w:lineRule="auto"/>
    </w:pPr>
    <w:rPr>
      <w:rFonts w:ascii="Calibri" w:eastAsia="Calibri" w:hAnsi="Calibri" w:cs="Times New Roman"/>
      <w:sz w:val="20"/>
      <w:szCs w:val="20"/>
      <w:lang w:val="sl-SI" w:eastAsia="sl-SI"/>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ColorfulGrid-Accent11">
    <w:name w:val="Colorful Grid - Accent 11"/>
    <w:basedOn w:val="TableNormal"/>
    <w:next w:val="ColorfulGrid-Accent1"/>
    <w:uiPriority w:val="73"/>
    <w:rsid w:val="00E46C80"/>
    <w:pPr>
      <w:spacing w:after="0" w:line="240" w:lineRule="auto"/>
    </w:pPr>
    <w:rPr>
      <w:rFonts w:ascii="Calibri" w:eastAsia="Calibri" w:hAnsi="Calibri" w:cs="Times New Roman"/>
      <w:color w:val="000000"/>
      <w:sz w:val="20"/>
      <w:szCs w:val="20"/>
      <w:lang w:val="sl-SI" w:eastAsia="sl-SI"/>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Grid-Accent11">
    <w:name w:val="Light Grid - Accent 11"/>
    <w:basedOn w:val="TableNormal"/>
    <w:next w:val="LightGrid-Accent1"/>
    <w:uiPriority w:val="62"/>
    <w:rsid w:val="00E46C80"/>
    <w:pPr>
      <w:spacing w:after="0" w:line="240" w:lineRule="auto"/>
    </w:pPr>
    <w:rPr>
      <w:rFonts w:ascii="Calibri" w:eastAsia="Calibri" w:hAnsi="Calibri" w:cs="Times New Roman"/>
      <w:sz w:val="20"/>
      <w:szCs w:val="20"/>
      <w:lang w:val="sl-SI" w:eastAsia="sl-SI"/>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1">
    <w:name w:val="Light List - Accent 11"/>
    <w:basedOn w:val="TableNormal"/>
    <w:next w:val="LightList-Accent1"/>
    <w:uiPriority w:val="61"/>
    <w:rsid w:val="00E46C80"/>
    <w:pPr>
      <w:spacing w:after="0" w:line="240" w:lineRule="auto"/>
    </w:pPr>
    <w:rPr>
      <w:rFonts w:ascii="Calibri" w:eastAsia="Calibri" w:hAnsi="Calibri" w:cs="Times New Roman"/>
      <w:sz w:val="20"/>
      <w:szCs w:val="20"/>
      <w:lang w:val="sl-SI" w:eastAsia="sl-S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RILOGpodnaslov">
    <w:name w:val="PRILOG podnaslov"/>
    <w:basedOn w:val="Normal"/>
    <w:qFormat/>
    <w:rsid w:val="00E46C80"/>
    <w:pPr>
      <w:keepNext/>
      <w:keepLines/>
      <w:widowControl w:val="0"/>
      <w:numPr>
        <w:numId w:val="67"/>
      </w:numPr>
      <w:spacing w:before="360" w:after="240" w:line="276" w:lineRule="auto"/>
      <w:outlineLvl w:val="0"/>
    </w:pPr>
    <w:rPr>
      <w:rFonts w:ascii="Cambria" w:eastAsia="Calibri" w:hAnsi="Cambria" w:cs="Times New Roman"/>
      <w:color w:val="365F91"/>
      <w:sz w:val="36"/>
      <w:szCs w:val="32"/>
      <w:shd w:val="clear" w:color="auto" w:fill="FFFFFF"/>
      <w:lang w:val="uz-Cyrl-UZ" w:eastAsia="en-GB"/>
    </w:rPr>
  </w:style>
  <w:style w:type="paragraph" w:customStyle="1" w:styleId="PRILOGPodpodnaslov">
    <w:name w:val="PRILOG Pod pod naslov"/>
    <w:basedOn w:val="PRILOGpodnaslov"/>
    <w:qFormat/>
    <w:rsid w:val="00E46C80"/>
    <w:pPr>
      <w:numPr>
        <w:ilvl w:val="1"/>
      </w:numPr>
      <w:pBdr>
        <w:bottom w:val="single" w:sz="2" w:space="1" w:color="548DD4"/>
      </w:pBdr>
      <w:jc w:val="left"/>
    </w:pPr>
    <w:rPr>
      <w:sz w:val="32"/>
    </w:rPr>
  </w:style>
  <w:style w:type="paragraph" w:customStyle="1" w:styleId="PRILOGpodpodpodnaslov">
    <w:name w:val="PRILOG pod pod podnaslov"/>
    <w:basedOn w:val="PRILOGPodpodnaslov"/>
    <w:next w:val="Normal"/>
    <w:qFormat/>
    <w:rsid w:val="00E46C80"/>
    <w:pPr>
      <w:numPr>
        <w:ilvl w:val="2"/>
      </w:numPr>
      <w:pBdr>
        <w:bottom w:val="none" w:sz="0" w:space="0" w:color="auto"/>
      </w:pBdr>
      <w:spacing w:after="120"/>
    </w:pPr>
    <w:rPr>
      <w:sz w:val="24"/>
    </w:rPr>
  </w:style>
  <w:style w:type="table" w:styleId="MediumGrid1-Accent1">
    <w:name w:val="Medium Grid 1 Accent 1"/>
    <w:basedOn w:val="TableNormal"/>
    <w:uiPriority w:val="67"/>
    <w:semiHidden/>
    <w:unhideWhenUsed/>
    <w:rsid w:val="00E46C80"/>
    <w:pPr>
      <w:spacing w:after="0" w:line="240" w:lineRule="auto"/>
    </w:pPr>
    <w:tblPr>
      <w:tblStyleRowBandSize w:val="1"/>
      <w:tblStyleColBandSize w:val="1"/>
      <w:tblBorders>
        <w:top w:val="single" w:sz="8" w:space="0" w:color="EA6F44" w:themeColor="accent1" w:themeTint="BF"/>
        <w:left w:val="single" w:sz="8" w:space="0" w:color="EA6F44" w:themeColor="accent1" w:themeTint="BF"/>
        <w:bottom w:val="single" w:sz="8" w:space="0" w:color="EA6F44" w:themeColor="accent1" w:themeTint="BF"/>
        <w:right w:val="single" w:sz="8" w:space="0" w:color="EA6F44" w:themeColor="accent1" w:themeTint="BF"/>
        <w:insideH w:val="single" w:sz="8" w:space="0" w:color="EA6F44" w:themeColor="accent1" w:themeTint="BF"/>
        <w:insideV w:val="single" w:sz="8" w:space="0" w:color="EA6F44" w:themeColor="accent1" w:themeTint="BF"/>
      </w:tblBorders>
    </w:tblPr>
    <w:tcPr>
      <w:shd w:val="clear" w:color="auto" w:fill="F8CFC1" w:themeFill="accent1" w:themeFillTint="3F"/>
    </w:tcPr>
    <w:tblStylePr w:type="firstRow">
      <w:rPr>
        <w:b/>
        <w:bCs/>
      </w:rPr>
    </w:tblStylePr>
    <w:tblStylePr w:type="lastRow">
      <w:rPr>
        <w:b/>
        <w:bCs/>
      </w:rPr>
      <w:tblPr/>
      <w:tcPr>
        <w:tcBorders>
          <w:top w:val="single" w:sz="18" w:space="0" w:color="EA6F44" w:themeColor="accent1" w:themeTint="BF"/>
        </w:tcBorders>
      </w:tcPr>
    </w:tblStylePr>
    <w:tblStylePr w:type="firstCol">
      <w:rPr>
        <w:b/>
        <w:bCs/>
      </w:rPr>
    </w:tblStylePr>
    <w:tblStylePr w:type="lastCol">
      <w:rPr>
        <w:b/>
        <w:bCs/>
      </w:rPr>
    </w:tblStylePr>
    <w:tblStylePr w:type="band1Vert">
      <w:tblPr/>
      <w:tcPr>
        <w:shd w:val="clear" w:color="auto" w:fill="F19F82" w:themeFill="accent1" w:themeFillTint="7F"/>
      </w:tcPr>
    </w:tblStylePr>
    <w:tblStylePr w:type="band1Horz">
      <w:tblPr/>
      <w:tcPr>
        <w:shd w:val="clear" w:color="auto" w:fill="F19F82" w:themeFill="accent1" w:themeFillTint="7F"/>
      </w:tcPr>
    </w:tblStylePr>
  </w:style>
  <w:style w:type="table" w:styleId="MediumShading1-Accent1">
    <w:name w:val="Medium Shading 1 Accent 1"/>
    <w:basedOn w:val="TableNormal"/>
    <w:uiPriority w:val="63"/>
    <w:semiHidden/>
    <w:unhideWhenUsed/>
    <w:rsid w:val="00E46C80"/>
    <w:pPr>
      <w:spacing w:after="0" w:line="240" w:lineRule="auto"/>
    </w:pPr>
    <w:tblPr>
      <w:tblStyleRowBandSize w:val="1"/>
      <w:tblStyleColBandSize w:val="1"/>
      <w:tblBorders>
        <w:top w:val="single" w:sz="8" w:space="0" w:color="EA6F44" w:themeColor="accent1" w:themeTint="BF"/>
        <w:left w:val="single" w:sz="8" w:space="0" w:color="EA6F44" w:themeColor="accent1" w:themeTint="BF"/>
        <w:bottom w:val="single" w:sz="8" w:space="0" w:color="EA6F44" w:themeColor="accent1" w:themeTint="BF"/>
        <w:right w:val="single" w:sz="8" w:space="0" w:color="EA6F44" w:themeColor="accent1" w:themeTint="BF"/>
        <w:insideH w:val="single" w:sz="8" w:space="0" w:color="EA6F44" w:themeColor="accent1" w:themeTint="BF"/>
      </w:tblBorders>
    </w:tblPr>
    <w:tblStylePr w:type="firstRow">
      <w:pPr>
        <w:spacing w:before="0" w:after="0" w:line="240" w:lineRule="auto"/>
      </w:pPr>
      <w:rPr>
        <w:b/>
        <w:bCs/>
        <w:color w:val="FFFFFF" w:themeColor="background1"/>
      </w:rPr>
      <w:tblPr/>
      <w:tcPr>
        <w:tcBorders>
          <w:top w:val="single" w:sz="8" w:space="0" w:color="EA6F44" w:themeColor="accent1" w:themeTint="BF"/>
          <w:left w:val="single" w:sz="8" w:space="0" w:color="EA6F44" w:themeColor="accent1" w:themeTint="BF"/>
          <w:bottom w:val="single" w:sz="8" w:space="0" w:color="EA6F44" w:themeColor="accent1" w:themeTint="BF"/>
          <w:right w:val="single" w:sz="8" w:space="0" w:color="EA6F44" w:themeColor="accent1" w:themeTint="BF"/>
          <w:insideH w:val="nil"/>
          <w:insideV w:val="nil"/>
        </w:tcBorders>
        <w:shd w:val="clear" w:color="auto" w:fill="D34817" w:themeFill="accent1"/>
      </w:tcPr>
    </w:tblStylePr>
    <w:tblStylePr w:type="lastRow">
      <w:pPr>
        <w:spacing w:before="0" w:after="0" w:line="240" w:lineRule="auto"/>
      </w:pPr>
      <w:rPr>
        <w:b/>
        <w:bCs/>
      </w:rPr>
      <w:tblPr/>
      <w:tcPr>
        <w:tcBorders>
          <w:top w:val="double" w:sz="6" w:space="0" w:color="EA6F44" w:themeColor="accent1" w:themeTint="BF"/>
          <w:left w:val="single" w:sz="8" w:space="0" w:color="EA6F44" w:themeColor="accent1" w:themeTint="BF"/>
          <w:bottom w:val="single" w:sz="8" w:space="0" w:color="EA6F44" w:themeColor="accent1" w:themeTint="BF"/>
          <w:right w:val="single" w:sz="8" w:space="0" w:color="EA6F44" w:themeColor="accent1" w:themeTint="BF"/>
          <w:insideH w:val="nil"/>
          <w:insideV w:val="nil"/>
        </w:tcBorders>
      </w:tcPr>
    </w:tblStylePr>
    <w:tblStylePr w:type="firstCol">
      <w:rPr>
        <w:b/>
        <w:bCs/>
      </w:rPr>
    </w:tblStylePr>
    <w:tblStylePr w:type="lastCol">
      <w:rPr>
        <w:b/>
        <w:bCs/>
      </w:rPr>
    </w:tblStylePr>
    <w:tblStylePr w:type="band1Vert">
      <w:tblPr/>
      <w:tcPr>
        <w:shd w:val="clear" w:color="auto" w:fill="F8CFC1" w:themeFill="accent1" w:themeFillTint="3F"/>
      </w:tcPr>
    </w:tblStylePr>
    <w:tblStylePr w:type="band1Horz">
      <w:tblPr/>
      <w:tcPr>
        <w:tcBorders>
          <w:insideH w:val="nil"/>
          <w:insideV w:val="nil"/>
        </w:tcBorders>
        <w:shd w:val="clear" w:color="auto" w:fill="F8CFC1" w:themeFill="accent1" w:themeFillTint="3F"/>
      </w:tcPr>
    </w:tblStylePr>
    <w:tblStylePr w:type="band2Horz">
      <w:tblPr/>
      <w:tcPr>
        <w:tcBorders>
          <w:insideH w:val="nil"/>
          <w:insideV w:val="nil"/>
        </w:tcBorders>
      </w:tcPr>
    </w:tblStylePr>
  </w:style>
  <w:style w:type="table" w:styleId="ColorfulGrid-Accent1">
    <w:name w:val="Colorful Grid Accent 1"/>
    <w:basedOn w:val="TableNormal"/>
    <w:uiPriority w:val="73"/>
    <w:semiHidden/>
    <w:unhideWhenUsed/>
    <w:rsid w:val="00E46C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9D8CD" w:themeFill="accent1" w:themeFillTint="33"/>
    </w:tcPr>
    <w:tblStylePr w:type="firstRow">
      <w:rPr>
        <w:b/>
        <w:bCs/>
      </w:rPr>
      <w:tblPr/>
      <w:tcPr>
        <w:shd w:val="clear" w:color="auto" w:fill="F4B29B" w:themeFill="accent1" w:themeFillTint="66"/>
      </w:tcPr>
    </w:tblStylePr>
    <w:tblStylePr w:type="lastRow">
      <w:rPr>
        <w:b/>
        <w:bCs/>
        <w:color w:val="000000" w:themeColor="text1"/>
      </w:rPr>
      <w:tblPr/>
      <w:tcPr>
        <w:shd w:val="clear" w:color="auto" w:fill="F4B29B" w:themeFill="accent1" w:themeFillTint="66"/>
      </w:tcPr>
    </w:tblStylePr>
    <w:tblStylePr w:type="firstCol">
      <w:rPr>
        <w:color w:val="FFFFFF" w:themeColor="background1"/>
      </w:rPr>
      <w:tblPr/>
      <w:tcPr>
        <w:shd w:val="clear" w:color="auto" w:fill="9D3511" w:themeFill="accent1" w:themeFillShade="BF"/>
      </w:tcPr>
    </w:tblStylePr>
    <w:tblStylePr w:type="lastCol">
      <w:rPr>
        <w:color w:val="FFFFFF" w:themeColor="background1"/>
      </w:rPr>
      <w:tblPr/>
      <w:tcPr>
        <w:shd w:val="clear" w:color="auto" w:fill="9D3511" w:themeFill="accent1" w:themeFillShade="BF"/>
      </w:tcPr>
    </w:tblStylePr>
    <w:tblStylePr w:type="band1Vert">
      <w:tblPr/>
      <w:tcPr>
        <w:shd w:val="clear" w:color="auto" w:fill="F19F82" w:themeFill="accent1" w:themeFillTint="7F"/>
      </w:tcPr>
    </w:tblStylePr>
    <w:tblStylePr w:type="band1Horz">
      <w:tblPr/>
      <w:tcPr>
        <w:shd w:val="clear" w:color="auto" w:fill="F19F82" w:themeFill="accent1" w:themeFillTint="7F"/>
      </w:tcPr>
    </w:tblStylePr>
  </w:style>
  <w:style w:type="table" w:styleId="LightGrid-Accent1">
    <w:name w:val="Light Grid Accent 1"/>
    <w:basedOn w:val="TableNormal"/>
    <w:uiPriority w:val="62"/>
    <w:semiHidden/>
    <w:unhideWhenUsed/>
    <w:rsid w:val="00E46C80"/>
    <w:pPr>
      <w:spacing w:after="0" w:line="240" w:lineRule="auto"/>
    </w:pPr>
    <w:tblPr>
      <w:tblStyleRowBandSize w:val="1"/>
      <w:tblStyleColBandSize w:val="1"/>
      <w:tblBorders>
        <w:top w:val="single" w:sz="8" w:space="0" w:color="D34817" w:themeColor="accent1"/>
        <w:left w:val="single" w:sz="8" w:space="0" w:color="D34817" w:themeColor="accent1"/>
        <w:bottom w:val="single" w:sz="8" w:space="0" w:color="D34817" w:themeColor="accent1"/>
        <w:right w:val="single" w:sz="8" w:space="0" w:color="D34817" w:themeColor="accent1"/>
        <w:insideH w:val="single" w:sz="8" w:space="0" w:color="D34817" w:themeColor="accent1"/>
        <w:insideV w:val="single" w:sz="8" w:space="0" w:color="D3481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34817" w:themeColor="accent1"/>
          <w:left w:val="single" w:sz="8" w:space="0" w:color="D34817" w:themeColor="accent1"/>
          <w:bottom w:val="single" w:sz="18" w:space="0" w:color="D34817" w:themeColor="accent1"/>
          <w:right w:val="single" w:sz="8" w:space="0" w:color="D34817" w:themeColor="accent1"/>
          <w:insideH w:val="nil"/>
          <w:insideV w:val="single" w:sz="8" w:space="0" w:color="D3481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34817" w:themeColor="accent1"/>
          <w:left w:val="single" w:sz="8" w:space="0" w:color="D34817" w:themeColor="accent1"/>
          <w:bottom w:val="single" w:sz="8" w:space="0" w:color="D34817" w:themeColor="accent1"/>
          <w:right w:val="single" w:sz="8" w:space="0" w:color="D34817" w:themeColor="accent1"/>
          <w:insideH w:val="nil"/>
          <w:insideV w:val="single" w:sz="8" w:space="0" w:color="D3481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34817" w:themeColor="accent1"/>
          <w:left w:val="single" w:sz="8" w:space="0" w:color="D34817" w:themeColor="accent1"/>
          <w:bottom w:val="single" w:sz="8" w:space="0" w:color="D34817" w:themeColor="accent1"/>
          <w:right w:val="single" w:sz="8" w:space="0" w:color="D34817" w:themeColor="accent1"/>
        </w:tcBorders>
      </w:tcPr>
    </w:tblStylePr>
    <w:tblStylePr w:type="band1Vert">
      <w:tblPr/>
      <w:tcPr>
        <w:tcBorders>
          <w:top w:val="single" w:sz="8" w:space="0" w:color="D34817" w:themeColor="accent1"/>
          <w:left w:val="single" w:sz="8" w:space="0" w:color="D34817" w:themeColor="accent1"/>
          <w:bottom w:val="single" w:sz="8" w:space="0" w:color="D34817" w:themeColor="accent1"/>
          <w:right w:val="single" w:sz="8" w:space="0" w:color="D34817" w:themeColor="accent1"/>
        </w:tcBorders>
        <w:shd w:val="clear" w:color="auto" w:fill="F8CFC1" w:themeFill="accent1" w:themeFillTint="3F"/>
      </w:tcPr>
    </w:tblStylePr>
    <w:tblStylePr w:type="band1Horz">
      <w:tblPr/>
      <w:tcPr>
        <w:tcBorders>
          <w:top w:val="single" w:sz="8" w:space="0" w:color="D34817" w:themeColor="accent1"/>
          <w:left w:val="single" w:sz="8" w:space="0" w:color="D34817" w:themeColor="accent1"/>
          <w:bottom w:val="single" w:sz="8" w:space="0" w:color="D34817" w:themeColor="accent1"/>
          <w:right w:val="single" w:sz="8" w:space="0" w:color="D34817" w:themeColor="accent1"/>
          <w:insideV w:val="single" w:sz="8" w:space="0" w:color="D34817" w:themeColor="accent1"/>
        </w:tcBorders>
        <w:shd w:val="clear" w:color="auto" w:fill="F8CFC1" w:themeFill="accent1" w:themeFillTint="3F"/>
      </w:tcPr>
    </w:tblStylePr>
    <w:tblStylePr w:type="band2Horz">
      <w:tblPr/>
      <w:tcPr>
        <w:tcBorders>
          <w:top w:val="single" w:sz="8" w:space="0" w:color="D34817" w:themeColor="accent1"/>
          <w:left w:val="single" w:sz="8" w:space="0" w:color="D34817" w:themeColor="accent1"/>
          <w:bottom w:val="single" w:sz="8" w:space="0" w:color="D34817" w:themeColor="accent1"/>
          <w:right w:val="single" w:sz="8" w:space="0" w:color="D34817" w:themeColor="accent1"/>
          <w:insideV w:val="single" w:sz="8" w:space="0" w:color="D34817" w:themeColor="accent1"/>
        </w:tcBorders>
      </w:tcPr>
    </w:tblStylePr>
  </w:style>
  <w:style w:type="table" w:styleId="LightList-Accent1">
    <w:name w:val="Light List Accent 1"/>
    <w:basedOn w:val="TableNormal"/>
    <w:uiPriority w:val="61"/>
    <w:semiHidden/>
    <w:unhideWhenUsed/>
    <w:rsid w:val="00E46C80"/>
    <w:pPr>
      <w:spacing w:after="0" w:line="240" w:lineRule="auto"/>
    </w:pPr>
    <w:tblPr>
      <w:tblStyleRowBandSize w:val="1"/>
      <w:tblStyleColBandSize w:val="1"/>
      <w:tblBorders>
        <w:top w:val="single" w:sz="8" w:space="0" w:color="D34817" w:themeColor="accent1"/>
        <w:left w:val="single" w:sz="8" w:space="0" w:color="D34817" w:themeColor="accent1"/>
        <w:bottom w:val="single" w:sz="8" w:space="0" w:color="D34817" w:themeColor="accent1"/>
        <w:right w:val="single" w:sz="8" w:space="0" w:color="D34817" w:themeColor="accent1"/>
      </w:tblBorders>
    </w:tblPr>
    <w:tblStylePr w:type="firstRow">
      <w:pPr>
        <w:spacing w:before="0" w:after="0" w:line="240" w:lineRule="auto"/>
      </w:pPr>
      <w:rPr>
        <w:b/>
        <w:bCs/>
        <w:color w:val="FFFFFF" w:themeColor="background1"/>
      </w:rPr>
      <w:tblPr/>
      <w:tcPr>
        <w:shd w:val="clear" w:color="auto" w:fill="D34817" w:themeFill="accent1"/>
      </w:tcPr>
    </w:tblStylePr>
    <w:tblStylePr w:type="lastRow">
      <w:pPr>
        <w:spacing w:before="0" w:after="0" w:line="240" w:lineRule="auto"/>
      </w:pPr>
      <w:rPr>
        <w:b/>
        <w:bCs/>
      </w:rPr>
      <w:tblPr/>
      <w:tcPr>
        <w:tcBorders>
          <w:top w:val="double" w:sz="6" w:space="0" w:color="D34817" w:themeColor="accent1"/>
          <w:left w:val="single" w:sz="8" w:space="0" w:color="D34817" w:themeColor="accent1"/>
          <w:bottom w:val="single" w:sz="8" w:space="0" w:color="D34817" w:themeColor="accent1"/>
          <w:right w:val="single" w:sz="8" w:space="0" w:color="D34817" w:themeColor="accent1"/>
        </w:tcBorders>
      </w:tcPr>
    </w:tblStylePr>
    <w:tblStylePr w:type="firstCol">
      <w:rPr>
        <w:b/>
        <w:bCs/>
      </w:rPr>
    </w:tblStylePr>
    <w:tblStylePr w:type="lastCol">
      <w:rPr>
        <w:b/>
        <w:bCs/>
      </w:rPr>
    </w:tblStylePr>
    <w:tblStylePr w:type="band1Vert">
      <w:tblPr/>
      <w:tcPr>
        <w:tcBorders>
          <w:top w:val="single" w:sz="8" w:space="0" w:color="D34817" w:themeColor="accent1"/>
          <w:left w:val="single" w:sz="8" w:space="0" w:color="D34817" w:themeColor="accent1"/>
          <w:bottom w:val="single" w:sz="8" w:space="0" w:color="D34817" w:themeColor="accent1"/>
          <w:right w:val="single" w:sz="8" w:space="0" w:color="D34817" w:themeColor="accent1"/>
        </w:tcBorders>
      </w:tcPr>
    </w:tblStylePr>
    <w:tblStylePr w:type="band1Horz">
      <w:tblPr/>
      <w:tcPr>
        <w:tcBorders>
          <w:top w:val="single" w:sz="8" w:space="0" w:color="D34817" w:themeColor="accent1"/>
          <w:left w:val="single" w:sz="8" w:space="0" w:color="D34817" w:themeColor="accent1"/>
          <w:bottom w:val="single" w:sz="8" w:space="0" w:color="D34817" w:themeColor="accent1"/>
          <w:right w:val="single" w:sz="8" w:space="0" w:color="D34817" w:themeColor="accent1"/>
        </w:tcBorders>
      </w:tcPr>
    </w:tblStylePr>
  </w:style>
  <w:style w:type="table" w:customStyle="1" w:styleId="TableGrid10">
    <w:name w:val="Table Grid10"/>
    <w:basedOn w:val="TableNormal"/>
    <w:next w:val="TableGrid"/>
    <w:uiPriority w:val="59"/>
    <w:rsid w:val="004E6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List-Accent6">
    <w:name w:val="Colorful List Accent 6"/>
    <w:basedOn w:val="TableNormal"/>
    <w:uiPriority w:val="72"/>
    <w:semiHidden/>
    <w:unhideWhenUsed/>
    <w:rsid w:val="004E6DC8"/>
    <w:pPr>
      <w:spacing w:after="0" w:line="240" w:lineRule="auto"/>
    </w:pPr>
    <w:rPr>
      <w:color w:val="000000" w:themeColor="text1"/>
    </w:rPr>
    <w:tblPr>
      <w:tblStyleRowBandSize w:val="1"/>
      <w:tblStyleColBandSize w:val="1"/>
    </w:tblPr>
    <w:tcPr>
      <w:shd w:val="clear" w:color="auto" w:fill="F3EEEE" w:themeFill="accent6" w:themeFillTint="19"/>
    </w:tcPr>
    <w:tblStylePr w:type="firstRow">
      <w:rPr>
        <w:b/>
        <w:bCs/>
        <w:color w:val="FFFFFF" w:themeColor="background1"/>
      </w:rPr>
      <w:tblPr/>
      <w:tcPr>
        <w:tcBorders>
          <w:bottom w:val="single" w:sz="12" w:space="0" w:color="FFFFFF" w:themeColor="background1"/>
        </w:tcBorders>
        <w:shd w:val="clear" w:color="auto" w:fill="746869" w:themeFill="accent5" w:themeFillShade="CC"/>
      </w:tcPr>
    </w:tblStylePr>
    <w:tblStylePr w:type="lastRow">
      <w:rPr>
        <w:b/>
        <w:bCs/>
        <w:color w:val="74686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D5D5" w:themeFill="accent6" w:themeFillTint="3F"/>
      </w:tcPr>
    </w:tblStylePr>
    <w:tblStylePr w:type="band1Horz">
      <w:tblPr/>
      <w:tcPr>
        <w:shd w:val="clear" w:color="auto" w:fill="E7DDDD" w:themeFill="accent6" w:themeFillTint="33"/>
      </w:tcPr>
    </w:tblStylePr>
  </w:style>
  <w:style w:type="table" w:customStyle="1" w:styleId="ColorfulShading-Accent61">
    <w:name w:val="Colorful Shading - Accent 61"/>
    <w:basedOn w:val="TableNormal"/>
    <w:next w:val="ColorfulShading-Accent6"/>
    <w:uiPriority w:val="71"/>
    <w:rsid w:val="004E6DC8"/>
    <w:pPr>
      <w:spacing w:after="0" w:line="240" w:lineRule="auto"/>
    </w:pPr>
    <w:rPr>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semiHidden/>
    <w:unhideWhenUsed/>
    <w:rsid w:val="004E6DC8"/>
    <w:pPr>
      <w:spacing w:after="0" w:line="240" w:lineRule="auto"/>
    </w:pPr>
    <w:rPr>
      <w:color w:val="000000" w:themeColor="text1"/>
    </w:rPr>
    <w:tblPr>
      <w:tblStyleRowBandSize w:val="1"/>
      <w:tblStyleColBandSize w:val="1"/>
      <w:tblBorders>
        <w:top w:val="single" w:sz="24" w:space="0" w:color="918485" w:themeColor="accent5"/>
        <w:left w:val="single" w:sz="4" w:space="0" w:color="855D5D" w:themeColor="accent6"/>
        <w:bottom w:val="single" w:sz="4" w:space="0" w:color="855D5D" w:themeColor="accent6"/>
        <w:right w:val="single" w:sz="4" w:space="0" w:color="855D5D" w:themeColor="accent6"/>
        <w:insideH w:val="single" w:sz="4" w:space="0" w:color="FFFFFF" w:themeColor="background1"/>
        <w:insideV w:val="single" w:sz="4" w:space="0" w:color="FFFFFF" w:themeColor="background1"/>
      </w:tblBorders>
    </w:tblPr>
    <w:tcPr>
      <w:shd w:val="clear" w:color="auto" w:fill="F3EEEE" w:themeFill="accent6" w:themeFillTint="19"/>
    </w:tcPr>
    <w:tblStylePr w:type="firstRow">
      <w:rPr>
        <w:b/>
        <w:bCs/>
      </w:rPr>
      <w:tblPr/>
      <w:tcPr>
        <w:tcBorders>
          <w:top w:val="nil"/>
          <w:left w:val="nil"/>
          <w:bottom w:val="single" w:sz="24" w:space="0" w:color="91848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3737" w:themeFill="accent6" w:themeFillShade="99"/>
      </w:tcPr>
    </w:tblStylePr>
    <w:tblStylePr w:type="firstCol">
      <w:rPr>
        <w:color w:val="FFFFFF" w:themeColor="background1"/>
      </w:rPr>
      <w:tblPr/>
      <w:tcPr>
        <w:tcBorders>
          <w:top w:val="nil"/>
          <w:left w:val="nil"/>
          <w:bottom w:val="nil"/>
          <w:right w:val="nil"/>
          <w:insideH w:val="single" w:sz="4" w:space="0" w:color="4F3737" w:themeColor="accent6" w:themeShade="99"/>
          <w:insideV w:val="nil"/>
        </w:tcBorders>
        <w:shd w:val="clear" w:color="auto" w:fill="4F373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F3737" w:themeFill="accent6" w:themeFillShade="99"/>
      </w:tcPr>
    </w:tblStylePr>
    <w:tblStylePr w:type="band1Vert">
      <w:tblPr/>
      <w:tcPr>
        <w:shd w:val="clear" w:color="auto" w:fill="D0BCBC" w:themeFill="accent6" w:themeFillTint="66"/>
      </w:tcPr>
    </w:tblStylePr>
    <w:tblStylePr w:type="band1Horz">
      <w:tblPr/>
      <w:tcPr>
        <w:shd w:val="clear" w:color="auto" w:fill="C4ABAB" w:themeFill="accent6" w:themeFillTint="7F"/>
      </w:tcPr>
    </w:tblStylePr>
    <w:tblStylePr w:type="neCell">
      <w:rPr>
        <w:color w:val="000000" w:themeColor="text1"/>
      </w:rPr>
    </w:tblStylePr>
    <w:tblStylePr w:type="nwCell">
      <w:rPr>
        <w:color w:val="000000" w:themeColor="text1"/>
      </w:rPr>
    </w:tblStylePr>
  </w:style>
  <w:style w:type="numbering" w:customStyle="1" w:styleId="NoList3">
    <w:name w:val="No List3"/>
    <w:next w:val="NoList"/>
    <w:uiPriority w:val="99"/>
    <w:semiHidden/>
    <w:unhideWhenUsed/>
    <w:rsid w:val="00494617"/>
  </w:style>
  <w:style w:type="paragraph" w:styleId="Subtitle">
    <w:name w:val="Subtitle"/>
    <w:basedOn w:val="Normal"/>
    <w:link w:val="SubtitleChar"/>
    <w:uiPriority w:val="11"/>
    <w:qFormat/>
    <w:rsid w:val="00494617"/>
    <w:pPr>
      <w:spacing w:before="0" w:after="0" w:line="240" w:lineRule="auto"/>
      <w:jc w:val="center"/>
    </w:pPr>
    <w:rPr>
      <w:rFonts w:ascii="Arial" w:eastAsia="Times New Roman" w:hAnsi="Arial" w:cs="Times New Roman"/>
      <w:b/>
      <w:szCs w:val="24"/>
      <w:lang w:val="sl-SI" w:eastAsia="x-none"/>
    </w:rPr>
  </w:style>
  <w:style w:type="character" w:customStyle="1" w:styleId="SubtitleChar">
    <w:name w:val="Subtitle Char"/>
    <w:basedOn w:val="DefaultParagraphFont"/>
    <w:link w:val="Subtitle"/>
    <w:uiPriority w:val="11"/>
    <w:rsid w:val="00494617"/>
    <w:rPr>
      <w:rFonts w:ascii="Arial" w:eastAsia="Times New Roman" w:hAnsi="Arial" w:cs="Times New Roman"/>
      <w:b/>
      <w:sz w:val="24"/>
      <w:szCs w:val="24"/>
      <w:lang w:val="sl-SI" w:eastAsia="x-none"/>
    </w:rPr>
  </w:style>
  <w:style w:type="character" w:customStyle="1" w:styleId="hps">
    <w:name w:val="hps"/>
    <w:rsid w:val="00494617"/>
    <w:rPr>
      <w:rFonts w:ascii="Times New Roman" w:hAnsi="Times New Roman" w:cs="Times New Roman" w:hint="default"/>
    </w:rPr>
  </w:style>
  <w:style w:type="character" w:customStyle="1" w:styleId="hpsalt-edited">
    <w:name w:val="hps alt-edited"/>
    <w:rsid w:val="00494617"/>
  </w:style>
  <w:style w:type="table" w:customStyle="1" w:styleId="TableGrid12">
    <w:name w:val="Table Grid12"/>
    <w:basedOn w:val="TableNormal"/>
    <w:next w:val="TableGrid"/>
    <w:uiPriority w:val="59"/>
    <w:locked/>
    <w:rsid w:val="00494617"/>
    <w:pPr>
      <w:spacing w:after="0" w:line="240" w:lineRule="auto"/>
    </w:pPr>
    <w:rPr>
      <w:rFonts w:ascii="Calibri" w:eastAsia="Calibri" w:hAnsi="Calibri" w:cs="Times New Roman"/>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494617"/>
    <w:pPr>
      <w:spacing w:after="0" w:line="240" w:lineRule="auto"/>
    </w:pPr>
    <w:rPr>
      <w:rFonts w:ascii="Calibri" w:eastAsia="Calibri" w:hAnsi="Calibri" w:cs="Times New Roman"/>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
    <w:name w:val="expand"/>
    <w:basedOn w:val="DefaultParagraphFont"/>
    <w:rsid w:val="00494617"/>
  </w:style>
  <w:style w:type="paragraph" w:styleId="EndnoteText">
    <w:name w:val="endnote text"/>
    <w:basedOn w:val="Normal"/>
    <w:link w:val="EndnoteTextChar"/>
    <w:semiHidden/>
    <w:unhideWhenUsed/>
    <w:rsid w:val="00494617"/>
    <w:pPr>
      <w:spacing w:before="0" w:after="200" w:line="276" w:lineRule="auto"/>
      <w:jc w:val="left"/>
    </w:pPr>
    <w:rPr>
      <w:rFonts w:ascii="Calibri" w:eastAsia="Times New Roman" w:hAnsi="Calibri" w:cs="Times New Roman"/>
      <w:sz w:val="20"/>
      <w:szCs w:val="20"/>
      <w:lang w:val="hr-HR"/>
    </w:rPr>
  </w:style>
  <w:style w:type="character" w:customStyle="1" w:styleId="EndnoteTextChar">
    <w:name w:val="Endnote Text Char"/>
    <w:basedOn w:val="DefaultParagraphFont"/>
    <w:link w:val="EndnoteText"/>
    <w:semiHidden/>
    <w:rsid w:val="00494617"/>
    <w:rPr>
      <w:rFonts w:ascii="Calibri" w:eastAsia="Times New Roman" w:hAnsi="Calibri" w:cs="Times New Roman"/>
      <w:sz w:val="20"/>
      <w:szCs w:val="20"/>
      <w:lang w:val="hr-HR"/>
    </w:rPr>
  </w:style>
  <w:style w:type="character" w:styleId="EndnoteReference">
    <w:name w:val="endnote reference"/>
    <w:semiHidden/>
    <w:unhideWhenUsed/>
    <w:rsid w:val="00494617"/>
    <w:rPr>
      <w:vertAlign w:val="superscript"/>
    </w:rPr>
  </w:style>
  <w:style w:type="character" w:customStyle="1" w:styleId="Heading6Char">
    <w:name w:val="Heading 6 Char"/>
    <w:basedOn w:val="DefaultParagraphFont"/>
    <w:link w:val="Heading6"/>
    <w:uiPriority w:val="9"/>
    <w:rsid w:val="00DF6DAB"/>
    <w:rPr>
      <w:rFonts w:ascii="Calibri" w:eastAsia="Times New Roman" w:hAnsi="Calibri" w:cs="Times New Roman"/>
      <w:b/>
      <w:bCs/>
      <w:lang w:val="en-US"/>
    </w:rPr>
  </w:style>
  <w:style w:type="character" w:customStyle="1" w:styleId="Heading7Char">
    <w:name w:val="Heading 7 Char"/>
    <w:basedOn w:val="DefaultParagraphFont"/>
    <w:link w:val="Heading7"/>
    <w:uiPriority w:val="9"/>
    <w:rsid w:val="00DF6DAB"/>
    <w:rPr>
      <w:rFonts w:ascii="Calibri" w:eastAsia="Times New Roman" w:hAnsi="Calibri" w:cs="Times New Roman"/>
      <w:sz w:val="24"/>
      <w:szCs w:val="24"/>
      <w:lang w:val="en-US"/>
    </w:rPr>
  </w:style>
  <w:style w:type="character" w:customStyle="1" w:styleId="Heading8Char">
    <w:name w:val="Heading 8 Char"/>
    <w:basedOn w:val="DefaultParagraphFont"/>
    <w:link w:val="Heading8"/>
    <w:uiPriority w:val="9"/>
    <w:rsid w:val="00DF6DAB"/>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uiPriority w:val="9"/>
    <w:rsid w:val="00DF6DAB"/>
    <w:rPr>
      <w:rFonts w:ascii="Calibri Light" w:eastAsia="Times New Roman" w:hAnsi="Calibri Light" w:cs="Times New Roman"/>
      <w:lang w:val="en-US"/>
    </w:rPr>
  </w:style>
  <w:style w:type="character" w:customStyle="1" w:styleId="Heading2Char1">
    <w:name w:val="Heading 2 Char1"/>
    <w:aliases w:val="Section-Title Char,Title Header2 Char"/>
    <w:uiPriority w:val="9"/>
    <w:locked/>
    <w:rsid w:val="00DF6DAB"/>
    <w:rPr>
      <w:rFonts w:ascii="Arial" w:hAnsi="Arial"/>
      <w:b/>
      <w:bCs/>
      <w:i/>
      <w:iCs/>
      <w:sz w:val="28"/>
      <w:szCs w:val="28"/>
      <w:lang w:val="en-US" w:eastAsia="en-US"/>
    </w:rPr>
  </w:style>
  <w:style w:type="paragraph" w:styleId="ListBullet2">
    <w:name w:val="List Bullet 2"/>
    <w:basedOn w:val="Normal"/>
    <w:autoRedefine/>
    <w:uiPriority w:val="99"/>
    <w:rsid w:val="00DF6DAB"/>
    <w:pPr>
      <w:tabs>
        <w:tab w:val="left" w:pos="2964"/>
      </w:tabs>
      <w:spacing w:before="0" w:after="0" w:line="240" w:lineRule="auto"/>
      <w:ind w:firstLine="720"/>
    </w:pPr>
    <w:rPr>
      <w:rFonts w:ascii="Arial" w:eastAsia="Times New Roman" w:hAnsi="Arial" w:cs="Arial"/>
      <w:b/>
      <w:bCs/>
      <w:szCs w:val="24"/>
      <w:lang w:val="da-DK"/>
    </w:rPr>
  </w:style>
  <w:style w:type="paragraph" w:customStyle="1" w:styleId="bodytext0">
    <w:name w:val="body_text"/>
    <w:basedOn w:val="Normal"/>
    <w:uiPriority w:val="99"/>
    <w:rsid w:val="00DF6DAB"/>
    <w:pPr>
      <w:spacing w:before="0" w:after="90" w:line="240" w:lineRule="auto"/>
      <w:jc w:val="left"/>
    </w:pPr>
    <w:rPr>
      <w:rFonts w:ascii="Verdana" w:eastAsia="Times New Roman" w:hAnsi="Verdana" w:cs="Verdana"/>
      <w:color w:val="000000"/>
      <w:sz w:val="17"/>
      <w:szCs w:val="17"/>
      <w:lang w:val="en-US"/>
    </w:rPr>
  </w:style>
  <w:style w:type="paragraph" w:customStyle="1" w:styleId="head">
    <w:name w:val="head"/>
    <w:basedOn w:val="Normal"/>
    <w:uiPriority w:val="99"/>
    <w:rsid w:val="00DF6DAB"/>
    <w:pPr>
      <w:spacing w:before="180" w:after="180" w:line="240" w:lineRule="auto"/>
      <w:jc w:val="left"/>
    </w:pPr>
    <w:rPr>
      <w:rFonts w:ascii="Trebuchet MS" w:eastAsia="Times New Roman" w:hAnsi="Trebuchet MS" w:cs="Trebuchet MS"/>
      <w:color w:val="28325A"/>
      <w:sz w:val="30"/>
      <w:szCs w:val="30"/>
      <w:lang w:val="en-US"/>
    </w:rPr>
  </w:style>
  <w:style w:type="paragraph" w:customStyle="1" w:styleId="subhead">
    <w:name w:val="sub_head"/>
    <w:basedOn w:val="Normal"/>
    <w:uiPriority w:val="99"/>
    <w:rsid w:val="00DF6DAB"/>
    <w:pPr>
      <w:spacing w:before="90" w:after="90" w:line="240" w:lineRule="auto"/>
      <w:jc w:val="left"/>
    </w:pPr>
    <w:rPr>
      <w:rFonts w:ascii="Verdana" w:eastAsia="Times New Roman" w:hAnsi="Verdana" w:cs="Verdana"/>
      <w:b/>
      <w:bCs/>
      <w:color w:val="28325A"/>
      <w:sz w:val="17"/>
      <w:szCs w:val="17"/>
      <w:lang w:val="en-US"/>
    </w:rPr>
  </w:style>
  <w:style w:type="paragraph" w:customStyle="1" w:styleId="nastevanje1">
    <w:name w:val="nastevanje1"/>
    <w:basedOn w:val="Normal"/>
    <w:rsid w:val="00DF6DAB"/>
    <w:pPr>
      <w:spacing w:before="100" w:beforeAutospacing="1" w:after="100" w:afterAutospacing="1" w:line="240" w:lineRule="auto"/>
      <w:jc w:val="left"/>
    </w:pPr>
    <w:rPr>
      <w:rFonts w:ascii="Times New Roman" w:eastAsia="Times New Roman" w:hAnsi="Times New Roman" w:cs="Times New Roman"/>
      <w:szCs w:val="24"/>
      <w:lang w:val="en-US"/>
    </w:rPr>
  </w:style>
  <w:style w:type="character" w:customStyle="1" w:styleId="Heading1Char1">
    <w:name w:val="Heading 1 Char1"/>
    <w:uiPriority w:val="9"/>
    <w:locked/>
    <w:rsid w:val="00DF6DAB"/>
    <w:rPr>
      <w:rFonts w:ascii="Arial" w:hAnsi="Arial"/>
      <w:b/>
      <w:bCs/>
      <w:kern w:val="32"/>
      <w:sz w:val="32"/>
      <w:szCs w:val="32"/>
      <w:lang w:val="en-US" w:eastAsia="en-US"/>
    </w:rPr>
  </w:style>
  <w:style w:type="paragraph" w:customStyle="1" w:styleId="JustifiedLeft14cm">
    <w:name w:val="ТЕКСТ Justified Left:  1.4 cm"/>
    <w:basedOn w:val="Normal"/>
    <w:link w:val="JustifiedLeft14cmChar"/>
    <w:uiPriority w:val="99"/>
    <w:rsid w:val="00DF6DAB"/>
    <w:pPr>
      <w:spacing w:before="0" w:after="0" w:line="240" w:lineRule="auto"/>
      <w:ind w:left="792"/>
    </w:pPr>
    <w:rPr>
      <w:rFonts w:ascii="Times New Roman" w:eastAsia="Times New Roman" w:hAnsi="Times New Roman" w:cs="Times New Roman"/>
      <w:szCs w:val="24"/>
      <w:lang w:val="en-US"/>
    </w:rPr>
  </w:style>
  <w:style w:type="character" w:customStyle="1" w:styleId="JustifiedLeft14cmChar">
    <w:name w:val="ТЕКСТ Justified Left:  1.4 cm Char"/>
    <w:link w:val="JustifiedLeft14cm"/>
    <w:uiPriority w:val="99"/>
    <w:locked/>
    <w:rsid w:val="00DF6DAB"/>
    <w:rPr>
      <w:rFonts w:ascii="Times New Roman" w:eastAsia="Times New Roman" w:hAnsi="Times New Roman" w:cs="Times New Roman"/>
      <w:sz w:val="24"/>
      <w:szCs w:val="24"/>
      <w:lang w:val="en-US"/>
    </w:rPr>
  </w:style>
  <w:style w:type="character" w:customStyle="1" w:styleId="FooterChar1">
    <w:name w:val="Footer Char1"/>
    <w:uiPriority w:val="99"/>
    <w:locked/>
    <w:rsid w:val="00DF6DAB"/>
    <w:rPr>
      <w:rFonts w:ascii="Times" w:hAnsi="Times"/>
      <w:sz w:val="24"/>
      <w:szCs w:val="24"/>
      <w:lang w:val="x-none" w:eastAsia="x-none"/>
    </w:rPr>
  </w:style>
  <w:style w:type="paragraph" w:customStyle="1" w:styleId="a">
    <w:name w:val="標準（字下げ）"/>
    <w:basedOn w:val="Normal"/>
    <w:link w:val="Char"/>
    <w:rsid w:val="00DF6DAB"/>
    <w:pPr>
      <w:widowControl w:val="0"/>
      <w:spacing w:before="0" w:after="0" w:line="240" w:lineRule="auto"/>
      <w:ind w:firstLineChars="100" w:firstLine="195"/>
    </w:pPr>
    <w:rPr>
      <w:rFonts w:ascii="Times New Roman" w:eastAsia="MS Mincho" w:hAnsi="Times New Roman" w:cs="Times New Roman"/>
      <w:kern w:val="2"/>
      <w:sz w:val="21"/>
      <w:szCs w:val="21"/>
      <w:lang w:val="en-US" w:eastAsia="ja-JP"/>
    </w:rPr>
  </w:style>
  <w:style w:type="character" w:customStyle="1" w:styleId="Char">
    <w:name w:val="標準（字下げ） Char"/>
    <w:link w:val="a"/>
    <w:locked/>
    <w:rsid w:val="00DF6DAB"/>
    <w:rPr>
      <w:rFonts w:ascii="Times New Roman" w:eastAsia="MS Mincho" w:hAnsi="Times New Roman" w:cs="Times New Roman"/>
      <w:kern w:val="2"/>
      <w:sz w:val="21"/>
      <w:szCs w:val="21"/>
      <w:lang w:val="en-US" w:eastAsia="ja-JP"/>
    </w:rPr>
  </w:style>
  <w:style w:type="character" w:customStyle="1" w:styleId="Section-TitleChar1">
    <w:name w:val="Section-Title Char1"/>
    <w:aliases w:val="Title Header2 Char Char1"/>
    <w:rsid w:val="00DF6DAB"/>
    <w:rPr>
      <w:rFonts w:ascii="Arial" w:hAnsi="Arial" w:cs="Arial"/>
      <w:b/>
      <w:bCs/>
      <w:i/>
      <w:iCs/>
      <w:sz w:val="28"/>
      <w:szCs w:val="28"/>
      <w:lang w:val="en-US" w:eastAsia="en-US" w:bidi="ar-SA"/>
    </w:rPr>
  </w:style>
  <w:style w:type="paragraph" w:customStyle="1" w:styleId="NASLOV">
    <w:name w:val="NASLOV"/>
    <w:basedOn w:val="Normal"/>
    <w:rsid w:val="00DF6DAB"/>
    <w:pPr>
      <w:spacing w:before="0" w:after="0" w:line="240" w:lineRule="auto"/>
      <w:jc w:val="center"/>
    </w:pPr>
    <w:rPr>
      <w:rFonts w:ascii="Times New Roman" w:eastAsia="Times New Roman" w:hAnsi="Times New Roman" w:cs="Times New Roman"/>
      <w:b/>
      <w:sz w:val="28"/>
      <w:szCs w:val="24"/>
      <w:lang w:val="en-US"/>
    </w:rPr>
  </w:style>
  <w:style w:type="paragraph" w:customStyle="1" w:styleId="Heading1a">
    <w:name w:val="Heading 1a"/>
    <w:basedOn w:val="Normal"/>
    <w:next w:val="Normal"/>
    <w:rsid w:val="00DF6DAB"/>
    <w:pPr>
      <w:keepNext/>
      <w:keepLines/>
      <w:numPr>
        <w:numId w:val="87"/>
      </w:numPr>
      <w:spacing w:before="1440" w:after="240" w:line="240" w:lineRule="auto"/>
      <w:jc w:val="center"/>
      <w:outlineLvl w:val="0"/>
    </w:pPr>
    <w:rPr>
      <w:rFonts w:ascii="Times New Roman" w:eastAsia="Times New Roman" w:hAnsi="Times New Roman" w:cs="Times New Roman"/>
      <w:b/>
      <w:caps/>
      <w:sz w:val="32"/>
      <w:szCs w:val="24"/>
      <w:lang w:val="en-US"/>
    </w:rPr>
  </w:style>
  <w:style w:type="paragraph" w:customStyle="1" w:styleId="MainParanoChapter">
    <w:name w:val="Main Para no Chapter #"/>
    <w:basedOn w:val="Normal"/>
    <w:rsid w:val="00DF6DAB"/>
    <w:pPr>
      <w:numPr>
        <w:ilvl w:val="1"/>
        <w:numId w:val="87"/>
      </w:numPr>
      <w:spacing w:before="0" w:after="240" w:line="240" w:lineRule="auto"/>
      <w:jc w:val="left"/>
      <w:outlineLvl w:val="1"/>
    </w:pPr>
    <w:rPr>
      <w:rFonts w:ascii="Times New Roman" w:eastAsia="Times New Roman" w:hAnsi="Times New Roman" w:cs="Times New Roman"/>
      <w:szCs w:val="24"/>
      <w:lang w:val="en-US"/>
    </w:rPr>
  </w:style>
  <w:style w:type="paragraph" w:customStyle="1" w:styleId="Sub-Para1underX">
    <w:name w:val="Sub-Para 1 under X."/>
    <w:basedOn w:val="Normal"/>
    <w:rsid w:val="00DF6DAB"/>
    <w:pPr>
      <w:numPr>
        <w:ilvl w:val="2"/>
        <w:numId w:val="87"/>
      </w:numPr>
      <w:spacing w:before="0" w:after="240" w:line="240" w:lineRule="auto"/>
      <w:jc w:val="left"/>
      <w:outlineLvl w:val="2"/>
    </w:pPr>
    <w:rPr>
      <w:rFonts w:ascii="Times New Roman" w:eastAsia="Times New Roman" w:hAnsi="Times New Roman" w:cs="Times New Roman"/>
      <w:szCs w:val="24"/>
      <w:lang w:val="en-US"/>
    </w:rPr>
  </w:style>
  <w:style w:type="paragraph" w:customStyle="1" w:styleId="Sub-Para2underX">
    <w:name w:val="Sub-Para 2 under X."/>
    <w:basedOn w:val="Normal"/>
    <w:rsid w:val="00DF6DAB"/>
    <w:pPr>
      <w:numPr>
        <w:ilvl w:val="3"/>
        <w:numId w:val="87"/>
      </w:numPr>
      <w:spacing w:before="0" w:after="240" w:line="240" w:lineRule="auto"/>
      <w:jc w:val="left"/>
      <w:outlineLvl w:val="3"/>
    </w:pPr>
    <w:rPr>
      <w:rFonts w:ascii="Times New Roman" w:eastAsia="Times New Roman" w:hAnsi="Times New Roman" w:cs="Times New Roman"/>
      <w:szCs w:val="24"/>
      <w:lang w:val="en-US"/>
    </w:rPr>
  </w:style>
  <w:style w:type="paragraph" w:customStyle="1" w:styleId="Sub-Para3underX">
    <w:name w:val="Sub-Para 3 under X."/>
    <w:basedOn w:val="Normal"/>
    <w:rsid w:val="00DF6DAB"/>
    <w:pPr>
      <w:numPr>
        <w:ilvl w:val="4"/>
        <w:numId w:val="87"/>
      </w:numPr>
      <w:spacing w:before="0" w:after="240" w:line="240" w:lineRule="auto"/>
      <w:jc w:val="left"/>
      <w:outlineLvl w:val="4"/>
    </w:pPr>
    <w:rPr>
      <w:rFonts w:ascii="Times New Roman" w:eastAsia="Times New Roman" w:hAnsi="Times New Roman" w:cs="Times New Roman"/>
      <w:szCs w:val="24"/>
      <w:lang w:val="en-US"/>
    </w:rPr>
  </w:style>
  <w:style w:type="paragraph" w:customStyle="1" w:styleId="Sub-Para4underX">
    <w:name w:val="Sub-Para 4 under X."/>
    <w:basedOn w:val="Normal"/>
    <w:rsid w:val="00DF6DAB"/>
    <w:pPr>
      <w:numPr>
        <w:ilvl w:val="5"/>
        <w:numId w:val="87"/>
      </w:numPr>
      <w:spacing w:before="0" w:after="240" w:line="240" w:lineRule="auto"/>
      <w:jc w:val="left"/>
      <w:outlineLvl w:val="5"/>
    </w:pPr>
    <w:rPr>
      <w:rFonts w:ascii="Times New Roman" w:eastAsia="Times New Roman" w:hAnsi="Times New Roman" w:cs="Times New Roman"/>
      <w:szCs w:val="24"/>
      <w:lang w:val="en-US"/>
    </w:rPr>
  </w:style>
  <w:style w:type="character" w:styleId="BookTitle">
    <w:name w:val="Book Title"/>
    <w:uiPriority w:val="33"/>
    <w:qFormat/>
    <w:rsid w:val="00DF6DAB"/>
    <w:rPr>
      <w:b/>
      <w:bCs/>
      <w:i/>
      <w:iCs/>
      <w:spacing w:val="5"/>
    </w:rPr>
  </w:style>
  <w:style w:type="table" w:customStyle="1" w:styleId="TableGrid0">
    <w:name w:val="TableGrid"/>
    <w:rsid w:val="00DF6DAB"/>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customStyle="1" w:styleId="Style1">
    <w:name w:val="Style1"/>
    <w:basedOn w:val="JustifiedLeft14cm"/>
    <w:next w:val="Default"/>
    <w:qFormat/>
    <w:rsid w:val="00DF6DAB"/>
  </w:style>
  <w:style w:type="numbering" w:customStyle="1" w:styleId="NoList4">
    <w:name w:val="No List4"/>
    <w:next w:val="NoList"/>
    <w:uiPriority w:val="99"/>
    <w:semiHidden/>
    <w:unhideWhenUsed/>
    <w:rsid w:val="00C76FE8"/>
  </w:style>
  <w:style w:type="table" w:customStyle="1" w:styleId="TableGrid14">
    <w:name w:val="Table Grid14"/>
    <w:basedOn w:val="TableNormal"/>
    <w:next w:val="TableGrid"/>
    <w:rsid w:val="00C76FE8"/>
    <w:pPr>
      <w:spacing w:after="0" w:line="240" w:lineRule="auto"/>
    </w:pPr>
    <w:rPr>
      <w:rFonts w:ascii="Times New Roman" w:eastAsia="Times New Roman" w:hAnsi="Times New Roman" w:cs="Times New Roman"/>
      <w:sz w:val="20"/>
      <w:szCs w:val="20"/>
      <w:lang w:val="sr-Latn-RS"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C76FE8"/>
  </w:style>
  <w:style w:type="table" w:customStyle="1" w:styleId="TableGrid15">
    <w:name w:val="TableGrid1"/>
    <w:rsid w:val="00C76FE8"/>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numbering" w:customStyle="1" w:styleId="NoList5">
    <w:name w:val="No List5"/>
    <w:next w:val="NoList"/>
    <w:uiPriority w:val="99"/>
    <w:semiHidden/>
    <w:rsid w:val="003611CF"/>
  </w:style>
  <w:style w:type="character" w:customStyle="1" w:styleId="normalchar">
    <w:name w:val="normal__char"/>
    <w:basedOn w:val="DefaultParagraphFont"/>
    <w:rsid w:val="003611CF"/>
  </w:style>
  <w:style w:type="character" w:customStyle="1" w:styleId="normalchar0">
    <w:name w:val="normalchar"/>
    <w:basedOn w:val="DefaultParagraphFont"/>
    <w:rsid w:val="003611CF"/>
  </w:style>
  <w:style w:type="character" w:customStyle="1" w:styleId="st">
    <w:name w:val="st"/>
    <w:basedOn w:val="DefaultParagraphFont"/>
    <w:rsid w:val="003611CF"/>
  </w:style>
  <w:style w:type="table" w:customStyle="1" w:styleId="TableGrid150">
    <w:name w:val="Table Grid15"/>
    <w:basedOn w:val="TableNormal"/>
    <w:next w:val="TableGrid"/>
    <w:uiPriority w:val="59"/>
    <w:rsid w:val="003611CF"/>
    <w:pPr>
      <w:spacing w:after="0" w:line="240" w:lineRule="auto"/>
      <w:jc w:val="both"/>
    </w:pPr>
    <w:rPr>
      <w:rFonts w:ascii="Calibri" w:eastAsia="Calibri" w:hAnsi="Calibri" w:cs="Times New Roman"/>
      <w:lang w:val="hr-HR" w:eastAsia="sr-Latn-R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30X">
    <w:name w:val="T30X"/>
    <w:basedOn w:val="Normal"/>
    <w:uiPriority w:val="99"/>
    <w:rsid w:val="003611CF"/>
    <w:pPr>
      <w:autoSpaceDE w:val="0"/>
      <w:autoSpaceDN w:val="0"/>
      <w:adjustRightInd w:val="0"/>
      <w:spacing w:before="60" w:after="60" w:line="240" w:lineRule="auto"/>
      <w:ind w:firstLine="283"/>
    </w:pPr>
    <w:rPr>
      <w:rFonts w:ascii="Times New Roman" w:eastAsia="Times New Roman" w:hAnsi="Times New Roman" w:cs="Times New Roman"/>
      <w:color w:val="000000"/>
      <w:sz w:val="22"/>
      <w:lang w:val="hr-HR" w:eastAsia="hr-HR"/>
    </w:rPr>
  </w:style>
  <w:style w:type="character" w:styleId="SubtleEmphasis">
    <w:name w:val="Subtle Emphasis"/>
    <w:uiPriority w:val="19"/>
    <w:qFormat/>
    <w:rsid w:val="003611CF"/>
    <w:rPr>
      <w:i/>
      <w:iCs/>
      <w:color w:val="404040"/>
    </w:rPr>
  </w:style>
  <w:style w:type="paragraph" w:customStyle="1" w:styleId="Heading11">
    <w:name w:val="Heading 11"/>
    <w:basedOn w:val="Normal"/>
    <w:next w:val="Normal"/>
    <w:uiPriority w:val="9"/>
    <w:qFormat/>
    <w:rsid w:val="003611CF"/>
    <w:pPr>
      <w:keepNext/>
      <w:keepLines/>
      <w:spacing w:before="320" w:after="40" w:line="252" w:lineRule="auto"/>
      <w:outlineLvl w:val="0"/>
    </w:pPr>
    <w:rPr>
      <w:rFonts w:ascii="Cambria" w:eastAsia="Times New Roman" w:hAnsi="Cambria" w:cs="Times New Roman"/>
      <w:b/>
      <w:bCs/>
      <w:caps/>
      <w:spacing w:val="4"/>
      <w:sz w:val="28"/>
      <w:szCs w:val="28"/>
      <w:lang w:val="en-GB" w:eastAsia="en-GB"/>
    </w:rPr>
  </w:style>
  <w:style w:type="paragraph" w:customStyle="1" w:styleId="Heading21">
    <w:name w:val="Heading 21"/>
    <w:basedOn w:val="Normal"/>
    <w:next w:val="Normal"/>
    <w:uiPriority w:val="9"/>
    <w:semiHidden/>
    <w:unhideWhenUsed/>
    <w:qFormat/>
    <w:rsid w:val="003611CF"/>
    <w:pPr>
      <w:keepNext/>
      <w:keepLines/>
      <w:spacing w:after="0" w:line="252" w:lineRule="auto"/>
      <w:outlineLvl w:val="1"/>
    </w:pPr>
    <w:rPr>
      <w:rFonts w:ascii="Cambria" w:eastAsia="Times New Roman" w:hAnsi="Cambria" w:cs="Times New Roman"/>
      <w:b/>
      <w:bCs/>
      <w:sz w:val="28"/>
      <w:szCs w:val="28"/>
      <w:lang w:val="hr-HR"/>
    </w:rPr>
  </w:style>
  <w:style w:type="paragraph" w:customStyle="1" w:styleId="Heading31">
    <w:name w:val="Heading 31"/>
    <w:basedOn w:val="Normal"/>
    <w:next w:val="Normal"/>
    <w:uiPriority w:val="9"/>
    <w:semiHidden/>
    <w:unhideWhenUsed/>
    <w:qFormat/>
    <w:rsid w:val="003611CF"/>
    <w:pPr>
      <w:keepNext/>
      <w:keepLines/>
      <w:spacing w:after="0" w:line="252" w:lineRule="auto"/>
      <w:outlineLvl w:val="2"/>
    </w:pPr>
    <w:rPr>
      <w:rFonts w:ascii="Cambria" w:eastAsia="Times New Roman" w:hAnsi="Cambria" w:cs="Times New Roman"/>
      <w:spacing w:val="4"/>
      <w:szCs w:val="24"/>
      <w:lang w:val="hr-HR"/>
    </w:rPr>
  </w:style>
  <w:style w:type="paragraph" w:customStyle="1" w:styleId="Heading41">
    <w:name w:val="Heading 41"/>
    <w:basedOn w:val="Normal"/>
    <w:next w:val="Normal"/>
    <w:uiPriority w:val="9"/>
    <w:semiHidden/>
    <w:unhideWhenUsed/>
    <w:qFormat/>
    <w:rsid w:val="003611CF"/>
    <w:pPr>
      <w:keepNext/>
      <w:keepLines/>
      <w:spacing w:after="0" w:line="252" w:lineRule="auto"/>
      <w:outlineLvl w:val="3"/>
    </w:pPr>
    <w:rPr>
      <w:rFonts w:ascii="Cambria" w:eastAsia="Times New Roman" w:hAnsi="Cambria" w:cs="Times New Roman"/>
      <w:i/>
      <w:iCs/>
      <w:szCs w:val="24"/>
      <w:lang w:val="hr-HR"/>
    </w:rPr>
  </w:style>
  <w:style w:type="paragraph" w:customStyle="1" w:styleId="Heading51">
    <w:name w:val="Heading 51"/>
    <w:basedOn w:val="Normal"/>
    <w:next w:val="Normal"/>
    <w:uiPriority w:val="9"/>
    <w:semiHidden/>
    <w:unhideWhenUsed/>
    <w:qFormat/>
    <w:rsid w:val="003611CF"/>
    <w:pPr>
      <w:keepNext/>
      <w:keepLines/>
      <w:spacing w:after="0" w:line="252" w:lineRule="auto"/>
      <w:outlineLvl w:val="4"/>
    </w:pPr>
    <w:rPr>
      <w:rFonts w:ascii="Cambria" w:eastAsia="Times New Roman" w:hAnsi="Cambria" w:cs="Times New Roman"/>
      <w:b/>
      <w:bCs/>
      <w:sz w:val="22"/>
      <w:lang w:val="hr-HR"/>
    </w:rPr>
  </w:style>
  <w:style w:type="paragraph" w:customStyle="1" w:styleId="Heading61">
    <w:name w:val="Heading 61"/>
    <w:basedOn w:val="Normal"/>
    <w:next w:val="Normal"/>
    <w:uiPriority w:val="9"/>
    <w:semiHidden/>
    <w:unhideWhenUsed/>
    <w:qFormat/>
    <w:rsid w:val="003611CF"/>
    <w:pPr>
      <w:keepNext/>
      <w:keepLines/>
      <w:spacing w:after="0" w:line="252" w:lineRule="auto"/>
      <w:outlineLvl w:val="5"/>
    </w:pPr>
    <w:rPr>
      <w:rFonts w:ascii="Cambria" w:eastAsia="Times New Roman" w:hAnsi="Cambria" w:cs="Times New Roman"/>
      <w:b/>
      <w:bCs/>
      <w:i/>
      <w:iCs/>
      <w:sz w:val="22"/>
      <w:lang w:val="hr-HR"/>
    </w:rPr>
  </w:style>
  <w:style w:type="numbering" w:customStyle="1" w:styleId="NoList13">
    <w:name w:val="No List13"/>
    <w:next w:val="NoList"/>
    <w:uiPriority w:val="99"/>
    <w:semiHidden/>
    <w:unhideWhenUsed/>
    <w:rsid w:val="003611CF"/>
  </w:style>
  <w:style w:type="paragraph" w:styleId="Caption">
    <w:name w:val="caption"/>
    <w:basedOn w:val="Normal"/>
    <w:next w:val="Normal"/>
    <w:uiPriority w:val="35"/>
    <w:semiHidden/>
    <w:unhideWhenUsed/>
    <w:qFormat/>
    <w:rsid w:val="003611CF"/>
    <w:pPr>
      <w:spacing w:before="0" w:after="160" w:line="252" w:lineRule="auto"/>
    </w:pPr>
    <w:rPr>
      <w:rFonts w:ascii="Calibri" w:eastAsia="Times New Roman" w:hAnsi="Calibri" w:cs="Times New Roman"/>
      <w:b/>
      <w:bCs/>
      <w:sz w:val="18"/>
      <w:szCs w:val="18"/>
      <w:lang w:val="hr-HR"/>
    </w:rPr>
  </w:style>
  <w:style w:type="paragraph" w:customStyle="1" w:styleId="Title1">
    <w:name w:val="Title1"/>
    <w:basedOn w:val="Normal"/>
    <w:next w:val="Normal"/>
    <w:uiPriority w:val="10"/>
    <w:qFormat/>
    <w:rsid w:val="003611CF"/>
    <w:pPr>
      <w:spacing w:before="0" w:after="0" w:line="240" w:lineRule="auto"/>
      <w:contextualSpacing/>
      <w:jc w:val="center"/>
    </w:pPr>
    <w:rPr>
      <w:rFonts w:ascii="Cambria" w:eastAsia="Times New Roman" w:hAnsi="Cambria" w:cs="Times New Roman"/>
      <w:b/>
      <w:bCs/>
      <w:spacing w:val="-7"/>
      <w:sz w:val="48"/>
      <w:szCs w:val="48"/>
      <w:lang w:val="hr-HR"/>
    </w:rPr>
  </w:style>
  <w:style w:type="paragraph" w:customStyle="1" w:styleId="Subtitle1">
    <w:name w:val="Subtitle1"/>
    <w:basedOn w:val="Normal"/>
    <w:next w:val="Normal"/>
    <w:uiPriority w:val="11"/>
    <w:qFormat/>
    <w:rsid w:val="003611CF"/>
    <w:pPr>
      <w:numPr>
        <w:ilvl w:val="1"/>
      </w:numPr>
      <w:spacing w:before="0" w:after="240" w:line="252" w:lineRule="auto"/>
      <w:jc w:val="center"/>
    </w:pPr>
    <w:rPr>
      <w:rFonts w:ascii="Cambria" w:eastAsia="Times New Roman" w:hAnsi="Cambria" w:cs="Times New Roman"/>
      <w:szCs w:val="24"/>
      <w:lang w:val="hr-HR"/>
    </w:rPr>
  </w:style>
  <w:style w:type="paragraph" w:customStyle="1" w:styleId="Quote1">
    <w:name w:val="Quote1"/>
    <w:basedOn w:val="Normal"/>
    <w:next w:val="Normal"/>
    <w:uiPriority w:val="29"/>
    <w:qFormat/>
    <w:rsid w:val="003611CF"/>
    <w:pPr>
      <w:spacing w:before="200" w:after="160"/>
      <w:ind w:left="864" w:right="864"/>
      <w:jc w:val="center"/>
    </w:pPr>
    <w:rPr>
      <w:rFonts w:ascii="Cambria" w:eastAsia="Times New Roman" w:hAnsi="Cambria" w:cs="Times New Roman"/>
      <w:i/>
      <w:iCs/>
      <w:szCs w:val="24"/>
      <w:lang w:val="hr-HR"/>
    </w:rPr>
  </w:style>
  <w:style w:type="character" w:customStyle="1" w:styleId="QuoteChar">
    <w:name w:val="Quote Char"/>
    <w:link w:val="Quote"/>
    <w:uiPriority w:val="29"/>
    <w:rsid w:val="003611CF"/>
    <w:rPr>
      <w:rFonts w:ascii="Cambria" w:hAnsi="Cambria"/>
      <w:i/>
      <w:iCs/>
      <w:sz w:val="24"/>
      <w:szCs w:val="24"/>
    </w:rPr>
  </w:style>
  <w:style w:type="paragraph" w:customStyle="1" w:styleId="IntenseQuote1">
    <w:name w:val="Intense Quote1"/>
    <w:basedOn w:val="Normal"/>
    <w:next w:val="Normal"/>
    <w:uiPriority w:val="30"/>
    <w:qFormat/>
    <w:rsid w:val="003611CF"/>
    <w:pPr>
      <w:spacing w:before="100" w:beforeAutospacing="1" w:after="240" w:line="252" w:lineRule="auto"/>
      <w:ind w:left="936" w:right="936"/>
      <w:jc w:val="center"/>
    </w:pPr>
    <w:rPr>
      <w:rFonts w:ascii="Cambria" w:eastAsia="Times New Roman" w:hAnsi="Cambria" w:cs="Times New Roman"/>
      <w:sz w:val="26"/>
      <w:szCs w:val="26"/>
      <w:lang w:val="hr-HR"/>
    </w:rPr>
  </w:style>
  <w:style w:type="character" w:customStyle="1" w:styleId="IntenseQuoteChar">
    <w:name w:val="Intense Quote Char"/>
    <w:link w:val="IntenseQuote"/>
    <w:uiPriority w:val="30"/>
    <w:rsid w:val="003611CF"/>
    <w:rPr>
      <w:rFonts w:ascii="Cambria" w:hAnsi="Cambria"/>
      <w:sz w:val="26"/>
      <w:szCs w:val="26"/>
    </w:rPr>
  </w:style>
  <w:style w:type="character" w:styleId="IntenseEmphasis">
    <w:name w:val="Intense Emphasis"/>
    <w:uiPriority w:val="21"/>
    <w:qFormat/>
    <w:rsid w:val="003611CF"/>
    <w:rPr>
      <w:b/>
      <w:bCs/>
      <w:i/>
      <w:iCs/>
      <w:color w:val="auto"/>
    </w:rPr>
  </w:style>
  <w:style w:type="character" w:customStyle="1" w:styleId="SubtleReference1">
    <w:name w:val="Subtle Reference1"/>
    <w:uiPriority w:val="31"/>
    <w:qFormat/>
    <w:rsid w:val="003611CF"/>
    <w:rPr>
      <w:smallCaps/>
      <w:color w:val="auto"/>
      <w:u w:val="single" w:color="7F7F7F"/>
    </w:rPr>
  </w:style>
  <w:style w:type="character" w:styleId="IntenseReference">
    <w:name w:val="Intense Reference"/>
    <w:uiPriority w:val="32"/>
    <w:qFormat/>
    <w:rsid w:val="003611CF"/>
    <w:rPr>
      <w:b/>
      <w:bCs/>
      <w:smallCaps/>
      <w:color w:val="auto"/>
      <w:u w:val="single"/>
    </w:rPr>
  </w:style>
  <w:style w:type="table" w:customStyle="1" w:styleId="TableGrid16">
    <w:name w:val="Table Grid16"/>
    <w:basedOn w:val="TableNormal"/>
    <w:next w:val="TableGrid"/>
    <w:uiPriority w:val="59"/>
    <w:unhideWhenUsed/>
    <w:rsid w:val="003611CF"/>
    <w:pPr>
      <w:spacing w:after="0" w:line="240" w:lineRule="auto"/>
      <w:jc w:val="both"/>
    </w:pPr>
    <w:rPr>
      <w:rFonts w:ascii="Calibri" w:eastAsia="Times New Roman" w:hAnsi="Calibri" w:cs="Times New Roman"/>
      <w:lang w:val="hr-HR"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1">
    <w:name w:val="Heading 3 Char1"/>
    <w:uiPriority w:val="9"/>
    <w:semiHidden/>
    <w:rsid w:val="003611CF"/>
    <w:rPr>
      <w:rFonts w:ascii="Cambria" w:eastAsia="Times New Roman" w:hAnsi="Cambria" w:cs="Times New Roman"/>
      <w:color w:val="243F60"/>
      <w:sz w:val="24"/>
      <w:szCs w:val="24"/>
    </w:rPr>
  </w:style>
  <w:style w:type="character" w:customStyle="1" w:styleId="Heading4Char1">
    <w:name w:val="Heading 4 Char1"/>
    <w:uiPriority w:val="9"/>
    <w:semiHidden/>
    <w:rsid w:val="003611CF"/>
    <w:rPr>
      <w:rFonts w:ascii="Cambria" w:eastAsia="Times New Roman" w:hAnsi="Cambria" w:cs="Times New Roman"/>
      <w:i/>
      <w:iCs/>
      <w:color w:val="365F91"/>
    </w:rPr>
  </w:style>
  <w:style w:type="character" w:customStyle="1" w:styleId="Heading5Char1">
    <w:name w:val="Heading 5 Char1"/>
    <w:uiPriority w:val="9"/>
    <w:semiHidden/>
    <w:rsid w:val="003611CF"/>
    <w:rPr>
      <w:rFonts w:ascii="Cambria" w:eastAsia="Times New Roman" w:hAnsi="Cambria" w:cs="Times New Roman"/>
      <w:color w:val="365F91"/>
    </w:rPr>
  </w:style>
  <w:style w:type="character" w:customStyle="1" w:styleId="Heading6Char1">
    <w:name w:val="Heading 6 Char1"/>
    <w:uiPriority w:val="9"/>
    <w:semiHidden/>
    <w:rsid w:val="003611CF"/>
    <w:rPr>
      <w:rFonts w:ascii="Cambria" w:eastAsia="Times New Roman" w:hAnsi="Cambria" w:cs="Times New Roman"/>
      <w:color w:val="243F60"/>
    </w:rPr>
  </w:style>
  <w:style w:type="character" w:customStyle="1" w:styleId="TitleChar1">
    <w:name w:val="Title Char1"/>
    <w:uiPriority w:val="10"/>
    <w:rsid w:val="003611CF"/>
    <w:rPr>
      <w:rFonts w:ascii="Cambria" w:eastAsia="Times New Roman" w:hAnsi="Cambria" w:cs="Times New Roman"/>
      <w:b/>
      <w:bCs/>
      <w:kern w:val="28"/>
      <w:sz w:val="32"/>
      <w:szCs w:val="32"/>
      <w:lang w:val="en-GB"/>
    </w:rPr>
  </w:style>
  <w:style w:type="character" w:customStyle="1" w:styleId="SubtitleChar1">
    <w:name w:val="Subtitle Char1"/>
    <w:uiPriority w:val="11"/>
    <w:rsid w:val="003611CF"/>
    <w:rPr>
      <w:rFonts w:ascii="Cambria" w:eastAsia="Times New Roman" w:hAnsi="Cambria" w:cs="Times New Roman"/>
      <w:sz w:val="24"/>
      <w:szCs w:val="24"/>
      <w:lang w:val="en-GB"/>
    </w:rPr>
  </w:style>
  <w:style w:type="paragraph" w:styleId="Quote">
    <w:name w:val="Quote"/>
    <w:basedOn w:val="Normal"/>
    <w:next w:val="Normal"/>
    <w:link w:val="QuoteChar"/>
    <w:uiPriority w:val="29"/>
    <w:qFormat/>
    <w:rsid w:val="003611CF"/>
    <w:pPr>
      <w:spacing w:before="200" w:after="160" w:line="276" w:lineRule="auto"/>
      <w:ind w:left="864" w:right="864"/>
      <w:jc w:val="center"/>
    </w:pPr>
    <w:rPr>
      <w:rFonts w:ascii="Cambria" w:hAnsi="Cambria"/>
      <w:i/>
      <w:iCs/>
      <w:szCs w:val="24"/>
    </w:rPr>
  </w:style>
  <w:style w:type="character" w:customStyle="1" w:styleId="QuoteChar1">
    <w:name w:val="Quote Char1"/>
    <w:basedOn w:val="DefaultParagraphFont"/>
    <w:uiPriority w:val="29"/>
    <w:rsid w:val="003611CF"/>
    <w:rPr>
      <w:i/>
      <w:iCs/>
      <w:color w:val="404040" w:themeColor="text1" w:themeTint="BF"/>
      <w:sz w:val="24"/>
    </w:rPr>
  </w:style>
  <w:style w:type="paragraph" w:styleId="IntenseQuote">
    <w:name w:val="Intense Quote"/>
    <w:basedOn w:val="Normal"/>
    <w:next w:val="Normal"/>
    <w:link w:val="IntenseQuoteChar"/>
    <w:uiPriority w:val="30"/>
    <w:qFormat/>
    <w:rsid w:val="003611CF"/>
    <w:pPr>
      <w:pBdr>
        <w:top w:val="single" w:sz="4" w:space="10" w:color="4F81BD"/>
        <w:bottom w:val="single" w:sz="4" w:space="10" w:color="4F81BD"/>
      </w:pBdr>
      <w:spacing w:before="360" w:after="360" w:line="276" w:lineRule="auto"/>
      <w:ind w:left="864" w:right="864"/>
      <w:jc w:val="center"/>
    </w:pPr>
    <w:rPr>
      <w:rFonts w:ascii="Cambria" w:hAnsi="Cambria"/>
      <w:sz w:val="26"/>
      <w:szCs w:val="26"/>
    </w:rPr>
  </w:style>
  <w:style w:type="character" w:customStyle="1" w:styleId="IntenseQuoteChar1">
    <w:name w:val="Intense Quote Char1"/>
    <w:basedOn w:val="DefaultParagraphFont"/>
    <w:uiPriority w:val="30"/>
    <w:rsid w:val="003611CF"/>
    <w:rPr>
      <w:i/>
      <w:iCs/>
      <w:color w:val="D34817" w:themeColor="accent1"/>
      <w:sz w:val="24"/>
    </w:rPr>
  </w:style>
  <w:style w:type="character" w:styleId="SubtleReference">
    <w:name w:val="Subtle Reference"/>
    <w:uiPriority w:val="31"/>
    <w:qFormat/>
    <w:rsid w:val="003611CF"/>
    <w:rPr>
      <w:smallCaps/>
      <w:color w:val="5A5A5A"/>
    </w:rPr>
  </w:style>
  <w:style w:type="table" w:customStyle="1" w:styleId="ColorfulList-Accent61">
    <w:name w:val="Colorful List - Accent 61"/>
    <w:basedOn w:val="TableNormal"/>
    <w:next w:val="ColorfulList-Accent6"/>
    <w:uiPriority w:val="72"/>
    <w:rsid w:val="003611CF"/>
    <w:pPr>
      <w:spacing w:after="0" w:line="240" w:lineRule="auto"/>
    </w:pPr>
    <w:rPr>
      <w:rFonts w:ascii="Calibri" w:eastAsia="Calibri" w:hAnsi="Calibri" w:cs="Times New Roman"/>
      <w:color w:val="000000"/>
      <w:lang w:val="sr-Latn-RS" w:eastAsia="sr-Latn-R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customStyle="1" w:styleId="default0">
    <w:name w:val="default"/>
    <w:basedOn w:val="Normal"/>
    <w:rsid w:val="003611CF"/>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character" w:customStyle="1" w:styleId="defaultchar">
    <w:name w:val="default__char"/>
    <w:rsid w:val="003611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792380">
      <w:bodyDiv w:val="1"/>
      <w:marLeft w:val="0"/>
      <w:marRight w:val="0"/>
      <w:marTop w:val="0"/>
      <w:marBottom w:val="0"/>
      <w:divBdr>
        <w:top w:val="none" w:sz="0" w:space="0" w:color="auto"/>
        <w:left w:val="none" w:sz="0" w:space="0" w:color="auto"/>
        <w:bottom w:val="none" w:sz="0" w:space="0" w:color="auto"/>
        <w:right w:val="none" w:sz="0" w:space="0" w:color="auto"/>
      </w:divBdr>
      <w:divsChild>
        <w:div w:id="789015057">
          <w:marLeft w:val="0"/>
          <w:marRight w:val="0"/>
          <w:marTop w:val="0"/>
          <w:marBottom w:val="0"/>
          <w:divBdr>
            <w:top w:val="none" w:sz="0" w:space="0" w:color="auto"/>
            <w:left w:val="none" w:sz="0" w:space="0" w:color="auto"/>
            <w:bottom w:val="none" w:sz="0" w:space="0" w:color="auto"/>
            <w:right w:val="none" w:sz="0" w:space="0" w:color="auto"/>
          </w:divBdr>
        </w:div>
        <w:div w:id="1076785657">
          <w:marLeft w:val="0"/>
          <w:marRight w:val="0"/>
          <w:marTop w:val="0"/>
          <w:marBottom w:val="0"/>
          <w:divBdr>
            <w:top w:val="none" w:sz="0" w:space="0" w:color="auto"/>
            <w:left w:val="none" w:sz="0" w:space="0" w:color="auto"/>
            <w:bottom w:val="none" w:sz="0" w:space="0" w:color="auto"/>
            <w:right w:val="none" w:sz="0" w:space="0" w:color="auto"/>
          </w:divBdr>
        </w:div>
        <w:div w:id="1580212367">
          <w:marLeft w:val="0"/>
          <w:marRight w:val="0"/>
          <w:marTop w:val="0"/>
          <w:marBottom w:val="0"/>
          <w:divBdr>
            <w:top w:val="none" w:sz="0" w:space="0" w:color="auto"/>
            <w:left w:val="none" w:sz="0" w:space="0" w:color="auto"/>
            <w:bottom w:val="none" w:sz="0" w:space="0" w:color="auto"/>
            <w:right w:val="none" w:sz="0" w:space="0" w:color="auto"/>
          </w:divBdr>
        </w:div>
        <w:div w:id="604117244">
          <w:marLeft w:val="0"/>
          <w:marRight w:val="0"/>
          <w:marTop w:val="0"/>
          <w:marBottom w:val="0"/>
          <w:divBdr>
            <w:top w:val="none" w:sz="0" w:space="0" w:color="auto"/>
            <w:left w:val="none" w:sz="0" w:space="0" w:color="auto"/>
            <w:bottom w:val="none" w:sz="0" w:space="0" w:color="auto"/>
            <w:right w:val="none" w:sz="0" w:space="0" w:color="auto"/>
          </w:divBdr>
        </w:div>
        <w:div w:id="1026252426">
          <w:marLeft w:val="0"/>
          <w:marRight w:val="0"/>
          <w:marTop w:val="0"/>
          <w:marBottom w:val="0"/>
          <w:divBdr>
            <w:top w:val="none" w:sz="0" w:space="0" w:color="auto"/>
            <w:left w:val="none" w:sz="0" w:space="0" w:color="auto"/>
            <w:bottom w:val="none" w:sz="0" w:space="0" w:color="auto"/>
            <w:right w:val="none" w:sz="0" w:space="0" w:color="auto"/>
          </w:divBdr>
        </w:div>
      </w:divsChild>
    </w:div>
    <w:div w:id="307785123">
      <w:bodyDiv w:val="1"/>
      <w:marLeft w:val="0"/>
      <w:marRight w:val="0"/>
      <w:marTop w:val="0"/>
      <w:marBottom w:val="0"/>
      <w:divBdr>
        <w:top w:val="none" w:sz="0" w:space="0" w:color="auto"/>
        <w:left w:val="none" w:sz="0" w:space="0" w:color="auto"/>
        <w:bottom w:val="none" w:sz="0" w:space="0" w:color="auto"/>
        <w:right w:val="none" w:sz="0" w:space="0" w:color="auto"/>
      </w:divBdr>
    </w:div>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525754869">
      <w:bodyDiv w:val="1"/>
      <w:marLeft w:val="0"/>
      <w:marRight w:val="0"/>
      <w:marTop w:val="0"/>
      <w:marBottom w:val="0"/>
      <w:divBdr>
        <w:top w:val="none" w:sz="0" w:space="0" w:color="auto"/>
        <w:left w:val="none" w:sz="0" w:space="0" w:color="auto"/>
        <w:bottom w:val="none" w:sz="0" w:space="0" w:color="auto"/>
        <w:right w:val="none" w:sz="0" w:space="0" w:color="auto"/>
      </w:divBdr>
      <w:divsChild>
        <w:div w:id="1385715019">
          <w:marLeft w:val="0"/>
          <w:marRight w:val="0"/>
          <w:marTop w:val="0"/>
          <w:marBottom w:val="0"/>
          <w:divBdr>
            <w:top w:val="none" w:sz="0" w:space="0" w:color="auto"/>
            <w:left w:val="none" w:sz="0" w:space="0" w:color="auto"/>
            <w:bottom w:val="none" w:sz="0" w:space="0" w:color="auto"/>
            <w:right w:val="none" w:sz="0" w:space="0" w:color="auto"/>
          </w:divBdr>
        </w:div>
        <w:div w:id="799540981">
          <w:marLeft w:val="0"/>
          <w:marRight w:val="0"/>
          <w:marTop w:val="0"/>
          <w:marBottom w:val="0"/>
          <w:divBdr>
            <w:top w:val="none" w:sz="0" w:space="0" w:color="auto"/>
            <w:left w:val="none" w:sz="0" w:space="0" w:color="auto"/>
            <w:bottom w:val="none" w:sz="0" w:space="0" w:color="auto"/>
            <w:right w:val="none" w:sz="0" w:space="0" w:color="auto"/>
          </w:divBdr>
        </w:div>
        <w:div w:id="1839688965">
          <w:marLeft w:val="0"/>
          <w:marRight w:val="0"/>
          <w:marTop w:val="0"/>
          <w:marBottom w:val="0"/>
          <w:divBdr>
            <w:top w:val="none" w:sz="0" w:space="0" w:color="auto"/>
            <w:left w:val="none" w:sz="0" w:space="0" w:color="auto"/>
            <w:bottom w:val="none" w:sz="0" w:space="0" w:color="auto"/>
            <w:right w:val="none" w:sz="0" w:space="0" w:color="auto"/>
          </w:divBdr>
        </w:div>
        <w:div w:id="46609121">
          <w:marLeft w:val="0"/>
          <w:marRight w:val="0"/>
          <w:marTop w:val="0"/>
          <w:marBottom w:val="0"/>
          <w:divBdr>
            <w:top w:val="none" w:sz="0" w:space="0" w:color="auto"/>
            <w:left w:val="none" w:sz="0" w:space="0" w:color="auto"/>
            <w:bottom w:val="none" w:sz="0" w:space="0" w:color="auto"/>
            <w:right w:val="none" w:sz="0" w:space="0" w:color="auto"/>
          </w:divBdr>
        </w:div>
        <w:div w:id="1752509276">
          <w:marLeft w:val="0"/>
          <w:marRight w:val="0"/>
          <w:marTop w:val="0"/>
          <w:marBottom w:val="0"/>
          <w:divBdr>
            <w:top w:val="none" w:sz="0" w:space="0" w:color="auto"/>
            <w:left w:val="none" w:sz="0" w:space="0" w:color="auto"/>
            <w:bottom w:val="none" w:sz="0" w:space="0" w:color="auto"/>
            <w:right w:val="none" w:sz="0" w:space="0" w:color="auto"/>
          </w:divBdr>
        </w:div>
        <w:div w:id="227375652">
          <w:marLeft w:val="0"/>
          <w:marRight w:val="0"/>
          <w:marTop w:val="0"/>
          <w:marBottom w:val="0"/>
          <w:divBdr>
            <w:top w:val="none" w:sz="0" w:space="0" w:color="auto"/>
            <w:left w:val="none" w:sz="0" w:space="0" w:color="auto"/>
            <w:bottom w:val="none" w:sz="0" w:space="0" w:color="auto"/>
            <w:right w:val="none" w:sz="0" w:space="0" w:color="auto"/>
          </w:divBdr>
        </w:div>
        <w:div w:id="1909344502">
          <w:marLeft w:val="0"/>
          <w:marRight w:val="0"/>
          <w:marTop w:val="0"/>
          <w:marBottom w:val="0"/>
          <w:divBdr>
            <w:top w:val="none" w:sz="0" w:space="0" w:color="auto"/>
            <w:left w:val="none" w:sz="0" w:space="0" w:color="auto"/>
            <w:bottom w:val="none" w:sz="0" w:space="0" w:color="auto"/>
            <w:right w:val="none" w:sz="0" w:space="0" w:color="auto"/>
          </w:divBdr>
        </w:div>
        <w:div w:id="411584490">
          <w:marLeft w:val="0"/>
          <w:marRight w:val="0"/>
          <w:marTop w:val="0"/>
          <w:marBottom w:val="0"/>
          <w:divBdr>
            <w:top w:val="none" w:sz="0" w:space="0" w:color="auto"/>
            <w:left w:val="none" w:sz="0" w:space="0" w:color="auto"/>
            <w:bottom w:val="none" w:sz="0" w:space="0" w:color="auto"/>
            <w:right w:val="none" w:sz="0" w:space="0" w:color="auto"/>
          </w:divBdr>
        </w:div>
        <w:div w:id="1850681578">
          <w:marLeft w:val="0"/>
          <w:marRight w:val="0"/>
          <w:marTop w:val="0"/>
          <w:marBottom w:val="0"/>
          <w:divBdr>
            <w:top w:val="none" w:sz="0" w:space="0" w:color="auto"/>
            <w:left w:val="none" w:sz="0" w:space="0" w:color="auto"/>
            <w:bottom w:val="none" w:sz="0" w:space="0" w:color="auto"/>
            <w:right w:val="none" w:sz="0" w:space="0" w:color="auto"/>
          </w:divBdr>
        </w:div>
        <w:div w:id="815806602">
          <w:marLeft w:val="0"/>
          <w:marRight w:val="0"/>
          <w:marTop w:val="0"/>
          <w:marBottom w:val="0"/>
          <w:divBdr>
            <w:top w:val="none" w:sz="0" w:space="0" w:color="auto"/>
            <w:left w:val="none" w:sz="0" w:space="0" w:color="auto"/>
            <w:bottom w:val="none" w:sz="0" w:space="0" w:color="auto"/>
            <w:right w:val="none" w:sz="0" w:space="0" w:color="auto"/>
          </w:divBdr>
        </w:div>
        <w:div w:id="525753465">
          <w:marLeft w:val="0"/>
          <w:marRight w:val="0"/>
          <w:marTop w:val="0"/>
          <w:marBottom w:val="0"/>
          <w:divBdr>
            <w:top w:val="none" w:sz="0" w:space="0" w:color="auto"/>
            <w:left w:val="none" w:sz="0" w:space="0" w:color="auto"/>
            <w:bottom w:val="none" w:sz="0" w:space="0" w:color="auto"/>
            <w:right w:val="none" w:sz="0" w:space="0" w:color="auto"/>
          </w:divBdr>
        </w:div>
        <w:div w:id="711002819">
          <w:marLeft w:val="0"/>
          <w:marRight w:val="0"/>
          <w:marTop w:val="0"/>
          <w:marBottom w:val="0"/>
          <w:divBdr>
            <w:top w:val="none" w:sz="0" w:space="0" w:color="auto"/>
            <w:left w:val="none" w:sz="0" w:space="0" w:color="auto"/>
            <w:bottom w:val="none" w:sz="0" w:space="0" w:color="auto"/>
            <w:right w:val="none" w:sz="0" w:space="0" w:color="auto"/>
          </w:divBdr>
        </w:div>
        <w:div w:id="1429306800">
          <w:marLeft w:val="0"/>
          <w:marRight w:val="0"/>
          <w:marTop w:val="0"/>
          <w:marBottom w:val="0"/>
          <w:divBdr>
            <w:top w:val="none" w:sz="0" w:space="0" w:color="auto"/>
            <w:left w:val="none" w:sz="0" w:space="0" w:color="auto"/>
            <w:bottom w:val="none" w:sz="0" w:space="0" w:color="auto"/>
            <w:right w:val="none" w:sz="0" w:space="0" w:color="auto"/>
          </w:divBdr>
        </w:div>
        <w:div w:id="36779330">
          <w:marLeft w:val="0"/>
          <w:marRight w:val="0"/>
          <w:marTop w:val="0"/>
          <w:marBottom w:val="0"/>
          <w:divBdr>
            <w:top w:val="none" w:sz="0" w:space="0" w:color="auto"/>
            <w:left w:val="none" w:sz="0" w:space="0" w:color="auto"/>
            <w:bottom w:val="none" w:sz="0" w:space="0" w:color="auto"/>
            <w:right w:val="none" w:sz="0" w:space="0" w:color="auto"/>
          </w:divBdr>
        </w:div>
        <w:div w:id="269437826">
          <w:marLeft w:val="0"/>
          <w:marRight w:val="0"/>
          <w:marTop w:val="0"/>
          <w:marBottom w:val="0"/>
          <w:divBdr>
            <w:top w:val="none" w:sz="0" w:space="0" w:color="auto"/>
            <w:left w:val="none" w:sz="0" w:space="0" w:color="auto"/>
            <w:bottom w:val="none" w:sz="0" w:space="0" w:color="auto"/>
            <w:right w:val="none" w:sz="0" w:space="0" w:color="auto"/>
          </w:divBdr>
          <w:divsChild>
            <w:div w:id="1292437408">
              <w:marLeft w:val="0"/>
              <w:marRight w:val="0"/>
              <w:marTop w:val="0"/>
              <w:marBottom w:val="0"/>
              <w:divBdr>
                <w:top w:val="none" w:sz="0" w:space="0" w:color="auto"/>
                <w:left w:val="none" w:sz="0" w:space="0" w:color="auto"/>
                <w:bottom w:val="none" w:sz="0" w:space="0" w:color="auto"/>
                <w:right w:val="none" w:sz="0" w:space="0" w:color="auto"/>
              </w:divBdr>
            </w:div>
          </w:divsChild>
        </w:div>
        <w:div w:id="1771662653">
          <w:marLeft w:val="0"/>
          <w:marRight w:val="0"/>
          <w:marTop w:val="0"/>
          <w:marBottom w:val="0"/>
          <w:divBdr>
            <w:top w:val="none" w:sz="0" w:space="0" w:color="auto"/>
            <w:left w:val="none" w:sz="0" w:space="0" w:color="auto"/>
            <w:bottom w:val="none" w:sz="0" w:space="0" w:color="auto"/>
            <w:right w:val="none" w:sz="0" w:space="0" w:color="auto"/>
          </w:divBdr>
          <w:divsChild>
            <w:div w:id="1485078206">
              <w:marLeft w:val="0"/>
              <w:marRight w:val="0"/>
              <w:marTop w:val="0"/>
              <w:marBottom w:val="0"/>
              <w:divBdr>
                <w:top w:val="none" w:sz="0" w:space="0" w:color="auto"/>
                <w:left w:val="none" w:sz="0" w:space="0" w:color="auto"/>
                <w:bottom w:val="none" w:sz="0" w:space="0" w:color="auto"/>
                <w:right w:val="none" w:sz="0" w:space="0" w:color="auto"/>
              </w:divBdr>
            </w:div>
          </w:divsChild>
        </w:div>
        <w:div w:id="1895658230">
          <w:marLeft w:val="0"/>
          <w:marRight w:val="0"/>
          <w:marTop w:val="0"/>
          <w:marBottom w:val="0"/>
          <w:divBdr>
            <w:top w:val="none" w:sz="0" w:space="0" w:color="auto"/>
            <w:left w:val="none" w:sz="0" w:space="0" w:color="auto"/>
            <w:bottom w:val="none" w:sz="0" w:space="0" w:color="auto"/>
            <w:right w:val="none" w:sz="0" w:space="0" w:color="auto"/>
          </w:divBdr>
        </w:div>
        <w:div w:id="1625849832">
          <w:marLeft w:val="0"/>
          <w:marRight w:val="0"/>
          <w:marTop w:val="0"/>
          <w:marBottom w:val="0"/>
          <w:divBdr>
            <w:top w:val="none" w:sz="0" w:space="0" w:color="auto"/>
            <w:left w:val="none" w:sz="0" w:space="0" w:color="auto"/>
            <w:bottom w:val="none" w:sz="0" w:space="0" w:color="auto"/>
            <w:right w:val="none" w:sz="0" w:space="0" w:color="auto"/>
          </w:divBdr>
        </w:div>
        <w:div w:id="147290021">
          <w:marLeft w:val="0"/>
          <w:marRight w:val="0"/>
          <w:marTop w:val="0"/>
          <w:marBottom w:val="0"/>
          <w:divBdr>
            <w:top w:val="none" w:sz="0" w:space="0" w:color="auto"/>
            <w:left w:val="none" w:sz="0" w:space="0" w:color="auto"/>
            <w:bottom w:val="none" w:sz="0" w:space="0" w:color="auto"/>
            <w:right w:val="none" w:sz="0" w:space="0" w:color="auto"/>
          </w:divBdr>
        </w:div>
        <w:div w:id="785003438">
          <w:marLeft w:val="0"/>
          <w:marRight w:val="0"/>
          <w:marTop w:val="0"/>
          <w:marBottom w:val="0"/>
          <w:divBdr>
            <w:top w:val="none" w:sz="0" w:space="0" w:color="auto"/>
            <w:left w:val="none" w:sz="0" w:space="0" w:color="auto"/>
            <w:bottom w:val="none" w:sz="0" w:space="0" w:color="auto"/>
            <w:right w:val="none" w:sz="0" w:space="0" w:color="auto"/>
          </w:divBdr>
        </w:div>
        <w:div w:id="684789185">
          <w:marLeft w:val="0"/>
          <w:marRight w:val="0"/>
          <w:marTop w:val="0"/>
          <w:marBottom w:val="0"/>
          <w:divBdr>
            <w:top w:val="none" w:sz="0" w:space="0" w:color="auto"/>
            <w:left w:val="none" w:sz="0" w:space="0" w:color="auto"/>
            <w:bottom w:val="none" w:sz="0" w:space="0" w:color="auto"/>
            <w:right w:val="none" w:sz="0" w:space="0" w:color="auto"/>
          </w:divBdr>
        </w:div>
      </w:divsChild>
    </w:div>
    <w:div w:id="550849218">
      <w:bodyDiv w:val="1"/>
      <w:marLeft w:val="0"/>
      <w:marRight w:val="0"/>
      <w:marTop w:val="0"/>
      <w:marBottom w:val="0"/>
      <w:divBdr>
        <w:top w:val="none" w:sz="0" w:space="0" w:color="auto"/>
        <w:left w:val="none" w:sz="0" w:space="0" w:color="auto"/>
        <w:bottom w:val="none" w:sz="0" w:space="0" w:color="auto"/>
        <w:right w:val="none" w:sz="0" w:space="0" w:color="auto"/>
      </w:divBdr>
    </w:div>
    <w:div w:id="868840340">
      <w:bodyDiv w:val="1"/>
      <w:marLeft w:val="0"/>
      <w:marRight w:val="0"/>
      <w:marTop w:val="0"/>
      <w:marBottom w:val="0"/>
      <w:divBdr>
        <w:top w:val="none" w:sz="0" w:space="0" w:color="auto"/>
        <w:left w:val="none" w:sz="0" w:space="0" w:color="auto"/>
        <w:bottom w:val="none" w:sz="0" w:space="0" w:color="auto"/>
        <w:right w:val="none" w:sz="0" w:space="0" w:color="auto"/>
      </w:divBdr>
    </w:div>
    <w:div w:id="889148677">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990406806">
      <w:bodyDiv w:val="1"/>
      <w:marLeft w:val="0"/>
      <w:marRight w:val="0"/>
      <w:marTop w:val="0"/>
      <w:marBottom w:val="0"/>
      <w:divBdr>
        <w:top w:val="none" w:sz="0" w:space="0" w:color="auto"/>
        <w:left w:val="none" w:sz="0" w:space="0" w:color="auto"/>
        <w:bottom w:val="none" w:sz="0" w:space="0" w:color="auto"/>
        <w:right w:val="none" w:sz="0" w:space="0" w:color="auto"/>
      </w:divBdr>
    </w:div>
    <w:div w:id="1379934511">
      <w:bodyDiv w:val="1"/>
      <w:marLeft w:val="0"/>
      <w:marRight w:val="0"/>
      <w:marTop w:val="0"/>
      <w:marBottom w:val="0"/>
      <w:divBdr>
        <w:top w:val="none" w:sz="0" w:space="0" w:color="auto"/>
        <w:left w:val="none" w:sz="0" w:space="0" w:color="auto"/>
        <w:bottom w:val="none" w:sz="0" w:space="0" w:color="auto"/>
        <w:right w:val="none" w:sz="0" w:space="0" w:color="auto"/>
      </w:divBdr>
    </w:div>
    <w:div w:id="1564022839">
      <w:bodyDiv w:val="1"/>
      <w:marLeft w:val="0"/>
      <w:marRight w:val="0"/>
      <w:marTop w:val="0"/>
      <w:marBottom w:val="0"/>
      <w:divBdr>
        <w:top w:val="none" w:sz="0" w:space="0" w:color="auto"/>
        <w:left w:val="none" w:sz="0" w:space="0" w:color="auto"/>
        <w:bottom w:val="none" w:sz="0" w:space="0" w:color="auto"/>
        <w:right w:val="none" w:sz="0" w:space="0" w:color="auto"/>
      </w:divBdr>
    </w:div>
    <w:div w:id="1598250832">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 w:id="1816490676">
      <w:bodyDiv w:val="1"/>
      <w:marLeft w:val="0"/>
      <w:marRight w:val="0"/>
      <w:marTop w:val="0"/>
      <w:marBottom w:val="0"/>
      <w:divBdr>
        <w:top w:val="none" w:sz="0" w:space="0" w:color="auto"/>
        <w:left w:val="none" w:sz="0" w:space="0" w:color="auto"/>
        <w:bottom w:val="none" w:sz="0" w:space="0" w:color="auto"/>
        <w:right w:val="none" w:sz="0" w:space="0" w:color="auto"/>
      </w:divBdr>
    </w:div>
    <w:div w:id="214330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jn.gov.me/2020/07/obavjestenje-za-help-desk/" TargetMode="External"/><Relationship Id="rId18" Type="http://schemas.openxmlformats.org/officeDocument/2006/relationships/hyperlink" Target="http://www.upravacarina.gov.me" TargetMode="External"/><Relationship Id="rId26" Type="http://schemas.openxmlformats.org/officeDocument/2006/relationships/hyperlink" Target="mailto:isonis2015@gmail.com" TargetMode="External"/><Relationship Id="rId3" Type="http://schemas.openxmlformats.org/officeDocument/2006/relationships/numbering" Target="numbering.xml"/><Relationship Id="rId21" Type="http://schemas.openxmlformats.org/officeDocument/2006/relationships/chart" Target="charts/chart5.xml"/><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ujn.gov.me/akti-za-primjenu/" TargetMode="External"/><Relationship Id="rId17" Type="http://schemas.openxmlformats.org/officeDocument/2006/relationships/chart" Target="charts/chart4.xml"/><Relationship Id="rId25" Type="http://schemas.openxmlformats.org/officeDocument/2006/relationships/chart" Target="charts/chart9.xm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hyperlink" Target="mailto:Efiskalizacija@tax.gov.me" TargetMode="External"/><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jn.gov.me/2021/01/uputstva-cejn/" TargetMode="External"/><Relationship Id="rId24" Type="http://schemas.openxmlformats.org/officeDocument/2006/relationships/chart" Target="charts/chart8.xm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chart" Target="charts/chart7.xml"/><Relationship Id="rId28" Type="http://schemas.openxmlformats.org/officeDocument/2006/relationships/chart" Target="charts/chart11.xml"/><Relationship Id="rId36" Type="http://schemas.openxmlformats.org/officeDocument/2006/relationships/theme" Target="theme/theme1.xml"/><Relationship Id="rId10" Type="http://schemas.openxmlformats.org/officeDocument/2006/relationships/hyperlink" Target="http://cejn.gov.me/landingPage" TargetMode="External"/><Relationship Id="rId19" Type="http://schemas.openxmlformats.org/officeDocument/2006/relationships/hyperlink" Target="mailto:efiskalizacija@tax.gov.me" TargetMode="External"/><Relationship Id="rId31" Type="http://schemas.openxmlformats.org/officeDocument/2006/relationships/hyperlink" Target="http://www.monstat.org" TargetMode="External"/><Relationship Id="rId4" Type="http://schemas.openxmlformats.org/officeDocument/2006/relationships/styles" Target="styles.xml"/><Relationship Id="rId9" Type="http://schemas.openxmlformats.org/officeDocument/2006/relationships/hyperlink" Target="http://www.ujn.gov.me/podzakonska-regulativa-zakona-o-javnim-nabavkama-sluzbeni-list-crne-gore-br-074-19/" TargetMode="External"/><Relationship Id="rId14" Type="http://schemas.openxmlformats.org/officeDocument/2006/relationships/chart" Target="charts/chart1.xml"/><Relationship Id="rId22" Type="http://schemas.openxmlformats.org/officeDocument/2006/relationships/chart" Target="charts/chart6.xml"/><Relationship Id="rId27" Type="http://schemas.openxmlformats.org/officeDocument/2006/relationships/chart" Target="charts/chart10.xml"/><Relationship Id="rId30" Type="http://schemas.openxmlformats.org/officeDocument/2006/relationships/image" Target="media/image2.png"/><Relationship Id="rId35" Type="http://schemas.openxmlformats.org/officeDocument/2006/relationships/fontTable" Target="fontTable.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euprava.me/elicence1/detalji_elicence?generatedServiceId=947" TargetMode="External"/><Relationship Id="rId3" Type="http://schemas.openxmlformats.org/officeDocument/2006/relationships/hyperlink" Target="http://www.mif.gov.me/vijesti/182503/Saopstenje-Medunarodna-investiciona-arbitraza.html" TargetMode="External"/><Relationship Id="rId7" Type="http://schemas.openxmlformats.org/officeDocument/2006/relationships/hyperlink" Target="http://eusluge.euprava.me/eParticipacija/Item/?Id=385" TargetMode="External"/><Relationship Id="rId12" Type="http://schemas.openxmlformats.org/officeDocument/2006/relationships/hyperlink" Target="https://www.monstat.org/uploads/files/O%20NAMA/Kalendar%20objavljivanja%20statisti%C4%8Dkih%20podataka%20za%202021.%20godinu%20-%20MNE%20-za%20web%20sajt.pdf" TargetMode="External"/><Relationship Id="rId2" Type="http://schemas.openxmlformats.org/officeDocument/2006/relationships/hyperlink" Target="http://www.gov.me/en/News/182523/Press-release-International-Investment-Arbitration.html" TargetMode="External"/><Relationship Id="rId1" Type="http://schemas.openxmlformats.org/officeDocument/2006/relationships/hyperlink" Target="http://www.gov.me/naslovna/vijesti-iz-ministarstava/182503/Saopstenje-Medunarodna-investiciona-arbitraza.html" TargetMode="External"/><Relationship Id="rId6" Type="http://schemas.openxmlformats.org/officeDocument/2006/relationships/hyperlink" Target="https://mif.gov.me/rubrike/javne_rasprave/237407/Javni-poziv-za-javnu-raspravu-o-Nacrtu-zakona-o-igrama-na-srecu-i-nagradnim-igrama.html" TargetMode="External"/><Relationship Id="rId11" Type="http://schemas.openxmlformats.org/officeDocument/2006/relationships/hyperlink" Target="http://www.monstat.org/cg/page.php?id=7&amp;pageid=7" TargetMode="External"/><Relationship Id="rId5" Type="http://schemas.openxmlformats.org/officeDocument/2006/relationships/hyperlink" Target="https://mif.gov.me/rubrike/javne_rasprave/234889/Javna-rasprava-o-Nacrtu-pravilnika-o-izmjenama-i-dopunama-Pravilnika-o-deponovanju-i-ulaganju-sredstava-tehnickih-rezervi-i-sred.html" TargetMode="External"/><Relationship Id="rId10" Type="http://schemas.openxmlformats.org/officeDocument/2006/relationships/hyperlink" Target="https://www.monstat.org/cg/page.php?id=10&amp;pageid=10" TargetMode="External"/><Relationship Id="rId4" Type="http://schemas.openxmlformats.org/officeDocument/2006/relationships/hyperlink" Target="http://www.mif.gov.me/en/news/182504/Press-release-International-Investment-Arbitration.html?alphabet=lat" TargetMode="External"/><Relationship Id="rId9" Type="http://schemas.openxmlformats.org/officeDocument/2006/relationships/hyperlink" Target="http://www.javninameti.m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Administrator\Desktop\my%20document\FINANSIJ\2020\poocbne%20tabele%20izv.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Administrator\Desktop\my%20document\FINANSIJ\2020\poocbne%20tabele%20izv.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Administrator\Desktop\my%20document\FINANSIJ\2020\poocbne%20tabele%20izv.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tanja.vujovic\Desktop\Godi&#353;nji%20izvje&#353;taj%20i%20procjena\Pregled%20naplate%20prihoda%20za%20Januar%20-%20Decembar%202020.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Ilda\Desktop\ZA%20IZVJE&#352;TAJ%202020.%20GODINE.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Ilda\Desktop\ZA%20IZVJE&#352;TAJ%202020.%20GODINE.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1.bin"/></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Ilda\Desktop\ZA%20IZVJE&#352;TAJ%202020.%20GODIN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tx>
            <c:strRef>
              <c:f>Sheet1!$A$2</c:f>
              <c:strCache>
                <c:ptCount val="1"/>
                <c:pt idx="0">
                  <c:v>BRUTO NAPLATA </c:v>
                </c:pt>
              </c:strCache>
            </c:strRef>
          </c:tx>
          <c:explosion val="25"/>
          <c:dLbls>
            <c:dLbl>
              <c:idx val="0"/>
              <c:layout>
                <c:manualLayout>
                  <c:x val="-0.22053499562554685"/>
                  <c:y val="-0.11959135316418788"/>
                </c:manualLayout>
              </c:layout>
              <c:tx>
                <c:rich>
                  <a:bodyPr/>
                  <a:lstStyle/>
                  <a:p>
                    <a:r>
                      <a:rPr lang="en-US" sz="900" b="1" i="0" u="none" strike="noStrike" baseline="0">
                        <a:solidFill>
                          <a:schemeClr val="bg1"/>
                        </a:solidFill>
                        <a:effectLst/>
                        <a:latin typeface="Times New Roman" panose="02020603050405020304" pitchFamily="18" charset="0"/>
                        <a:cs typeface="Times New Roman" panose="02020603050405020304" pitchFamily="18" charset="0"/>
                      </a:rPr>
                      <a:t>819.754.771,45</a:t>
                    </a:r>
                    <a:r>
                      <a:rPr lang="en-US" sz="900" b="0" i="0" u="none" strike="noStrike" baseline="0">
                        <a:solidFill>
                          <a:schemeClr val="bg1"/>
                        </a:solidFill>
                        <a:latin typeface="Times New Roman" panose="02020603050405020304" pitchFamily="18" charset="0"/>
                        <a:cs typeface="Times New Roman" panose="02020603050405020304" pitchFamily="18" charset="0"/>
                      </a:rPr>
                      <a:t> </a:t>
                    </a:r>
                    <a:r>
                      <a:rPr lang="en-US" sz="900" b="0" i="0" u="none" strike="noStrike" baseline="0"/>
                      <a:t> </a:t>
                    </a:r>
                    <a:endParaRPr lang="en-US"/>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0EAD-480F-A997-B31F2077D911}"/>
                </c:ext>
              </c:extLst>
            </c:dLbl>
            <c:dLbl>
              <c:idx val="1"/>
              <c:layout>
                <c:manualLayout>
                  <c:x val="0.18819444444444464"/>
                  <c:y val="4.3954505686789082E-2"/>
                </c:manualLayout>
              </c:layout>
              <c:tx>
                <c:rich>
                  <a:bodyPr/>
                  <a:lstStyle/>
                  <a:p>
                    <a:r>
                      <a:rPr lang="en-US" sz="900" b="1" i="0" u="none" strike="noStrike" baseline="0">
                        <a:solidFill>
                          <a:schemeClr val="bg1"/>
                        </a:solidFill>
                        <a:effectLst/>
                        <a:latin typeface="Times New Roman" panose="02020603050405020304" pitchFamily="18" charset="0"/>
                        <a:cs typeface="Times New Roman" panose="02020603050405020304" pitchFamily="18" charset="0"/>
                      </a:rPr>
                      <a:t>670.838.111,01</a:t>
                    </a:r>
                    <a:r>
                      <a:rPr lang="en-US" sz="900" b="0" i="0" u="none" strike="noStrike" baseline="0"/>
                      <a:t> </a:t>
                    </a:r>
                    <a:endParaRPr lang="en-US"/>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EAD-480F-A997-B31F2077D911}"/>
                </c:ext>
              </c:extLst>
            </c:dLbl>
            <c:spPr>
              <a:noFill/>
              <a:ln>
                <a:noFill/>
              </a:ln>
              <a:effectLst/>
            </c:spPr>
            <c:txPr>
              <a:bodyPr/>
              <a:lstStyle/>
              <a:p>
                <a:pPr>
                  <a:defRPr lang="sl-SI" sz="900"/>
                </a:pPr>
                <a:endParaRPr lang="sr-Latn-R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Sheet1!$B$1:$C$1</c:f>
              <c:strCache>
                <c:ptCount val="2"/>
                <c:pt idx="0">
                  <c:v>Ostvareno u 2019.</c:v>
                </c:pt>
                <c:pt idx="1">
                  <c:v>Ostvareno u 2020.</c:v>
                </c:pt>
              </c:strCache>
            </c:strRef>
          </c:cat>
          <c:val>
            <c:numRef>
              <c:f>Sheet1!$B$2:$C$2</c:f>
              <c:numCache>
                <c:formatCode>#,##0.00</c:formatCode>
                <c:ptCount val="2"/>
                <c:pt idx="0">
                  <c:v>819754771.44999957</c:v>
                </c:pt>
                <c:pt idx="1">
                  <c:v>670838111.00999999</c:v>
                </c:pt>
              </c:numCache>
            </c:numRef>
          </c:val>
          <c:extLst>
            <c:ext xmlns:c16="http://schemas.microsoft.com/office/drawing/2014/chart" uri="{C3380CC4-5D6E-409C-BE32-E72D297353CC}">
              <c16:uniqueId val="{00000002-0EAD-480F-A997-B31F2077D911}"/>
            </c:ext>
          </c:extLst>
        </c:ser>
        <c:dLbls>
          <c:showLegendKey val="0"/>
          <c:showVal val="0"/>
          <c:showCatName val="0"/>
          <c:showSerName val="0"/>
          <c:showPercent val="1"/>
          <c:showBubbleSize val="0"/>
          <c:showLeaderLines val="1"/>
        </c:dLbls>
      </c:pie3DChart>
    </c:plotArea>
    <c:legend>
      <c:legendPos val="t"/>
      <c:overlay val="0"/>
      <c:txPr>
        <a:bodyPr/>
        <a:lstStyle/>
        <a:p>
          <a:pPr>
            <a:defRPr lang="sl-SI">
              <a:latin typeface="Times New Roman" panose="02020603050405020304" pitchFamily="18" charset="0"/>
              <a:cs typeface="Times New Roman" panose="02020603050405020304" pitchFamily="18" charset="0"/>
            </a:defRPr>
          </a:pPr>
          <a:endParaRPr lang="sr-Latn-RS"/>
        </a:p>
      </c:txPr>
    </c:legend>
    <c:plotVisOnly val="1"/>
    <c:dispBlanksAs val="zero"/>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RS" b="1">
                <a:solidFill>
                  <a:schemeClr val="accent5">
                    <a:lumMod val="75000"/>
                  </a:schemeClr>
                </a:solidFill>
              </a:rPr>
              <a:t>BROJ PREDMETA</a:t>
            </a:r>
            <a:r>
              <a:rPr lang="sr-Latn-RS" b="1" baseline="0">
                <a:solidFill>
                  <a:schemeClr val="accent5">
                    <a:lumMod val="75000"/>
                  </a:schemeClr>
                </a:solidFill>
              </a:rPr>
              <a:t> UPRAVOG POSTUPKA</a:t>
            </a:r>
          </a:p>
          <a:p>
            <a:pPr>
              <a:defRPr/>
            </a:pPr>
            <a:r>
              <a:rPr lang="sr-Latn-RS" b="1">
                <a:solidFill>
                  <a:schemeClr val="accent5">
                    <a:lumMod val="75000"/>
                  </a:schemeClr>
                </a:solidFill>
              </a:rPr>
              <a:t>  period 2015-2020 godine</a:t>
            </a:r>
            <a:endParaRPr lang="en-US" b="1">
              <a:solidFill>
                <a:schemeClr val="accent5">
                  <a:lumMod val="75000"/>
                </a:schemeClr>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Sheet1!$C$3:$C$7</c:f>
              <c:strCache>
                <c:ptCount val="5"/>
                <c:pt idx="0">
                  <c:v>2016</c:v>
                </c:pt>
                <c:pt idx="1">
                  <c:v>2017</c:v>
                </c:pt>
                <c:pt idx="2">
                  <c:v>2018</c:v>
                </c:pt>
                <c:pt idx="3">
                  <c:v>2019</c:v>
                </c:pt>
                <c:pt idx="4">
                  <c:v>2020</c:v>
                </c:pt>
              </c:strCache>
            </c:strRef>
          </c:tx>
          <c:spPr>
            <a:solidFill>
              <a:schemeClr val="bg1"/>
            </a:solidFill>
            <a:ln>
              <a:noFill/>
            </a:ln>
            <a:effectLst/>
            <a:sp3d/>
          </c:spPr>
          <c:invertIfNegative val="0"/>
          <c:dLbls>
            <c:dLbl>
              <c:idx val="0"/>
              <c:layout>
                <c:manualLayout>
                  <c:x val="2.8416982415935994E-2"/>
                  <c:y val="9.72220456566231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039-420A-B744-41B0AC21A4D7}"/>
                </c:ext>
              </c:extLst>
            </c:dLbl>
            <c:dLbl>
              <c:idx val="1"/>
              <c:layout>
                <c:manualLayout>
                  <c:x val="5.3782123515873012E-2"/>
                  <c:y val="0.1019706216446823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039-420A-B744-41B0AC21A4D7}"/>
                </c:ext>
              </c:extLst>
            </c:dLbl>
            <c:dLbl>
              <c:idx val="2"/>
              <c:layout>
                <c:manualLayout>
                  <c:x val="5.7199038158295433E-2"/>
                  <c:y val="0.102208798251327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039-420A-B744-41B0AC21A4D7}"/>
                </c:ext>
              </c:extLst>
            </c:dLbl>
            <c:dLbl>
              <c:idx val="3"/>
              <c:layout>
                <c:manualLayout>
                  <c:x val="4.5539960619070383E-2"/>
                  <c:y val="9.27116462752093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039-420A-B744-41B0AC21A4D7}"/>
                </c:ext>
              </c:extLst>
            </c:dLbl>
            <c:dLbl>
              <c:idx val="4"/>
              <c:layout>
                <c:manualLayout>
                  <c:x val="6.6942384380645079E-2"/>
                  <c:y val="9.97200957492391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039-420A-B744-41B0AC21A4D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lumMod val="50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Sheet1!$C$3:$C$7</c:f>
              <c:numCache>
                <c:formatCode>General</c:formatCode>
                <c:ptCount val="5"/>
                <c:pt idx="0">
                  <c:v>2016</c:v>
                </c:pt>
                <c:pt idx="1">
                  <c:v>2017</c:v>
                </c:pt>
                <c:pt idx="2">
                  <c:v>2018</c:v>
                </c:pt>
                <c:pt idx="3">
                  <c:v>2019</c:v>
                </c:pt>
                <c:pt idx="4">
                  <c:v>2020</c:v>
                </c:pt>
              </c:numCache>
            </c:numRef>
          </c:val>
          <c:extLst>
            <c:ext xmlns:c16="http://schemas.microsoft.com/office/drawing/2014/chart" uri="{C3380CC4-5D6E-409C-BE32-E72D297353CC}">
              <c16:uniqueId val="{00000005-4039-420A-B744-41B0AC21A4D7}"/>
            </c:ext>
          </c:extLst>
        </c:ser>
        <c:ser>
          <c:idx val="1"/>
          <c:order val="1"/>
          <c:spPr>
            <a:solidFill>
              <a:schemeClr val="accent6">
                <a:lumMod val="50000"/>
              </a:schemeClr>
            </a:solidFill>
            <a:ln>
              <a:solidFill>
                <a:schemeClr val="accent6">
                  <a:lumMod val="60000"/>
                  <a:lumOff val="40000"/>
                </a:schemeClr>
              </a:solidFill>
            </a:ln>
            <a:effectLst/>
            <a:sp3d>
              <a:contourClr>
                <a:schemeClr val="accent6">
                  <a:lumMod val="60000"/>
                  <a:lumOff val="40000"/>
                </a:schemeClr>
              </a:contourClr>
            </a:sp3d>
          </c:spPr>
          <c:invertIfNegative val="0"/>
          <c:dPt>
            <c:idx val="0"/>
            <c:invertIfNegative val="0"/>
            <c:bubble3D val="0"/>
            <c:spPr>
              <a:solidFill>
                <a:schemeClr val="accent6">
                  <a:lumMod val="60000"/>
                  <a:lumOff val="40000"/>
                </a:schemeClr>
              </a:solidFill>
              <a:ln>
                <a:solidFill>
                  <a:schemeClr val="accent6">
                    <a:lumMod val="60000"/>
                    <a:lumOff val="40000"/>
                  </a:schemeClr>
                </a:solidFill>
              </a:ln>
              <a:effectLst/>
              <a:sp3d>
                <a:contourClr>
                  <a:schemeClr val="accent6">
                    <a:lumMod val="60000"/>
                    <a:lumOff val="40000"/>
                  </a:schemeClr>
                </a:contourClr>
              </a:sp3d>
            </c:spPr>
            <c:extLst>
              <c:ext xmlns:c16="http://schemas.microsoft.com/office/drawing/2014/chart" uri="{C3380CC4-5D6E-409C-BE32-E72D297353CC}">
                <c16:uniqueId val="{00000007-4039-420A-B744-41B0AC21A4D7}"/>
              </c:ext>
            </c:extLst>
          </c:dPt>
          <c:dPt>
            <c:idx val="1"/>
            <c:invertIfNegative val="0"/>
            <c:bubble3D val="0"/>
            <c:spPr>
              <a:solidFill>
                <a:schemeClr val="accent6">
                  <a:lumMod val="60000"/>
                  <a:lumOff val="40000"/>
                </a:schemeClr>
              </a:solidFill>
              <a:ln>
                <a:solidFill>
                  <a:schemeClr val="accent6">
                    <a:lumMod val="60000"/>
                    <a:lumOff val="40000"/>
                  </a:schemeClr>
                </a:solidFill>
              </a:ln>
              <a:effectLst/>
              <a:sp3d>
                <a:contourClr>
                  <a:schemeClr val="accent6">
                    <a:lumMod val="60000"/>
                    <a:lumOff val="40000"/>
                  </a:schemeClr>
                </a:contourClr>
              </a:sp3d>
            </c:spPr>
            <c:extLst>
              <c:ext xmlns:c16="http://schemas.microsoft.com/office/drawing/2014/chart" uri="{C3380CC4-5D6E-409C-BE32-E72D297353CC}">
                <c16:uniqueId val="{00000009-4039-420A-B744-41B0AC21A4D7}"/>
              </c:ext>
            </c:extLst>
          </c:dPt>
          <c:dPt>
            <c:idx val="2"/>
            <c:invertIfNegative val="0"/>
            <c:bubble3D val="0"/>
            <c:spPr>
              <a:solidFill>
                <a:schemeClr val="accent6">
                  <a:lumMod val="60000"/>
                  <a:lumOff val="40000"/>
                </a:schemeClr>
              </a:solidFill>
              <a:ln>
                <a:solidFill>
                  <a:schemeClr val="accent6">
                    <a:lumMod val="60000"/>
                    <a:lumOff val="40000"/>
                  </a:schemeClr>
                </a:solidFill>
              </a:ln>
              <a:effectLst/>
              <a:sp3d>
                <a:contourClr>
                  <a:schemeClr val="accent6">
                    <a:lumMod val="60000"/>
                    <a:lumOff val="40000"/>
                  </a:schemeClr>
                </a:contourClr>
              </a:sp3d>
            </c:spPr>
            <c:extLst>
              <c:ext xmlns:c16="http://schemas.microsoft.com/office/drawing/2014/chart" uri="{C3380CC4-5D6E-409C-BE32-E72D297353CC}">
                <c16:uniqueId val="{0000000B-4039-420A-B744-41B0AC21A4D7}"/>
              </c:ext>
            </c:extLst>
          </c:dPt>
          <c:dPt>
            <c:idx val="3"/>
            <c:invertIfNegative val="0"/>
            <c:bubble3D val="0"/>
            <c:spPr>
              <a:solidFill>
                <a:schemeClr val="accent6">
                  <a:lumMod val="60000"/>
                  <a:lumOff val="40000"/>
                </a:schemeClr>
              </a:solidFill>
              <a:ln>
                <a:solidFill>
                  <a:schemeClr val="accent6">
                    <a:lumMod val="60000"/>
                    <a:lumOff val="40000"/>
                  </a:schemeClr>
                </a:solidFill>
              </a:ln>
              <a:effectLst/>
              <a:sp3d>
                <a:contourClr>
                  <a:schemeClr val="accent6">
                    <a:lumMod val="60000"/>
                    <a:lumOff val="40000"/>
                  </a:schemeClr>
                </a:contourClr>
              </a:sp3d>
            </c:spPr>
            <c:extLst>
              <c:ext xmlns:c16="http://schemas.microsoft.com/office/drawing/2014/chart" uri="{C3380CC4-5D6E-409C-BE32-E72D297353CC}">
                <c16:uniqueId val="{0000000D-4039-420A-B744-41B0AC21A4D7}"/>
              </c:ext>
            </c:extLst>
          </c:dPt>
          <c:dPt>
            <c:idx val="4"/>
            <c:invertIfNegative val="0"/>
            <c:bubble3D val="0"/>
            <c:spPr>
              <a:solidFill>
                <a:schemeClr val="accent6">
                  <a:lumMod val="60000"/>
                  <a:lumOff val="40000"/>
                </a:schemeClr>
              </a:solidFill>
              <a:ln>
                <a:solidFill>
                  <a:schemeClr val="accent6">
                    <a:lumMod val="60000"/>
                    <a:lumOff val="40000"/>
                  </a:schemeClr>
                </a:solidFill>
              </a:ln>
              <a:effectLst/>
              <a:sp3d>
                <a:contourClr>
                  <a:schemeClr val="accent6">
                    <a:lumMod val="60000"/>
                    <a:lumOff val="40000"/>
                  </a:schemeClr>
                </a:contourClr>
              </a:sp3d>
            </c:spPr>
            <c:extLst>
              <c:ext xmlns:c16="http://schemas.microsoft.com/office/drawing/2014/chart" uri="{C3380CC4-5D6E-409C-BE32-E72D297353CC}">
                <c16:uniqueId val="{0000000F-4039-420A-B744-41B0AC21A4D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Sheet1!$D$3:$D$7</c:f>
              <c:numCache>
                <c:formatCode>General</c:formatCode>
                <c:ptCount val="5"/>
                <c:pt idx="0">
                  <c:v>60018</c:v>
                </c:pt>
                <c:pt idx="1">
                  <c:v>63318</c:v>
                </c:pt>
                <c:pt idx="2">
                  <c:v>86127</c:v>
                </c:pt>
                <c:pt idx="3">
                  <c:v>78287</c:v>
                </c:pt>
                <c:pt idx="4">
                  <c:v>62933</c:v>
                </c:pt>
              </c:numCache>
            </c:numRef>
          </c:val>
          <c:extLst>
            <c:ext xmlns:c16="http://schemas.microsoft.com/office/drawing/2014/chart" uri="{C3380CC4-5D6E-409C-BE32-E72D297353CC}">
              <c16:uniqueId val="{00000010-4039-420A-B744-41B0AC21A4D7}"/>
            </c:ext>
          </c:extLst>
        </c:ser>
        <c:dLbls>
          <c:showLegendKey val="0"/>
          <c:showVal val="1"/>
          <c:showCatName val="0"/>
          <c:showSerName val="0"/>
          <c:showPercent val="0"/>
          <c:showBubbleSize val="0"/>
        </c:dLbls>
        <c:gapWidth val="150"/>
        <c:shape val="box"/>
        <c:axId val="587275600"/>
        <c:axId val="587276688"/>
        <c:axId val="0"/>
      </c:bar3DChart>
      <c:catAx>
        <c:axId val="587275600"/>
        <c:scaling>
          <c:orientation val="minMax"/>
        </c:scaling>
        <c:delete val="1"/>
        <c:axPos val="b"/>
        <c:majorTickMark val="out"/>
        <c:minorTickMark val="none"/>
        <c:tickLblPos val="nextTo"/>
        <c:crossAx val="587276688"/>
        <c:crosses val="autoZero"/>
        <c:auto val="1"/>
        <c:lblAlgn val="ctr"/>
        <c:lblOffset val="100"/>
        <c:noMultiLvlLbl val="0"/>
      </c:catAx>
      <c:valAx>
        <c:axId val="58727668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5872756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RS" sz="1200" b="1" baseline="0">
                <a:latin typeface="Arial" panose="020B0604020202020204" pitchFamily="34" charset="0"/>
                <a:cs typeface="Arial" panose="020B0604020202020204" pitchFamily="34" charset="0"/>
              </a:rPr>
              <a:t> Ukupan broj primljenih i neriješenih predmeta period 2017-2020.g.</a:t>
            </a:r>
            <a:endParaRPr lang="en-US" sz="1200" b="1">
              <a:latin typeface="Arial" panose="020B0604020202020204" pitchFamily="34" charset="0"/>
              <a:cs typeface="Arial" panose="020B0604020202020204" pitchFamily="34" charset="0"/>
            </a:endParaRPr>
          </a:p>
        </c:rich>
      </c:tx>
      <c:layout>
        <c:manualLayout>
          <c:xMode val="edge"/>
          <c:yMode val="edge"/>
          <c:x val="0.14097222222222222"/>
          <c:y val="5.092592592592592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rgbClr val="C00000"/>
            </a:solidFill>
            <a:ln>
              <a:noFill/>
            </a:ln>
            <a:effectLst/>
            <a:sp3d/>
          </c:spPr>
          <c:invertIfNegative val="0"/>
          <c:dLbls>
            <c:dLbl>
              <c:idx val="0"/>
              <c:layout>
                <c:manualLayout>
                  <c:x val="1.3888888888888864E-2"/>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D46-42AE-B78C-D469B188679C}"/>
                </c:ext>
              </c:extLst>
            </c:dLbl>
            <c:dLbl>
              <c:idx val="1"/>
              <c:layout>
                <c:manualLayout>
                  <c:x val="1.388888888888894E-2"/>
                  <c:y val="-3.70370370370370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46-42AE-B78C-D469B188679C}"/>
                </c:ext>
              </c:extLst>
            </c:dLbl>
            <c:dLbl>
              <c:idx val="2"/>
              <c:layout>
                <c:manualLayout>
                  <c:x val="5.5555555555555558E-3"/>
                  <c:y val="-4.16666666666667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D46-42AE-B78C-D469B188679C}"/>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Sheet1!$D$50:$D$53</c:f>
              <c:numCache>
                <c:formatCode>General</c:formatCode>
                <c:ptCount val="4"/>
                <c:pt idx="0">
                  <c:v>2017</c:v>
                </c:pt>
                <c:pt idx="1">
                  <c:v>2018</c:v>
                </c:pt>
                <c:pt idx="2">
                  <c:v>2019</c:v>
                </c:pt>
                <c:pt idx="3">
                  <c:v>2020</c:v>
                </c:pt>
              </c:numCache>
            </c:numRef>
          </c:cat>
          <c:val>
            <c:numRef>
              <c:f>Sheet1!$E$50:$E$53</c:f>
              <c:numCache>
                <c:formatCode>General</c:formatCode>
                <c:ptCount val="4"/>
                <c:pt idx="0">
                  <c:v>61046</c:v>
                </c:pt>
                <c:pt idx="1">
                  <c:v>80507</c:v>
                </c:pt>
                <c:pt idx="2">
                  <c:v>74047</c:v>
                </c:pt>
                <c:pt idx="3">
                  <c:v>62933</c:v>
                </c:pt>
              </c:numCache>
            </c:numRef>
          </c:val>
          <c:extLst>
            <c:ext xmlns:c16="http://schemas.microsoft.com/office/drawing/2014/chart" uri="{C3380CC4-5D6E-409C-BE32-E72D297353CC}">
              <c16:uniqueId val="{00000003-4D46-42AE-B78C-D469B188679C}"/>
            </c:ext>
          </c:extLst>
        </c:ser>
        <c:ser>
          <c:idx val="1"/>
          <c:order val="1"/>
          <c:spPr>
            <a:solidFill>
              <a:srgbClr val="00B050"/>
            </a:solidFill>
            <a:ln>
              <a:noFill/>
            </a:ln>
            <a:effectLst/>
            <a:sp3d/>
          </c:spPr>
          <c:invertIfNegative val="0"/>
          <c:dLbls>
            <c:dLbl>
              <c:idx val="0"/>
              <c:layout>
                <c:manualLayout>
                  <c:x val="5.4760458201394559E-2"/>
                  <c:y val="-1.8069674959272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D46-42AE-B78C-D469B188679C}"/>
                </c:ext>
              </c:extLst>
            </c:dLbl>
            <c:dLbl>
              <c:idx val="1"/>
              <c:layout>
                <c:manualLayout>
                  <c:x val="5.4671940194015375E-2"/>
                  <c:y val="-1.80696749592721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D46-42AE-B78C-D469B188679C}"/>
                </c:ext>
              </c:extLst>
            </c:dLbl>
            <c:dLbl>
              <c:idx val="2"/>
              <c:layout>
                <c:manualLayout>
                  <c:x val="5.2247647972778706E-2"/>
                  <c:y val="-3.19584255195031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D46-42AE-B78C-D469B188679C}"/>
                </c:ext>
              </c:extLst>
            </c:dLbl>
            <c:dLbl>
              <c:idx val="3"/>
              <c:layout>
                <c:manualLayout>
                  <c:x val="2.9583649834621681E-2"/>
                  <c:y val="-9.034837479636044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D46-42AE-B78C-D469B188679C}"/>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Sheet1!$D$50:$D$53</c:f>
              <c:numCache>
                <c:formatCode>General</c:formatCode>
                <c:ptCount val="4"/>
                <c:pt idx="0">
                  <c:v>2017</c:v>
                </c:pt>
                <c:pt idx="1">
                  <c:v>2018</c:v>
                </c:pt>
                <c:pt idx="2">
                  <c:v>2019</c:v>
                </c:pt>
                <c:pt idx="3">
                  <c:v>2020</c:v>
                </c:pt>
              </c:numCache>
            </c:numRef>
          </c:cat>
          <c:val>
            <c:numRef>
              <c:f>Sheet1!$F$50:$F$53</c:f>
              <c:numCache>
                <c:formatCode>0</c:formatCode>
                <c:ptCount val="4"/>
                <c:pt idx="0">
                  <c:v>2027</c:v>
                </c:pt>
                <c:pt idx="1">
                  <c:v>2175</c:v>
                </c:pt>
                <c:pt idx="2">
                  <c:v>1992</c:v>
                </c:pt>
                <c:pt idx="3">
                  <c:v>3397</c:v>
                </c:pt>
              </c:numCache>
            </c:numRef>
          </c:val>
          <c:extLst>
            <c:ext xmlns:c16="http://schemas.microsoft.com/office/drawing/2014/chart" uri="{C3380CC4-5D6E-409C-BE32-E72D297353CC}">
              <c16:uniqueId val="{00000008-4D46-42AE-B78C-D469B188679C}"/>
            </c:ext>
          </c:extLst>
        </c:ser>
        <c:dLbls>
          <c:showLegendKey val="0"/>
          <c:showVal val="1"/>
          <c:showCatName val="0"/>
          <c:showSerName val="0"/>
          <c:showPercent val="0"/>
          <c:showBubbleSize val="0"/>
        </c:dLbls>
        <c:gapWidth val="150"/>
        <c:shape val="box"/>
        <c:axId val="587282672"/>
        <c:axId val="587284848"/>
        <c:axId val="0"/>
      </c:bar3DChart>
      <c:catAx>
        <c:axId val="587282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bg1"/>
                    </a:solidFill>
                  </a:rPr>
                  <a:t>Axis Title</a:t>
                </a:r>
              </a:p>
            </c:rich>
          </c:tx>
          <c:layout>
            <c:manualLayout>
              <c:xMode val="edge"/>
              <c:yMode val="edge"/>
              <c:x val="0.51951399825021871"/>
              <c:y val="0.7421241615631379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r-Latn-RS"/>
          </a:p>
        </c:txPr>
        <c:crossAx val="587284848"/>
        <c:crosses val="autoZero"/>
        <c:auto val="1"/>
        <c:lblAlgn val="ctr"/>
        <c:lblOffset val="100"/>
        <c:noMultiLvlLbl val="0"/>
      </c:catAx>
      <c:valAx>
        <c:axId val="58728484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87282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RS" sz="1200" b="1" baseline="0">
                <a:latin typeface="Arial" panose="020B0604020202020204" pitchFamily="34" charset="0"/>
                <a:cs typeface="Arial" panose="020B0604020202020204" pitchFamily="34" charset="0"/>
              </a:rPr>
              <a:t> Ukupan broj podnešenih žalbi na prvostepena rješenja 2017-2020.g.</a:t>
            </a:r>
            <a:endParaRPr lang="en-US" sz="1200" b="1">
              <a:latin typeface="Arial" panose="020B0604020202020204" pitchFamily="34" charset="0"/>
              <a:cs typeface="Arial" panose="020B0604020202020204" pitchFamily="34" charset="0"/>
            </a:endParaRPr>
          </a:p>
        </c:rich>
      </c:tx>
      <c:layout>
        <c:manualLayout>
          <c:xMode val="edge"/>
          <c:yMode val="edge"/>
          <c:x val="0.14097222222222222"/>
          <c:y val="5.092592592592592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rgbClr val="C00000"/>
            </a:solidFill>
            <a:ln>
              <a:noFill/>
            </a:ln>
            <a:effectLst/>
            <a:sp3d/>
          </c:spPr>
          <c:invertIfNegative val="0"/>
          <c:dLbls>
            <c:dLbl>
              <c:idx val="0"/>
              <c:layout>
                <c:manualLayout>
                  <c:x val="1.3888888888888864E-2"/>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A11-4908-BB4C-2A8376C79C99}"/>
                </c:ext>
              </c:extLst>
            </c:dLbl>
            <c:dLbl>
              <c:idx val="1"/>
              <c:layout>
                <c:manualLayout>
                  <c:x val="1.388888888888894E-2"/>
                  <c:y val="-3.70370370370370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A11-4908-BB4C-2A8376C79C99}"/>
                </c:ext>
              </c:extLst>
            </c:dLbl>
            <c:dLbl>
              <c:idx val="2"/>
              <c:layout>
                <c:manualLayout>
                  <c:x val="5.5555555555555558E-3"/>
                  <c:y val="-4.16666666666667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A11-4908-BB4C-2A8376C79C99}"/>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Sheet1!$D$50:$D$53</c:f>
              <c:numCache>
                <c:formatCode>General</c:formatCode>
                <c:ptCount val="4"/>
                <c:pt idx="0">
                  <c:v>2017</c:v>
                </c:pt>
                <c:pt idx="1">
                  <c:v>2018</c:v>
                </c:pt>
                <c:pt idx="2">
                  <c:v>2019</c:v>
                </c:pt>
                <c:pt idx="3">
                  <c:v>2020</c:v>
                </c:pt>
              </c:numCache>
            </c:numRef>
          </c:cat>
          <c:val>
            <c:numRef>
              <c:f>Sheet1!$E$50:$E$53</c:f>
              <c:numCache>
                <c:formatCode>General</c:formatCode>
                <c:ptCount val="4"/>
                <c:pt idx="0">
                  <c:v>61046</c:v>
                </c:pt>
                <c:pt idx="1">
                  <c:v>80507</c:v>
                </c:pt>
                <c:pt idx="2">
                  <c:v>74047</c:v>
                </c:pt>
                <c:pt idx="3">
                  <c:v>59536</c:v>
                </c:pt>
              </c:numCache>
            </c:numRef>
          </c:val>
          <c:extLst>
            <c:ext xmlns:c16="http://schemas.microsoft.com/office/drawing/2014/chart" uri="{C3380CC4-5D6E-409C-BE32-E72D297353CC}">
              <c16:uniqueId val="{00000003-FA11-4908-BB4C-2A8376C79C99}"/>
            </c:ext>
          </c:extLst>
        </c:ser>
        <c:ser>
          <c:idx val="1"/>
          <c:order val="1"/>
          <c:spPr>
            <a:solidFill>
              <a:srgbClr val="00B050"/>
            </a:solidFill>
            <a:ln>
              <a:noFill/>
            </a:ln>
            <a:effectLst/>
            <a:sp3d/>
          </c:spPr>
          <c:invertIfNegative val="0"/>
          <c:dLbls>
            <c:dLbl>
              <c:idx val="0"/>
              <c:layout>
                <c:manualLayout>
                  <c:x val="5.4760458201394559E-2"/>
                  <c:y val="-1.8069674959272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A11-4908-BB4C-2A8376C79C99}"/>
                </c:ext>
              </c:extLst>
            </c:dLbl>
            <c:dLbl>
              <c:idx val="1"/>
              <c:layout>
                <c:manualLayout>
                  <c:x val="5.4671940194015375E-2"/>
                  <c:y val="-1.80696749592721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A11-4908-BB4C-2A8376C79C99}"/>
                </c:ext>
              </c:extLst>
            </c:dLbl>
            <c:dLbl>
              <c:idx val="2"/>
              <c:layout>
                <c:manualLayout>
                  <c:x val="5.2247647972778706E-2"/>
                  <c:y val="-3.19584255195031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A11-4908-BB4C-2A8376C79C99}"/>
                </c:ext>
              </c:extLst>
            </c:dLbl>
            <c:dLbl>
              <c:idx val="3"/>
              <c:layout>
                <c:manualLayout>
                  <c:x val="2.9583649834621681E-2"/>
                  <c:y val="-9.034837479636044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A11-4908-BB4C-2A8376C79C99}"/>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Sheet1!$D$50:$D$53</c:f>
              <c:numCache>
                <c:formatCode>General</c:formatCode>
                <c:ptCount val="4"/>
                <c:pt idx="0">
                  <c:v>2017</c:v>
                </c:pt>
                <c:pt idx="1">
                  <c:v>2018</c:v>
                </c:pt>
                <c:pt idx="2">
                  <c:v>2019</c:v>
                </c:pt>
                <c:pt idx="3">
                  <c:v>2020</c:v>
                </c:pt>
              </c:numCache>
            </c:numRef>
          </c:cat>
          <c:val>
            <c:numRef>
              <c:f>Sheet1!$F$50:$F$53</c:f>
              <c:numCache>
                <c:formatCode>0</c:formatCode>
                <c:ptCount val="4"/>
                <c:pt idx="0">
                  <c:v>2027</c:v>
                </c:pt>
                <c:pt idx="1">
                  <c:v>2175</c:v>
                </c:pt>
                <c:pt idx="2">
                  <c:v>1992</c:v>
                </c:pt>
                <c:pt idx="3">
                  <c:v>2414</c:v>
                </c:pt>
              </c:numCache>
            </c:numRef>
          </c:val>
          <c:extLst>
            <c:ext xmlns:c16="http://schemas.microsoft.com/office/drawing/2014/chart" uri="{C3380CC4-5D6E-409C-BE32-E72D297353CC}">
              <c16:uniqueId val="{00000008-FA11-4908-BB4C-2A8376C79C99}"/>
            </c:ext>
          </c:extLst>
        </c:ser>
        <c:dLbls>
          <c:showLegendKey val="0"/>
          <c:showVal val="1"/>
          <c:showCatName val="0"/>
          <c:showSerName val="0"/>
          <c:showPercent val="0"/>
          <c:showBubbleSize val="0"/>
        </c:dLbls>
        <c:gapWidth val="150"/>
        <c:shape val="box"/>
        <c:axId val="587280496"/>
        <c:axId val="587287568"/>
        <c:axId val="0"/>
      </c:bar3DChart>
      <c:catAx>
        <c:axId val="5872804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bg1"/>
                    </a:solidFill>
                  </a:rPr>
                  <a:t>Axis Title</a:t>
                </a:r>
              </a:p>
            </c:rich>
          </c:tx>
          <c:layout>
            <c:manualLayout>
              <c:xMode val="edge"/>
              <c:yMode val="edge"/>
              <c:x val="0.51951399825021871"/>
              <c:y val="0.7421241615631379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r-Latn-RS"/>
          </a:p>
        </c:txPr>
        <c:crossAx val="587287568"/>
        <c:crosses val="autoZero"/>
        <c:auto val="1"/>
        <c:lblAlgn val="ctr"/>
        <c:lblOffset val="100"/>
        <c:noMultiLvlLbl val="0"/>
      </c:catAx>
      <c:valAx>
        <c:axId val="58728756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87280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sl-SI"/>
            </a:pPr>
            <a:r>
              <a:rPr lang="x-none" sz="1200">
                <a:latin typeface="Times New Roman" panose="02020603050405020304" pitchFamily="18" charset="0"/>
                <a:cs typeface="Times New Roman" panose="02020603050405020304" pitchFamily="18" charset="0"/>
              </a:rPr>
              <a:t>S</a:t>
            </a:r>
            <a:r>
              <a:rPr lang="en-US" sz="1200">
                <a:latin typeface="Times New Roman" panose="02020603050405020304" pitchFamily="18" charset="0"/>
                <a:cs typeface="Times New Roman" panose="02020603050405020304" pitchFamily="18" charset="0"/>
              </a:rPr>
              <a:t>truktura</a:t>
            </a:r>
            <a:r>
              <a:rPr lang="x-none" sz="1200">
                <a:latin typeface="Times New Roman" panose="02020603050405020304" pitchFamily="18" charset="0"/>
                <a:cs typeface="Times New Roman" panose="02020603050405020304" pitchFamily="18" charset="0"/>
              </a:rPr>
              <a:t> naplate po vrstama prihoda</a:t>
            </a:r>
            <a:r>
              <a:rPr lang="sl-SI" sz="1200" b="1" i="1" u="none" strike="noStrike" baseline="0">
                <a:effectLst/>
                <a:latin typeface="Times New Roman" panose="02020603050405020304" pitchFamily="18" charset="0"/>
                <a:cs typeface="Times New Roman" panose="02020603050405020304" pitchFamily="18" charset="0"/>
              </a:rPr>
              <a:t> </a:t>
            </a:r>
            <a:r>
              <a:rPr lang="en-US" sz="1200">
                <a:latin typeface="Times New Roman" panose="02020603050405020304" pitchFamily="18" charset="0"/>
                <a:cs typeface="Times New Roman" panose="02020603050405020304" pitchFamily="18" charset="0"/>
              </a:rPr>
              <a:t> </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dLbl>
              <c:idx val="0"/>
              <c:tx>
                <c:rich>
                  <a:bodyPr/>
                  <a:lstStyle/>
                  <a:p>
                    <a:r>
                      <a:rPr lang="en-US"/>
                      <a:t>64,36</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28BC-4A8F-9A4C-486862D78B49}"/>
                </c:ext>
              </c:extLst>
            </c:dLbl>
            <c:dLbl>
              <c:idx val="1"/>
              <c:tx>
                <c:rich>
                  <a:bodyPr/>
                  <a:lstStyle/>
                  <a:p>
                    <a:r>
                      <a:rPr lang="en-US"/>
                      <a:t>31,94%</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8BC-4A8F-9A4C-486862D78B49}"/>
                </c:ext>
              </c:extLst>
            </c:dLbl>
            <c:dLbl>
              <c:idx val="2"/>
              <c:tx>
                <c:rich>
                  <a:bodyPr/>
                  <a:lstStyle/>
                  <a:p>
                    <a:r>
                      <a:rPr lang="en-US"/>
                      <a:t>3,38%</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28BC-4A8F-9A4C-486862D78B49}"/>
                </c:ext>
              </c:extLst>
            </c:dLbl>
            <c:dLbl>
              <c:idx val="3"/>
              <c:tx>
                <c:rich>
                  <a:bodyPr/>
                  <a:lstStyle/>
                  <a:p>
                    <a:r>
                      <a:rPr lang="en-US"/>
                      <a:t>0,3%</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8BC-4A8F-9A4C-486862D78B49}"/>
                </c:ext>
              </c:extLst>
            </c:dLbl>
            <c:dLbl>
              <c:idx val="4"/>
              <c:tx>
                <c:rich>
                  <a:bodyPr/>
                  <a:lstStyle/>
                  <a:p>
                    <a:r>
                      <a:rPr lang="en-US"/>
                      <a:t>0,02%</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28BC-4A8F-9A4C-486862D78B49}"/>
                </c:ext>
              </c:extLst>
            </c:dLbl>
            <c:spPr>
              <a:noFill/>
              <a:ln>
                <a:noFill/>
              </a:ln>
              <a:effectLst/>
            </c:spPr>
            <c:txPr>
              <a:bodyPr/>
              <a:lstStyle/>
              <a:p>
                <a:pPr>
                  <a:defRPr lang="sl-SI">
                    <a:latin typeface="Times New Roman" panose="02020603050405020304" pitchFamily="18" charset="0"/>
                    <a:cs typeface="Times New Roman" panose="02020603050405020304" pitchFamily="18" charset="0"/>
                  </a:defRPr>
                </a:pPr>
                <a:endParaRPr lang="sr-Latn-R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Sheet1!$A$1:$A$5</c:f>
              <c:strCache>
                <c:ptCount val="5"/>
                <c:pt idx="0">
                  <c:v>PDV pri uvozu</c:v>
                </c:pt>
                <c:pt idx="1">
                  <c:v>Akciza</c:v>
                </c:pt>
                <c:pt idx="2">
                  <c:v>Carina</c:v>
                </c:pt>
                <c:pt idx="3">
                  <c:v>Porez na kafu</c:v>
                </c:pt>
                <c:pt idx="4">
                  <c:v>Ostali prihodi</c:v>
                </c:pt>
              </c:strCache>
            </c:strRef>
          </c:cat>
          <c:val>
            <c:numRef>
              <c:f>Sheet1!$B$1:$B$5</c:f>
              <c:numCache>
                <c:formatCode>#,##0.00</c:formatCode>
                <c:ptCount val="5"/>
                <c:pt idx="0">
                  <c:v>431782489.11000001</c:v>
                </c:pt>
                <c:pt idx="1">
                  <c:v>214251275.06999999</c:v>
                </c:pt>
                <c:pt idx="2">
                  <c:v>22692836.359999999</c:v>
                </c:pt>
                <c:pt idx="3">
                  <c:v>2003173.46</c:v>
                </c:pt>
                <c:pt idx="4">
                  <c:v>108337.01</c:v>
                </c:pt>
              </c:numCache>
            </c:numRef>
          </c:val>
          <c:extLst>
            <c:ext xmlns:c16="http://schemas.microsoft.com/office/drawing/2014/chart" uri="{C3380CC4-5D6E-409C-BE32-E72D297353CC}">
              <c16:uniqueId val="{00000005-28BC-4A8F-9A4C-486862D78B49}"/>
            </c:ext>
          </c:extLst>
        </c:ser>
        <c:dLbls>
          <c:showLegendKey val="0"/>
          <c:showVal val="0"/>
          <c:showCatName val="0"/>
          <c:showSerName val="0"/>
          <c:showPercent val="1"/>
          <c:showBubbleSize val="0"/>
          <c:showLeaderLines val="1"/>
        </c:dLbls>
      </c:pie3DChart>
    </c:plotArea>
    <c:legend>
      <c:legendPos val="t"/>
      <c:overlay val="0"/>
      <c:txPr>
        <a:bodyPr/>
        <a:lstStyle/>
        <a:p>
          <a:pPr>
            <a:defRPr lang="sl-SI" sz="900">
              <a:latin typeface="Times New Roman" panose="02020603050405020304" pitchFamily="18" charset="0"/>
              <a:cs typeface="Times New Roman" panose="02020603050405020304" pitchFamily="18" charset="0"/>
            </a:defRPr>
          </a:pPr>
          <a:endParaRPr lang="sr-Latn-RS"/>
        </a:p>
      </c:txPr>
    </c:legend>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15372989591254371"/>
          <c:y val="9.7536804439237526E-2"/>
          <c:w val="0.66212672014129081"/>
          <c:h val="0.55315841703532664"/>
        </c:manualLayout>
      </c:layout>
      <c:bar3DChart>
        <c:barDir val="col"/>
        <c:grouping val="clustered"/>
        <c:varyColors val="0"/>
        <c:ser>
          <c:idx val="0"/>
          <c:order val="0"/>
          <c:tx>
            <c:strRef>
              <c:f>Mjesec!$C$32</c:f>
              <c:strCache>
                <c:ptCount val="1"/>
                <c:pt idx="0">
                  <c:v>Ostvareno u 2019.godini(A)</c:v>
                </c:pt>
              </c:strCache>
            </c:strRef>
          </c:tx>
          <c:invertIfNegative val="0"/>
          <c:cat>
            <c:strRef>
              <c:f>Mjesec!$B$33:$B$38</c:f>
              <c:strCache>
                <c:ptCount val="6"/>
                <c:pt idx="0">
                  <c:v>Akciza na mineralna ulja i njihove derivate</c:v>
                </c:pt>
                <c:pt idx="1">
                  <c:v>Akciza na duvanske proizvode</c:v>
                </c:pt>
                <c:pt idx="2">
                  <c:v>Akciza na alkohol i alkoholna pića</c:v>
                </c:pt>
                <c:pt idx="3">
                  <c:v>Akciza na gaziranu vodu </c:v>
                </c:pt>
                <c:pt idx="4">
                  <c:v>Akciza na ugalj u proizvodnji</c:v>
                </c:pt>
                <c:pt idx="5">
                  <c:v>Razlika akcize u trgovačkoj djelatnosti</c:v>
                </c:pt>
              </c:strCache>
            </c:strRef>
          </c:cat>
          <c:val>
            <c:numRef>
              <c:f>Mjesec!$C$33:$C$38</c:f>
              <c:numCache>
                <c:formatCode>#,##0.00</c:formatCode>
                <c:ptCount val="6"/>
                <c:pt idx="0">
                  <c:v>12884749.6</c:v>
                </c:pt>
                <c:pt idx="1">
                  <c:v>3249871.8099999987</c:v>
                </c:pt>
                <c:pt idx="2">
                  <c:v>1387267.72</c:v>
                </c:pt>
                <c:pt idx="3">
                  <c:v>716868.46000000043</c:v>
                </c:pt>
                <c:pt idx="4">
                  <c:v>175664.28</c:v>
                </c:pt>
                <c:pt idx="5">
                  <c:v>0</c:v>
                </c:pt>
              </c:numCache>
            </c:numRef>
          </c:val>
          <c:extLst>
            <c:ext xmlns:c16="http://schemas.microsoft.com/office/drawing/2014/chart" uri="{C3380CC4-5D6E-409C-BE32-E72D297353CC}">
              <c16:uniqueId val="{00000000-B489-4F20-9909-4424C76CC841}"/>
            </c:ext>
          </c:extLst>
        </c:ser>
        <c:ser>
          <c:idx val="1"/>
          <c:order val="1"/>
          <c:tx>
            <c:strRef>
              <c:f>Mjesec!$D$32</c:f>
              <c:strCache>
                <c:ptCount val="1"/>
                <c:pt idx="0">
                  <c:v>Ostvareno u 2020.godini(B)</c:v>
                </c:pt>
              </c:strCache>
            </c:strRef>
          </c:tx>
          <c:invertIfNegative val="0"/>
          <c:cat>
            <c:strRef>
              <c:f>Mjesec!$B$33:$B$38</c:f>
              <c:strCache>
                <c:ptCount val="6"/>
                <c:pt idx="0">
                  <c:v>Akciza na mineralna ulja i njihove derivate</c:v>
                </c:pt>
                <c:pt idx="1">
                  <c:v>Akciza na duvanske proizvode</c:v>
                </c:pt>
                <c:pt idx="2">
                  <c:v>Akciza na alkohol i alkoholna pića</c:v>
                </c:pt>
                <c:pt idx="3">
                  <c:v>Akciza na gaziranu vodu </c:v>
                </c:pt>
                <c:pt idx="4">
                  <c:v>Akciza na ugalj u proizvodnji</c:v>
                </c:pt>
                <c:pt idx="5">
                  <c:v>Razlika akcize u trgovačkoj djelatnosti</c:v>
                </c:pt>
              </c:strCache>
            </c:strRef>
          </c:cat>
          <c:val>
            <c:numRef>
              <c:f>Mjesec!$D$33:$D$38</c:f>
              <c:numCache>
                <c:formatCode>#,##0.00</c:formatCode>
                <c:ptCount val="6"/>
                <c:pt idx="0">
                  <c:v>12912776.040000001</c:v>
                </c:pt>
                <c:pt idx="1">
                  <c:v>4243454.6599999992</c:v>
                </c:pt>
                <c:pt idx="2">
                  <c:v>1094278.99</c:v>
                </c:pt>
                <c:pt idx="3">
                  <c:v>651979.47</c:v>
                </c:pt>
                <c:pt idx="4">
                  <c:v>474503.79000000021</c:v>
                </c:pt>
                <c:pt idx="5">
                  <c:v>0</c:v>
                </c:pt>
              </c:numCache>
            </c:numRef>
          </c:val>
          <c:extLst>
            <c:ext xmlns:c16="http://schemas.microsoft.com/office/drawing/2014/chart" uri="{C3380CC4-5D6E-409C-BE32-E72D297353CC}">
              <c16:uniqueId val="{00000001-B489-4F20-9909-4424C76CC841}"/>
            </c:ext>
          </c:extLst>
        </c:ser>
        <c:dLbls>
          <c:showLegendKey val="0"/>
          <c:showVal val="0"/>
          <c:showCatName val="0"/>
          <c:showSerName val="0"/>
          <c:showPercent val="0"/>
          <c:showBubbleSize val="0"/>
        </c:dLbls>
        <c:gapWidth val="150"/>
        <c:shape val="box"/>
        <c:axId val="494564240"/>
        <c:axId val="494571312"/>
        <c:axId val="0"/>
      </c:bar3DChart>
      <c:catAx>
        <c:axId val="494564240"/>
        <c:scaling>
          <c:orientation val="minMax"/>
        </c:scaling>
        <c:delete val="0"/>
        <c:axPos val="b"/>
        <c:numFmt formatCode="General" sourceLinked="1"/>
        <c:majorTickMark val="out"/>
        <c:minorTickMark val="none"/>
        <c:tickLblPos val="nextTo"/>
        <c:txPr>
          <a:bodyPr rot="0" vert="horz"/>
          <a:lstStyle/>
          <a:p>
            <a:pPr>
              <a:defRPr lang="sl-SI" sz="900" b="0" i="0" u="none" strike="noStrike" baseline="0">
                <a:solidFill>
                  <a:sysClr val="windowText" lastClr="000000"/>
                </a:solidFill>
                <a:latin typeface="Times New Roman" panose="02020603050405020304" pitchFamily="18" charset="0"/>
                <a:ea typeface="Century Gothic"/>
                <a:cs typeface="Times New Roman" panose="02020603050405020304" pitchFamily="18" charset="0"/>
              </a:defRPr>
            </a:pPr>
            <a:endParaRPr lang="sr-Latn-RS"/>
          </a:p>
        </c:txPr>
        <c:crossAx val="494571312"/>
        <c:crosses val="autoZero"/>
        <c:auto val="1"/>
        <c:lblAlgn val="ctr"/>
        <c:lblOffset val="100"/>
        <c:noMultiLvlLbl val="0"/>
      </c:catAx>
      <c:valAx>
        <c:axId val="494571312"/>
        <c:scaling>
          <c:orientation val="minMax"/>
        </c:scaling>
        <c:delete val="0"/>
        <c:axPos val="l"/>
        <c:majorGridlines/>
        <c:numFmt formatCode="#,##0.00" sourceLinked="1"/>
        <c:majorTickMark val="out"/>
        <c:minorTickMark val="none"/>
        <c:tickLblPos val="nextTo"/>
        <c:txPr>
          <a:bodyPr rot="0" vert="horz"/>
          <a:lstStyle/>
          <a:p>
            <a:pPr>
              <a:defRPr lang="sl-SI" sz="1000" b="0" i="0" u="none" strike="noStrike" baseline="0">
                <a:solidFill>
                  <a:sysClr val="windowText" lastClr="000000"/>
                </a:solidFill>
                <a:latin typeface="Times New Roman" panose="02020603050405020304" pitchFamily="18" charset="0"/>
                <a:ea typeface="Century Gothic"/>
                <a:cs typeface="Times New Roman" panose="02020603050405020304" pitchFamily="18" charset="0"/>
              </a:defRPr>
            </a:pPr>
            <a:endParaRPr lang="sr-Latn-RS"/>
          </a:p>
        </c:txPr>
        <c:crossAx val="494564240"/>
        <c:crosses val="autoZero"/>
        <c:crossBetween val="between"/>
      </c:valAx>
      <c:spPr>
        <a:noFill/>
        <a:ln w="25400">
          <a:noFill/>
        </a:ln>
      </c:spPr>
    </c:plotArea>
    <c:legend>
      <c:legendPos val="r"/>
      <c:layout>
        <c:manualLayout>
          <c:xMode val="edge"/>
          <c:yMode val="edge"/>
          <c:x val="0.80062427080942322"/>
          <c:y val="0.22916744373726963"/>
          <c:w val="0.18535853740529562"/>
          <c:h val="0.35416786759396124"/>
        </c:manualLayout>
      </c:layout>
      <c:overlay val="0"/>
      <c:txPr>
        <a:bodyPr/>
        <a:lstStyle/>
        <a:p>
          <a:pPr>
            <a:defRPr lang="sl-SI" sz="735" b="0" i="0" u="none" strike="noStrike" baseline="0">
              <a:solidFill>
                <a:sysClr val="windowText" lastClr="000000"/>
              </a:solidFill>
              <a:latin typeface="Times New Roman" panose="02020603050405020304" pitchFamily="18" charset="0"/>
              <a:ea typeface="Century Gothic"/>
              <a:cs typeface="Times New Roman" panose="02020603050405020304" pitchFamily="18" charset="0"/>
            </a:defRPr>
          </a:pPr>
          <a:endParaRPr lang="sr-Latn-R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sr-Latn-R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'Broj dekl'!$F$3</c:f>
              <c:strCache>
                <c:ptCount val="1"/>
                <c:pt idx="0">
                  <c:v>2019</c:v>
                </c:pt>
              </c:strCache>
            </c:strRef>
          </c:tx>
          <c:spPr>
            <a:solidFill>
              <a:schemeClr val="accent1"/>
            </a:solidFill>
            <a:ln>
              <a:noFill/>
            </a:ln>
            <a:effectLst/>
            <a:sp3d/>
          </c:spPr>
          <c:invertIfNegative val="0"/>
          <c:dLbls>
            <c:dLbl>
              <c:idx val="0"/>
              <c:layout>
                <c:manualLayout>
                  <c:x val="7.3529411764705881E-3"/>
                  <c:y val="0.10682512549382102"/>
                </c:manualLayout>
              </c:layout>
              <c:spPr>
                <a:noFill/>
                <a:ln>
                  <a:noFill/>
                </a:ln>
                <a:effectLst/>
              </c:spPr>
              <c:txPr>
                <a:bodyPr rot="0" spcFirstLastPara="1" vertOverflow="ellipsis" vert="horz" wrap="square" lIns="38100" tIns="19050" rIns="38100" bIns="19050" anchor="ctr" anchorCtr="1">
                  <a:spAutoFit/>
                </a:bodyPr>
                <a:lstStyle/>
                <a:p>
                  <a:pPr>
                    <a:defRPr lang="sl-SI" sz="900" b="1" i="0" u="none" strike="noStrike" kern="1200" baseline="0">
                      <a:solidFill>
                        <a:schemeClr val="tx1"/>
                      </a:solidFill>
                      <a:latin typeface="+mn-lt"/>
                      <a:ea typeface="+mn-ea"/>
                      <a:cs typeface="+mn-cs"/>
                    </a:defRPr>
                  </a:pPr>
                  <a:endParaRPr lang="sr-Latn-R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DC2-4C38-8356-8C7E81297DC3}"/>
                </c:ext>
              </c:extLst>
            </c:dLbl>
            <c:dLbl>
              <c:idx val="1"/>
              <c:layout>
                <c:manualLayout>
                  <c:x val="7.3529411764705881E-3"/>
                  <c:y val="7.1216750329213929E-2"/>
                </c:manualLayout>
              </c:layout>
              <c:spPr>
                <a:noFill/>
                <a:ln>
                  <a:noFill/>
                </a:ln>
                <a:effectLst/>
              </c:spPr>
              <c:txPr>
                <a:bodyPr rot="0" spcFirstLastPara="1" vertOverflow="ellipsis" vert="horz" wrap="square" lIns="38100" tIns="19050" rIns="38100" bIns="19050" anchor="ctr" anchorCtr="1">
                  <a:spAutoFit/>
                </a:bodyPr>
                <a:lstStyle/>
                <a:p>
                  <a:pPr>
                    <a:defRPr lang="sl-SI" sz="900" b="1" i="0" u="none" strike="noStrike" kern="1200" baseline="0">
                      <a:solidFill>
                        <a:schemeClr val="tx1"/>
                      </a:solidFill>
                      <a:latin typeface="+mn-lt"/>
                      <a:ea typeface="+mn-ea"/>
                      <a:cs typeface="+mn-cs"/>
                    </a:defRPr>
                  </a:pPr>
                  <a:endParaRPr lang="sr-Latn-R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C2-4C38-8356-8C7E81297DC3}"/>
                </c:ext>
              </c:extLst>
            </c:dLbl>
            <c:spPr>
              <a:noFill/>
              <a:ln>
                <a:noFill/>
              </a:ln>
              <a:effectLst/>
            </c:spPr>
            <c:txPr>
              <a:bodyPr rot="0" spcFirstLastPara="1" vertOverflow="ellipsis" vert="horz" wrap="square" lIns="38100" tIns="19050" rIns="38100" bIns="19050" anchor="ctr" anchorCtr="1">
                <a:spAutoFit/>
              </a:bodyPr>
              <a:lstStyle/>
              <a:p>
                <a:pPr>
                  <a:defRPr lang="sl-SI" sz="900" b="1"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'Broj dekl'!$E$4:$E$5</c:f>
              <c:strCache>
                <c:ptCount val="2"/>
                <c:pt idx="0">
                  <c:v>Vrijednost uvoza</c:v>
                </c:pt>
                <c:pt idx="1">
                  <c:v>Vrijednost izvoza</c:v>
                </c:pt>
              </c:strCache>
            </c:strRef>
          </c:cat>
          <c:val>
            <c:numRef>
              <c:f>'Broj dekl'!$F$4:$F$5</c:f>
              <c:numCache>
                <c:formatCode>#,##0.00</c:formatCode>
                <c:ptCount val="2"/>
                <c:pt idx="0" formatCode="#,##0.0">
                  <c:v>2541756442.3399992</c:v>
                </c:pt>
                <c:pt idx="1">
                  <c:v>552375960.77071345</c:v>
                </c:pt>
              </c:numCache>
            </c:numRef>
          </c:val>
          <c:shape val="cylinder"/>
          <c:extLst>
            <c:ext xmlns:c16="http://schemas.microsoft.com/office/drawing/2014/chart" uri="{C3380CC4-5D6E-409C-BE32-E72D297353CC}">
              <c16:uniqueId val="{00000002-4DC2-4C38-8356-8C7E81297DC3}"/>
            </c:ext>
          </c:extLst>
        </c:ser>
        <c:ser>
          <c:idx val="1"/>
          <c:order val="1"/>
          <c:tx>
            <c:strRef>
              <c:f>'Broj dekl'!$G$3</c:f>
              <c:strCache>
                <c:ptCount val="1"/>
                <c:pt idx="0">
                  <c:v>2020</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sl-SI" sz="900" b="1" i="0" u="none" strike="noStrike" kern="1200" baseline="0">
                    <a:solidFill>
                      <a:schemeClr val="tx1"/>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'Broj dekl'!$E$4:$E$5</c:f>
              <c:strCache>
                <c:ptCount val="2"/>
                <c:pt idx="0">
                  <c:v>Vrijednost uvoza</c:v>
                </c:pt>
                <c:pt idx="1">
                  <c:v>Vrijednost izvoza</c:v>
                </c:pt>
              </c:strCache>
            </c:strRef>
          </c:cat>
          <c:val>
            <c:numRef>
              <c:f>'Broj dekl'!$G$4:$G$5</c:f>
              <c:numCache>
                <c:formatCode>#,##0.00</c:formatCode>
                <c:ptCount val="2"/>
                <c:pt idx="0">
                  <c:v>2054648019.2800002</c:v>
                </c:pt>
                <c:pt idx="1">
                  <c:v>445890679.28628629</c:v>
                </c:pt>
              </c:numCache>
            </c:numRef>
          </c:val>
          <c:shape val="cylinder"/>
          <c:extLst>
            <c:ext xmlns:c16="http://schemas.microsoft.com/office/drawing/2014/chart" uri="{C3380CC4-5D6E-409C-BE32-E72D297353CC}">
              <c16:uniqueId val="{00000003-4DC2-4C38-8356-8C7E81297DC3}"/>
            </c:ext>
          </c:extLst>
        </c:ser>
        <c:dLbls>
          <c:showLegendKey val="0"/>
          <c:showVal val="0"/>
          <c:showCatName val="0"/>
          <c:showSerName val="0"/>
          <c:showPercent val="0"/>
          <c:showBubbleSize val="0"/>
        </c:dLbls>
        <c:gapWidth val="150"/>
        <c:shape val="box"/>
        <c:axId val="494577840"/>
        <c:axId val="494575120"/>
        <c:axId val="582171072"/>
      </c:bar3DChart>
      <c:catAx>
        <c:axId val="4945778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sl-SI"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494575120"/>
        <c:crosses val="autoZero"/>
        <c:auto val="1"/>
        <c:lblAlgn val="ctr"/>
        <c:lblOffset val="100"/>
        <c:noMultiLvlLbl val="0"/>
      </c:catAx>
      <c:valAx>
        <c:axId val="4945751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lang="sl-SI" sz="900" b="0" i="0" u="none" strike="noStrike" kern="1200" baseline="0">
                <a:solidFill>
                  <a:schemeClr val="tx1">
                    <a:lumMod val="65000"/>
                    <a:lumOff val="35000"/>
                  </a:schemeClr>
                </a:solidFill>
                <a:latin typeface="+mn-lt"/>
                <a:ea typeface="+mn-ea"/>
                <a:cs typeface="+mn-cs"/>
              </a:defRPr>
            </a:pPr>
            <a:endParaRPr lang="sr-Latn-RS"/>
          </a:p>
        </c:txPr>
        <c:crossAx val="494577840"/>
        <c:crosses val="autoZero"/>
        <c:crossBetween val="between"/>
      </c:valAx>
      <c:serAx>
        <c:axId val="582171072"/>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lang="sl-SI" sz="900" b="0" i="0" u="none" strike="noStrike" kern="1200" baseline="0">
                <a:solidFill>
                  <a:schemeClr val="tx1">
                    <a:lumMod val="65000"/>
                    <a:lumOff val="35000"/>
                  </a:schemeClr>
                </a:solidFill>
                <a:latin typeface="+mn-lt"/>
                <a:ea typeface="+mn-ea"/>
                <a:cs typeface="+mn-cs"/>
              </a:defRPr>
            </a:pPr>
            <a:endParaRPr lang="sr-Latn-RS"/>
          </a:p>
        </c:txPr>
        <c:crossAx val="494575120"/>
        <c:crosses val="autoZero"/>
      </c:serAx>
      <c:spPr>
        <a:noFill/>
        <a:ln>
          <a:noFill/>
        </a:ln>
        <a:effectLst/>
      </c:spPr>
    </c:plotArea>
    <c:legend>
      <c:legendPos val="t"/>
      <c:overlay val="0"/>
      <c:spPr>
        <a:noFill/>
        <a:ln>
          <a:noFill/>
        </a:ln>
        <a:effectLst/>
      </c:spPr>
      <c:txPr>
        <a:bodyPr rot="0" spcFirstLastPara="1" vertOverflow="ellipsis" vert="horz" wrap="square" anchor="ctr" anchorCtr="1"/>
        <a:lstStyle/>
        <a:p>
          <a:pPr>
            <a:defRPr lang="sl-SI"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0"/>
    <c:view3D>
      <c:rotX val="30"/>
      <c:rotY val="190"/>
      <c:rAngAx val="0"/>
    </c:view3D>
    <c:floor>
      <c:thickness val="0"/>
    </c:floor>
    <c:sideWall>
      <c:thickness val="0"/>
    </c:sideWall>
    <c:backWall>
      <c:thickness val="0"/>
    </c:backWall>
    <c:plotArea>
      <c:layout/>
      <c:pie3DChart>
        <c:varyColors val="1"/>
        <c:ser>
          <c:idx val="0"/>
          <c:order val="0"/>
          <c:explosion val="25"/>
          <c:dPt>
            <c:idx val="0"/>
            <c:bubble3D val="0"/>
            <c:spPr>
              <a:solidFill>
                <a:srgbClr val="FFCCCC"/>
              </a:solidFill>
            </c:spPr>
            <c:extLst>
              <c:ext xmlns:c16="http://schemas.microsoft.com/office/drawing/2014/chart" uri="{C3380CC4-5D6E-409C-BE32-E72D297353CC}">
                <c16:uniqueId val="{00000000-BF3A-4B56-A92A-8120B97FF28B}"/>
              </c:ext>
            </c:extLst>
          </c:dPt>
          <c:dPt>
            <c:idx val="1"/>
            <c:bubble3D val="0"/>
            <c:spPr>
              <a:solidFill>
                <a:srgbClr val="9999FF"/>
              </a:solidFill>
            </c:spPr>
            <c:extLst>
              <c:ext xmlns:c16="http://schemas.microsoft.com/office/drawing/2014/chart" uri="{C3380CC4-5D6E-409C-BE32-E72D297353CC}">
                <c16:uniqueId val="{00000001-BF3A-4B56-A92A-8120B97FF28B}"/>
              </c:ext>
            </c:extLst>
          </c:dPt>
          <c:dPt>
            <c:idx val="2"/>
            <c:bubble3D val="0"/>
            <c:spPr>
              <a:solidFill>
                <a:srgbClr val="CC00CC"/>
              </a:solidFill>
            </c:spPr>
            <c:extLst>
              <c:ext xmlns:c16="http://schemas.microsoft.com/office/drawing/2014/chart" uri="{C3380CC4-5D6E-409C-BE32-E72D297353CC}">
                <c16:uniqueId val="{00000002-BF3A-4B56-A92A-8120B97FF28B}"/>
              </c:ext>
            </c:extLst>
          </c:dPt>
          <c:dPt>
            <c:idx val="3"/>
            <c:bubble3D val="0"/>
            <c:extLst>
              <c:ext xmlns:c16="http://schemas.microsoft.com/office/drawing/2014/chart" uri="{C3380CC4-5D6E-409C-BE32-E72D297353CC}">
                <c16:uniqueId val="{00000003-BF3A-4B56-A92A-8120B97FF28B}"/>
              </c:ext>
            </c:extLst>
          </c:dPt>
          <c:dPt>
            <c:idx val="4"/>
            <c:bubble3D val="0"/>
            <c:spPr>
              <a:solidFill>
                <a:srgbClr val="0000FF"/>
              </a:solidFill>
            </c:spPr>
            <c:extLst>
              <c:ext xmlns:c16="http://schemas.microsoft.com/office/drawing/2014/chart" uri="{C3380CC4-5D6E-409C-BE32-E72D297353CC}">
                <c16:uniqueId val="{00000004-BF3A-4B56-A92A-8120B97FF28B}"/>
              </c:ext>
            </c:extLst>
          </c:dPt>
          <c:dPt>
            <c:idx val="5"/>
            <c:bubble3D val="0"/>
            <c:spPr>
              <a:solidFill>
                <a:srgbClr val="9966FF"/>
              </a:solidFill>
            </c:spPr>
            <c:extLst>
              <c:ext xmlns:c16="http://schemas.microsoft.com/office/drawing/2014/chart" uri="{C3380CC4-5D6E-409C-BE32-E72D297353CC}">
                <c16:uniqueId val="{00000005-BF3A-4B56-A92A-8120B97FF28B}"/>
              </c:ext>
            </c:extLst>
          </c:dPt>
          <c:dPt>
            <c:idx val="6"/>
            <c:bubble3D val="0"/>
            <c:spPr>
              <a:solidFill>
                <a:schemeClr val="tx1"/>
              </a:solidFill>
            </c:spPr>
            <c:extLst>
              <c:ext xmlns:c16="http://schemas.microsoft.com/office/drawing/2014/chart" uri="{C3380CC4-5D6E-409C-BE32-E72D297353CC}">
                <c16:uniqueId val="{00000006-BF3A-4B56-A92A-8120B97FF28B}"/>
              </c:ext>
            </c:extLst>
          </c:dPt>
          <c:dPt>
            <c:idx val="7"/>
            <c:bubble3D val="0"/>
            <c:spPr>
              <a:solidFill>
                <a:srgbClr val="FF66CC"/>
              </a:solidFill>
            </c:spPr>
            <c:extLst>
              <c:ext xmlns:c16="http://schemas.microsoft.com/office/drawing/2014/chart" uri="{C3380CC4-5D6E-409C-BE32-E72D297353CC}">
                <c16:uniqueId val="{00000007-BF3A-4B56-A92A-8120B97FF28B}"/>
              </c:ext>
            </c:extLst>
          </c:dPt>
          <c:dPt>
            <c:idx val="8"/>
            <c:bubble3D val="0"/>
            <c:spPr>
              <a:solidFill>
                <a:srgbClr val="FFFF00"/>
              </a:solidFill>
            </c:spPr>
            <c:extLst>
              <c:ext xmlns:c16="http://schemas.microsoft.com/office/drawing/2014/chart" uri="{C3380CC4-5D6E-409C-BE32-E72D297353CC}">
                <c16:uniqueId val="{00000008-BF3A-4B56-A92A-8120B97FF28B}"/>
              </c:ext>
            </c:extLst>
          </c:dPt>
          <c:dPt>
            <c:idx val="9"/>
            <c:bubble3D val="0"/>
            <c:spPr>
              <a:solidFill>
                <a:srgbClr val="FF5050"/>
              </a:solidFill>
            </c:spPr>
            <c:extLst>
              <c:ext xmlns:c16="http://schemas.microsoft.com/office/drawing/2014/chart" uri="{C3380CC4-5D6E-409C-BE32-E72D297353CC}">
                <c16:uniqueId val="{00000009-BF3A-4B56-A92A-8120B97FF28B}"/>
              </c:ext>
            </c:extLst>
          </c:dPt>
          <c:dPt>
            <c:idx val="10"/>
            <c:bubble3D val="0"/>
            <c:spPr>
              <a:solidFill>
                <a:srgbClr val="CC99FF"/>
              </a:solidFill>
            </c:spPr>
            <c:extLst>
              <c:ext xmlns:c16="http://schemas.microsoft.com/office/drawing/2014/chart" uri="{C3380CC4-5D6E-409C-BE32-E72D297353CC}">
                <c16:uniqueId val="{0000000A-BF3A-4B56-A92A-8120B97FF28B}"/>
              </c:ext>
            </c:extLst>
          </c:dPt>
          <c:dLbls>
            <c:spPr>
              <a:noFill/>
              <a:ln>
                <a:noFill/>
              </a:ln>
              <a:effectLst/>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sr-Latn-RS"/>
              </a:p>
            </c:txPr>
            <c:showLegendKey val="0"/>
            <c:showVal val="1"/>
            <c:showCatName val="1"/>
            <c:showSerName val="0"/>
            <c:showPercent val="0"/>
            <c:showBubbleSize val="0"/>
            <c:showLeaderLines val="1"/>
            <c:extLst>
              <c:ext xmlns:c15="http://schemas.microsoft.com/office/drawing/2012/chart" uri="{CE6537A1-D6FC-4f65-9D91-7224C49458BB}"/>
            </c:extLst>
          </c:dLbls>
          <c:cat>
            <c:strRef>
              <c:f>Sheet1!$A$1:$A$11</c:f>
              <c:strCache>
                <c:ptCount val="11"/>
                <c:pt idx="0">
                  <c:v>Porez na dobit pravnih lica</c:v>
                </c:pt>
                <c:pt idx="1">
                  <c:v>Porez na dohodak građana</c:v>
                </c:pt>
                <c:pt idx="2">
                  <c:v>Porez na dodatu vrijednost</c:v>
                </c:pt>
                <c:pt idx="3">
                  <c:v>Koncesije</c:v>
                </c:pt>
                <c:pt idx="4">
                  <c:v>Porez na promet nepokretnosti</c:v>
                </c:pt>
                <c:pt idx="5">
                  <c:v>Ostali republički prihodi</c:v>
                </c:pt>
                <c:pt idx="6">
                  <c:v>Posebne takse</c:v>
                </c:pt>
                <c:pt idx="7">
                  <c:v>Prihodi  fonda PIO</c:v>
                </c:pt>
                <c:pt idx="8">
                  <c:v>Prihodi za zdravstveno.osig.</c:v>
                </c:pt>
                <c:pt idx="9">
                  <c:v>Prihodi zavoda za zapošljavanje</c:v>
                </c:pt>
                <c:pt idx="10">
                  <c:v>Prihodi fonda rada</c:v>
                </c:pt>
              </c:strCache>
            </c:strRef>
          </c:cat>
          <c:val>
            <c:numRef>
              <c:f>Sheet1!$B$1:$B$11</c:f>
              <c:numCache>
                <c:formatCode>#,##0.00</c:formatCode>
                <c:ptCount val="11"/>
                <c:pt idx="0">
                  <c:v>79540764.019999996</c:v>
                </c:pt>
                <c:pt idx="1">
                  <c:v>173461844.86000001</c:v>
                </c:pt>
                <c:pt idx="2">
                  <c:v>244514780.34</c:v>
                </c:pt>
                <c:pt idx="3">
                  <c:v>32356587.280000001</c:v>
                </c:pt>
                <c:pt idx="4">
                  <c:v>15527064.560000001</c:v>
                </c:pt>
                <c:pt idx="5">
                  <c:v>16947488.109999999</c:v>
                </c:pt>
                <c:pt idx="6">
                  <c:v>60497.52</c:v>
                </c:pt>
                <c:pt idx="7">
                  <c:v>333730384.36000001</c:v>
                </c:pt>
                <c:pt idx="8">
                  <c:v>173146129.06999999</c:v>
                </c:pt>
                <c:pt idx="9">
                  <c:v>25774859.719999999</c:v>
                </c:pt>
                <c:pt idx="10">
                  <c:v>3086381.39</c:v>
                </c:pt>
              </c:numCache>
            </c:numRef>
          </c:val>
          <c:extLst>
            <c:ext xmlns:c16="http://schemas.microsoft.com/office/drawing/2014/chart" uri="{C3380CC4-5D6E-409C-BE32-E72D297353CC}">
              <c16:uniqueId val="{0000000B-BF3A-4B56-A92A-8120B97FF28B}"/>
            </c:ext>
          </c:extLst>
        </c:ser>
        <c:dLbls>
          <c:showLegendKey val="0"/>
          <c:showVal val="0"/>
          <c:showCatName val="0"/>
          <c:showSerName val="0"/>
          <c:showPercent val="0"/>
          <c:showBubbleSize val="0"/>
          <c:showLeaderLines val="1"/>
        </c:dLbls>
      </c:pie3DChart>
      <c:spPr>
        <a:noFill/>
        <a:ln w="25408">
          <a:noFill/>
        </a:ln>
      </c:spPr>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sr-Latn-R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GB" b="1"/>
              <a:t>PRIHODI</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lineChart>
        <c:grouping val="standard"/>
        <c:varyColors val="0"/>
        <c:ser>
          <c:idx val="0"/>
          <c:order val="0"/>
          <c:spPr>
            <a:ln w="28575" cap="rnd">
              <a:solidFill>
                <a:schemeClr val="accent1"/>
              </a:solidFill>
              <a:round/>
            </a:ln>
            <a:effectLst/>
          </c:spPr>
          <c:marker>
            <c:symbol val="none"/>
          </c:marker>
          <c:cat>
            <c:strRef>
              <c:f>Sheet1!$A$30:$A$41</c:f>
              <c:strCache>
                <c:ptCount val="12"/>
                <c:pt idx="0">
                  <c:v>JANUAR </c:v>
                </c:pt>
                <c:pt idx="1">
                  <c:v>FEBRUAR </c:v>
                </c:pt>
                <c:pt idx="2">
                  <c:v>MART</c:v>
                </c:pt>
                <c:pt idx="3">
                  <c:v>APRIL</c:v>
                </c:pt>
                <c:pt idx="4">
                  <c:v>MAJ</c:v>
                </c:pt>
                <c:pt idx="5">
                  <c:v>JUN</c:v>
                </c:pt>
                <c:pt idx="6">
                  <c:v>JUL</c:v>
                </c:pt>
                <c:pt idx="7">
                  <c:v>AVGUST</c:v>
                </c:pt>
                <c:pt idx="8">
                  <c:v>SEPTEMBAR</c:v>
                </c:pt>
                <c:pt idx="9">
                  <c:v>OKTOBAR</c:v>
                </c:pt>
                <c:pt idx="10">
                  <c:v>NOVEMBAR</c:v>
                </c:pt>
                <c:pt idx="11">
                  <c:v>DECEMBAR</c:v>
                </c:pt>
              </c:strCache>
            </c:strRef>
          </c:cat>
          <c:val>
            <c:numRef>
              <c:f>Sheet1!$B$30:$B$41</c:f>
              <c:numCache>
                <c:formatCode>#,##0.00</c:formatCode>
                <c:ptCount val="12"/>
                <c:pt idx="0">
                  <c:v>1227793.8099999998</c:v>
                </c:pt>
                <c:pt idx="1">
                  <c:v>1284626.3099999998</c:v>
                </c:pt>
                <c:pt idx="2">
                  <c:v>994779.71</c:v>
                </c:pt>
                <c:pt idx="3">
                  <c:v>106509.99</c:v>
                </c:pt>
                <c:pt idx="4">
                  <c:v>296395.45999999996</c:v>
                </c:pt>
                <c:pt idx="5">
                  <c:v>627839.18000000017</c:v>
                </c:pt>
                <c:pt idx="6">
                  <c:v>1375758.8200000003</c:v>
                </c:pt>
                <c:pt idx="7">
                  <c:v>1048443.64</c:v>
                </c:pt>
                <c:pt idx="8">
                  <c:v>1297750.2</c:v>
                </c:pt>
                <c:pt idx="9">
                  <c:v>1305088.8900000001</c:v>
                </c:pt>
                <c:pt idx="10">
                  <c:v>1186162.0900000001</c:v>
                </c:pt>
                <c:pt idx="11">
                  <c:v>1157811.8899999999</c:v>
                </c:pt>
              </c:numCache>
            </c:numRef>
          </c:val>
          <c:smooth val="0"/>
          <c:extLst>
            <c:ext xmlns:c16="http://schemas.microsoft.com/office/drawing/2014/chart" uri="{C3380CC4-5D6E-409C-BE32-E72D297353CC}">
              <c16:uniqueId val="{00000000-1814-473C-8135-2EFDD576A792}"/>
            </c:ext>
          </c:extLst>
        </c:ser>
        <c:dLbls>
          <c:showLegendKey val="0"/>
          <c:showVal val="0"/>
          <c:showCatName val="0"/>
          <c:showSerName val="0"/>
          <c:showPercent val="0"/>
          <c:showBubbleSize val="0"/>
        </c:dLbls>
        <c:smooth val="0"/>
        <c:axId val="583075456"/>
        <c:axId val="583070560"/>
      </c:lineChart>
      <c:catAx>
        <c:axId val="583075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r-Latn-RS"/>
          </a:p>
        </c:txPr>
        <c:crossAx val="583070560"/>
        <c:crosses val="autoZero"/>
        <c:auto val="1"/>
        <c:lblAlgn val="ctr"/>
        <c:lblOffset val="100"/>
        <c:noMultiLvlLbl val="0"/>
      </c:catAx>
      <c:valAx>
        <c:axId val="5830705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r-Latn-RS"/>
          </a:p>
        </c:txPr>
        <c:crossAx val="583075456"/>
        <c:crosses val="autoZero"/>
        <c:crossBetween val="between"/>
      </c:valAx>
      <c:spPr>
        <a:solidFill>
          <a:schemeClr val="accent6">
            <a:lumMod val="20000"/>
            <a:lumOff val="80000"/>
          </a:schemeClr>
        </a:solidFill>
        <a:ln>
          <a:solidFill>
            <a:schemeClr val="accent6">
              <a:lumMod val="20000"/>
              <a:lumOff val="80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Budžetski prihodi 2015 - 2020</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sr-Latn-R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Sheet1!$B$55</c:f>
              <c:strCache>
                <c:ptCount val="1"/>
                <c:pt idx="0">
                  <c:v>PRIHODI</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cat>
            <c:multiLvlStrRef>
              <c:f>Sheet1!$A$56:$B$61</c:f>
              <c:multiLvlStrCache>
                <c:ptCount val="6"/>
                <c:lvl>
                  <c:pt idx="0">
                    <c:v>9,297,607.77</c:v>
                  </c:pt>
                  <c:pt idx="1">
                    <c:v>10,857,214.19</c:v>
                  </c:pt>
                  <c:pt idx="2">
                    <c:v>11,676,662.65</c:v>
                  </c:pt>
                  <c:pt idx="3">
                    <c:v>15,015,096.78</c:v>
                  </c:pt>
                  <c:pt idx="4">
                    <c:v>15,879,196.46</c:v>
                  </c:pt>
                  <c:pt idx="5">
                    <c:v>11,908,959.99</c:v>
                  </c:pt>
                </c:lvl>
                <c:lvl>
                  <c:pt idx="0">
                    <c:v>2015.GODINA</c:v>
                  </c:pt>
                  <c:pt idx="1">
                    <c:v>2016.GODINA</c:v>
                  </c:pt>
                  <c:pt idx="2">
                    <c:v>2017. GODINA</c:v>
                  </c:pt>
                  <c:pt idx="3">
                    <c:v>2018. GODINA</c:v>
                  </c:pt>
                  <c:pt idx="4">
                    <c:v>2019. GODINA</c:v>
                  </c:pt>
                  <c:pt idx="5">
                    <c:v>2020. GODINA</c:v>
                  </c:pt>
                </c:lvl>
              </c:multiLvlStrCache>
            </c:multiLvlStrRef>
          </c:cat>
          <c:val>
            <c:numRef>
              <c:f>Sheet1!$B$56:$B$61</c:f>
              <c:numCache>
                <c:formatCode>#,##0.00</c:formatCode>
                <c:ptCount val="6"/>
                <c:pt idx="0">
                  <c:v>9297607.7699999996</c:v>
                </c:pt>
                <c:pt idx="1">
                  <c:v>10857214.190000001</c:v>
                </c:pt>
                <c:pt idx="2">
                  <c:v>11676662.65</c:v>
                </c:pt>
                <c:pt idx="3">
                  <c:v>15015096.779999997</c:v>
                </c:pt>
                <c:pt idx="4">
                  <c:v>15879196.460000001</c:v>
                </c:pt>
                <c:pt idx="5">
                  <c:v>11908959.99</c:v>
                </c:pt>
              </c:numCache>
            </c:numRef>
          </c:val>
          <c:extLst>
            <c:ext xmlns:c16="http://schemas.microsoft.com/office/drawing/2014/chart" uri="{C3380CC4-5D6E-409C-BE32-E72D297353CC}">
              <c16:uniqueId val="{00000000-1559-414A-9D6B-D2E8E8643007}"/>
            </c:ext>
          </c:extLst>
        </c:ser>
        <c:dLbls>
          <c:showLegendKey val="0"/>
          <c:showVal val="0"/>
          <c:showCatName val="0"/>
          <c:showSerName val="0"/>
          <c:showPercent val="0"/>
          <c:showBubbleSize val="0"/>
        </c:dLbls>
        <c:gapWidth val="150"/>
        <c:shape val="box"/>
        <c:axId val="583071648"/>
        <c:axId val="583072736"/>
        <c:axId val="585549200"/>
      </c:bar3DChart>
      <c:catAx>
        <c:axId val="5830716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sr-Latn-RS"/>
          </a:p>
        </c:txPr>
        <c:crossAx val="583072736"/>
        <c:crosses val="autoZero"/>
        <c:auto val="1"/>
        <c:lblAlgn val="ctr"/>
        <c:lblOffset val="100"/>
        <c:noMultiLvlLbl val="0"/>
      </c:catAx>
      <c:valAx>
        <c:axId val="583072736"/>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583071648"/>
        <c:crosses val="autoZero"/>
        <c:crossBetween val="between"/>
      </c:valAx>
      <c:serAx>
        <c:axId val="585549200"/>
        <c:scaling>
          <c:orientation val="minMax"/>
        </c:scaling>
        <c:delete val="1"/>
        <c:axPos val="b"/>
        <c:majorTickMark val="none"/>
        <c:minorTickMark val="none"/>
        <c:tickLblPos val="nextTo"/>
        <c:crossAx val="583072736"/>
        <c:crosses val="autoZero"/>
      </c:serAx>
      <c:spPr>
        <a:solidFill>
          <a:schemeClr val="accent6">
            <a:lumMod val="20000"/>
            <a:lumOff val="80000"/>
          </a:schemeClr>
        </a:solid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sr-Latn-R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t>Učešće u ukupnom prihodu u 2020. godini</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90FD-485E-9D24-5F9AB736E1E6}"/>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90FD-485E-9D24-5F9AB736E1E6}"/>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90FD-485E-9D24-5F9AB736E1E6}"/>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90FD-485E-9D24-5F9AB736E1E6}"/>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90FD-485E-9D24-5F9AB736E1E6}"/>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90FD-485E-9D24-5F9AB736E1E6}"/>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90FD-485E-9D24-5F9AB736E1E6}"/>
              </c:ext>
            </c:extLst>
          </c:dPt>
          <c:dLbls>
            <c:dLbl>
              <c:idx val="0"/>
              <c:layout>
                <c:manualLayout>
                  <c:x val="-3.2051282051282132E-2"/>
                  <c:y val="-4.719764011799412E-2"/>
                </c:manualLayout>
              </c:layout>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sr-Latn-RS"/>
                </a:p>
              </c:txPr>
              <c:dLblPos val="bestFi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0FD-485E-9D24-5F9AB736E1E6}"/>
                </c:ext>
              </c:extLst>
            </c:dLbl>
            <c:dLbl>
              <c:idx val="1"/>
              <c:spPr>
                <a:noFill/>
                <a:ln>
                  <a:noFill/>
                </a:ln>
                <a:effectLst/>
              </c:spPr>
              <c:txPr>
                <a:bodyPr rot="0" spcFirstLastPara="1" vertOverflow="ellipsis" vert="horz" wrap="square" anchor="ctr" anchorCtr="1"/>
                <a:lstStyle/>
                <a:p>
                  <a:pPr>
                    <a:defRPr sz="1000" b="1" i="0"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0"/>
              <c:showCatName val="1"/>
              <c:showSerName val="0"/>
              <c:showPercent val="0"/>
              <c:showBubbleSize val="0"/>
              <c:extLst>
                <c:ext xmlns:c16="http://schemas.microsoft.com/office/drawing/2014/chart" uri="{C3380CC4-5D6E-409C-BE32-E72D297353CC}">
                  <c16:uniqueId val="{00000003-90FD-485E-9D24-5F9AB736E1E6}"/>
                </c:ext>
              </c:extLst>
            </c:dLbl>
            <c:dLbl>
              <c:idx val="2"/>
              <c:spPr>
                <a:noFill/>
                <a:ln>
                  <a:noFill/>
                </a:ln>
                <a:effectLst/>
              </c:spPr>
              <c:txPr>
                <a:bodyPr rot="0" spcFirstLastPara="1" vertOverflow="ellipsis" vert="horz" wrap="square" anchor="ctr" anchorCtr="1"/>
                <a:lstStyle/>
                <a:p>
                  <a:pPr>
                    <a:defRPr sz="1000" b="1" i="0" u="none" strike="noStrike" kern="1200" spc="0" baseline="0">
                      <a:solidFill>
                        <a:schemeClr val="accent3"/>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0"/>
              <c:showCatName val="1"/>
              <c:showSerName val="0"/>
              <c:showPercent val="0"/>
              <c:showBubbleSize val="0"/>
              <c:extLst>
                <c:ext xmlns:c16="http://schemas.microsoft.com/office/drawing/2014/chart" uri="{C3380CC4-5D6E-409C-BE32-E72D297353CC}">
                  <c16:uniqueId val="{00000005-90FD-485E-9D24-5F9AB736E1E6}"/>
                </c:ext>
              </c:extLst>
            </c:dLbl>
            <c:dLbl>
              <c:idx val="3"/>
              <c:spPr>
                <a:noFill/>
                <a:ln>
                  <a:noFill/>
                </a:ln>
                <a:effectLst/>
              </c:spPr>
              <c:txPr>
                <a:bodyPr rot="0" spcFirstLastPara="1" vertOverflow="ellipsis" vert="horz" wrap="square" anchor="ctr" anchorCtr="1"/>
                <a:lstStyle/>
                <a:p>
                  <a:pPr>
                    <a:defRPr sz="1000" b="1" i="0" u="none" strike="noStrike" kern="1200" spc="0" baseline="0">
                      <a:solidFill>
                        <a:schemeClr val="accent4"/>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0"/>
              <c:showCatName val="1"/>
              <c:showSerName val="0"/>
              <c:showPercent val="0"/>
              <c:showBubbleSize val="0"/>
              <c:extLst>
                <c:ext xmlns:c16="http://schemas.microsoft.com/office/drawing/2014/chart" uri="{C3380CC4-5D6E-409C-BE32-E72D297353CC}">
                  <c16:uniqueId val="{00000007-90FD-485E-9D24-5F9AB736E1E6}"/>
                </c:ext>
              </c:extLst>
            </c:dLbl>
            <c:dLbl>
              <c:idx val="4"/>
              <c:spPr>
                <a:noFill/>
                <a:ln>
                  <a:noFill/>
                </a:ln>
                <a:effectLst/>
              </c:spPr>
              <c:txPr>
                <a:bodyPr rot="0" spcFirstLastPara="1" vertOverflow="ellipsis" vert="horz" wrap="square" anchor="ctr" anchorCtr="1"/>
                <a:lstStyle/>
                <a:p>
                  <a:pPr>
                    <a:defRPr sz="1000" b="1" i="0" u="none" strike="noStrike" kern="1200" spc="0" baseline="0">
                      <a:solidFill>
                        <a:schemeClr val="accent5"/>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0"/>
              <c:showCatName val="1"/>
              <c:showSerName val="0"/>
              <c:showPercent val="0"/>
              <c:showBubbleSize val="0"/>
              <c:extLst>
                <c:ext xmlns:c16="http://schemas.microsoft.com/office/drawing/2014/chart" uri="{C3380CC4-5D6E-409C-BE32-E72D297353CC}">
                  <c16:uniqueId val="{00000009-90FD-485E-9D24-5F9AB736E1E6}"/>
                </c:ext>
              </c:extLst>
            </c:dLbl>
            <c:dLbl>
              <c:idx val="5"/>
              <c:spPr>
                <a:noFill/>
                <a:ln>
                  <a:noFill/>
                </a:ln>
                <a:effectLst/>
              </c:spPr>
              <c:txPr>
                <a:bodyPr rot="0" spcFirstLastPara="1" vertOverflow="ellipsis" vert="horz" wrap="square" anchor="ctr" anchorCtr="1"/>
                <a:lstStyle/>
                <a:p>
                  <a:pPr>
                    <a:defRPr sz="1000" b="1" i="0" u="none" strike="noStrike" kern="1200" spc="0" baseline="0">
                      <a:solidFill>
                        <a:schemeClr val="accent6"/>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0"/>
              <c:showCatName val="1"/>
              <c:showSerName val="0"/>
              <c:showPercent val="0"/>
              <c:showBubbleSize val="0"/>
              <c:extLst>
                <c:ext xmlns:c16="http://schemas.microsoft.com/office/drawing/2014/chart" uri="{C3380CC4-5D6E-409C-BE32-E72D297353CC}">
                  <c16:uniqueId val="{0000000B-90FD-485E-9D24-5F9AB736E1E6}"/>
                </c:ext>
              </c:extLst>
            </c:dLbl>
            <c:dLbl>
              <c:idx val="6"/>
              <c:layout>
                <c:manualLayout>
                  <c:x val="0.11261940673705387"/>
                  <c:y val="-1.5503875968992248E-2"/>
                </c:manualLayout>
              </c:layout>
              <c:spPr>
                <a:noFill/>
                <a:ln>
                  <a:noFill/>
                </a:ln>
                <a:effectLst/>
              </c:spPr>
              <c:txPr>
                <a:bodyPr rot="0" spcFirstLastPara="1" vertOverflow="ellipsis" vert="horz" wrap="square" anchor="ctr" anchorCtr="1"/>
                <a:lstStyle/>
                <a:p>
                  <a:pPr>
                    <a:defRPr sz="1000" b="1" i="0" u="none" strike="noStrike" kern="1200" spc="0" baseline="0">
                      <a:solidFill>
                        <a:schemeClr val="accent1">
                          <a:lumMod val="60000"/>
                        </a:schemeClr>
                      </a:solidFill>
                      <a:latin typeface="Times New Roman" panose="02020603050405020304" pitchFamily="18" charset="0"/>
                      <a:ea typeface="+mn-ea"/>
                      <a:cs typeface="Times New Roman" panose="02020603050405020304" pitchFamily="18" charset="0"/>
                    </a:defRPr>
                  </a:pPr>
                  <a:endParaRPr lang="sr-Latn-RS"/>
                </a:p>
              </c:txPr>
              <c:dLblPos val="bestFi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0FD-485E-9D24-5F9AB736E1E6}"/>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multiLvlStrRef>
              <c:f>Sheet1!$A$112:$B$118</c:f>
              <c:multiLvlStrCache>
                <c:ptCount val="7"/>
                <c:lvl>
                  <c:pt idx="0">
                    <c:v>11.76%</c:v>
                  </c:pt>
                  <c:pt idx="1">
                    <c:v>0.13%</c:v>
                  </c:pt>
                  <c:pt idx="2">
                    <c:v>59.29%</c:v>
                  </c:pt>
                  <c:pt idx="3">
                    <c:v>1.00%</c:v>
                  </c:pt>
                  <c:pt idx="4">
                    <c:v>18.22%</c:v>
                  </c:pt>
                  <c:pt idx="5">
                    <c:v>0.18%</c:v>
                  </c:pt>
                  <c:pt idx="6">
                    <c:v>9.42%</c:v>
                  </c:pt>
                </c:lvl>
                <c:lvl>
                  <c:pt idx="0">
                    <c:v>KAZINA</c:v>
                  </c:pt>
                  <c:pt idx="1">
                    <c:v>NAGRADNE IGRE</c:v>
                  </c:pt>
                  <c:pt idx="2">
                    <c:v>KLADIONICE</c:v>
                  </c:pt>
                  <c:pt idx="3">
                    <c:v>TERMINALI</c:v>
                  </c:pt>
                  <c:pt idx="4">
                    <c:v>AUTOMAT KLUBOVI </c:v>
                  </c:pt>
                  <c:pt idx="5">
                    <c:v>TOMBOLA ZATVORENOG TIPA </c:v>
                  </c:pt>
                  <c:pt idx="6">
                    <c:v>INTERNET KLAĐENJE </c:v>
                  </c:pt>
                </c:lvl>
              </c:multiLvlStrCache>
            </c:multiLvlStrRef>
          </c:cat>
          <c:val>
            <c:numRef>
              <c:f>Sheet1!$B$112:$B$118</c:f>
              <c:numCache>
                <c:formatCode>0.00%</c:formatCode>
                <c:ptCount val="7"/>
                <c:pt idx="0">
                  <c:v>0.11755897166298231</c:v>
                </c:pt>
                <c:pt idx="1">
                  <c:v>1.3463241133955647E-3</c:v>
                </c:pt>
                <c:pt idx="2">
                  <c:v>0.59286968685163921</c:v>
                </c:pt>
                <c:pt idx="3">
                  <c:v>9.988051861781427E-3</c:v>
                </c:pt>
                <c:pt idx="4">
                  <c:v>0.18217811142381712</c:v>
                </c:pt>
                <c:pt idx="5">
                  <c:v>1.8191630518694863E-3</c:v>
                </c:pt>
                <c:pt idx="6">
                  <c:v>9.4239691034514933E-2</c:v>
                </c:pt>
              </c:numCache>
            </c:numRef>
          </c:val>
          <c:extLst>
            <c:ext xmlns:c16="http://schemas.microsoft.com/office/drawing/2014/chart" uri="{C3380CC4-5D6E-409C-BE32-E72D297353CC}">
              <c16:uniqueId val="{0000000E-90FD-485E-9D24-5F9AB736E1E6}"/>
            </c:ext>
          </c:extLst>
        </c:ser>
        <c:dLbls>
          <c:dLblPos val="outEnd"/>
          <c:showLegendKey val="0"/>
          <c:showVal val="0"/>
          <c:showCatName val="1"/>
          <c:showSerName val="0"/>
          <c:showPercent val="0"/>
          <c:showBubbleSize val="0"/>
          <c:showLeaderLines val="1"/>
        </c:dLbls>
      </c:pie3DChart>
      <c:spPr>
        <a:solidFill>
          <a:schemeClr val="accent6">
            <a:lumMod val="20000"/>
            <a:lumOff val="80000"/>
          </a:schemeClr>
        </a:solid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sr-Latn-R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t>UČEŠĆE U UKUPNOM PRIHODU U 2019. GODINI</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1BFC-4DE6-A705-49F3B110EEA3}"/>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1BFC-4DE6-A705-49F3B110EEA3}"/>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1BFC-4DE6-A705-49F3B110EEA3}"/>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1BFC-4DE6-A705-49F3B110EEA3}"/>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1BFC-4DE6-A705-49F3B110EEA3}"/>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1BFC-4DE6-A705-49F3B110EEA3}"/>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1BFC-4DE6-A705-49F3B110EEA3}"/>
              </c:ext>
            </c:extLst>
          </c:dPt>
          <c:dLbls>
            <c:dLbl>
              <c:idx val="0"/>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0"/>
              <c:showCatName val="1"/>
              <c:showSerName val="0"/>
              <c:showPercent val="0"/>
              <c:showBubbleSize val="0"/>
              <c:extLst>
                <c:ext xmlns:c16="http://schemas.microsoft.com/office/drawing/2014/chart" uri="{C3380CC4-5D6E-409C-BE32-E72D297353CC}">
                  <c16:uniqueId val="{00000001-1BFC-4DE6-A705-49F3B110EEA3}"/>
                </c:ext>
              </c:extLst>
            </c:dLbl>
            <c:dLbl>
              <c:idx val="1"/>
              <c:spPr>
                <a:noFill/>
                <a:ln>
                  <a:noFill/>
                </a:ln>
                <a:effectLst/>
              </c:spPr>
              <c:txPr>
                <a:bodyPr rot="0" spcFirstLastPara="1" vertOverflow="ellipsis" vert="horz" wrap="square" anchor="ctr" anchorCtr="1"/>
                <a:lstStyle/>
                <a:p>
                  <a:pPr>
                    <a:defRPr sz="1000" b="1" i="0"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0"/>
              <c:showCatName val="1"/>
              <c:showSerName val="0"/>
              <c:showPercent val="0"/>
              <c:showBubbleSize val="0"/>
              <c:extLst>
                <c:ext xmlns:c16="http://schemas.microsoft.com/office/drawing/2014/chart" uri="{C3380CC4-5D6E-409C-BE32-E72D297353CC}">
                  <c16:uniqueId val="{00000003-1BFC-4DE6-A705-49F3B110EEA3}"/>
                </c:ext>
              </c:extLst>
            </c:dLbl>
            <c:dLbl>
              <c:idx val="2"/>
              <c:spPr>
                <a:noFill/>
                <a:ln>
                  <a:noFill/>
                </a:ln>
                <a:effectLst/>
              </c:spPr>
              <c:txPr>
                <a:bodyPr rot="0" spcFirstLastPara="1" vertOverflow="ellipsis" vert="horz" wrap="square" anchor="ctr" anchorCtr="1"/>
                <a:lstStyle/>
                <a:p>
                  <a:pPr>
                    <a:defRPr sz="1000" b="1" i="0" u="none" strike="noStrike" kern="1200" spc="0" baseline="0">
                      <a:solidFill>
                        <a:schemeClr val="accent3"/>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0"/>
              <c:showCatName val="1"/>
              <c:showSerName val="0"/>
              <c:showPercent val="0"/>
              <c:showBubbleSize val="0"/>
              <c:extLst>
                <c:ext xmlns:c16="http://schemas.microsoft.com/office/drawing/2014/chart" uri="{C3380CC4-5D6E-409C-BE32-E72D297353CC}">
                  <c16:uniqueId val="{00000005-1BFC-4DE6-A705-49F3B110EEA3}"/>
                </c:ext>
              </c:extLst>
            </c:dLbl>
            <c:dLbl>
              <c:idx val="3"/>
              <c:spPr>
                <a:noFill/>
                <a:ln>
                  <a:noFill/>
                </a:ln>
                <a:effectLst/>
              </c:spPr>
              <c:txPr>
                <a:bodyPr rot="0" spcFirstLastPara="1" vertOverflow="ellipsis" vert="horz" wrap="square" anchor="ctr" anchorCtr="1"/>
                <a:lstStyle/>
                <a:p>
                  <a:pPr>
                    <a:defRPr sz="1000" b="1" i="0" u="none" strike="noStrike" kern="1200" spc="0" baseline="0">
                      <a:solidFill>
                        <a:schemeClr val="accent4"/>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0"/>
              <c:showCatName val="1"/>
              <c:showSerName val="0"/>
              <c:showPercent val="0"/>
              <c:showBubbleSize val="0"/>
              <c:extLst>
                <c:ext xmlns:c16="http://schemas.microsoft.com/office/drawing/2014/chart" uri="{C3380CC4-5D6E-409C-BE32-E72D297353CC}">
                  <c16:uniqueId val="{00000007-1BFC-4DE6-A705-49F3B110EEA3}"/>
                </c:ext>
              </c:extLst>
            </c:dLbl>
            <c:dLbl>
              <c:idx val="4"/>
              <c:spPr>
                <a:noFill/>
                <a:ln>
                  <a:noFill/>
                </a:ln>
                <a:effectLst/>
              </c:spPr>
              <c:txPr>
                <a:bodyPr rot="0" spcFirstLastPara="1" vertOverflow="ellipsis" vert="horz" wrap="square" anchor="ctr" anchorCtr="1"/>
                <a:lstStyle/>
                <a:p>
                  <a:pPr>
                    <a:defRPr sz="1000" b="1" i="0" u="none" strike="noStrike" kern="1200" spc="0" baseline="0">
                      <a:solidFill>
                        <a:schemeClr val="accent5"/>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0"/>
              <c:showCatName val="1"/>
              <c:showSerName val="0"/>
              <c:showPercent val="0"/>
              <c:showBubbleSize val="0"/>
              <c:extLst>
                <c:ext xmlns:c16="http://schemas.microsoft.com/office/drawing/2014/chart" uri="{C3380CC4-5D6E-409C-BE32-E72D297353CC}">
                  <c16:uniqueId val="{00000009-1BFC-4DE6-A705-49F3B110EEA3}"/>
                </c:ext>
              </c:extLst>
            </c:dLbl>
            <c:dLbl>
              <c:idx val="5"/>
              <c:spPr>
                <a:noFill/>
                <a:ln>
                  <a:noFill/>
                </a:ln>
                <a:effectLst/>
              </c:spPr>
              <c:txPr>
                <a:bodyPr rot="0" spcFirstLastPara="1" vertOverflow="ellipsis" vert="horz" wrap="square" anchor="ctr" anchorCtr="1"/>
                <a:lstStyle/>
                <a:p>
                  <a:pPr>
                    <a:defRPr sz="1000" b="1" i="0" u="none" strike="noStrike" kern="1200" spc="0" baseline="0">
                      <a:solidFill>
                        <a:schemeClr val="accent6"/>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0"/>
              <c:showCatName val="1"/>
              <c:showSerName val="0"/>
              <c:showPercent val="0"/>
              <c:showBubbleSize val="0"/>
              <c:extLst>
                <c:ext xmlns:c16="http://schemas.microsoft.com/office/drawing/2014/chart" uri="{C3380CC4-5D6E-409C-BE32-E72D297353CC}">
                  <c16:uniqueId val="{0000000B-1BFC-4DE6-A705-49F3B110EEA3}"/>
                </c:ext>
              </c:extLst>
            </c:dLbl>
            <c:dLbl>
              <c:idx val="6"/>
              <c:layout>
                <c:manualLayout>
                  <c:x val="0.17012227538543329"/>
                  <c:y val="-2.3509649534329113E-2"/>
                </c:manualLayout>
              </c:layout>
              <c:spPr>
                <a:noFill/>
                <a:ln>
                  <a:noFill/>
                </a:ln>
                <a:effectLst/>
              </c:spPr>
              <c:txPr>
                <a:bodyPr rot="0" spcFirstLastPara="1" vertOverflow="ellipsis" vert="horz" wrap="square" anchor="ctr" anchorCtr="1"/>
                <a:lstStyle/>
                <a:p>
                  <a:pPr>
                    <a:defRPr sz="1000" b="1" i="0" u="none" strike="noStrike" kern="1200" spc="0" baseline="0">
                      <a:solidFill>
                        <a:schemeClr val="accent1">
                          <a:lumMod val="60000"/>
                        </a:schemeClr>
                      </a:solidFill>
                      <a:latin typeface="Times New Roman" panose="02020603050405020304" pitchFamily="18" charset="0"/>
                      <a:ea typeface="+mn-ea"/>
                      <a:cs typeface="Times New Roman" panose="02020603050405020304" pitchFamily="18" charset="0"/>
                    </a:defRPr>
                  </a:pPr>
                  <a:endParaRPr lang="sr-Latn-RS"/>
                </a:p>
              </c:txPr>
              <c:dLblPos val="bestFi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BFC-4DE6-A705-49F3B110EEA3}"/>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multiLvlStrRef>
              <c:f>Sheet1!$A$82:$B$88</c:f>
              <c:multiLvlStrCache>
                <c:ptCount val="7"/>
                <c:lvl>
                  <c:pt idx="0">
                    <c:v>28.75%</c:v>
                  </c:pt>
                  <c:pt idx="1">
                    <c:v>0.26%</c:v>
                  </c:pt>
                  <c:pt idx="2">
                    <c:v>44.57%</c:v>
                  </c:pt>
                  <c:pt idx="3">
                    <c:v>5.50%</c:v>
                  </c:pt>
                  <c:pt idx="4">
                    <c:v>15.72%</c:v>
                  </c:pt>
                  <c:pt idx="5">
                    <c:v>0.04%</c:v>
                  </c:pt>
                  <c:pt idx="6">
                    <c:v>5.15%</c:v>
                  </c:pt>
                </c:lvl>
                <c:lvl>
                  <c:pt idx="0">
                    <c:v>KAZINA</c:v>
                  </c:pt>
                  <c:pt idx="1">
                    <c:v>NAGRADNE IGRE</c:v>
                  </c:pt>
                  <c:pt idx="2">
                    <c:v>KLADIONICE</c:v>
                  </c:pt>
                  <c:pt idx="3">
                    <c:v>TERMINALI</c:v>
                  </c:pt>
                  <c:pt idx="4">
                    <c:v>AUTOMAT KLUBOVI </c:v>
                  </c:pt>
                  <c:pt idx="5">
                    <c:v>TOMBOLA ZATVORENOG TIPA </c:v>
                  </c:pt>
                  <c:pt idx="6">
                    <c:v>INTERNET KLAĐENJE </c:v>
                  </c:pt>
                </c:lvl>
              </c:multiLvlStrCache>
            </c:multiLvlStrRef>
          </c:cat>
          <c:val>
            <c:numRef>
              <c:f>Sheet1!$B$82:$B$88</c:f>
              <c:numCache>
                <c:formatCode>0.00%</c:formatCode>
                <c:ptCount val="7"/>
                <c:pt idx="0">
                  <c:v>0.28749166505368617</c:v>
                </c:pt>
                <c:pt idx="1">
                  <c:v>2.6125339594167351E-3</c:v>
                </c:pt>
                <c:pt idx="2">
                  <c:v>0.44574896014606019</c:v>
                </c:pt>
                <c:pt idx="3">
                  <c:v>5.501277928014249E-2</c:v>
                </c:pt>
                <c:pt idx="4">
                  <c:v>0.1572323653964037</c:v>
                </c:pt>
                <c:pt idx="5">
                  <c:v>4.16026089017857E-4</c:v>
                </c:pt>
                <c:pt idx="6">
                  <c:v>5.1485670075272806E-2</c:v>
                </c:pt>
              </c:numCache>
            </c:numRef>
          </c:val>
          <c:extLst>
            <c:ext xmlns:c16="http://schemas.microsoft.com/office/drawing/2014/chart" uri="{C3380CC4-5D6E-409C-BE32-E72D297353CC}">
              <c16:uniqueId val="{0000000E-1BFC-4DE6-A705-49F3B110EEA3}"/>
            </c:ext>
          </c:extLst>
        </c:ser>
        <c:dLbls>
          <c:dLblPos val="outEnd"/>
          <c:showLegendKey val="0"/>
          <c:showVal val="0"/>
          <c:showCatName val="1"/>
          <c:showSerName val="0"/>
          <c:showPercent val="0"/>
          <c:showBubbleSize val="0"/>
          <c:showLeaderLines val="1"/>
        </c:dLbls>
      </c:pie3DChart>
      <c:spPr>
        <a:solidFill>
          <a:schemeClr val="accent6">
            <a:lumMod val="20000"/>
            <a:lumOff val="80000"/>
          </a:schemeClr>
        </a:solid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sr-Latn-R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Feathered">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Feathered">
      <a:majorFont>
        <a:latin typeface="Century Schoolbook" panose="02040604050505020304"/>
        <a:ea typeface=""/>
        <a:cs typeface=""/>
        <a:font script="Jpan" typeface="メイリオ"/>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メイリオ"/>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eathered">
      <a:fillStyleLst>
        <a:solidFill>
          <a:schemeClr val="phClr"/>
        </a:solidFill>
        <a:solidFill>
          <a:schemeClr val="phClr">
            <a:tint val="67000"/>
            <a:satMod val="105000"/>
          </a:schemeClr>
        </a:solidFill>
        <a:gradFill rotWithShape="1">
          <a:gsLst>
            <a:gs pos="0">
              <a:schemeClr val="phClr">
                <a:tint val="94000"/>
                <a:satMod val="103000"/>
                <a:lumMod val="102000"/>
              </a:schemeClr>
            </a:gs>
            <a:gs pos="50000">
              <a:schemeClr val="phClr">
                <a:shade val="100000"/>
                <a:satMod val="110000"/>
                <a:lumMod val="100000"/>
              </a:schemeClr>
            </a:gs>
            <a:gs pos="100000">
              <a:schemeClr val="phClr">
                <a:shade val="70000"/>
                <a:satMod val="120000"/>
                <a:lumMod val="99000"/>
              </a:schemeClr>
            </a:gs>
          </a:gsLst>
          <a:path path="circle">
            <a:fillToRect l="100000" t="100000" r="100000" b="100000"/>
          </a:path>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tint val="50000"/>
              <a:shade val="83000"/>
            </a:schemeClr>
          </a:solidFill>
          <a:prstDash val="solid"/>
        </a:ln>
      </a:lnStyleLst>
      <a:effectStyleLst>
        <a:effectStyle>
          <a:effectLst/>
        </a:effectStyle>
        <a:effectStyle>
          <a:effectLst/>
        </a:effectStyle>
        <a:effectStyle>
          <a:effectLst>
            <a:outerShdw blurRad="57150" dist="25400" dir="5400000" algn="ctr" rotWithShape="0">
              <a:srgbClr val="000000">
                <a:alpha val="20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Feathered" id="{EEC9B30E-2747-4D42-BCBE-A02BDEEEA114}" vid="{AACE42CE-5C67-4514-8A89-3472F564E146}"/>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8A4E7AB-DB9E-413C-9787-E248B1D82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1914</TotalTime>
  <Pages>251</Pages>
  <Words>121380</Words>
  <Characters>691870</Characters>
  <Application>Microsoft Office Word</Application>
  <DocSecurity>0</DocSecurity>
  <Lines>5765</Lines>
  <Paragraphs>1623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Vlada Crne Gore</dc:creator>
  <cp:lastModifiedBy>javne</cp:lastModifiedBy>
  <cp:revision>299</cp:revision>
  <cp:lastPrinted>2021-03-03T13:45:00Z</cp:lastPrinted>
  <dcterms:created xsi:type="dcterms:W3CDTF">2021-04-20T12:59:00Z</dcterms:created>
  <dcterms:modified xsi:type="dcterms:W3CDTF">2021-05-14T09:48:00Z</dcterms:modified>
</cp:coreProperties>
</file>