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BF21AD" w14:textId="0E67B6E7" w:rsidR="00CF6E4D" w:rsidRDefault="005F4D33" w:rsidP="00FC3E46">
      <w:pPr>
        <w:jc w:val="both"/>
        <w:rPr>
          <w:rFonts w:ascii="Arial" w:hAnsi="Arial" w:cs="Arial"/>
          <w:sz w:val="22"/>
          <w:szCs w:val="22"/>
          <w:lang w:val="sr-Latn-ME"/>
        </w:rPr>
      </w:pPr>
      <w:r w:rsidRPr="005F4D33">
        <w:rPr>
          <w:rFonts w:ascii="Arial" w:hAnsi="Arial" w:cs="Arial"/>
          <w:sz w:val="22"/>
          <w:szCs w:val="22"/>
          <w:lang w:val="sr-Latn-ME"/>
        </w:rPr>
        <w:t>Radi jednostavnijeg definisanja finansijskog plana projekta</w:t>
      </w:r>
      <w:r w:rsidR="00CD139B">
        <w:rPr>
          <w:rFonts w:ascii="Arial" w:hAnsi="Arial" w:cs="Arial"/>
          <w:sz w:val="22"/>
          <w:szCs w:val="22"/>
          <w:lang w:val="sr-Latn-ME"/>
        </w:rPr>
        <w:t>,</w:t>
      </w:r>
      <w:r w:rsidRPr="005F4D33">
        <w:rPr>
          <w:rFonts w:ascii="Arial" w:hAnsi="Arial" w:cs="Arial"/>
          <w:sz w:val="22"/>
          <w:szCs w:val="22"/>
          <w:lang w:val="sr-Latn-ME"/>
        </w:rPr>
        <w:t xml:space="preserve"> </w:t>
      </w:r>
      <w:r w:rsidR="00661606">
        <w:rPr>
          <w:rFonts w:ascii="Arial" w:hAnsi="Arial" w:cs="Arial"/>
          <w:sz w:val="22"/>
          <w:szCs w:val="22"/>
          <w:lang w:val="sr-Latn-ME"/>
        </w:rPr>
        <w:t>tabela</w:t>
      </w:r>
      <w:r w:rsidRPr="005F4D33">
        <w:rPr>
          <w:rFonts w:ascii="Arial" w:hAnsi="Arial" w:cs="Arial"/>
          <w:sz w:val="22"/>
          <w:szCs w:val="22"/>
          <w:lang w:val="sr-Latn-ME"/>
        </w:rPr>
        <w:t xml:space="preserve"> finansijskog plana napravljena je u vidu "Excel dokumenta" koj</w:t>
      </w:r>
      <w:r w:rsidR="00661606">
        <w:rPr>
          <w:rFonts w:ascii="Arial" w:hAnsi="Arial" w:cs="Arial"/>
          <w:sz w:val="22"/>
          <w:szCs w:val="22"/>
          <w:lang w:val="sr-Latn-ME"/>
        </w:rPr>
        <w:t>i</w:t>
      </w:r>
      <w:r w:rsidRPr="005F4D33">
        <w:rPr>
          <w:rFonts w:ascii="Arial" w:hAnsi="Arial" w:cs="Arial"/>
          <w:sz w:val="22"/>
          <w:szCs w:val="22"/>
          <w:lang w:val="sr-Latn-ME"/>
        </w:rPr>
        <w:t xml:space="preserve"> je potrebno ispravno popuniti i priložiti uz Prijavni obrazac. </w:t>
      </w:r>
    </w:p>
    <w:p w14:paraId="59D1FD6F" w14:textId="77777777" w:rsidR="00CF6E4D" w:rsidRDefault="00CF6E4D" w:rsidP="005F4D33">
      <w:pPr>
        <w:rPr>
          <w:rFonts w:ascii="Arial" w:hAnsi="Arial" w:cs="Arial"/>
          <w:sz w:val="22"/>
          <w:szCs w:val="22"/>
          <w:lang w:val="sr-Latn-ME"/>
        </w:rPr>
      </w:pPr>
    </w:p>
    <w:p w14:paraId="65AA26D2" w14:textId="2FB33E1C" w:rsidR="005F4D33" w:rsidRDefault="00CF6E4D" w:rsidP="00CF6E4D">
      <w:pPr>
        <w:jc w:val="both"/>
        <w:rPr>
          <w:rFonts w:ascii="Arial" w:hAnsi="Arial" w:cs="Arial"/>
          <w:sz w:val="22"/>
          <w:szCs w:val="22"/>
          <w:lang w:val="sr-Latn-ME"/>
        </w:rPr>
      </w:pPr>
      <w:r w:rsidRPr="00CF6E4D">
        <w:rPr>
          <w:rFonts w:ascii="Arial" w:hAnsi="Arial" w:cs="Arial"/>
          <w:sz w:val="22"/>
          <w:szCs w:val="22"/>
          <w:lang w:val="sr-Latn-ME"/>
        </w:rPr>
        <w:t xml:space="preserve">U okviru Programa </w:t>
      </w:r>
      <w:r w:rsidR="00D11C5B">
        <w:rPr>
          <w:rFonts w:ascii="Arial" w:hAnsi="Arial" w:cs="Arial"/>
          <w:sz w:val="22"/>
          <w:szCs w:val="22"/>
          <w:lang w:val="sr-Latn-ME"/>
        </w:rPr>
        <w:t xml:space="preserve">saradnje sa </w:t>
      </w:r>
      <w:r w:rsidRPr="00CF6E4D">
        <w:rPr>
          <w:rFonts w:ascii="Arial" w:hAnsi="Arial" w:cs="Arial"/>
          <w:sz w:val="22"/>
          <w:szCs w:val="22"/>
          <w:lang w:val="sr-Latn-ME"/>
        </w:rPr>
        <w:t>naučn</w:t>
      </w:r>
      <w:r w:rsidR="00D11C5B">
        <w:rPr>
          <w:rFonts w:ascii="Arial" w:hAnsi="Arial" w:cs="Arial"/>
          <w:sz w:val="22"/>
          <w:szCs w:val="22"/>
          <w:lang w:val="sr-Latn-ME"/>
        </w:rPr>
        <w:t>om</w:t>
      </w:r>
      <w:r w:rsidRPr="00CF6E4D">
        <w:rPr>
          <w:rFonts w:ascii="Arial" w:hAnsi="Arial" w:cs="Arial"/>
          <w:sz w:val="22"/>
          <w:szCs w:val="22"/>
          <w:lang w:val="sr-Latn-ME"/>
        </w:rPr>
        <w:t xml:space="preserve"> dijasporom predviđeno je sufinansiranje od strane Ministars</w:t>
      </w:r>
      <w:bookmarkStart w:id="0" w:name="_GoBack"/>
      <w:bookmarkEnd w:id="0"/>
      <w:r w:rsidRPr="00CF6E4D">
        <w:rPr>
          <w:rFonts w:ascii="Arial" w:hAnsi="Arial" w:cs="Arial"/>
          <w:sz w:val="22"/>
          <w:szCs w:val="22"/>
          <w:lang w:val="sr-Latn-ME"/>
        </w:rPr>
        <w:t>tva u iznosu do 90% ukupne vrijednosti projekta (maksimalno do 120.000,00 €). Podnosilac prijave je obavezan da obezbijedi najmanje 10% sredstava od ukupne vrijednosti projekta, i to iz sopstvenih sredstava, sredstava partnerskih institucija ili kroz eksterno finansiranje.</w:t>
      </w:r>
    </w:p>
    <w:p w14:paraId="5BECF55B" w14:textId="77777777" w:rsidR="00CF6E4D" w:rsidRDefault="00CF6E4D" w:rsidP="00CF6E4D">
      <w:pPr>
        <w:jc w:val="both"/>
        <w:rPr>
          <w:rFonts w:ascii="Arial" w:hAnsi="Arial" w:cs="Arial"/>
          <w:sz w:val="22"/>
          <w:szCs w:val="22"/>
          <w:lang w:val="sr-Latn-ME"/>
        </w:rPr>
      </w:pPr>
    </w:p>
    <w:p w14:paraId="3AB76D65" w14:textId="77777777" w:rsidR="00CF6E4D" w:rsidRPr="007F4F7B" w:rsidRDefault="00CF6E4D" w:rsidP="00CF6E4D">
      <w:pPr>
        <w:spacing w:after="120" w:line="252" w:lineRule="auto"/>
        <w:jc w:val="both"/>
        <w:rPr>
          <w:rFonts w:ascii="Arial" w:eastAsia="Calibri" w:hAnsi="Arial" w:cs="Arial"/>
          <w:noProof/>
          <w:sz w:val="22"/>
          <w:szCs w:val="22"/>
          <w:lang w:val="sr-Latn-ME"/>
        </w:rPr>
      </w:pPr>
      <w:r w:rsidRPr="007F4F7B">
        <w:rPr>
          <w:rFonts w:ascii="Arial" w:eastAsia="Calibri" w:hAnsi="Arial" w:cs="Arial"/>
          <w:noProof/>
          <w:sz w:val="22"/>
          <w:szCs w:val="22"/>
          <w:lang w:val="sr-Latn-ME"/>
        </w:rPr>
        <w:t>Ukupna vrijednost pojedinačnog projekta uključuje:</w:t>
      </w:r>
    </w:p>
    <w:p w14:paraId="29EC95D5" w14:textId="77777777" w:rsidR="00CF6E4D" w:rsidRPr="007F4F7B" w:rsidRDefault="00CF6E4D" w:rsidP="00CF6E4D">
      <w:pPr>
        <w:pStyle w:val="ListParagraph"/>
        <w:numPr>
          <w:ilvl w:val="0"/>
          <w:numId w:val="3"/>
        </w:numPr>
        <w:spacing w:after="120" w:line="252" w:lineRule="auto"/>
        <w:jc w:val="both"/>
        <w:rPr>
          <w:rFonts w:ascii="Arial" w:eastAsia="Calibri" w:hAnsi="Arial" w:cs="Arial"/>
          <w:noProof/>
          <w:sz w:val="22"/>
          <w:szCs w:val="22"/>
          <w:lang w:val="sr-Latn-ME"/>
        </w:rPr>
      </w:pPr>
      <w:r w:rsidRPr="007F4F7B">
        <w:rPr>
          <w:rFonts w:ascii="Arial" w:eastAsia="Calibri" w:hAnsi="Arial" w:cs="Arial"/>
          <w:noProof/>
          <w:sz w:val="22"/>
          <w:szCs w:val="22"/>
          <w:lang w:val="sr-Latn-ME"/>
        </w:rPr>
        <w:t>bespovratna sredstva koja će biti dodijeljena pojedinačnom projektu od strane Ministarstva, za dio prihvatljivih troškova projekta, i</w:t>
      </w:r>
    </w:p>
    <w:p w14:paraId="4EF22662" w14:textId="0C1C8348" w:rsidR="00CF6E4D" w:rsidRPr="00CF6E4D" w:rsidRDefault="00CF6E4D" w:rsidP="00CF6E4D">
      <w:pPr>
        <w:pStyle w:val="ListParagraph"/>
        <w:numPr>
          <w:ilvl w:val="0"/>
          <w:numId w:val="3"/>
        </w:numPr>
        <w:spacing w:after="120" w:line="252" w:lineRule="auto"/>
        <w:jc w:val="both"/>
        <w:rPr>
          <w:rFonts w:ascii="Arial" w:eastAsia="Calibri" w:hAnsi="Arial" w:cs="Arial"/>
          <w:b/>
          <w:noProof/>
          <w:sz w:val="22"/>
          <w:szCs w:val="22"/>
          <w:lang w:val="sr-Latn-ME"/>
        </w:rPr>
      </w:pPr>
      <w:r w:rsidRPr="007F4F7B">
        <w:rPr>
          <w:rFonts w:ascii="Arial" w:eastAsia="Calibri" w:hAnsi="Arial" w:cs="Arial"/>
          <w:noProof/>
          <w:sz w:val="22"/>
          <w:szCs w:val="22"/>
          <w:lang w:val="sr-Latn-ME"/>
        </w:rPr>
        <w:t xml:space="preserve">sredstva Podnosioca prijave/partnera za sufinansiranje ostatka vrijednosti prihvatljivih troškova. </w:t>
      </w:r>
    </w:p>
    <w:p w14:paraId="4BA03290" w14:textId="77777777" w:rsidR="005F4D33" w:rsidRPr="005F4D33" w:rsidRDefault="005F4D33" w:rsidP="005F4D33">
      <w:pPr>
        <w:rPr>
          <w:rFonts w:ascii="Arial" w:hAnsi="Arial" w:cs="Arial"/>
          <w:sz w:val="22"/>
          <w:szCs w:val="22"/>
          <w:lang w:val="sr-Latn-ME"/>
        </w:rPr>
      </w:pPr>
    </w:p>
    <w:p w14:paraId="5BC08F4F" w14:textId="77777777" w:rsidR="005F4D33" w:rsidRPr="005F4D33" w:rsidRDefault="005F4D33" w:rsidP="005F4D33">
      <w:pPr>
        <w:rPr>
          <w:rFonts w:ascii="Arial" w:hAnsi="Arial" w:cs="Arial"/>
          <w:sz w:val="22"/>
          <w:szCs w:val="22"/>
          <w:lang w:val="sr-Latn-ME"/>
        </w:rPr>
      </w:pPr>
      <w:r w:rsidRPr="005F4D33">
        <w:rPr>
          <w:rFonts w:ascii="Arial" w:hAnsi="Arial" w:cs="Arial"/>
          <w:sz w:val="22"/>
          <w:szCs w:val="22"/>
          <w:lang w:val="sr-Latn-ME"/>
        </w:rPr>
        <w:t>Finansijski plan čine:</w:t>
      </w:r>
    </w:p>
    <w:p w14:paraId="0546B11B" w14:textId="77777777" w:rsidR="005F4D33" w:rsidRPr="00157507" w:rsidRDefault="005F4D33" w:rsidP="005F4D33">
      <w:pPr>
        <w:rPr>
          <w:rFonts w:ascii="Arial" w:hAnsi="Arial" w:cs="Arial"/>
          <w:sz w:val="22"/>
          <w:szCs w:val="22"/>
          <w:lang w:val="sr-Latn-ME"/>
        </w:rPr>
      </w:pPr>
    </w:p>
    <w:p w14:paraId="4DF5E113" w14:textId="77777777" w:rsidR="00157507" w:rsidRPr="00157507" w:rsidRDefault="00157507" w:rsidP="00157507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  <w:lang w:val="sr-Latn-ME"/>
        </w:rPr>
      </w:pPr>
      <w:r w:rsidRPr="00157507">
        <w:rPr>
          <w:rFonts w:ascii="Arial" w:hAnsi="Arial" w:cs="Arial"/>
          <w:sz w:val="22"/>
          <w:szCs w:val="22"/>
          <w:lang w:val="sr-Latn-ME"/>
        </w:rPr>
        <w:t xml:space="preserve">Troškovi istraživačkog osoblja </w:t>
      </w:r>
    </w:p>
    <w:p w14:paraId="742BD290" w14:textId="28ED41DE" w:rsidR="005F4D33" w:rsidRPr="005F4D33" w:rsidRDefault="00CD139B" w:rsidP="005F4D33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  <w:lang w:val="sr-Latn-ME"/>
        </w:rPr>
      </w:pPr>
      <w:r w:rsidRPr="005F4D33">
        <w:rPr>
          <w:rFonts w:ascii="Arial" w:hAnsi="Arial" w:cs="Arial"/>
          <w:sz w:val="22"/>
          <w:szCs w:val="22"/>
          <w:lang w:val="sr-Latn-ME"/>
        </w:rPr>
        <w:t xml:space="preserve">Troškovi </w:t>
      </w:r>
      <w:r>
        <w:rPr>
          <w:rFonts w:ascii="Arial" w:hAnsi="Arial" w:cs="Arial"/>
          <w:sz w:val="22"/>
          <w:szCs w:val="22"/>
          <w:lang w:val="sr-Latn-ME"/>
        </w:rPr>
        <w:t xml:space="preserve">nabavke </w:t>
      </w:r>
      <w:r w:rsidRPr="005F4D33">
        <w:rPr>
          <w:rFonts w:ascii="Arial" w:hAnsi="Arial" w:cs="Arial"/>
          <w:sz w:val="22"/>
          <w:szCs w:val="22"/>
          <w:lang w:val="sr-Latn-ME"/>
        </w:rPr>
        <w:t>opreme</w:t>
      </w:r>
      <w:r w:rsidRPr="00157507">
        <w:rPr>
          <w:rFonts w:ascii="Arial" w:hAnsi="Arial" w:cs="Arial"/>
          <w:sz w:val="22"/>
          <w:szCs w:val="22"/>
          <w:lang w:val="sr-Latn-ME"/>
        </w:rPr>
        <w:t xml:space="preserve"> </w:t>
      </w:r>
    </w:p>
    <w:p w14:paraId="4EC6B46F" w14:textId="00ED4142" w:rsidR="005F4D33" w:rsidRPr="005F4D33" w:rsidRDefault="00CD139B" w:rsidP="005F4D33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  <w:lang w:val="sr-Latn-ME"/>
        </w:rPr>
      </w:pPr>
      <w:r w:rsidRPr="00157507">
        <w:rPr>
          <w:rFonts w:ascii="Arial" w:hAnsi="Arial" w:cs="Arial"/>
          <w:sz w:val="22"/>
          <w:szCs w:val="22"/>
          <w:lang w:val="sr-Latn-ME"/>
        </w:rPr>
        <w:t>Troškovi korišćenja opreme na drugoj instituciji</w:t>
      </w:r>
      <w:r w:rsidRPr="005F4D33" w:rsidDel="00CD139B">
        <w:rPr>
          <w:rFonts w:ascii="Arial" w:hAnsi="Arial" w:cs="Arial"/>
          <w:sz w:val="22"/>
          <w:szCs w:val="22"/>
          <w:lang w:val="sr-Latn-ME"/>
        </w:rPr>
        <w:t xml:space="preserve"> </w:t>
      </w:r>
    </w:p>
    <w:p w14:paraId="3804F1FF" w14:textId="0C6278BA" w:rsidR="005F4D33" w:rsidRPr="005F4D33" w:rsidRDefault="005F4D33" w:rsidP="005F4D33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  <w:lang w:val="sr-Latn-ME"/>
        </w:rPr>
      </w:pPr>
      <w:r w:rsidRPr="005F4D33">
        <w:rPr>
          <w:rFonts w:ascii="Arial" w:hAnsi="Arial" w:cs="Arial"/>
          <w:sz w:val="22"/>
          <w:szCs w:val="22"/>
          <w:lang w:val="sr-Latn-ME"/>
        </w:rPr>
        <w:t xml:space="preserve">Troškovi </w:t>
      </w:r>
      <w:r w:rsidR="00864684" w:rsidRPr="00864684">
        <w:rPr>
          <w:rFonts w:ascii="Arial" w:hAnsi="Arial" w:cs="Arial"/>
          <w:sz w:val="22"/>
          <w:szCs w:val="22"/>
          <w:lang w:val="sr-Latn-ME"/>
        </w:rPr>
        <w:t>potrošnog materijala</w:t>
      </w:r>
    </w:p>
    <w:p w14:paraId="5D057D86" w14:textId="77777777" w:rsidR="00AF7638" w:rsidRPr="007F4F7B" w:rsidRDefault="00AF7638" w:rsidP="00AF7638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  <w:lang w:val="sr-Latn-ME"/>
        </w:rPr>
      </w:pPr>
      <w:r w:rsidRPr="007F4F7B">
        <w:rPr>
          <w:rFonts w:ascii="Arial" w:hAnsi="Arial" w:cs="Arial"/>
          <w:sz w:val="22"/>
          <w:szCs w:val="22"/>
          <w:lang w:val="sr-Latn-ME"/>
        </w:rPr>
        <w:t>Troškovi mobilnosti</w:t>
      </w:r>
    </w:p>
    <w:p w14:paraId="30C49E27" w14:textId="15F902A9" w:rsidR="005F4D33" w:rsidRPr="007F4F7B" w:rsidRDefault="005D25CA" w:rsidP="005F4D33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  <w:lang w:val="sr-Latn-ME"/>
        </w:rPr>
      </w:pPr>
      <w:r w:rsidRPr="005D25CA">
        <w:rPr>
          <w:rFonts w:ascii="Arial" w:hAnsi="Arial" w:cs="Arial"/>
          <w:bCs/>
          <w:sz w:val="22"/>
          <w:szCs w:val="22"/>
          <w:lang w:val="hr-HR"/>
        </w:rPr>
        <w:t>Troškovi pratećih konsultantskih usluga</w:t>
      </w:r>
    </w:p>
    <w:p w14:paraId="7A25D6C7" w14:textId="169C62DD" w:rsidR="007F4F7B" w:rsidRPr="007F4F7B" w:rsidRDefault="007F4F7B" w:rsidP="005F4D33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2"/>
          <w:szCs w:val="22"/>
          <w:lang w:val="sr-Latn-ME"/>
        </w:rPr>
      </w:pPr>
      <w:r w:rsidRPr="007F4F7B">
        <w:rPr>
          <w:rFonts w:ascii="Arial" w:hAnsi="Arial" w:cs="Arial"/>
          <w:bCs/>
          <w:sz w:val="22"/>
          <w:szCs w:val="22"/>
          <w:lang w:val="hr-HR"/>
        </w:rPr>
        <w:t>Troškovi diseminacije</w:t>
      </w:r>
    </w:p>
    <w:p w14:paraId="08F6FCAF" w14:textId="77777777" w:rsidR="005F4D33" w:rsidRPr="005F4D33" w:rsidRDefault="005F4D33" w:rsidP="005F4D33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  <w:lang w:val="sr-Latn-ME"/>
        </w:rPr>
      </w:pPr>
      <w:r w:rsidRPr="005F4D33">
        <w:rPr>
          <w:rFonts w:ascii="Arial" w:hAnsi="Arial" w:cs="Arial"/>
          <w:sz w:val="22"/>
          <w:szCs w:val="22"/>
          <w:lang w:val="sr-Latn-ME"/>
        </w:rPr>
        <w:t>Porez na dodatu vrijednost (PDV)</w:t>
      </w:r>
    </w:p>
    <w:p w14:paraId="064870D0" w14:textId="77777777" w:rsidR="005F4D33" w:rsidRPr="005F4D33" w:rsidRDefault="005F4D33" w:rsidP="005F4D33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  <w:lang w:val="sr-Latn-ME"/>
        </w:rPr>
      </w:pPr>
      <w:r w:rsidRPr="005F4D33">
        <w:rPr>
          <w:rFonts w:ascii="Arial" w:hAnsi="Arial" w:cs="Arial"/>
          <w:sz w:val="22"/>
          <w:szCs w:val="22"/>
          <w:lang w:val="sr-Latn-ME"/>
        </w:rPr>
        <w:t>Indirektni troškovi</w:t>
      </w:r>
    </w:p>
    <w:p w14:paraId="241C9E9E" w14:textId="77777777" w:rsidR="005F4D33" w:rsidRPr="005F4D33" w:rsidRDefault="005F4D33" w:rsidP="005F4D33">
      <w:pPr>
        <w:pStyle w:val="ListParagraph"/>
        <w:rPr>
          <w:rFonts w:ascii="Arial" w:hAnsi="Arial" w:cs="Arial"/>
          <w:sz w:val="22"/>
          <w:szCs w:val="22"/>
          <w:lang w:val="sr-Latn-ME"/>
        </w:rPr>
      </w:pPr>
    </w:p>
    <w:p w14:paraId="3BBE79C2" w14:textId="5AB84977" w:rsidR="005F4D33" w:rsidRPr="005F4D33" w:rsidRDefault="005F4D33" w:rsidP="005F4D33">
      <w:pPr>
        <w:rPr>
          <w:rFonts w:ascii="Arial" w:hAnsi="Arial" w:cs="Arial"/>
          <w:sz w:val="22"/>
          <w:szCs w:val="22"/>
          <w:lang w:val="sr-Latn-ME"/>
        </w:rPr>
      </w:pPr>
      <w:r w:rsidRPr="005F4D33">
        <w:rPr>
          <w:rFonts w:ascii="Arial" w:hAnsi="Arial" w:cs="Arial"/>
          <w:sz w:val="22"/>
          <w:szCs w:val="22"/>
          <w:lang w:val="sr-Latn-ME"/>
        </w:rPr>
        <w:t>Iznosi navedeni u finansijskom planu projekta</w:t>
      </w:r>
      <w:r w:rsidR="00CE6A7E">
        <w:rPr>
          <w:rFonts w:ascii="Arial" w:hAnsi="Arial" w:cs="Arial"/>
          <w:sz w:val="22"/>
          <w:szCs w:val="22"/>
          <w:lang w:val="sr-Latn-ME"/>
        </w:rPr>
        <w:t xml:space="preserve"> se ocjenjuju</w:t>
      </w:r>
      <w:r w:rsidRPr="005F4D33">
        <w:rPr>
          <w:rFonts w:ascii="Arial" w:hAnsi="Arial" w:cs="Arial"/>
          <w:sz w:val="22"/>
          <w:szCs w:val="22"/>
          <w:lang w:val="sr-Latn-ME"/>
        </w:rPr>
        <w:t xml:space="preserve">. Svaki trošak potrebno je analitički objasniti kako je podnosilac došao do navedenog iznosa.  </w:t>
      </w:r>
    </w:p>
    <w:p w14:paraId="1551D2EF" w14:textId="77777777" w:rsidR="005F4D33" w:rsidRPr="005F4D33" w:rsidRDefault="005F4D33" w:rsidP="005F4D33">
      <w:pPr>
        <w:rPr>
          <w:rFonts w:ascii="Arial" w:hAnsi="Arial" w:cs="Arial"/>
          <w:b/>
          <w:bCs/>
          <w:sz w:val="22"/>
          <w:szCs w:val="22"/>
          <w:lang w:val="sr-Latn-ME"/>
        </w:rPr>
      </w:pPr>
    </w:p>
    <w:p w14:paraId="7F15CAED" w14:textId="3278C35E" w:rsidR="005F4D33" w:rsidRPr="005F4D33" w:rsidRDefault="005F4D33" w:rsidP="005F4D33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2"/>
          <w:szCs w:val="22"/>
          <w:lang w:val="sr-Latn-ME"/>
        </w:rPr>
      </w:pPr>
      <w:r w:rsidRPr="005F4D33">
        <w:rPr>
          <w:rFonts w:ascii="Arial" w:hAnsi="Arial" w:cs="Arial"/>
          <w:b/>
          <w:bCs/>
          <w:sz w:val="22"/>
          <w:szCs w:val="22"/>
          <w:lang w:val="sr-Latn-ME"/>
        </w:rPr>
        <w:t xml:space="preserve">Troškovi </w:t>
      </w:r>
      <w:r w:rsidR="00157507">
        <w:rPr>
          <w:rFonts w:ascii="Arial" w:hAnsi="Arial" w:cs="Arial"/>
          <w:b/>
          <w:bCs/>
          <w:sz w:val="22"/>
          <w:szCs w:val="22"/>
          <w:lang w:val="sr-Latn-ME"/>
        </w:rPr>
        <w:t>istraživačkog osoblja</w:t>
      </w:r>
      <w:r w:rsidRPr="005F4D33">
        <w:rPr>
          <w:rFonts w:ascii="Arial" w:hAnsi="Arial" w:cs="Arial"/>
          <w:b/>
          <w:bCs/>
          <w:sz w:val="22"/>
          <w:szCs w:val="22"/>
          <w:lang w:val="sr-Latn-ME"/>
        </w:rPr>
        <w:t xml:space="preserve"> </w:t>
      </w:r>
    </w:p>
    <w:p w14:paraId="0216D778" w14:textId="77777777" w:rsidR="005F4D33" w:rsidRPr="005F4D33" w:rsidRDefault="005F4D33" w:rsidP="005F4D33">
      <w:pPr>
        <w:rPr>
          <w:rFonts w:ascii="Arial" w:hAnsi="Arial" w:cs="Arial"/>
          <w:sz w:val="22"/>
          <w:szCs w:val="22"/>
          <w:lang w:val="sr-Latn-ME"/>
        </w:rPr>
      </w:pPr>
    </w:p>
    <w:p w14:paraId="67190289" w14:textId="6F4292ED" w:rsidR="00157507" w:rsidRPr="005F4D33" w:rsidRDefault="00F5454C" w:rsidP="00157507">
      <w:pPr>
        <w:jc w:val="both"/>
        <w:rPr>
          <w:rFonts w:ascii="Arial" w:hAnsi="Arial" w:cs="Arial"/>
          <w:sz w:val="22"/>
          <w:szCs w:val="22"/>
          <w:lang w:val="hr-HR"/>
        </w:rPr>
      </w:pPr>
      <w:r w:rsidRPr="00F5454C">
        <w:rPr>
          <w:rFonts w:ascii="Arial" w:hAnsi="Arial" w:cs="Arial"/>
          <w:sz w:val="22"/>
          <w:szCs w:val="22"/>
          <w:lang w:val="hr-HR"/>
        </w:rPr>
        <w:t>Pokriva se trošak za novozaposlene sa kojima će Podnosilac prijave potpisati Ugovor o radu, te se priznaje “Bruto 2”, odnosno godišnja zarada, zajedno sa obaveznim socijalnim doprinosima zaposlenih</w:t>
      </w:r>
      <w:r w:rsidRPr="00F5454C">
        <w:rPr>
          <w:rStyle w:val="FootnoteReference"/>
          <w:rFonts w:ascii="Arial" w:hAnsi="Arial" w:cs="Arial"/>
          <w:sz w:val="22"/>
          <w:szCs w:val="22"/>
          <w:lang w:val="hr-HR"/>
        </w:rPr>
        <w:footnoteReference w:id="1"/>
      </w:r>
      <w:r w:rsidRPr="00F5454C">
        <w:rPr>
          <w:rFonts w:ascii="Arial" w:hAnsi="Arial" w:cs="Arial"/>
          <w:sz w:val="22"/>
          <w:szCs w:val="22"/>
          <w:lang w:val="hr-HR"/>
        </w:rPr>
        <w:t>. Za postojeće zaposlene dozvoljava se ugovaranje dopunskog rada/isplata honorara, koji se mogu finansirati u iznosu do najviše 30% od “Bruto 2” plate</w:t>
      </w:r>
      <w:r w:rsidRPr="00F5454C">
        <w:rPr>
          <w:rStyle w:val="FootnoteReference"/>
          <w:rFonts w:ascii="Arial" w:hAnsi="Arial" w:cs="Arial"/>
          <w:sz w:val="22"/>
          <w:szCs w:val="22"/>
          <w:lang w:val="hr-HR"/>
        </w:rPr>
        <w:footnoteReference w:id="2"/>
      </w:r>
      <w:r w:rsidRPr="00F5454C">
        <w:rPr>
          <w:rFonts w:ascii="Arial" w:hAnsi="Arial" w:cs="Arial"/>
          <w:sz w:val="22"/>
          <w:szCs w:val="22"/>
          <w:lang w:val="hr-HR"/>
        </w:rPr>
        <w:t xml:space="preserve">.   </w:t>
      </w:r>
      <w:r w:rsidR="00157507" w:rsidRPr="005F4D33">
        <w:rPr>
          <w:rFonts w:ascii="Arial" w:hAnsi="Arial" w:cs="Arial"/>
          <w:sz w:val="22"/>
          <w:szCs w:val="22"/>
          <w:lang w:val="sr-Latn-ME"/>
        </w:rPr>
        <w:t xml:space="preserve">Prijavljeni troškovi plata po pojedinom zaposlenom zavise od planiranog angažmana na projektu koji se iskazuje u procentu (10-100%) zavisno od vremena u kom će </w:t>
      </w:r>
      <w:r w:rsidR="0034550E">
        <w:rPr>
          <w:rFonts w:ascii="Arial" w:hAnsi="Arial" w:cs="Arial"/>
          <w:sz w:val="22"/>
          <w:szCs w:val="22"/>
          <w:lang w:val="sr-Latn-ME"/>
        </w:rPr>
        <w:t>isti</w:t>
      </w:r>
      <w:r w:rsidR="00157507" w:rsidRPr="005F4D33">
        <w:rPr>
          <w:rFonts w:ascii="Arial" w:hAnsi="Arial" w:cs="Arial"/>
          <w:sz w:val="22"/>
          <w:szCs w:val="22"/>
          <w:lang w:val="sr-Latn-ME"/>
        </w:rPr>
        <w:t xml:space="preserve"> biti direktno angažovani na projektu.</w:t>
      </w:r>
      <w:r w:rsidR="00157507" w:rsidRPr="005F4D33">
        <w:rPr>
          <w:rFonts w:ascii="Arial" w:eastAsiaTheme="minorHAnsi" w:hAnsi="Arial" w:cs="Arial"/>
          <w:color w:val="0A2F41" w:themeColor="accent1" w:themeShade="80"/>
          <w:kern w:val="2"/>
          <w:lang w:val="hr-HR"/>
          <w14:ligatures w14:val="standardContextual"/>
        </w:rPr>
        <w:t xml:space="preserve"> </w:t>
      </w:r>
    </w:p>
    <w:p w14:paraId="601FA3F0" w14:textId="77777777" w:rsidR="007F4F7B" w:rsidRDefault="007F4F7B" w:rsidP="00157507">
      <w:pPr>
        <w:spacing w:after="120" w:line="252" w:lineRule="auto"/>
        <w:jc w:val="both"/>
        <w:rPr>
          <w:rFonts w:ascii="Arial" w:hAnsi="Arial" w:cs="Arial"/>
          <w:sz w:val="22"/>
          <w:szCs w:val="22"/>
          <w:lang w:val="sr-Latn-ME"/>
        </w:rPr>
      </w:pPr>
    </w:p>
    <w:p w14:paraId="02F30C0E" w14:textId="382F7D20" w:rsidR="00157507" w:rsidRPr="00157507" w:rsidRDefault="00157507" w:rsidP="00157507">
      <w:pPr>
        <w:spacing w:after="120" w:line="252" w:lineRule="auto"/>
        <w:jc w:val="both"/>
        <w:rPr>
          <w:rFonts w:ascii="Arial" w:hAnsi="Arial" w:cs="Arial"/>
          <w:sz w:val="22"/>
          <w:szCs w:val="22"/>
          <w:lang w:val="hr-HR"/>
        </w:rPr>
      </w:pPr>
      <w:r w:rsidRPr="00157507">
        <w:rPr>
          <w:rFonts w:ascii="Arial" w:hAnsi="Arial" w:cs="Arial"/>
          <w:sz w:val="22"/>
          <w:szCs w:val="22"/>
          <w:lang w:val="hr-HR"/>
        </w:rPr>
        <w:t xml:space="preserve">Za projekte koji </w:t>
      </w:r>
      <w:r w:rsidR="007F4F7B">
        <w:rPr>
          <w:rFonts w:ascii="Arial" w:hAnsi="Arial" w:cs="Arial"/>
          <w:sz w:val="22"/>
          <w:szCs w:val="22"/>
          <w:lang w:val="hr-HR"/>
        </w:rPr>
        <w:t xml:space="preserve">će biti </w:t>
      </w:r>
      <w:r w:rsidRPr="00157507">
        <w:rPr>
          <w:rFonts w:ascii="Arial" w:hAnsi="Arial" w:cs="Arial"/>
          <w:sz w:val="22"/>
          <w:szCs w:val="22"/>
          <w:lang w:val="hr-HR"/>
        </w:rPr>
        <w:t>pozvani na pregovore potrebno je dostaviti:</w:t>
      </w:r>
    </w:p>
    <w:p w14:paraId="41221B9A" w14:textId="77777777" w:rsidR="00157507" w:rsidRPr="00157507" w:rsidRDefault="00157507" w:rsidP="00157507">
      <w:pPr>
        <w:numPr>
          <w:ilvl w:val="0"/>
          <w:numId w:val="5"/>
        </w:numPr>
        <w:spacing w:after="120" w:line="252" w:lineRule="auto"/>
        <w:jc w:val="both"/>
        <w:rPr>
          <w:rFonts w:ascii="Arial" w:hAnsi="Arial" w:cs="Arial"/>
          <w:sz w:val="22"/>
          <w:szCs w:val="22"/>
          <w:lang w:val="hr-HR"/>
        </w:rPr>
      </w:pPr>
      <w:r w:rsidRPr="00157507">
        <w:rPr>
          <w:rFonts w:ascii="Arial" w:hAnsi="Arial" w:cs="Arial"/>
          <w:sz w:val="22"/>
          <w:szCs w:val="22"/>
          <w:lang w:val="hr-HR"/>
        </w:rPr>
        <w:t>Za novozaposlene – predlog ugovora (nepotpisan) i dokument na osnovu kojeg je određena plata.</w:t>
      </w:r>
    </w:p>
    <w:p w14:paraId="5489AFDB" w14:textId="77777777" w:rsidR="00157507" w:rsidRPr="00157507" w:rsidRDefault="00157507" w:rsidP="00157507">
      <w:pPr>
        <w:numPr>
          <w:ilvl w:val="0"/>
          <w:numId w:val="5"/>
        </w:numPr>
        <w:spacing w:after="120" w:line="252" w:lineRule="auto"/>
        <w:jc w:val="both"/>
        <w:rPr>
          <w:rFonts w:ascii="Arial" w:hAnsi="Arial" w:cs="Arial"/>
          <w:sz w:val="22"/>
          <w:szCs w:val="22"/>
          <w:lang w:val="hr-HR"/>
        </w:rPr>
      </w:pPr>
      <w:r w:rsidRPr="00157507">
        <w:rPr>
          <w:rFonts w:ascii="Arial" w:hAnsi="Arial" w:cs="Arial"/>
          <w:sz w:val="22"/>
          <w:szCs w:val="22"/>
          <w:lang w:val="hr-HR"/>
        </w:rPr>
        <w:lastRenderedPageBreak/>
        <w:t>Za postojeće zaposlene – platne liste za tri mjeseca koja prethode datumu objavljivanja konkursa</w:t>
      </w:r>
    </w:p>
    <w:p w14:paraId="514E4550" w14:textId="680B7858" w:rsidR="0034550E" w:rsidRPr="00157507" w:rsidRDefault="00157507" w:rsidP="00157507">
      <w:pPr>
        <w:spacing w:after="120" w:line="252" w:lineRule="auto"/>
        <w:jc w:val="both"/>
        <w:rPr>
          <w:rFonts w:ascii="Arial" w:hAnsi="Arial" w:cs="Arial"/>
          <w:sz w:val="22"/>
          <w:szCs w:val="22"/>
          <w:lang w:val="hr-HR"/>
        </w:rPr>
      </w:pPr>
      <w:r w:rsidRPr="00157507">
        <w:rPr>
          <w:rFonts w:ascii="Arial" w:hAnsi="Arial" w:cs="Arial"/>
          <w:sz w:val="22"/>
          <w:szCs w:val="22"/>
          <w:lang w:val="hr-HR"/>
        </w:rPr>
        <w:t xml:space="preserve">Ukupan iznos troškova istraživačkog osoblja ne smije biti veći od </w:t>
      </w:r>
      <w:r w:rsidRPr="00157507">
        <w:rPr>
          <w:rFonts w:ascii="Arial" w:hAnsi="Arial" w:cs="Arial"/>
          <w:b/>
          <w:bCs/>
          <w:sz w:val="22"/>
          <w:szCs w:val="22"/>
          <w:lang w:val="hr-HR"/>
        </w:rPr>
        <w:t>25%</w:t>
      </w:r>
      <w:r w:rsidRPr="00157507">
        <w:rPr>
          <w:rFonts w:ascii="Arial" w:hAnsi="Arial" w:cs="Arial"/>
          <w:sz w:val="22"/>
          <w:szCs w:val="22"/>
          <w:lang w:val="hr-HR"/>
        </w:rPr>
        <w:t xml:space="preserve"> ukupne vrijednosti na onim projektima koji ne predviđaju nova zapošljavanja, odnosno ne smije biti veći od </w:t>
      </w:r>
      <w:r w:rsidRPr="00157507">
        <w:rPr>
          <w:rFonts w:ascii="Arial" w:hAnsi="Arial" w:cs="Arial"/>
          <w:b/>
          <w:bCs/>
          <w:sz w:val="22"/>
          <w:szCs w:val="22"/>
          <w:lang w:val="hr-HR"/>
        </w:rPr>
        <w:t>40%</w:t>
      </w:r>
      <w:r w:rsidRPr="00157507">
        <w:rPr>
          <w:rFonts w:ascii="Arial" w:hAnsi="Arial" w:cs="Arial"/>
          <w:sz w:val="22"/>
          <w:szCs w:val="22"/>
          <w:lang w:val="hr-HR"/>
        </w:rPr>
        <w:t xml:space="preserve"> ukupne vrijednosti na projektima koji utvrđuju nova zapošljavanja.</w:t>
      </w:r>
      <w:r w:rsidRPr="00157507">
        <w:rPr>
          <w:rFonts w:ascii="Arial" w:eastAsiaTheme="minorHAnsi" w:hAnsi="Arial" w:cs="Arial"/>
          <w:bCs/>
          <w:iCs/>
          <w:color w:val="0A2F41" w:themeColor="accent1" w:themeShade="80"/>
          <w:kern w:val="2"/>
          <w:lang w:val="hr-HR"/>
          <w14:ligatures w14:val="standardContextual"/>
        </w:rPr>
        <w:t xml:space="preserve"> </w:t>
      </w:r>
      <w:r w:rsidRPr="00157507">
        <w:rPr>
          <w:rFonts w:ascii="Arial" w:hAnsi="Arial" w:cs="Arial"/>
          <w:bCs/>
          <w:iCs/>
          <w:sz w:val="22"/>
          <w:szCs w:val="22"/>
          <w:lang w:val="hr-HR"/>
        </w:rPr>
        <w:t>Pravo na troškove istraživačkog osoblja ima samo Podnosilac prijave.</w:t>
      </w:r>
    </w:p>
    <w:p w14:paraId="79058A5B" w14:textId="77777777" w:rsidR="005F4D33" w:rsidRPr="005F4D33" w:rsidRDefault="005F4D33" w:rsidP="00FC3E46">
      <w:pPr>
        <w:spacing w:after="120" w:line="252" w:lineRule="auto"/>
        <w:jc w:val="both"/>
        <w:rPr>
          <w:rFonts w:ascii="Arial" w:hAnsi="Arial" w:cs="Arial"/>
          <w:sz w:val="22"/>
          <w:szCs w:val="22"/>
          <w:lang w:val="sr-Latn-ME"/>
        </w:rPr>
      </w:pPr>
    </w:p>
    <w:p w14:paraId="0EBFD7A4" w14:textId="77777777" w:rsidR="0034550E" w:rsidRPr="00FC3E46" w:rsidRDefault="0034550E" w:rsidP="00FC3E4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bCs/>
          <w:sz w:val="22"/>
          <w:szCs w:val="22"/>
          <w:lang w:val="sr-Latn-ME"/>
        </w:rPr>
      </w:pPr>
      <w:r w:rsidRPr="00FC3E46">
        <w:rPr>
          <w:rFonts w:ascii="Arial" w:hAnsi="Arial" w:cs="Arial"/>
          <w:b/>
          <w:bCs/>
          <w:sz w:val="22"/>
          <w:szCs w:val="22"/>
          <w:lang w:val="sr-Latn-ME"/>
        </w:rPr>
        <w:t>Troškovi</w:t>
      </w:r>
      <w:r w:rsidRPr="00FC3E46">
        <w:rPr>
          <w:rFonts w:ascii="Arial" w:hAnsi="Arial" w:cs="Arial"/>
          <w:b/>
          <w:bCs/>
          <w:sz w:val="22"/>
          <w:szCs w:val="22"/>
          <w:lang w:val="hr-HR"/>
        </w:rPr>
        <w:t xml:space="preserve"> nabavke opreme</w:t>
      </w:r>
    </w:p>
    <w:p w14:paraId="70C077A1" w14:textId="77777777" w:rsidR="0034550E" w:rsidRPr="005F4D33" w:rsidRDefault="0034550E" w:rsidP="0034550E">
      <w:pPr>
        <w:jc w:val="both"/>
        <w:rPr>
          <w:rFonts w:ascii="Arial" w:hAnsi="Arial" w:cs="Arial"/>
          <w:sz w:val="22"/>
          <w:szCs w:val="22"/>
          <w:lang w:val="sr-Latn-ME"/>
        </w:rPr>
      </w:pPr>
    </w:p>
    <w:p w14:paraId="62EF0086" w14:textId="2B46145E" w:rsidR="0034550E" w:rsidRPr="005F4D33" w:rsidRDefault="0034550E" w:rsidP="0034550E">
      <w:pPr>
        <w:jc w:val="both"/>
        <w:rPr>
          <w:rFonts w:ascii="Arial" w:hAnsi="Arial" w:cs="Arial"/>
          <w:sz w:val="22"/>
          <w:szCs w:val="22"/>
          <w:lang w:val="sr-Latn-ME"/>
        </w:rPr>
      </w:pPr>
      <w:r w:rsidRPr="005F4D33">
        <w:rPr>
          <w:rFonts w:ascii="Arial" w:hAnsi="Arial" w:cs="Arial"/>
          <w:sz w:val="22"/>
          <w:szCs w:val="22"/>
          <w:lang w:val="sr-Latn-ME"/>
        </w:rPr>
        <w:t xml:space="preserve">Troškovi opreme, u opsegu i u razdoblju u kom se upotrebljavaju za projekat. Ako se oprema ne upotrebljava za projekat tokom cijelog </w:t>
      </w:r>
      <w:r>
        <w:rPr>
          <w:rFonts w:ascii="Arial" w:hAnsi="Arial" w:cs="Arial"/>
          <w:sz w:val="22"/>
          <w:szCs w:val="22"/>
          <w:lang w:val="sr-Latn-ME"/>
        </w:rPr>
        <w:t>njegovog</w:t>
      </w:r>
      <w:r w:rsidRPr="005F4D33">
        <w:rPr>
          <w:rFonts w:ascii="Arial" w:hAnsi="Arial" w:cs="Arial"/>
          <w:sz w:val="22"/>
          <w:szCs w:val="22"/>
          <w:lang w:val="sr-Latn-ME"/>
        </w:rPr>
        <w:t xml:space="preserve"> trajanja, prihvatljivim troškovima smatraju se, u skladu s</w:t>
      </w:r>
      <w:r>
        <w:rPr>
          <w:rFonts w:ascii="Arial" w:hAnsi="Arial" w:cs="Arial"/>
          <w:sz w:val="22"/>
          <w:szCs w:val="22"/>
          <w:lang w:val="sr-Latn-ME"/>
        </w:rPr>
        <w:t>a</w:t>
      </w:r>
      <w:r w:rsidRPr="005F4D33">
        <w:rPr>
          <w:rFonts w:ascii="Arial" w:hAnsi="Arial" w:cs="Arial"/>
          <w:sz w:val="22"/>
          <w:szCs w:val="22"/>
          <w:lang w:val="sr-Latn-ME"/>
        </w:rPr>
        <w:t xml:space="preserve"> opšteprihvaćenim računovodstvenim načelima, samo troškovi amortizacije nastali u </w:t>
      </w:r>
      <w:r>
        <w:rPr>
          <w:rFonts w:ascii="Arial" w:hAnsi="Arial" w:cs="Arial"/>
          <w:sz w:val="22"/>
          <w:szCs w:val="22"/>
          <w:lang w:val="sr-Latn-ME"/>
        </w:rPr>
        <w:t>periodu</w:t>
      </w:r>
      <w:r w:rsidRPr="005F4D33">
        <w:rPr>
          <w:rFonts w:ascii="Arial" w:hAnsi="Arial" w:cs="Arial"/>
          <w:sz w:val="22"/>
          <w:szCs w:val="22"/>
          <w:lang w:val="sr-Latn-ME"/>
        </w:rPr>
        <w:t xml:space="preserve"> trajanja projekta.</w:t>
      </w:r>
      <w:r w:rsidRPr="0074369B">
        <w:t xml:space="preserve"> </w:t>
      </w:r>
      <w:r w:rsidRPr="0074369B">
        <w:rPr>
          <w:rFonts w:ascii="Arial" w:hAnsi="Arial" w:cs="Arial"/>
          <w:sz w:val="22"/>
          <w:szCs w:val="22"/>
          <w:lang w:val="sr-Latn-ME"/>
        </w:rPr>
        <w:t>Navedeni troškovi mogu uključivati i specifičnu IT opremu i softverska rješenja ako su ona neophodna za sprovođenje predloženog istraživanja. Prihvatljivi su i troškovi povezani s</w:t>
      </w:r>
      <w:r>
        <w:rPr>
          <w:rFonts w:ascii="Arial" w:hAnsi="Arial" w:cs="Arial"/>
          <w:sz w:val="22"/>
          <w:szCs w:val="22"/>
          <w:lang w:val="sr-Latn-ME"/>
        </w:rPr>
        <w:t>a</w:t>
      </w:r>
      <w:r w:rsidRPr="0074369B">
        <w:rPr>
          <w:rFonts w:ascii="Arial" w:hAnsi="Arial" w:cs="Arial"/>
          <w:sz w:val="22"/>
          <w:szCs w:val="22"/>
          <w:lang w:val="sr-Latn-ME"/>
        </w:rPr>
        <w:t xml:space="preserve"> nabavkom opreme (dostava, instalacija, kalibracija, edukacija za korištenje koju nudi dobavljač opreme).</w:t>
      </w:r>
      <w:r>
        <w:rPr>
          <w:rFonts w:ascii="Arial" w:hAnsi="Arial" w:cs="Arial"/>
          <w:sz w:val="22"/>
          <w:szCs w:val="22"/>
          <w:lang w:val="sr-Latn-ME"/>
        </w:rPr>
        <w:t xml:space="preserve"> </w:t>
      </w:r>
      <w:r w:rsidRPr="005F4D33">
        <w:rPr>
          <w:rFonts w:ascii="Arial" w:hAnsi="Arial" w:cs="Arial"/>
          <w:sz w:val="22"/>
          <w:szCs w:val="22"/>
          <w:lang w:val="sr-Latn-ME"/>
        </w:rPr>
        <w:t xml:space="preserve">Pod stavku oprema spada oprema čija je jedinična vrijednost veća od 300,00 eura bez PDV-a. Podnosilac treba da vodi računa o tome da je ta oprema zaista neophodna za provjeru koncepta i dokazati da se bez te opreme projekat ne bi mogao realizovati. </w:t>
      </w:r>
    </w:p>
    <w:p w14:paraId="05F41004" w14:textId="77777777" w:rsidR="0034550E" w:rsidRDefault="0034550E" w:rsidP="0034550E">
      <w:pPr>
        <w:jc w:val="both"/>
        <w:rPr>
          <w:rFonts w:ascii="Arial" w:hAnsi="Arial" w:cs="Arial"/>
          <w:sz w:val="22"/>
          <w:szCs w:val="22"/>
          <w:lang w:val="sr-Latn-ME"/>
        </w:rPr>
      </w:pPr>
    </w:p>
    <w:p w14:paraId="7F171C2D" w14:textId="77777777" w:rsidR="0034550E" w:rsidRPr="0074369B" w:rsidRDefault="0034550E" w:rsidP="0034550E">
      <w:pPr>
        <w:jc w:val="both"/>
        <w:rPr>
          <w:rFonts w:ascii="Arial" w:hAnsi="Arial" w:cs="Arial"/>
          <w:sz w:val="22"/>
          <w:szCs w:val="22"/>
          <w:lang w:val="sr-Latn-ME"/>
        </w:rPr>
      </w:pPr>
      <w:r w:rsidRPr="0074369B">
        <w:rPr>
          <w:rFonts w:ascii="Arial" w:hAnsi="Arial" w:cs="Arial"/>
          <w:sz w:val="22"/>
          <w:szCs w:val="22"/>
          <w:lang w:val="hr-HR"/>
        </w:rPr>
        <w:t xml:space="preserve">Ukupan iznos troškova nabavke opreme ne smije biti veći od </w:t>
      </w:r>
      <w:r w:rsidRPr="004D2F9F">
        <w:rPr>
          <w:rFonts w:ascii="Arial" w:hAnsi="Arial" w:cs="Arial"/>
          <w:b/>
          <w:bCs/>
          <w:sz w:val="22"/>
          <w:szCs w:val="22"/>
          <w:lang w:val="hr-HR"/>
        </w:rPr>
        <w:t>40%</w:t>
      </w:r>
      <w:r w:rsidRPr="0074369B">
        <w:rPr>
          <w:rFonts w:ascii="Arial" w:hAnsi="Arial" w:cs="Arial"/>
          <w:sz w:val="22"/>
          <w:szCs w:val="22"/>
          <w:lang w:val="hr-HR"/>
        </w:rPr>
        <w:t xml:space="preserve"> ukupne vrijednosti projekta</w:t>
      </w:r>
      <w:r w:rsidRPr="0074369B">
        <w:rPr>
          <w:rFonts w:ascii="Arial" w:hAnsi="Arial" w:cs="Arial"/>
          <w:sz w:val="22"/>
          <w:szCs w:val="22"/>
          <w:lang w:val="sr-Latn-ME"/>
        </w:rPr>
        <w:t>.</w:t>
      </w:r>
      <w:r>
        <w:rPr>
          <w:rFonts w:ascii="Arial" w:eastAsiaTheme="minorHAnsi" w:hAnsi="Arial" w:cs="Arial"/>
          <w:color w:val="0A2F41" w:themeColor="accent1" w:themeShade="80"/>
          <w:kern w:val="2"/>
          <w:lang w:val="hr-HR"/>
          <w14:ligatures w14:val="standardContextual"/>
        </w:rPr>
        <w:t xml:space="preserve"> </w:t>
      </w:r>
      <w:r w:rsidRPr="0074369B">
        <w:rPr>
          <w:rFonts w:ascii="Arial" w:hAnsi="Arial" w:cs="Arial"/>
          <w:sz w:val="22"/>
          <w:szCs w:val="22"/>
          <w:lang w:val="hr-HR"/>
        </w:rPr>
        <w:t>Pravo na nabavku opreme u vrijednosti iznad 1.500,00 € ima samo Podnosilac prijave</w:t>
      </w:r>
      <w:r>
        <w:rPr>
          <w:rFonts w:ascii="Arial" w:hAnsi="Arial" w:cs="Arial"/>
          <w:sz w:val="22"/>
          <w:szCs w:val="22"/>
          <w:lang w:val="hr-HR"/>
        </w:rPr>
        <w:t>.</w:t>
      </w:r>
    </w:p>
    <w:p w14:paraId="6499BC1E" w14:textId="77777777" w:rsidR="005F4D33" w:rsidRPr="005F4D33" w:rsidRDefault="005F4D33" w:rsidP="005F4D33">
      <w:pPr>
        <w:jc w:val="both"/>
        <w:rPr>
          <w:rFonts w:ascii="Arial" w:hAnsi="Arial" w:cs="Arial"/>
          <w:sz w:val="22"/>
          <w:szCs w:val="22"/>
          <w:lang w:val="sr-Latn-ME"/>
        </w:rPr>
      </w:pPr>
    </w:p>
    <w:p w14:paraId="15BFEC4F" w14:textId="00E42493" w:rsidR="005F4D33" w:rsidRPr="00FC3E46" w:rsidRDefault="00157507" w:rsidP="00FC3E4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bCs/>
          <w:sz w:val="22"/>
          <w:szCs w:val="22"/>
          <w:lang w:val="sr-Latn-ME"/>
        </w:rPr>
      </w:pPr>
      <w:r w:rsidRPr="00FC3E46">
        <w:rPr>
          <w:rFonts w:ascii="Arial" w:hAnsi="Arial" w:cs="Arial"/>
          <w:b/>
          <w:bCs/>
          <w:sz w:val="22"/>
          <w:szCs w:val="22"/>
          <w:lang w:val="sr-Latn-ME"/>
        </w:rPr>
        <w:t>Troškovi korišćenja opreme na drugoj instituciji</w:t>
      </w:r>
    </w:p>
    <w:p w14:paraId="615247E6" w14:textId="77777777" w:rsidR="00157507" w:rsidRDefault="00157507" w:rsidP="00157507">
      <w:pPr>
        <w:spacing w:after="120" w:line="252" w:lineRule="auto"/>
        <w:jc w:val="both"/>
        <w:rPr>
          <w:rFonts w:ascii="Arial" w:hAnsi="Arial" w:cs="Arial"/>
          <w:sz w:val="22"/>
          <w:szCs w:val="22"/>
          <w:lang w:val="hr-HR"/>
        </w:rPr>
      </w:pPr>
    </w:p>
    <w:p w14:paraId="6E149C18" w14:textId="6286A19B" w:rsidR="00157507" w:rsidRPr="00157507" w:rsidRDefault="00157507" w:rsidP="00157507">
      <w:pPr>
        <w:spacing w:after="120" w:line="252" w:lineRule="auto"/>
        <w:jc w:val="both"/>
        <w:rPr>
          <w:rFonts w:ascii="Arial" w:hAnsi="Arial" w:cs="Arial"/>
          <w:sz w:val="22"/>
          <w:szCs w:val="22"/>
          <w:lang w:val="hr-HR"/>
        </w:rPr>
      </w:pPr>
      <w:r w:rsidRPr="00157507">
        <w:rPr>
          <w:rFonts w:ascii="Arial" w:hAnsi="Arial" w:cs="Arial"/>
          <w:sz w:val="22"/>
          <w:szCs w:val="22"/>
          <w:lang w:val="hr-HR"/>
        </w:rPr>
        <w:t>Troškovi korišćenja opreme na drugoj instituciji, ukoliko su neophodni za sprovođenje projekta, obračunavaju se prema važećem cjenovniku te institucije</w:t>
      </w:r>
      <w:r w:rsidR="007E3291">
        <w:rPr>
          <w:rFonts w:ascii="Arial" w:hAnsi="Arial" w:cs="Arial"/>
          <w:sz w:val="22"/>
          <w:szCs w:val="22"/>
          <w:lang w:val="hr-HR"/>
        </w:rPr>
        <w:t>.</w:t>
      </w:r>
    </w:p>
    <w:p w14:paraId="17837F5E" w14:textId="1B14B7B0" w:rsidR="00157507" w:rsidRPr="00157507" w:rsidRDefault="00157507" w:rsidP="00FC3E46">
      <w:pPr>
        <w:spacing w:after="120" w:line="252" w:lineRule="auto"/>
        <w:jc w:val="both"/>
        <w:rPr>
          <w:rFonts w:ascii="Arial" w:hAnsi="Arial" w:cs="Arial"/>
          <w:b/>
          <w:bCs/>
          <w:sz w:val="22"/>
          <w:szCs w:val="22"/>
          <w:lang w:val="sr-Latn-ME"/>
        </w:rPr>
      </w:pPr>
      <w:r w:rsidRPr="00157507">
        <w:rPr>
          <w:rFonts w:ascii="Arial" w:hAnsi="Arial" w:cs="Arial"/>
          <w:sz w:val="22"/>
          <w:szCs w:val="22"/>
          <w:lang w:val="hr-HR"/>
        </w:rPr>
        <w:t xml:space="preserve">Ukupan iznos troškova korišćenja opreme na drugoj instituciji ne smije biti veći od </w:t>
      </w:r>
      <w:r w:rsidRPr="00157507">
        <w:rPr>
          <w:rFonts w:ascii="Arial" w:hAnsi="Arial" w:cs="Arial"/>
          <w:b/>
          <w:bCs/>
          <w:sz w:val="22"/>
          <w:szCs w:val="22"/>
          <w:lang w:val="hr-HR"/>
        </w:rPr>
        <w:t>30%</w:t>
      </w:r>
      <w:r w:rsidRPr="00157507">
        <w:rPr>
          <w:rFonts w:ascii="Arial" w:hAnsi="Arial" w:cs="Arial"/>
          <w:sz w:val="22"/>
          <w:szCs w:val="22"/>
          <w:lang w:val="hr-HR"/>
        </w:rPr>
        <w:t xml:space="preserve"> ukupne vrijednosti projekta</w:t>
      </w:r>
      <w:r w:rsidRPr="00157507">
        <w:rPr>
          <w:rFonts w:ascii="Arial" w:hAnsi="Arial" w:cs="Arial"/>
          <w:b/>
          <w:bCs/>
          <w:sz w:val="22"/>
          <w:szCs w:val="22"/>
          <w:lang w:val="hr-HR"/>
        </w:rPr>
        <w:t>.</w:t>
      </w:r>
      <w:r w:rsidRPr="00157507">
        <w:rPr>
          <w:rFonts w:ascii="Arial" w:hAnsi="Arial" w:cs="Arial"/>
          <w:sz w:val="22"/>
          <w:szCs w:val="22"/>
          <w:lang w:val="hr-HR"/>
        </w:rPr>
        <w:t xml:space="preserve"> Pravo na korišćenje opreme na drugoj instituciji imaju Podnosilac prijave i ostali partneri iz Crne Gore.</w:t>
      </w:r>
    </w:p>
    <w:p w14:paraId="0903BCD2" w14:textId="77777777" w:rsidR="005F4D33" w:rsidRPr="0074369B" w:rsidRDefault="005F4D33" w:rsidP="005F4D33">
      <w:pPr>
        <w:jc w:val="both"/>
        <w:rPr>
          <w:rFonts w:ascii="Arial" w:hAnsi="Arial" w:cs="Arial"/>
          <w:sz w:val="22"/>
          <w:szCs w:val="22"/>
          <w:lang w:val="sr-Latn-ME"/>
        </w:rPr>
      </w:pPr>
    </w:p>
    <w:p w14:paraId="1A0937B5" w14:textId="1D5CB0E7" w:rsidR="00864684" w:rsidRPr="00FC3E46" w:rsidRDefault="005F4D33" w:rsidP="00FC3E4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bCs/>
          <w:sz w:val="22"/>
          <w:szCs w:val="22"/>
          <w:lang w:val="sr-Latn-ME"/>
        </w:rPr>
      </w:pPr>
      <w:r w:rsidRPr="00FC3E46">
        <w:rPr>
          <w:rFonts w:ascii="Arial" w:hAnsi="Arial" w:cs="Arial"/>
          <w:b/>
          <w:bCs/>
          <w:sz w:val="22"/>
          <w:szCs w:val="22"/>
          <w:lang w:val="sr-Latn-ME"/>
        </w:rPr>
        <w:t xml:space="preserve">Troškovi </w:t>
      </w:r>
      <w:r w:rsidR="00864684" w:rsidRPr="00FC3E46">
        <w:rPr>
          <w:rFonts w:ascii="Arial" w:hAnsi="Arial" w:cs="Arial"/>
          <w:b/>
          <w:bCs/>
          <w:sz w:val="22"/>
          <w:szCs w:val="22"/>
          <w:lang w:val="sr-Latn-ME"/>
        </w:rPr>
        <w:t>potrošnog materijala</w:t>
      </w:r>
    </w:p>
    <w:p w14:paraId="6F6F6BD9" w14:textId="6EAAED53" w:rsidR="005F4D33" w:rsidRPr="0074369B" w:rsidRDefault="005F4D33" w:rsidP="00864684">
      <w:pPr>
        <w:pStyle w:val="ListParagraph"/>
        <w:jc w:val="both"/>
        <w:rPr>
          <w:rFonts w:ascii="Arial" w:hAnsi="Arial" w:cs="Arial"/>
          <w:b/>
          <w:bCs/>
          <w:sz w:val="22"/>
          <w:szCs w:val="22"/>
          <w:lang w:val="sr-Latn-ME"/>
        </w:rPr>
      </w:pPr>
    </w:p>
    <w:p w14:paraId="51458539" w14:textId="7C800E72" w:rsidR="005F4D33" w:rsidRPr="005F4D33" w:rsidRDefault="005F4D33" w:rsidP="005F4D33">
      <w:pPr>
        <w:jc w:val="both"/>
        <w:rPr>
          <w:rFonts w:ascii="Arial" w:hAnsi="Arial" w:cs="Arial"/>
          <w:sz w:val="22"/>
          <w:szCs w:val="22"/>
          <w:lang w:val="sr-Latn-ME"/>
        </w:rPr>
      </w:pPr>
      <w:r w:rsidRPr="005F4D33">
        <w:rPr>
          <w:rFonts w:ascii="Arial" w:hAnsi="Arial" w:cs="Arial"/>
          <w:sz w:val="22"/>
          <w:szCs w:val="22"/>
          <w:lang w:val="sr-Latn-ME"/>
        </w:rPr>
        <w:t xml:space="preserve">Troškovi materijala i sitnog inventara odnose se na materijale i uređaje čija je jedinična vrijednost manja od </w:t>
      </w:r>
      <w:r w:rsidR="00864684">
        <w:rPr>
          <w:rFonts w:ascii="Arial" w:hAnsi="Arial" w:cs="Arial"/>
          <w:sz w:val="22"/>
          <w:szCs w:val="22"/>
          <w:lang w:val="sr-Latn-ME"/>
        </w:rPr>
        <w:t>30</w:t>
      </w:r>
      <w:r w:rsidRPr="005F4D33">
        <w:rPr>
          <w:rFonts w:ascii="Arial" w:hAnsi="Arial" w:cs="Arial"/>
          <w:sz w:val="22"/>
          <w:szCs w:val="22"/>
          <w:lang w:val="sr-Latn-ME"/>
        </w:rPr>
        <w:t xml:space="preserve">0,00 eura bez PDV-a. </w:t>
      </w:r>
      <w:r w:rsidR="00504831" w:rsidRPr="00504831">
        <w:rPr>
          <w:rFonts w:ascii="Arial" w:hAnsi="Arial" w:cs="Arial"/>
          <w:sz w:val="22"/>
          <w:szCs w:val="22"/>
          <w:lang w:val="sr-Latn-ME"/>
        </w:rPr>
        <w:t xml:space="preserve">Ukupan iznos troškova potrošnog materijala ne smije biti veći od </w:t>
      </w:r>
      <w:r w:rsidR="00504831" w:rsidRPr="004D2F9F">
        <w:rPr>
          <w:rFonts w:ascii="Arial" w:hAnsi="Arial" w:cs="Arial"/>
          <w:b/>
          <w:bCs/>
          <w:sz w:val="22"/>
          <w:szCs w:val="22"/>
          <w:lang w:val="sr-Latn-ME"/>
        </w:rPr>
        <w:t>25%</w:t>
      </w:r>
      <w:r w:rsidR="00504831" w:rsidRPr="00504831">
        <w:rPr>
          <w:rFonts w:ascii="Arial" w:hAnsi="Arial" w:cs="Arial"/>
          <w:sz w:val="22"/>
          <w:szCs w:val="22"/>
          <w:lang w:val="sr-Latn-ME"/>
        </w:rPr>
        <w:t xml:space="preserve"> ukupne vrijednosti projekta.</w:t>
      </w:r>
      <w:r w:rsidR="00504831" w:rsidRPr="00504831">
        <w:t xml:space="preserve"> </w:t>
      </w:r>
      <w:r w:rsidR="00504831" w:rsidRPr="00504831">
        <w:rPr>
          <w:rFonts w:ascii="Arial" w:hAnsi="Arial" w:cs="Arial"/>
          <w:sz w:val="22"/>
          <w:szCs w:val="22"/>
          <w:lang w:val="sr-Latn-ME"/>
        </w:rPr>
        <w:t>Pravo na nabavku potrošnog materijala imaju Podnosilac prijave, partnerska institucija van Crne Gore</w:t>
      </w:r>
      <w:r w:rsidR="00DA5B86">
        <w:rPr>
          <w:rFonts w:ascii="Arial" w:hAnsi="Arial" w:cs="Arial"/>
          <w:sz w:val="22"/>
          <w:szCs w:val="22"/>
          <w:lang w:val="sr-Latn-ME"/>
        </w:rPr>
        <w:t>,</w:t>
      </w:r>
      <w:r w:rsidR="00504831" w:rsidRPr="00504831">
        <w:rPr>
          <w:rFonts w:ascii="Arial" w:hAnsi="Arial" w:cs="Arial"/>
          <w:sz w:val="22"/>
          <w:szCs w:val="22"/>
          <w:lang w:val="sr-Latn-ME"/>
        </w:rPr>
        <w:t xml:space="preserve"> koja je obavezan partner</w:t>
      </w:r>
      <w:r w:rsidR="00DA5B86">
        <w:rPr>
          <w:rFonts w:ascii="Arial" w:hAnsi="Arial" w:cs="Arial"/>
          <w:sz w:val="22"/>
          <w:szCs w:val="22"/>
          <w:lang w:val="sr-Latn-ME"/>
        </w:rPr>
        <w:t>,</w:t>
      </w:r>
      <w:r w:rsidR="00504831" w:rsidRPr="00504831">
        <w:rPr>
          <w:rFonts w:ascii="Arial" w:hAnsi="Arial" w:cs="Arial"/>
          <w:sz w:val="22"/>
          <w:szCs w:val="22"/>
          <w:lang w:val="sr-Latn-ME"/>
        </w:rPr>
        <w:t xml:space="preserve"> i ostali partneri.</w:t>
      </w:r>
    </w:p>
    <w:p w14:paraId="7314C20E" w14:textId="77777777" w:rsidR="005F4D33" w:rsidRPr="005F4D33" w:rsidRDefault="005F4D33" w:rsidP="005F4D33">
      <w:pPr>
        <w:jc w:val="both"/>
        <w:rPr>
          <w:rFonts w:ascii="Arial" w:hAnsi="Arial" w:cs="Arial"/>
          <w:sz w:val="22"/>
          <w:szCs w:val="22"/>
          <w:lang w:val="sr-Latn-ME"/>
        </w:rPr>
      </w:pPr>
    </w:p>
    <w:p w14:paraId="2B6DB599" w14:textId="447CA26A" w:rsidR="005F4D33" w:rsidRPr="005F4D33" w:rsidRDefault="005F4D33" w:rsidP="00FC3E4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bCs/>
          <w:sz w:val="22"/>
          <w:szCs w:val="22"/>
          <w:lang w:val="sr-Latn-ME"/>
        </w:rPr>
      </w:pPr>
      <w:r w:rsidRPr="005F4D33">
        <w:rPr>
          <w:rFonts w:ascii="Arial" w:hAnsi="Arial" w:cs="Arial"/>
          <w:b/>
          <w:bCs/>
          <w:sz w:val="22"/>
          <w:szCs w:val="22"/>
          <w:lang w:val="sr-Latn-ME"/>
        </w:rPr>
        <w:t xml:space="preserve">Troškovi </w:t>
      </w:r>
      <w:r w:rsidR="00477CBF">
        <w:rPr>
          <w:rFonts w:ascii="Arial" w:hAnsi="Arial" w:cs="Arial"/>
          <w:b/>
          <w:bCs/>
          <w:sz w:val="22"/>
          <w:szCs w:val="22"/>
          <w:lang w:val="sr-Latn-ME"/>
        </w:rPr>
        <w:t>mobilnosti</w:t>
      </w:r>
    </w:p>
    <w:p w14:paraId="2ADC7E02" w14:textId="77777777" w:rsidR="005F4D33" w:rsidRPr="005F4D33" w:rsidRDefault="005F4D33" w:rsidP="005F4D33">
      <w:pPr>
        <w:jc w:val="both"/>
        <w:rPr>
          <w:rFonts w:ascii="Arial" w:hAnsi="Arial" w:cs="Arial"/>
          <w:sz w:val="22"/>
          <w:szCs w:val="22"/>
          <w:lang w:val="sr-Latn-ME"/>
        </w:rPr>
      </w:pPr>
    </w:p>
    <w:p w14:paraId="3B182E40" w14:textId="77777777" w:rsidR="00477CBF" w:rsidRDefault="00477CBF" w:rsidP="00477CBF">
      <w:pPr>
        <w:jc w:val="both"/>
        <w:rPr>
          <w:rFonts w:ascii="Arial" w:hAnsi="Arial" w:cs="Arial"/>
          <w:sz w:val="22"/>
          <w:szCs w:val="22"/>
          <w:lang w:val="en-GB"/>
        </w:rPr>
      </w:pPr>
      <w:proofErr w:type="spellStart"/>
      <w:r w:rsidRPr="00477CBF">
        <w:rPr>
          <w:rFonts w:ascii="Arial" w:hAnsi="Arial" w:cs="Arial"/>
          <w:sz w:val="22"/>
          <w:szCs w:val="22"/>
          <w:lang w:val="en-GB"/>
        </w:rPr>
        <w:t>Troškovi</w:t>
      </w:r>
      <w:proofErr w:type="spellEnd"/>
      <w:r w:rsidRPr="00477CBF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477CBF">
        <w:rPr>
          <w:rFonts w:ascii="Arial" w:hAnsi="Arial" w:cs="Arial"/>
          <w:sz w:val="22"/>
          <w:szCs w:val="22"/>
          <w:lang w:val="en-GB"/>
        </w:rPr>
        <w:t>mobilnosti</w:t>
      </w:r>
      <w:proofErr w:type="spellEnd"/>
      <w:r w:rsidRPr="00477CBF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477CBF">
        <w:rPr>
          <w:rFonts w:ascii="Arial" w:hAnsi="Arial" w:cs="Arial"/>
          <w:sz w:val="22"/>
          <w:szCs w:val="22"/>
          <w:lang w:val="en-GB"/>
        </w:rPr>
        <w:t>povezani</w:t>
      </w:r>
      <w:proofErr w:type="spellEnd"/>
      <w:r w:rsidRPr="00477CBF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477CBF">
        <w:rPr>
          <w:rFonts w:ascii="Arial" w:hAnsi="Arial" w:cs="Arial"/>
          <w:sz w:val="22"/>
          <w:szCs w:val="22"/>
          <w:lang w:val="en-GB"/>
        </w:rPr>
        <w:t>sa</w:t>
      </w:r>
      <w:proofErr w:type="spellEnd"/>
      <w:r w:rsidRPr="00477CBF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477CBF">
        <w:rPr>
          <w:rFonts w:ascii="Arial" w:hAnsi="Arial" w:cs="Arial"/>
          <w:sz w:val="22"/>
          <w:szCs w:val="22"/>
          <w:lang w:val="en-GB"/>
        </w:rPr>
        <w:t>sprovođenjem</w:t>
      </w:r>
      <w:proofErr w:type="spellEnd"/>
      <w:r w:rsidRPr="00477CBF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477CBF">
        <w:rPr>
          <w:rFonts w:ascii="Arial" w:hAnsi="Arial" w:cs="Arial"/>
          <w:sz w:val="22"/>
          <w:szCs w:val="22"/>
          <w:lang w:val="en-GB"/>
        </w:rPr>
        <w:t>projekta</w:t>
      </w:r>
      <w:proofErr w:type="spellEnd"/>
      <w:r w:rsidRPr="00477CBF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477CBF">
        <w:rPr>
          <w:rFonts w:ascii="Arial" w:hAnsi="Arial" w:cs="Arial"/>
          <w:sz w:val="22"/>
          <w:szCs w:val="22"/>
          <w:lang w:val="en-GB"/>
        </w:rPr>
        <w:t>obuhvataju</w:t>
      </w:r>
      <w:proofErr w:type="spellEnd"/>
      <w:r w:rsidRPr="00477CBF">
        <w:rPr>
          <w:rFonts w:ascii="Arial" w:hAnsi="Arial" w:cs="Arial"/>
          <w:sz w:val="22"/>
          <w:szCs w:val="22"/>
          <w:lang w:val="en-GB"/>
        </w:rPr>
        <w:t>:</w:t>
      </w:r>
    </w:p>
    <w:p w14:paraId="22EA2981" w14:textId="77777777" w:rsidR="00477CBF" w:rsidRPr="00477CBF" w:rsidRDefault="00477CBF" w:rsidP="00477CBF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29B30F1D" w14:textId="77777777" w:rsidR="00477CBF" w:rsidRPr="00477CBF" w:rsidRDefault="00477CBF" w:rsidP="00477CBF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  <w:lang w:val="hr-HR"/>
        </w:rPr>
      </w:pPr>
      <w:r w:rsidRPr="00477CBF">
        <w:rPr>
          <w:rFonts w:ascii="Arial" w:hAnsi="Arial" w:cs="Arial"/>
          <w:b/>
          <w:bCs/>
          <w:sz w:val="22"/>
          <w:szCs w:val="22"/>
          <w:lang w:val="hr-HR"/>
        </w:rPr>
        <w:t>Kratkoročne mobilnosti</w:t>
      </w:r>
      <w:r w:rsidRPr="00477CBF">
        <w:rPr>
          <w:rFonts w:ascii="Arial" w:hAnsi="Arial" w:cs="Arial"/>
          <w:sz w:val="22"/>
          <w:szCs w:val="22"/>
          <w:lang w:val="hr-HR"/>
        </w:rPr>
        <w:t xml:space="preserve"> – uključuju dnevnice (isključivo za kratkoročna putovanja), troškove smještaja i troškove prevoza. Pravo na ove troškove imaju Podnosilac prijave, partnerska institucija van Crne Gore koja je obavezan partner, kao i ostali partneri.</w:t>
      </w:r>
    </w:p>
    <w:p w14:paraId="1C30A48F" w14:textId="77777777" w:rsidR="00477CBF" w:rsidRPr="00477CBF" w:rsidRDefault="00477CBF" w:rsidP="00477CBF">
      <w:pPr>
        <w:ind w:left="720"/>
        <w:jc w:val="both"/>
        <w:rPr>
          <w:rFonts w:ascii="Arial" w:hAnsi="Arial" w:cs="Arial"/>
          <w:sz w:val="22"/>
          <w:szCs w:val="22"/>
          <w:lang w:val="hr-HR"/>
        </w:rPr>
      </w:pPr>
    </w:p>
    <w:p w14:paraId="55579869" w14:textId="5C11686C" w:rsidR="00477CBF" w:rsidRDefault="00477CBF" w:rsidP="00477CBF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  <w:lang w:val="hr-HR"/>
        </w:rPr>
      </w:pPr>
      <w:r w:rsidRPr="00477CBF">
        <w:rPr>
          <w:rFonts w:ascii="Arial" w:hAnsi="Arial" w:cs="Arial"/>
          <w:b/>
          <w:bCs/>
          <w:sz w:val="22"/>
          <w:szCs w:val="22"/>
          <w:lang w:val="hr-HR"/>
        </w:rPr>
        <w:t>Srednjoročne mobilnosti</w:t>
      </w:r>
      <w:r w:rsidRPr="00477CBF">
        <w:rPr>
          <w:rFonts w:ascii="Arial" w:hAnsi="Arial" w:cs="Arial"/>
          <w:sz w:val="22"/>
          <w:szCs w:val="22"/>
          <w:lang w:val="hr-HR"/>
        </w:rPr>
        <w:t xml:space="preserve"> – uključuju troškove smještaja, troškove putovanja, troškove zdravstvenog osiguranja i mjesečni iznos za lične troškove, koji ne premašuje </w:t>
      </w:r>
      <w:r w:rsidRPr="00477CBF">
        <w:rPr>
          <w:rFonts w:ascii="Arial" w:hAnsi="Arial" w:cs="Arial"/>
          <w:sz w:val="22"/>
          <w:szCs w:val="22"/>
          <w:lang w:val="hr-HR"/>
        </w:rPr>
        <w:lastRenderedPageBreak/>
        <w:t>800 eura mjesečno. Pravo na ove troškove imaju Podnosilac prijave i ostali partneri iz Crne Gore.</w:t>
      </w:r>
    </w:p>
    <w:p w14:paraId="22DFCF6D" w14:textId="77777777" w:rsidR="00DA5B86" w:rsidRPr="00477CBF" w:rsidRDefault="00DA5B86" w:rsidP="00FC3E46">
      <w:pPr>
        <w:ind w:left="720"/>
        <w:jc w:val="both"/>
        <w:rPr>
          <w:rFonts w:ascii="Arial" w:hAnsi="Arial" w:cs="Arial"/>
          <w:sz w:val="22"/>
          <w:szCs w:val="22"/>
          <w:lang w:val="hr-HR"/>
        </w:rPr>
      </w:pPr>
    </w:p>
    <w:p w14:paraId="67DADAE1" w14:textId="72D16939" w:rsidR="005F4D33" w:rsidRDefault="00504831" w:rsidP="005F4D33">
      <w:pPr>
        <w:jc w:val="both"/>
        <w:rPr>
          <w:rFonts w:ascii="Arial" w:hAnsi="Arial" w:cs="Arial"/>
          <w:sz w:val="22"/>
          <w:szCs w:val="22"/>
          <w:lang w:val="sr-Latn-ME"/>
        </w:rPr>
      </w:pPr>
      <w:r w:rsidRPr="00504831">
        <w:rPr>
          <w:rFonts w:ascii="Arial" w:hAnsi="Arial" w:cs="Arial"/>
          <w:sz w:val="22"/>
          <w:szCs w:val="22"/>
          <w:lang w:val="sr-Latn-ME"/>
        </w:rPr>
        <w:t>Ukupan iznos troškova mobilnosti</w:t>
      </w:r>
      <w:r w:rsidR="00DA5B86">
        <w:rPr>
          <w:rFonts w:ascii="Arial" w:hAnsi="Arial" w:cs="Arial"/>
          <w:sz w:val="22"/>
          <w:szCs w:val="22"/>
          <w:lang w:val="sr-Latn-ME"/>
        </w:rPr>
        <w:t xml:space="preserve"> (1 i 2)</w:t>
      </w:r>
      <w:r w:rsidRPr="00504831">
        <w:rPr>
          <w:rFonts w:ascii="Arial" w:hAnsi="Arial" w:cs="Arial"/>
          <w:sz w:val="22"/>
          <w:szCs w:val="22"/>
          <w:lang w:val="sr-Latn-ME"/>
        </w:rPr>
        <w:t xml:space="preserve"> ne smije biti veći od </w:t>
      </w:r>
      <w:r w:rsidRPr="00504831">
        <w:rPr>
          <w:rFonts w:ascii="Arial" w:hAnsi="Arial" w:cs="Arial"/>
          <w:b/>
          <w:bCs/>
          <w:sz w:val="22"/>
          <w:szCs w:val="22"/>
          <w:lang w:val="sr-Latn-ME"/>
        </w:rPr>
        <w:t>30%</w:t>
      </w:r>
      <w:r w:rsidRPr="00504831">
        <w:rPr>
          <w:rFonts w:ascii="Arial" w:hAnsi="Arial" w:cs="Arial"/>
          <w:sz w:val="22"/>
          <w:szCs w:val="22"/>
          <w:lang w:val="sr-Latn-ME"/>
        </w:rPr>
        <w:t xml:space="preserve"> ukupne vrijednosti projekta.</w:t>
      </w:r>
    </w:p>
    <w:p w14:paraId="7C77C1BD" w14:textId="1950586A" w:rsidR="00DA5B86" w:rsidRDefault="00DA5B86" w:rsidP="005F4D33">
      <w:pPr>
        <w:jc w:val="both"/>
        <w:rPr>
          <w:rFonts w:ascii="Arial" w:hAnsi="Arial" w:cs="Arial"/>
          <w:sz w:val="22"/>
          <w:szCs w:val="22"/>
          <w:lang w:val="sr-Latn-ME"/>
        </w:rPr>
      </w:pPr>
    </w:p>
    <w:p w14:paraId="0B63D25C" w14:textId="77777777" w:rsidR="00DA5B86" w:rsidRPr="00FC3E46" w:rsidRDefault="00DA5B86" w:rsidP="00FC3E4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bCs/>
          <w:sz w:val="22"/>
          <w:szCs w:val="22"/>
          <w:lang w:val="sr-Latn-ME"/>
        </w:rPr>
      </w:pPr>
      <w:r w:rsidRPr="00FC3E46">
        <w:rPr>
          <w:rFonts w:ascii="Arial" w:hAnsi="Arial" w:cs="Arial"/>
          <w:b/>
          <w:bCs/>
          <w:sz w:val="22"/>
          <w:szCs w:val="22"/>
          <w:lang w:val="sr-Latn-ME"/>
        </w:rPr>
        <w:t xml:space="preserve">Troškovi pratećih konsultantskih usluga </w:t>
      </w:r>
    </w:p>
    <w:p w14:paraId="0F89D73C" w14:textId="77777777" w:rsidR="00DA5B86" w:rsidRDefault="00DA5B86" w:rsidP="00DA5B86">
      <w:pPr>
        <w:pStyle w:val="ListParagraph"/>
        <w:rPr>
          <w:rFonts w:ascii="Arial" w:hAnsi="Arial" w:cs="Arial"/>
          <w:b/>
          <w:bCs/>
          <w:sz w:val="22"/>
          <w:szCs w:val="22"/>
          <w:lang w:val="sr-Latn-ME"/>
        </w:rPr>
      </w:pPr>
    </w:p>
    <w:p w14:paraId="3612DB09" w14:textId="77777777" w:rsidR="00DA5B86" w:rsidRDefault="00DA5B86" w:rsidP="00DA5B86">
      <w:pPr>
        <w:spacing w:after="120" w:line="252" w:lineRule="auto"/>
        <w:jc w:val="both"/>
        <w:rPr>
          <w:rFonts w:ascii="Arial" w:hAnsi="Arial" w:cs="Arial"/>
          <w:sz w:val="22"/>
          <w:szCs w:val="22"/>
          <w:lang w:val="sr-Latn-ME"/>
        </w:rPr>
      </w:pPr>
      <w:r w:rsidRPr="007F4F7B">
        <w:rPr>
          <w:rFonts w:ascii="Arial" w:hAnsi="Arial" w:cs="Arial"/>
          <w:sz w:val="22"/>
          <w:szCs w:val="22"/>
          <w:lang w:val="sr-Latn-ME"/>
        </w:rPr>
        <w:t xml:space="preserve">Troškovi pratećih konsultantskih </w:t>
      </w:r>
      <w:r>
        <w:rPr>
          <w:rFonts w:ascii="Arial" w:hAnsi="Arial" w:cs="Arial"/>
          <w:sz w:val="22"/>
          <w:szCs w:val="22"/>
          <w:lang w:val="sr-Latn-ME"/>
        </w:rPr>
        <w:t xml:space="preserve">usluga </w:t>
      </w:r>
      <w:r w:rsidRPr="007F4F7B">
        <w:rPr>
          <w:rFonts w:ascii="Arial" w:hAnsi="Arial" w:cs="Arial"/>
          <w:sz w:val="22"/>
          <w:szCs w:val="22"/>
          <w:lang w:val="sr-Latn-ME"/>
        </w:rPr>
        <w:t xml:space="preserve">odnose se na one usluge za koje projektni tim ne posjeduje ekspertizu, a neophodne su za sprovođenje projekata. Troškovi pratećih konsultantskih usluga mogu uključivati: troškove izrade i analize naučnih rezultata, savjetovanja o komercijalizaciji naučnih rezultata i sl. </w:t>
      </w:r>
    </w:p>
    <w:p w14:paraId="3A5C8B96" w14:textId="66BE9DA0" w:rsidR="00DA5B86" w:rsidRPr="005F4D33" w:rsidRDefault="00DA5B86" w:rsidP="00FC3E46">
      <w:pPr>
        <w:spacing w:after="120" w:line="252" w:lineRule="auto"/>
        <w:jc w:val="both"/>
        <w:rPr>
          <w:rFonts w:ascii="Arial" w:hAnsi="Arial" w:cs="Arial"/>
          <w:sz w:val="22"/>
          <w:szCs w:val="22"/>
          <w:lang w:val="sr-Latn-ME"/>
        </w:rPr>
      </w:pPr>
      <w:r w:rsidRPr="007F4F7B">
        <w:rPr>
          <w:rFonts w:ascii="Arial" w:hAnsi="Arial" w:cs="Arial"/>
          <w:sz w:val="22"/>
          <w:szCs w:val="22"/>
          <w:lang w:val="hr-HR"/>
        </w:rPr>
        <w:t xml:space="preserve">Ukupan iznos troškova pratećih konsultantskih usluga ne smije biti veći od </w:t>
      </w:r>
      <w:r w:rsidRPr="004D2F9F">
        <w:rPr>
          <w:rFonts w:ascii="Arial" w:hAnsi="Arial" w:cs="Arial"/>
          <w:b/>
          <w:bCs/>
          <w:sz w:val="22"/>
          <w:szCs w:val="22"/>
          <w:lang w:val="hr-HR"/>
        </w:rPr>
        <w:t>15%</w:t>
      </w:r>
      <w:r w:rsidRPr="007F4F7B">
        <w:rPr>
          <w:rFonts w:ascii="Arial" w:hAnsi="Arial" w:cs="Arial"/>
          <w:sz w:val="22"/>
          <w:szCs w:val="22"/>
          <w:lang w:val="hr-HR"/>
        </w:rPr>
        <w:t xml:space="preserve"> ukupne vrijednosti projekta. </w:t>
      </w:r>
      <w:r w:rsidRPr="007F4F7B">
        <w:rPr>
          <w:rFonts w:ascii="Arial" w:hAnsi="Arial" w:cs="Arial"/>
          <w:sz w:val="22"/>
          <w:szCs w:val="22"/>
          <w:lang w:val="sr-Latn-ME"/>
        </w:rPr>
        <w:t>Pravo na troškove konsultantskih usluga ima samo Podnosilac prijave.</w:t>
      </w:r>
    </w:p>
    <w:p w14:paraId="520BE6DE" w14:textId="77777777" w:rsidR="005F4D33" w:rsidRPr="005F4D33" w:rsidRDefault="005F4D33" w:rsidP="005F4D33">
      <w:pPr>
        <w:jc w:val="both"/>
        <w:rPr>
          <w:rFonts w:ascii="Arial" w:hAnsi="Arial" w:cs="Arial"/>
          <w:sz w:val="22"/>
          <w:szCs w:val="22"/>
          <w:lang w:val="sr-Latn-ME"/>
        </w:rPr>
      </w:pPr>
    </w:p>
    <w:p w14:paraId="5D6B318E" w14:textId="74590A38" w:rsidR="007F4F7B" w:rsidRPr="00FC3E46" w:rsidRDefault="007F4F7B" w:rsidP="00FC3E4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bCs/>
          <w:sz w:val="22"/>
          <w:szCs w:val="22"/>
          <w:lang w:val="sr-Latn-ME"/>
        </w:rPr>
      </w:pPr>
      <w:r w:rsidRPr="00FC3E46">
        <w:rPr>
          <w:rFonts w:ascii="Arial" w:hAnsi="Arial" w:cs="Arial"/>
          <w:b/>
          <w:sz w:val="22"/>
          <w:szCs w:val="22"/>
          <w:lang w:val="hr-HR"/>
        </w:rPr>
        <w:t>Troškovi diseminacije</w:t>
      </w:r>
    </w:p>
    <w:p w14:paraId="3DBDD135" w14:textId="77777777" w:rsidR="00B668C6" w:rsidRDefault="00B668C6" w:rsidP="00B668C6">
      <w:pPr>
        <w:jc w:val="both"/>
        <w:rPr>
          <w:rFonts w:ascii="Arial" w:hAnsi="Arial" w:cs="Arial"/>
          <w:b/>
          <w:bCs/>
          <w:sz w:val="22"/>
          <w:szCs w:val="22"/>
          <w:lang w:val="sr-Latn-ME"/>
        </w:rPr>
      </w:pPr>
    </w:p>
    <w:p w14:paraId="33028727" w14:textId="497717F1" w:rsidR="004D2F9F" w:rsidRPr="004D2F9F" w:rsidRDefault="004D2F9F" w:rsidP="004D2F9F">
      <w:pPr>
        <w:jc w:val="both"/>
        <w:rPr>
          <w:rFonts w:ascii="Arial" w:hAnsi="Arial" w:cs="Arial"/>
          <w:sz w:val="22"/>
          <w:szCs w:val="22"/>
          <w:lang w:val="sr-Latn-ME"/>
        </w:rPr>
      </w:pPr>
      <w:r w:rsidRPr="004D2F9F">
        <w:rPr>
          <w:rFonts w:ascii="Arial" w:hAnsi="Arial" w:cs="Arial"/>
          <w:sz w:val="22"/>
          <w:szCs w:val="22"/>
          <w:lang w:val="sr-Latn-ME"/>
        </w:rPr>
        <w:t xml:space="preserve">Troškovi diseminacije uključuju troškove objave naučnih radova, lekture, kotizacije, troškovi organizacije radionica/konferencija/predavanja iz tematike predloženog projekta. </w:t>
      </w:r>
    </w:p>
    <w:p w14:paraId="2CF01E3F" w14:textId="77777777" w:rsidR="004D2F9F" w:rsidRPr="004D2F9F" w:rsidRDefault="004D2F9F" w:rsidP="004D2F9F">
      <w:pPr>
        <w:jc w:val="both"/>
        <w:rPr>
          <w:rFonts w:ascii="Arial" w:hAnsi="Arial" w:cs="Arial"/>
          <w:sz w:val="22"/>
          <w:szCs w:val="22"/>
          <w:lang w:val="sr-Latn-ME"/>
        </w:rPr>
      </w:pPr>
      <w:r w:rsidRPr="004D2F9F">
        <w:rPr>
          <w:rFonts w:ascii="Arial" w:hAnsi="Arial" w:cs="Arial"/>
          <w:sz w:val="22"/>
          <w:szCs w:val="22"/>
          <w:lang w:val="sr-Latn-ME"/>
        </w:rPr>
        <w:t>Ukupan iznos troškova diseminacije ne smije biti veći od</w:t>
      </w:r>
      <w:r w:rsidRPr="004D2F9F">
        <w:rPr>
          <w:rFonts w:ascii="Arial" w:hAnsi="Arial" w:cs="Arial"/>
          <w:b/>
          <w:bCs/>
          <w:sz w:val="22"/>
          <w:szCs w:val="22"/>
          <w:lang w:val="sr-Latn-ME"/>
        </w:rPr>
        <w:t xml:space="preserve"> 15% </w:t>
      </w:r>
      <w:r w:rsidRPr="004D2F9F">
        <w:rPr>
          <w:rFonts w:ascii="Arial" w:hAnsi="Arial" w:cs="Arial"/>
          <w:sz w:val="22"/>
          <w:szCs w:val="22"/>
          <w:lang w:val="sr-Latn-ME"/>
        </w:rPr>
        <w:t>ukupne vrijednosti projekta.</w:t>
      </w:r>
      <w:r>
        <w:rPr>
          <w:rFonts w:ascii="Arial" w:hAnsi="Arial" w:cs="Arial"/>
          <w:b/>
          <w:bCs/>
          <w:sz w:val="22"/>
          <w:szCs w:val="22"/>
          <w:lang w:val="sr-Latn-ME"/>
        </w:rPr>
        <w:t xml:space="preserve"> </w:t>
      </w:r>
      <w:r w:rsidRPr="004D2F9F">
        <w:rPr>
          <w:rFonts w:ascii="Arial" w:hAnsi="Arial" w:cs="Arial"/>
          <w:sz w:val="22"/>
          <w:szCs w:val="22"/>
          <w:lang w:val="sr-Latn-ME"/>
        </w:rPr>
        <w:t>Pravo na troškove diseminacije imaju Podnosilac prijave i ostali partneri iz Crne Gore.</w:t>
      </w:r>
    </w:p>
    <w:p w14:paraId="6B6B0471" w14:textId="77777777" w:rsidR="00B668C6" w:rsidRPr="00B668C6" w:rsidRDefault="00B668C6" w:rsidP="00B668C6">
      <w:pPr>
        <w:jc w:val="both"/>
        <w:rPr>
          <w:rFonts w:ascii="Arial" w:hAnsi="Arial" w:cs="Arial"/>
          <w:b/>
          <w:bCs/>
          <w:sz w:val="22"/>
          <w:szCs w:val="22"/>
          <w:lang w:val="sr-Latn-ME"/>
        </w:rPr>
      </w:pPr>
    </w:p>
    <w:p w14:paraId="2DA4B987" w14:textId="517DAD39" w:rsidR="005F4D33" w:rsidRPr="00FC3E46" w:rsidRDefault="005F4D33" w:rsidP="00FC3E4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bCs/>
          <w:sz w:val="22"/>
          <w:szCs w:val="22"/>
          <w:lang w:val="sr-Latn-ME"/>
        </w:rPr>
      </w:pPr>
      <w:r w:rsidRPr="00FC3E46">
        <w:rPr>
          <w:rFonts w:ascii="Arial" w:hAnsi="Arial" w:cs="Arial"/>
          <w:b/>
          <w:bCs/>
          <w:sz w:val="22"/>
          <w:szCs w:val="22"/>
          <w:lang w:val="sr-Latn-ME"/>
        </w:rPr>
        <w:t>Porez na dodatu vrijednost (PDV)</w:t>
      </w:r>
    </w:p>
    <w:p w14:paraId="236E3295" w14:textId="77777777" w:rsidR="005F4D33" w:rsidRPr="005F4D33" w:rsidRDefault="005F4D33" w:rsidP="005F4D33">
      <w:pPr>
        <w:jc w:val="both"/>
        <w:rPr>
          <w:rFonts w:ascii="Arial" w:hAnsi="Arial" w:cs="Arial"/>
          <w:sz w:val="22"/>
          <w:szCs w:val="22"/>
          <w:lang w:val="sr-Latn-ME"/>
        </w:rPr>
      </w:pPr>
    </w:p>
    <w:p w14:paraId="55973CFE" w14:textId="77777777" w:rsidR="005F4D33" w:rsidRPr="005F4D33" w:rsidRDefault="005F4D33" w:rsidP="005F4D33">
      <w:pPr>
        <w:jc w:val="both"/>
        <w:rPr>
          <w:rFonts w:ascii="Arial" w:hAnsi="Arial" w:cs="Arial"/>
          <w:sz w:val="22"/>
          <w:szCs w:val="22"/>
          <w:lang w:val="sr-Latn-ME"/>
        </w:rPr>
      </w:pPr>
      <w:r w:rsidRPr="005F4D33">
        <w:rPr>
          <w:rFonts w:ascii="Arial" w:hAnsi="Arial" w:cs="Arial"/>
          <w:sz w:val="22"/>
          <w:szCs w:val="22"/>
          <w:lang w:val="sr-Latn-ME"/>
        </w:rPr>
        <w:t>Porez na dodatu vrijednost (PDV) je prihvatljiv trošak samo ukoliko podnosilac iz bilo kog razloga ne može zatražiti povraćaj PDV-a. Potrebno je navesti naziv prihvatljivog troška (opreme, vanjske usluge ili dr.) i iznos troška sa i bez PDV-a.</w:t>
      </w:r>
    </w:p>
    <w:p w14:paraId="260BC553" w14:textId="77777777" w:rsidR="005F4D33" w:rsidRPr="005F4D33" w:rsidRDefault="005F4D33" w:rsidP="005F4D33">
      <w:pPr>
        <w:jc w:val="both"/>
        <w:rPr>
          <w:rFonts w:ascii="Arial" w:hAnsi="Arial" w:cs="Arial"/>
          <w:sz w:val="22"/>
          <w:szCs w:val="22"/>
          <w:lang w:val="sr-Latn-ME"/>
        </w:rPr>
      </w:pPr>
    </w:p>
    <w:p w14:paraId="2C9DCDF5" w14:textId="77777777" w:rsidR="005F4D33" w:rsidRPr="00FC3E46" w:rsidRDefault="005F4D33" w:rsidP="00FC3E4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bCs/>
          <w:sz w:val="22"/>
          <w:szCs w:val="22"/>
          <w:lang w:val="sr-Latn-ME"/>
        </w:rPr>
      </w:pPr>
      <w:r w:rsidRPr="00FC3E46">
        <w:rPr>
          <w:rFonts w:ascii="Arial" w:hAnsi="Arial" w:cs="Arial"/>
          <w:b/>
          <w:bCs/>
          <w:sz w:val="22"/>
          <w:szCs w:val="22"/>
          <w:lang w:val="sr-Latn-ME"/>
        </w:rPr>
        <w:t>Indirektni troškovi</w:t>
      </w:r>
    </w:p>
    <w:p w14:paraId="3CF2EA73" w14:textId="77777777" w:rsidR="005F4D33" w:rsidRPr="005F4D33" w:rsidRDefault="005F4D33" w:rsidP="005F4D33">
      <w:pPr>
        <w:jc w:val="both"/>
        <w:rPr>
          <w:rFonts w:ascii="Arial" w:hAnsi="Arial" w:cs="Arial"/>
          <w:sz w:val="22"/>
          <w:szCs w:val="22"/>
          <w:lang w:val="sr-Latn-ME"/>
        </w:rPr>
      </w:pPr>
    </w:p>
    <w:p w14:paraId="4E190B54" w14:textId="31C2E30E" w:rsidR="005F4D33" w:rsidRPr="005F4D33" w:rsidRDefault="00477CBF" w:rsidP="005F4D33">
      <w:pPr>
        <w:jc w:val="both"/>
        <w:rPr>
          <w:rFonts w:ascii="Arial" w:hAnsi="Arial" w:cs="Arial"/>
          <w:sz w:val="22"/>
          <w:szCs w:val="22"/>
          <w:lang w:val="sr-Latn-ME"/>
        </w:rPr>
      </w:pPr>
      <w:r w:rsidRPr="00477CBF">
        <w:rPr>
          <w:rFonts w:ascii="Arial" w:hAnsi="Arial" w:cs="Arial"/>
          <w:sz w:val="22"/>
          <w:szCs w:val="22"/>
          <w:lang w:val="hr-HR"/>
        </w:rPr>
        <w:t xml:space="preserve">Indirektni troškovi nastali kao posljedica sprovođenja projekta kod Podnosioca prijave mogu iznositi do </w:t>
      </w:r>
      <w:r w:rsidRPr="00477CBF">
        <w:rPr>
          <w:rFonts w:ascii="Arial" w:hAnsi="Arial" w:cs="Arial"/>
          <w:b/>
          <w:bCs/>
          <w:sz w:val="22"/>
          <w:szCs w:val="22"/>
          <w:lang w:val="hr-HR"/>
        </w:rPr>
        <w:t>10% ukupne vrijednosti projekta</w:t>
      </w:r>
      <w:r w:rsidRPr="00477CBF">
        <w:rPr>
          <w:rFonts w:ascii="Arial" w:hAnsi="Arial" w:cs="Arial"/>
          <w:sz w:val="22"/>
          <w:szCs w:val="22"/>
          <w:lang w:val="hr-HR"/>
        </w:rPr>
        <w:t>. Pravo na indirektne troškove ima isključivo Podnosilac prijave.</w:t>
      </w:r>
      <w:r w:rsidR="004D2F9F">
        <w:rPr>
          <w:rFonts w:ascii="Arial" w:hAnsi="Arial" w:cs="Arial"/>
          <w:sz w:val="22"/>
          <w:szCs w:val="22"/>
          <w:lang w:val="hr-HR"/>
        </w:rPr>
        <w:t xml:space="preserve"> </w:t>
      </w:r>
      <w:r w:rsidR="005F4D33" w:rsidRPr="005F4D33">
        <w:rPr>
          <w:rFonts w:ascii="Arial" w:hAnsi="Arial" w:cs="Arial"/>
          <w:sz w:val="22"/>
          <w:szCs w:val="22"/>
          <w:lang w:val="sr-Latn-ME"/>
        </w:rPr>
        <w:t>Indirektni troškovi nastali sprovođenjem projekta se ne pravdaju i uključuju na primjer:</w:t>
      </w:r>
    </w:p>
    <w:p w14:paraId="31D46F48" w14:textId="5B97CFB9" w:rsidR="005F4D33" w:rsidRPr="00FC3E46" w:rsidRDefault="005F4D33" w:rsidP="00FC3E46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  <w:lang w:val="sr-Latn-ME"/>
        </w:rPr>
      </w:pPr>
      <w:r w:rsidRPr="00FC3E46">
        <w:rPr>
          <w:rFonts w:ascii="Arial" w:hAnsi="Arial" w:cs="Arial"/>
          <w:sz w:val="22"/>
          <w:szCs w:val="22"/>
          <w:lang w:val="sr-Latn-ME"/>
        </w:rPr>
        <w:t>troškove održavanja prostora (zakonom propisani periodični pregledi, zamjenu istrošenih materijala i elemenata, periodične i vanredne radove i popravke),</w:t>
      </w:r>
    </w:p>
    <w:p w14:paraId="3DBDE7DC" w14:textId="6D85CD52" w:rsidR="005F4D33" w:rsidRDefault="005F4D33" w:rsidP="00B677A4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  <w:lang w:val="sr-Latn-ME"/>
        </w:rPr>
      </w:pPr>
      <w:r w:rsidRPr="00FC3E46">
        <w:rPr>
          <w:rFonts w:ascii="Arial" w:hAnsi="Arial" w:cs="Arial"/>
          <w:sz w:val="22"/>
          <w:szCs w:val="22"/>
          <w:lang w:val="sr-Latn-ME"/>
        </w:rPr>
        <w:t>režijske troškove koji uključuju grijanje/hlađenje, struju, vodu, odvoz otpada</w:t>
      </w:r>
      <w:r w:rsidR="00B677A4">
        <w:rPr>
          <w:rFonts w:ascii="Arial" w:hAnsi="Arial" w:cs="Arial"/>
          <w:sz w:val="22"/>
          <w:szCs w:val="22"/>
          <w:lang w:val="sr-Latn-ME"/>
        </w:rPr>
        <w:t>;</w:t>
      </w:r>
    </w:p>
    <w:p w14:paraId="3C33A2F6" w14:textId="3240D1E0" w:rsidR="00B677A4" w:rsidRPr="00B677A4" w:rsidRDefault="00B677A4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  <w:lang w:val="sr-Latn-ME"/>
        </w:rPr>
      </w:pPr>
      <w:r w:rsidRPr="00B677A4">
        <w:rPr>
          <w:rFonts w:ascii="Arial" w:hAnsi="Arial" w:cs="Arial"/>
          <w:sz w:val="22"/>
          <w:szCs w:val="22"/>
          <w:lang w:val="sr-Latn-ME"/>
        </w:rPr>
        <w:t>troškove koji su u vezi sa nabavkom opreme kao što su: carinski i administrativni troškovi,</w:t>
      </w:r>
      <w:r>
        <w:rPr>
          <w:rFonts w:ascii="Arial" w:hAnsi="Arial" w:cs="Arial"/>
          <w:sz w:val="22"/>
          <w:szCs w:val="22"/>
          <w:lang w:val="sr-Latn-ME"/>
        </w:rPr>
        <w:t xml:space="preserve"> </w:t>
      </w:r>
      <w:r w:rsidRPr="00B677A4">
        <w:rPr>
          <w:rFonts w:ascii="Arial" w:hAnsi="Arial" w:cs="Arial"/>
          <w:sz w:val="22"/>
          <w:szCs w:val="22"/>
          <w:lang w:val="sr-Latn-ME"/>
        </w:rPr>
        <w:t>troškovi špedicije, skladištenja i manipulacije i dr; i</w:t>
      </w:r>
    </w:p>
    <w:p w14:paraId="1607DE90" w14:textId="1C362EB5" w:rsidR="00B677A4" w:rsidRPr="00FC3E46" w:rsidRDefault="00B677A4" w:rsidP="00FC3E46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  <w:lang w:val="sr-Latn-ME"/>
        </w:rPr>
      </w:pPr>
      <w:r w:rsidRPr="00B677A4">
        <w:rPr>
          <w:rFonts w:ascii="Arial" w:hAnsi="Arial" w:cs="Arial"/>
          <w:sz w:val="22"/>
          <w:szCs w:val="22"/>
          <w:lang w:val="sr-Latn-ME"/>
        </w:rPr>
        <w:t>troškove sitnog inventara</w:t>
      </w:r>
      <w:r>
        <w:rPr>
          <w:rFonts w:ascii="Arial" w:hAnsi="Arial" w:cs="Arial"/>
          <w:sz w:val="22"/>
          <w:szCs w:val="22"/>
          <w:lang w:val="sr-Latn-ME"/>
        </w:rPr>
        <w:t>.</w:t>
      </w:r>
    </w:p>
    <w:p w14:paraId="3974C06F" w14:textId="77777777" w:rsidR="005F4D33" w:rsidRPr="005F4D33" w:rsidRDefault="005F4D33" w:rsidP="005F4D33">
      <w:pPr>
        <w:jc w:val="both"/>
        <w:rPr>
          <w:rFonts w:ascii="Arial" w:hAnsi="Arial" w:cs="Arial"/>
          <w:sz w:val="22"/>
          <w:szCs w:val="22"/>
          <w:lang w:val="sr-Latn-ME"/>
        </w:rPr>
      </w:pPr>
    </w:p>
    <w:p w14:paraId="4F07302D" w14:textId="77777777" w:rsidR="005F4D33" w:rsidRPr="005F4D33" w:rsidRDefault="005F4D33" w:rsidP="005F4D33">
      <w:pPr>
        <w:jc w:val="both"/>
        <w:rPr>
          <w:rFonts w:ascii="Arial" w:hAnsi="Arial" w:cs="Arial"/>
          <w:b/>
          <w:bCs/>
          <w:sz w:val="22"/>
          <w:szCs w:val="22"/>
          <w:lang w:val="sr-Latn-ME"/>
        </w:rPr>
      </w:pPr>
      <w:r w:rsidRPr="005F4D33">
        <w:rPr>
          <w:rFonts w:ascii="Arial" w:hAnsi="Arial" w:cs="Arial"/>
          <w:b/>
          <w:bCs/>
          <w:sz w:val="22"/>
          <w:szCs w:val="22"/>
          <w:lang w:val="sr-Latn-ME"/>
        </w:rPr>
        <w:t>UKUPNA SREDSTVA ZA SPROVOĐENJE PROJEKTA</w:t>
      </w:r>
    </w:p>
    <w:p w14:paraId="6C93952E" w14:textId="77777777" w:rsidR="004D2F9F" w:rsidRDefault="004D2F9F" w:rsidP="004D2F9F">
      <w:pPr>
        <w:jc w:val="both"/>
        <w:rPr>
          <w:rFonts w:ascii="Arial" w:hAnsi="Arial" w:cs="Arial"/>
          <w:sz w:val="22"/>
          <w:szCs w:val="22"/>
        </w:rPr>
      </w:pPr>
    </w:p>
    <w:p w14:paraId="377CF399" w14:textId="474769D7" w:rsidR="004D2F9F" w:rsidRPr="004D2F9F" w:rsidRDefault="004D2F9F">
      <w:pPr>
        <w:jc w:val="both"/>
        <w:rPr>
          <w:rFonts w:ascii="Arial" w:hAnsi="Arial" w:cs="Arial"/>
          <w:sz w:val="22"/>
          <w:szCs w:val="22"/>
          <w:lang w:val="hr-HR"/>
        </w:rPr>
      </w:pPr>
      <w:r w:rsidRPr="004D2F9F">
        <w:rPr>
          <w:rFonts w:ascii="Arial" w:hAnsi="Arial" w:cs="Arial"/>
          <w:sz w:val="22"/>
          <w:szCs w:val="22"/>
          <w:lang w:val="hr-HR"/>
        </w:rPr>
        <w:t xml:space="preserve">Programom se sufinansiraju prihvatljive projektne aktivnosti bespovratnim sredstvima u iznosu od najmanje 90.000,00 EUR, a najviše 120.000,00 EUR, za projekte u trajanju od 24 mjeseca. </w:t>
      </w:r>
    </w:p>
    <w:sectPr w:rsidR="004D2F9F" w:rsidRPr="004D2F9F" w:rsidSect="005F4D33">
      <w:headerReference w:type="default" r:id="rId7"/>
      <w:footerReference w:type="default" r:id="rId8"/>
      <w:pgSz w:w="11906" w:h="16838"/>
      <w:pgMar w:top="1673" w:right="1418" w:bottom="1418" w:left="1418" w:header="397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E60F8C" w14:textId="77777777" w:rsidR="001B2851" w:rsidRDefault="001B2851" w:rsidP="005F4D33">
      <w:r>
        <w:separator/>
      </w:r>
    </w:p>
  </w:endnote>
  <w:endnote w:type="continuationSeparator" w:id="0">
    <w:p w14:paraId="34763183" w14:textId="77777777" w:rsidR="001B2851" w:rsidRDefault="001B2851" w:rsidP="005F4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EC1197" w14:textId="77777777" w:rsidR="005F4D33" w:rsidRDefault="005F4D33">
    <w:pPr>
      <w:pStyle w:val="Header"/>
      <w:jc w:val="right"/>
      <w:rPr>
        <w:rFonts w:ascii="Palatino Linotype" w:hAnsi="Palatino Linotyp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06C008" w14:textId="77777777" w:rsidR="001B2851" w:rsidRDefault="001B2851" w:rsidP="005F4D33">
      <w:r>
        <w:separator/>
      </w:r>
    </w:p>
  </w:footnote>
  <w:footnote w:type="continuationSeparator" w:id="0">
    <w:p w14:paraId="02A798A2" w14:textId="77777777" w:rsidR="001B2851" w:rsidRDefault="001B2851" w:rsidP="005F4D33">
      <w:r>
        <w:continuationSeparator/>
      </w:r>
    </w:p>
  </w:footnote>
  <w:footnote w:id="1">
    <w:p w14:paraId="3A277318" w14:textId="02D00FE1" w:rsidR="00F5454C" w:rsidRPr="00C35D5A" w:rsidRDefault="00F5454C" w:rsidP="00FC3E46">
      <w:pPr>
        <w:pStyle w:val="FootnoteText"/>
        <w:jc w:val="both"/>
        <w:rPr>
          <w:rFonts w:ascii="Arial" w:hAnsi="Arial" w:cs="Arial"/>
          <w:kern w:val="2"/>
          <w:sz w:val="18"/>
          <w:szCs w:val="18"/>
          <w:lang w:val="hr-HR"/>
          <w14:ligatures w14:val="standardContextual"/>
        </w:rPr>
      </w:pPr>
      <w:r w:rsidRPr="00C35D5A">
        <w:rPr>
          <w:rFonts w:ascii="Arial" w:hAnsi="Arial" w:cs="Arial"/>
          <w:kern w:val="2"/>
          <w:sz w:val="18"/>
          <w:szCs w:val="18"/>
          <w:lang w:val="hr-HR"/>
          <w14:ligatures w14:val="standardContextual"/>
        </w:rPr>
        <w:footnoteRef/>
      </w:r>
      <w:r w:rsidRPr="00C35D5A">
        <w:rPr>
          <w:rFonts w:ascii="Arial" w:hAnsi="Arial" w:cs="Arial"/>
          <w:kern w:val="2"/>
          <w:sz w:val="18"/>
          <w:szCs w:val="18"/>
          <w:lang w:val="hr-HR"/>
          <w14:ligatures w14:val="standardContextual"/>
        </w:rPr>
        <w:t xml:space="preserve"> Ostali dodaci na platu, kao što su jubilarne nagrade, regresi i sl. nijesu prihvatljivi za sufinansiranje sredstvima programa</w:t>
      </w:r>
      <w:r w:rsidR="00AF7638">
        <w:rPr>
          <w:rFonts w:ascii="Arial" w:hAnsi="Arial" w:cs="Arial"/>
          <w:kern w:val="2"/>
          <w:sz w:val="18"/>
          <w:szCs w:val="18"/>
          <w:lang w:val="hr-HR"/>
          <w14:ligatures w14:val="standardContextual"/>
        </w:rPr>
        <w:t>.</w:t>
      </w:r>
    </w:p>
  </w:footnote>
  <w:footnote w:id="2">
    <w:p w14:paraId="1677458D" w14:textId="77777777" w:rsidR="00F5454C" w:rsidRPr="003A39F1" w:rsidRDefault="00F5454C" w:rsidP="00F5454C">
      <w:pPr>
        <w:jc w:val="both"/>
        <w:rPr>
          <w:rFonts w:ascii="Arial" w:hAnsi="Arial" w:cs="Arial"/>
          <w:sz w:val="18"/>
          <w:szCs w:val="18"/>
          <w:lang w:val="hr-HR"/>
        </w:rPr>
      </w:pPr>
      <w:r w:rsidRPr="003A39F1">
        <w:rPr>
          <w:rStyle w:val="FootnoteReference"/>
          <w:rFonts w:ascii="Arial" w:hAnsi="Arial" w:cs="Arial"/>
          <w:sz w:val="18"/>
          <w:szCs w:val="18"/>
          <w:lang w:val="hr-HR"/>
        </w:rPr>
        <w:footnoteRef/>
      </w:r>
      <w:r w:rsidRPr="003A39F1">
        <w:rPr>
          <w:rFonts w:ascii="Arial" w:hAnsi="Arial" w:cs="Arial"/>
          <w:sz w:val="18"/>
          <w:szCs w:val="18"/>
          <w:lang w:val="hr-HR"/>
        </w:rPr>
        <w:t xml:space="preserve"> Bru</w:t>
      </w:r>
      <w:r w:rsidRPr="003A39F1">
        <w:rPr>
          <w:rFonts w:ascii="Arial" w:hAnsi="Arial" w:cs="Arial"/>
          <w:sz w:val="18"/>
          <w:szCs w:val="18"/>
          <w:lang w:val="hr-HR"/>
        </w:rPr>
        <w:softHyphen/>
        <w:t>to za</w:t>
      </w:r>
      <w:r w:rsidRPr="003A39F1">
        <w:rPr>
          <w:rFonts w:ascii="Arial" w:hAnsi="Arial" w:cs="Arial"/>
          <w:sz w:val="18"/>
          <w:szCs w:val="18"/>
          <w:lang w:val="hr-HR"/>
        </w:rPr>
        <w:softHyphen/>
        <w:t>ra</w:t>
      </w:r>
      <w:r w:rsidRPr="003A39F1">
        <w:rPr>
          <w:rFonts w:ascii="Arial" w:hAnsi="Arial" w:cs="Arial"/>
          <w:sz w:val="18"/>
          <w:szCs w:val="18"/>
          <w:lang w:val="hr-HR"/>
        </w:rPr>
        <w:softHyphen/>
        <w:t>da (Bruto 1), ob</w:t>
      </w:r>
      <w:r w:rsidRPr="003A39F1">
        <w:rPr>
          <w:rFonts w:ascii="Arial" w:hAnsi="Arial" w:cs="Arial"/>
          <w:sz w:val="18"/>
          <w:szCs w:val="18"/>
          <w:lang w:val="hr-HR"/>
        </w:rPr>
        <w:softHyphen/>
        <w:t>u</w:t>
      </w:r>
      <w:r w:rsidRPr="003A39F1">
        <w:rPr>
          <w:rFonts w:ascii="Arial" w:hAnsi="Arial" w:cs="Arial"/>
          <w:sz w:val="18"/>
          <w:szCs w:val="18"/>
          <w:lang w:val="hr-HR"/>
        </w:rPr>
        <w:softHyphen/>
        <w:t>hva</w:t>
      </w:r>
      <w:r w:rsidRPr="003A39F1">
        <w:rPr>
          <w:rFonts w:ascii="Arial" w:hAnsi="Arial" w:cs="Arial"/>
          <w:sz w:val="18"/>
          <w:szCs w:val="18"/>
          <w:lang w:val="hr-HR"/>
        </w:rPr>
        <w:softHyphen/>
        <w:t>ta ne</w:t>
      </w:r>
      <w:r w:rsidRPr="003A39F1">
        <w:rPr>
          <w:rFonts w:ascii="Arial" w:hAnsi="Arial" w:cs="Arial"/>
          <w:sz w:val="18"/>
          <w:szCs w:val="18"/>
          <w:lang w:val="hr-HR"/>
        </w:rPr>
        <w:softHyphen/>
        <w:t>to za</w:t>
      </w:r>
      <w:r w:rsidRPr="003A39F1">
        <w:rPr>
          <w:rFonts w:ascii="Arial" w:hAnsi="Arial" w:cs="Arial"/>
          <w:sz w:val="18"/>
          <w:szCs w:val="18"/>
          <w:lang w:val="hr-HR"/>
        </w:rPr>
        <w:softHyphen/>
        <w:t>ra</w:t>
      </w:r>
      <w:r w:rsidRPr="003A39F1">
        <w:rPr>
          <w:rFonts w:ascii="Arial" w:hAnsi="Arial" w:cs="Arial"/>
          <w:sz w:val="18"/>
          <w:szCs w:val="18"/>
          <w:lang w:val="hr-HR"/>
        </w:rPr>
        <w:softHyphen/>
        <w:t>du, po</w:t>
      </w:r>
      <w:r w:rsidRPr="003A39F1">
        <w:rPr>
          <w:rFonts w:ascii="Arial" w:hAnsi="Arial" w:cs="Arial"/>
          <w:sz w:val="18"/>
          <w:szCs w:val="18"/>
          <w:lang w:val="hr-HR"/>
        </w:rPr>
        <w:softHyphen/>
        <w:t>rez na do</w:t>
      </w:r>
      <w:r w:rsidRPr="003A39F1">
        <w:rPr>
          <w:rFonts w:ascii="Arial" w:hAnsi="Arial" w:cs="Arial"/>
          <w:sz w:val="18"/>
          <w:szCs w:val="18"/>
          <w:lang w:val="hr-HR"/>
        </w:rPr>
        <w:softHyphen/>
        <w:t>ho</w:t>
      </w:r>
      <w:r w:rsidRPr="003A39F1">
        <w:rPr>
          <w:rFonts w:ascii="Arial" w:hAnsi="Arial" w:cs="Arial"/>
          <w:sz w:val="18"/>
          <w:szCs w:val="18"/>
          <w:lang w:val="hr-HR"/>
        </w:rPr>
        <w:softHyphen/>
        <w:t>dak fi</w:t>
      </w:r>
      <w:r w:rsidRPr="003A39F1">
        <w:rPr>
          <w:rFonts w:ascii="Arial" w:hAnsi="Arial" w:cs="Arial"/>
          <w:sz w:val="18"/>
          <w:szCs w:val="18"/>
          <w:lang w:val="hr-HR"/>
        </w:rPr>
        <w:softHyphen/>
        <w:t>zič</w:t>
      </w:r>
      <w:r w:rsidRPr="003A39F1">
        <w:rPr>
          <w:rFonts w:ascii="Arial" w:hAnsi="Arial" w:cs="Arial"/>
          <w:sz w:val="18"/>
          <w:szCs w:val="18"/>
          <w:lang w:val="hr-HR"/>
        </w:rPr>
        <w:softHyphen/>
        <w:t>kih li</w:t>
      </w:r>
      <w:r w:rsidRPr="003A39F1">
        <w:rPr>
          <w:rFonts w:ascii="Arial" w:hAnsi="Arial" w:cs="Arial"/>
          <w:sz w:val="18"/>
          <w:szCs w:val="18"/>
          <w:lang w:val="hr-HR"/>
        </w:rPr>
        <w:softHyphen/>
        <w:t>ca i do</w:t>
      </w:r>
      <w:r w:rsidRPr="003A39F1">
        <w:rPr>
          <w:rFonts w:ascii="Arial" w:hAnsi="Arial" w:cs="Arial"/>
          <w:sz w:val="18"/>
          <w:szCs w:val="18"/>
          <w:lang w:val="hr-HR"/>
        </w:rPr>
        <w:softHyphen/>
        <w:t>pri</w:t>
      </w:r>
      <w:r w:rsidRPr="003A39F1">
        <w:rPr>
          <w:rFonts w:ascii="Arial" w:hAnsi="Arial" w:cs="Arial"/>
          <w:sz w:val="18"/>
          <w:szCs w:val="18"/>
          <w:lang w:val="hr-HR"/>
        </w:rPr>
        <w:softHyphen/>
        <w:t>no</w:t>
      </w:r>
      <w:r w:rsidRPr="003A39F1">
        <w:rPr>
          <w:rFonts w:ascii="Arial" w:hAnsi="Arial" w:cs="Arial"/>
          <w:sz w:val="18"/>
          <w:szCs w:val="18"/>
          <w:lang w:val="hr-HR"/>
        </w:rPr>
        <w:softHyphen/>
        <w:t>se za oba</w:t>
      </w:r>
      <w:r w:rsidRPr="003A39F1">
        <w:rPr>
          <w:rFonts w:ascii="Arial" w:hAnsi="Arial" w:cs="Arial"/>
          <w:sz w:val="18"/>
          <w:szCs w:val="18"/>
          <w:lang w:val="hr-HR"/>
        </w:rPr>
        <w:softHyphen/>
        <w:t>ve</w:t>
      </w:r>
      <w:r w:rsidRPr="003A39F1">
        <w:rPr>
          <w:rFonts w:ascii="Arial" w:hAnsi="Arial" w:cs="Arial"/>
          <w:sz w:val="18"/>
          <w:szCs w:val="18"/>
          <w:lang w:val="hr-HR"/>
        </w:rPr>
        <w:softHyphen/>
        <w:t>zno so</w:t>
      </w:r>
      <w:r w:rsidRPr="003A39F1">
        <w:rPr>
          <w:rFonts w:ascii="Arial" w:hAnsi="Arial" w:cs="Arial"/>
          <w:sz w:val="18"/>
          <w:szCs w:val="18"/>
          <w:lang w:val="hr-HR"/>
        </w:rPr>
        <w:softHyphen/>
        <w:t>ci</w:t>
      </w:r>
      <w:r w:rsidRPr="003A39F1">
        <w:rPr>
          <w:rFonts w:ascii="Arial" w:hAnsi="Arial" w:cs="Arial"/>
          <w:sz w:val="18"/>
          <w:szCs w:val="18"/>
          <w:lang w:val="hr-HR"/>
        </w:rPr>
        <w:softHyphen/>
        <w:t>jal</w:t>
      </w:r>
      <w:r w:rsidRPr="003A39F1">
        <w:rPr>
          <w:rFonts w:ascii="Arial" w:hAnsi="Arial" w:cs="Arial"/>
          <w:sz w:val="18"/>
          <w:szCs w:val="18"/>
          <w:lang w:val="hr-HR"/>
        </w:rPr>
        <w:softHyphen/>
        <w:t>no osi</w:t>
      </w:r>
      <w:r w:rsidRPr="003A39F1">
        <w:rPr>
          <w:rFonts w:ascii="Arial" w:hAnsi="Arial" w:cs="Arial"/>
          <w:sz w:val="18"/>
          <w:szCs w:val="18"/>
          <w:lang w:val="hr-HR"/>
        </w:rPr>
        <w:softHyphen/>
        <w:t>gu</w:t>
      </w:r>
      <w:r w:rsidRPr="003A39F1">
        <w:rPr>
          <w:rFonts w:ascii="Arial" w:hAnsi="Arial" w:cs="Arial"/>
          <w:sz w:val="18"/>
          <w:szCs w:val="18"/>
          <w:lang w:val="hr-HR"/>
        </w:rPr>
        <w:softHyphen/>
        <w:t>ra</w:t>
      </w:r>
      <w:r w:rsidRPr="003A39F1">
        <w:rPr>
          <w:rFonts w:ascii="Arial" w:hAnsi="Arial" w:cs="Arial"/>
          <w:sz w:val="18"/>
          <w:szCs w:val="18"/>
          <w:lang w:val="hr-HR"/>
        </w:rPr>
        <w:softHyphen/>
        <w:t>nje iz za</w:t>
      </w:r>
      <w:r w:rsidRPr="003A39F1">
        <w:rPr>
          <w:rFonts w:ascii="Arial" w:hAnsi="Arial" w:cs="Arial"/>
          <w:sz w:val="18"/>
          <w:szCs w:val="18"/>
          <w:lang w:val="hr-HR"/>
        </w:rPr>
        <w:softHyphen/>
        <w:t>ra</w:t>
      </w:r>
      <w:r w:rsidRPr="003A39F1">
        <w:rPr>
          <w:rFonts w:ascii="Arial" w:hAnsi="Arial" w:cs="Arial"/>
          <w:sz w:val="18"/>
          <w:szCs w:val="18"/>
          <w:lang w:val="hr-HR"/>
        </w:rPr>
        <w:softHyphen/>
        <w:t>de ko</w:t>
      </w:r>
      <w:r w:rsidRPr="003A39F1">
        <w:rPr>
          <w:rFonts w:ascii="Arial" w:hAnsi="Arial" w:cs="Arial"/>
          <w:sz w:val="18"/>
          <w:szCs w:val="18"/>
          <w:lang w:val="hr-HR"/>
        </w:rPr>
        <w:softHyphen/>
        <w:t>ju pla</w:t>
      </w:r>
      <w:r w:rsidRPr="003A39F1">
        <w:rPr>
          <w:rFonts w:ascii="Arial" w:hAnsi="Arial" w:cs="Arial"/>
          <w:sz w:val="18"/>
          <w:szCs w:val="18"/>
          <w:lang w:val="hr-HR"/>
        </w:rPr>
        <w:softHyphen/>
        <w:t>ća poslodavac u ime za</w:t>
      </w:r>
      <w:r w:rsidRPr="003A39F1">
        <w:rPr>
          <w:rFonts w:ascii="Arial" w:hAnsi="Arial" w:cs="Arial"/>
          <w:sz w:val="18"/>
          <w:szCs w:val="18"/>
          <w:lang w:val="hr-HR"/>
        </w:rPr>
        <w:softHyphen/>
        <w:t>po</w:t>
      </w:r>
      <w:r w:rsidRPr="003A39F1">
        <w:rPr>
          <w:rFonts w:ascii="Arial" w:hAnsi="Arial" w:cs="Arial"/>
          <w:sz w:val="18"/>
          <w:szCs w:val="18"/>
          <w:lang w:val="hr-HR"/>
        </w:rPr>
        <w:softHyphen/>
        <w:t>sle</w:t>
      </w:r>
      <w:r w:rsidRPr="003A39F1">
        <w:rPr>
          <w:rFonts w:ascii="Arial" w:hAnsi="Arial" w:cs="Arial"/>
          <w:sz w:val="18"/>
          <w:szCs w:val="18"/>
          <w:lang w:val="hr-HR"/>
        </w:rPr>
        <w:softHyphen/>
        <w:t>nog. Međutim, to nisu svi fiskaliteti koje plaća poslodavac, nego postoje još prirez i doprinosi na teret poslodavca, koji kad se dodaju na “Bruto 1”, formiraju tzv. “Bruto 2”.</w:t>
      </w:r>
    </w:p>
    <w:p w14:paraId="78B3DFED" w14:textId="77777777" w:rsidR="00F5454C" w:rsidRPr="003A39F1" w:rsidRDefault="00F5454C" w:rsidP="00F5454C">
      <w:pPr>
        <w:pStyle w:val="FootnoteText"/>
        <w:rPr>
          <w:rFonts w:ascii="Arial" w:hAnsi="Arial" w:cs="Arial"/>
          <w:sz w:val="18"/>
          <w:szCs w:val="18"/>
          <w:lang w:val="hr-H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530AD7" w14:textId="74931730" w:rsidR="00CF6E4D" w:rsidRPr="00CF6E4D" w:rsidRDefault="00FC3E46" w:rsidP="00CF6E4D">
    <w:pPr>
      <w:pStyle w:val="Header"/>
      <w:pBdr>
        <w:bottom w:val="single" w:sz="4" w:space="8" w:color="156082" w:themeColor="accent1"/>
      </w:pBdr>
      <w:spacing w:after="360"/>
      <w:contextualSpacing/>
      <w:jc w:val="center"/>
      <w:rPr>
        <w:rFonts w:ascii="Arial" w:hAnsi="Arial" w:cs="Arial"/>
        <w:color w:val="404040" w:themeColor="text1" w:themeTint="BF"/>
      </w:rPr>
    </w:pPr>
    <w:sdt>
      <w:sdtPr>
        <w:rPr>
          <w:rFonts w:ascii="Arial" w:hAnsi="Arial" w:cs="Arial"/>
          <w:b/>
          <w:bCs/>
          <w:color w:val="153D63" w:themeColor="text2" w:themeTint="E6"/>
        </w:rPr>
        <w:alias w:val="Title"/>
        <w:tag w:val=""/>
        <w:id w:val="942040131"/>
        <w:placeholder>
          <w:docPart w:val="6A61217915234159BAB51BBAB1C3BCA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Pr="00CF6E4D">
          <w:rPr>
            <w:rFonts w:ascii="Arial" w:hAnsi="Arial" w:cs="Arial"/>
            <w:b/>
            <w:bCs/>
            <w:color w:val="153D63" w:themeColor="text2" w:themeTint="E6"/>
          </w:rPr>
          <w:t xml:space="preserve">UPUTSTVA ZA </w:t>
        </w:r>
        <w:r>
          <w:rPr>
            <w:rFonts w:ascii="Arial" w:hAnsi="Arial" w:cs="Arial"/>
            <w:b/>
            <w:bCs/>
            <w:color w:val="153D63" w:themeColor="text2" w:themeTint="E6"/>
          </w:rPr>
          <w:t>PO</w:t>
        </w:r>
        <w:r w:rsidRPr="00CF6E4D">
          <w:rPr>
            <w:rFonts w:ascii="Arial" w:hAnsi="Arial" w:cs="Arial"/>
            <w:b/>
            <w:bCs/>
            <w:color w:val="153D63" w:themeColor="text2" w:themeTint="E6"/>
          </w:rPr>
          <w:t>PUNJAVANJE FINANSIJSKOG PLANA (EXCEL</w:t>
        </w:r>
        <w:r>
          <w:rPr>
            <w:rFonts w:ascii="Arial" w:hAnsi="Arial" w:cs="Arial"/>
            <w:b/>
            <w:bCs/>
            <w:color w:val="153D63" w:themeColor="text2" w:themeTint="E6"/>
          </w:rPr>
          <w:t>)</w:t>
        </w:r>
      </w:sdtContent>
    </w:sdt>
  </w:p>
  <w:p w14:paraId="66614054" w14:textId="77777777" w:rsidR="004D2F9F" w:rsidRPr="004D2F9F" w:rsidRDefault="004D2F9F" w:rsidP="004D2F9F">
    <w:pPr>
      <w:pStyle w:val="Header"/>
      <w:jc w:val="center"/>
      <w:rPr>
        <w:b/>
        <w:bCs/>
        <w:color w:val="153D63" w:themeColor="text2" w:themeTint="E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C3A46"/>
    <w:multiLevelType w:val="multilevel"/>
    <w:tmpl w:val="9A345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620F0B"/>
    <w:multiLevelType w:val="hybridMultilevel"/>
    <w:tmpl w:val="5F2471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2E257D8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A01C27"/>
    <w:multiLevelType w:val="hybridMultilevel"/>
    <w:tmpl w:val="D68098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2E257D8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EA6080"/>
    <w:multiLevelType w:val="hybridMultilevel"/>
    <w:tmpl w:val="C5D4E626"/>
    <w:lvl w:ilvl="0" w:tplc="5FE2E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F22422"/>
    <w:multiLevelType w:val="hybridMultilevel"/>
    <w:tmpl w:val="16F043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2E257D8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834C01"/>
    <w:multiLevelType w:val="hybridMultilevel"/>
    <w:tmpl w:val="0AEC7550"/>
    <w:lvl w:ilvl="0" w:tplc="3F26ED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9929DB"/>
    <w:multiLevelType w:val="hybridMultilevel"/>
    <w:tmpl w:val="9BDA74E0"/>
    <w:lvl w:ilvl="0" w:tplc="AC1E676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815294"/>
    <w:multiLevelType w:val="hybridMultilevel"/>
    <w:tmpl w:val="8DCEC2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CB3117"/>
    <w:multiLevelType w:val="hybridMultilevel"/>
    <w:tmpl w:val="16CE4D32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72940DD"/>
    <w:multiLevelType w:val="multilevel"/>
    <w:tmpl w:val="1D8A9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D446A64"/>
    <w:multiLevelType w:val="hybridMultilevel"/>
    <w:tmpl w:val="A71A419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7"/>
  </w:num>
  <w:num w:numId="5">
    <w:abstractNumId w:val="0"/>
  </w:num>
  <w:num w:numId="6">
    <w:abstractNumId w:val="9"/>
  </w:num>
  <w:num w:numId="7">
    <w:abstractNumId w:val="2"/>
  </w:num>
  <w:num w:numId="8">
    <w:abstractNumId w:val="1"/>
  </w:num>
  <w:num w:numId="9">
    <w:abstractNumId w:val="8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D33"/>
    <w:rsid w:val="00004212"/>
    <w:rsid w:val="0005693A"/>
    <w:rsid w:val="000C0CB4"/>
    <w:rsid w:val="00157507"/>
    <w:rsid w:val="001B2851"/>
    <w:rsid w:val="002248CF"/>
    <w:rsid w:val="0034550E"/>
    <w:rsid w:val="003872C7"/>
    <w:rsid w:val="00424987"/>
    <w:rsid w:val="00440227"/>
    <w:rsid w:val="0045359F"/>
    <w:rsid w:val="00477CBF"/>
    <w:rsid w:val="00480E89"/>
    <w:rsid w:val="004A4242"/>
    <w:rsid w:val="004A720B"/>
    <w:rsid w:val="004D2F9F"/>
    <w:rsid w:val="00504831"/>
    <w:rsid w:val="0050512A"/>
    <w:rsid w:val="00573606"/>
    <w:rsid w:val="005D10EA"/>
    <w:rsid w:val="005D25CA"/>
    <w:rsid w:val="005F4D33"/>
    <w:rsid w:val="00625908"/>
    <w:rsid w:val="00633068"/>
    <w:rsid w:val="00636C20"/>
    <w:rsid w:val="00656435"/>
    <w:rsid w:val="00661606"/>
    <w:rsid w:val="0074369B"/>
    <w:rsid w:val="007D7D8C"/>
    <w:rsid w:val="007E3291"/>
    <w:rsid w:val="007F4F7B"/>
    <w:rsid w:val="00864684"/>
    <w:rsid w:val="008C1019"/>
    <w:rsid w:val="00AF7638"/>
    <w:rsid w:val="00B668C6"/>
    <w:rsid w:val="00B677A4"/>
    <w:rsid w:val="00CD139B"/>
    <w:rsid w:val="00CE6A7E"/>
    <w:rsid w:val="00CF6E4D"/>
    <w:rsid w:val="00D11C5B"/>
    <w:rsid w:val="00DA5B86"/>
    <w:rsid w:val="00E221F0"/>
    <w:rsid w:val="00E4219E"/>
    <w:rsid w:val="00F36E1B"/>
    <w:rsid w:val="00F5454C"/>
    <w:rsid w:val="00FC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29FA09"/>
  <w15:chartTrackingRefBased/>
  <w15:docId w15:val="{864F3C45-BC79-47DF-807D-1ADD51C6B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4D33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4D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4D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4D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4D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4D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4D3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4D3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4D3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4D3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4D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4D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4D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4D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4D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4D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4D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4D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4D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4D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4D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4D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4D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4D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4D33"/>
    <w:rPr>
      <w:i/>
      <w:iCs/>
      <w:color w:val="404040" w:themeColor="text1" w:themeTint="BF"/>
    </w:rPr>
  </w:style>
  <w:style w:type="paragraph" w:styleId="ListParagraph">
    <w:name w:val="List Paragraph"/>
    <w:aliases w:val="List Paragraph (numbered (a)),Normal List,Endnote,Indent,Paragraph,Citation List,Normal bullet 2,Resume Title,Paragraphe de liste PBLH,Bullet list,List Paragraph Char Char,b1,Number_1,SGLText List Paragraph,new,lp1,Normal Sentence,Tocka,2"/>
    <w:basedOn w:val="Normal"/>
    <w:link w:val="ListParagraphChar"/>
    <w:uiPriority w:val="34"/>
    <w:qFormat/>
    <w:rsid w:val="005F4D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4D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4D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4D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4D3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F4D3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4D33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F4D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4D33"/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ListParagraphChar">
    <w:name w:val="List Paragraph Char"/>
    <w:aliases w:val="List Paragraph (numbered (a)) Char,Normal List Char,Endnote Char,Indent Char,Paragraph Char,Citation List Char,Normal bullet 2 Char,Resume Title Char,Paragraphe de liste PBLH Char,Bullet list Char,List Paragraph Char Char Char,2 Char"/>
    <w:link w:val="ListParagraph"/>
    <w:uiPriority w:val="34"/>
    <w:qFormat/>
    <w:locked/>
    <w:rsid w:val="005F4D33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FootnoteText">
    <w:name w:val="footnote text"/>
    <w:basedOn w:val="Normal"/>
    <w:link w:val="FootnoteTextChar"/>
    <w:semiHidden/>
    <w:unhideWhenUsed/>
    <w:qFormat/>
    <w:rsid w:val="005F4D3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F4D33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basedOn w:val="DefaultParagraphFont"/>
    <w:link w:val="Char2"/>
    <w:unhideWhenUsed/>
    <w:qFormat/>
    <w:rsid w:val="005F4D33"/>
    <w:rPr>
      <w:vertAlign w:val="superscript"/>
    </w:rPr>
  </w:style>
  <w:style w:type="paragraph" w:customStyle="1" w:styleId="Char2">
    <w:name w:val="Char2"/>
    <w:basedOn w:val="Normal"/>
    <w:link w:val="FootnoteReference"/>
    <w:rsid w:val="00F5454C"/>
    <w:pPr>
      <w:spacing w:after="160" w:line="240" w:lineRule="exact"/>
    </w:pPr>
    <w:rPr>
      <w:rFonts w:asciiTheme="minorHAnsi" w:eastAsiaTheme="minorHAnsi" w:hAnsiTheme="minorHAnsi" w:cstheme="minorBidi"/>
      <w:kern w:val="2"/>
      <w:vertAlign w:val="superscript"/>
      <w:lang w:val="en-GB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6564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64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6435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64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6435"/>
    <w:rPr>
      <w:rFonts w:ascii="Times New Roman" w:eastAsia="Times New Roman" w:hAnsi="Times New Roman" w:cs="Times New Roman"/>
      <w:b/>
      <w:bCs/>
      <w:kern w:val="0"/>
      <w:sz w:val="20"/>
      <w:szCs w:val="20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64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435"/>
    <w:rPr>
      <w:rFonts w:ascii="Segoe UI" w:eastAsia="Times New Roman" w:hAnsi="Segoe UI" w:cs="Segoe UI"/>
      <w:kern w:val="0"/>
      <w:sz w:val="1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A61217915234159BAB51BBAB1C3B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F60021-9B37-46D4-BC63-36C0DF7886CA}"/>
      </w:docPartPr>
      <w:docPartBody>
        <w:p w:rsidR="002A18DD" w:rsidRDefault="00657671" w:rsidP="00657671">
          <w:pPr>
            <w:pStyle w:val="6A61217915234159BAB51BBAB1C3BCA4"/>
          </w:pPr>
          <w:r>
            <w:rPr>
              <w:color w:val="404040" w:themeColor="text1" w:themeTint="BF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671"/>
    <w:rsid w:val="000477CC"/>
    <w:rsid w:val="002A18DD"/>
    <w:rsid w:val="002A7DC4"/>
    <w:rsid w:val="00391A9A"/>
    <w:rsid w:val="00657671"/>
    <w:rsid w:val="006B58EF"/>
    <w:rsid w:val="006C50BF"/>
    <w:rsid w:val="007B0DB3"/>
    <w:rsid w:val="00FB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00506D2FAE44FD486DDF4F816740BB4">
    <w:name w:val="500506D2FAE44FD486DDF4F816740BB4"/>
    <w:rsid w:val="00657671"/>
  </w:style>
  <w:style w:type="paragraph" w:customStyle="1" w:styleId="2FA22359C3B44FC895F07426F5B8BD97">
    <w:name w:val="2FA22359C3B44FC895F07426F5B8BD97"/>
    <w:rsid w:val="00657671"/>
  </w:style>
  <w:style w:type="paragraph" w:customStyle="1" w:styleId="6A61217915234159BAB51BBAB1C3BCA4">
    <w:name w:val="6A61217915234159BAB51BBAB1C3BCA4"/>
    <w:rsid w:val="006576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1075</Words>
  <Characters>6130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UPUTSTVA ZA ISPUNJAVANJE FINANSIJSKOG PLANA (EXCEL)              PROGRAM SARADNJE SA NAUČNOM DIJASPOROM 2025</vt:lpstr>
    </vt:vector>
  </TitlesOfParts>
  <Company/>
  <LinksUpToDate>false</LinksUpToDate>
  <CharactersWithSpaces>7191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UPUTSTVA ZA POPUNJAVANJE FINANSIJSKOG PLANA (EXCEL)</dc:title>
  <dc:subject/>
  <dc:creator>Alessia Pozzi</dc:creator>
  <cp:keywords/>
  <dc:description/>
  <cp:lastModifiedBy>MARICA-PC</cp:lastModifiedBy>
  <cp:revision>3</cp:revision>
  <dcterms:created xsi:type="dcterms:W3CDTF">2025-10-01T21:08:00Z</dcterms:created>
  <dcterms:modified xsi:type="dcterms:W3CDTF">2025-10-02T16:36:00Z</dcterms:modified>
</cp:coreProperties>
</file>