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0B" w:rsidRPr="00D222D5" w:rsidRDefault="007B41C4" w:rsidP="00D61692">
      <w:pPr>
        <w:spacing w:after="0" w:line="240" w:lineRule="auto"/>
        <w:jc w:val="center"/>
        <w:rPr>
          <w:rFonts w:ascii="Cambria" w:hAnsi="Cambria" w:cs="Cambria"/>
          <w:b/>
          <w:bCs/>
          <w:noProof/>
          <w:sz w:val="28"/>
          <w:szCs w:val="28"/>
        </w:rPr>
      </w:pPr>
      <w:r w:rsidRPr="00D222D5">
        <w:rPr>
          <w:rFonts w:ascii="Cambria" w:hAnsi="Cambria" w:cs="Cambria"/>
          <w:noProof/>
        </w:rPr>
        <w:drawing>
          <wp:inline distT="0" distB="0" distL="0" distR="0">
            <wp:extent cx="675640" cy="81216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1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70B" w:rsidRPr="00D222D5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D222D5">
        <w:rPr>
          <w:b/>
          <w:bCs/>
          <w:noProof/>
          <w:sz w:val="28"/>
          <w:szCs w:val="28"/>
        </w:rPr>
        <w:t>CRNA GORA</w:t>
      </w:r>
    </w:p>
    <w:p w:rsidR="0082570B" w:rsidRPr="00D222D5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D222D5">
        <w:rPr>
          <w:b/>
          <w:bCs/>
          <w:noProof/>
          <w:sz w:val="28"/>
          <w:szCs w:val="28"/>
        </w:rPr>
        <w:t>MINISTARSTVO FINANSIJA</w:t>
      </w:r>
    </w:p>
    <w:p w:rsidR="0082570B" w:rsidRPr="00D222D5" w:rsidRDefault="00DC4AD1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D222D5">
        <w:rPr>
          <w:b/>
          <w:bCs/>
          <w:noProof/>
          <w:sz w:val="28"/>
          <w:szCs w:val="28"/>
        </w:rPr>
        <w:t>Direktorat</w:t>
      </w:r>
      <w:r w:rsidR="0082570B" w:rsidRPr="00D222D5">
        <w:rPr>
          <w:b/>
          <w:bCs/>
          <w:noProof/>
          <w:sz w:val="28"/>
          <w:szCs w:val="28"/>
        </w:rPr>
        <w:t xml:space="preserve"> za ekonomsku politiku i razvoj</w:t>
      </w:r>
    </w:p>
    <w:p w:rsidR="0082570B" w:rsidRPr="00D222D5" w:rsidRDefault="0082570B" w:rsidP="00D61692">
      <w:pPr>
        <w:rPr>
          <w:rFonts w:cs="Calibri"/>
          <w:noProof/>
        </w:rPr>
      </w:pPr>
    </w:p>
    <w:p w:rsidR="0082570B" w:rsidRPr="00D222D5" w:rsidRDefault="0082570B" w:rsidP="00D61692">
      <w:pPr>
        <w:jc w:val="center"/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D222D5" w:rsidRDefault="0082570B" w:rsidP="000F756E">
      <w:pPr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D222D5" w:rsidRDefault="0082570B" w:rsidP="000F756E">
      <w:pPr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D222D5" w:rsidRDefault="0082570B" w:rsidP="0002564B">
      <w:pPr>
        <w:spacing w:line="240" w:lineRule="auto"/>
        <w:jc w:val="center"/>
        <w:outlineLvl w:val="0"/>
        <w:rPr>
          <w:rFonts w:cs="Calibri"/>
          <w:b/>
          <w:bCs/>
          <w:iCs/>
          <w:noProof/>
          <w:sz w:val="52"/>
          <w:szCs w:val="52"/>
        </w:rPr>
      </w:pPr>
      <w:r w:rsidRPr="00D222D5">
        <w:rPr>
          <w:rFonts w:cs="Calibri"/>
          <w:b/>
          <w:bCs/>
          <w:iCs/>
          <w:noProof/>
          <w:sz w:val="52"/>
          <w:szCs w:val="52"/>
        </w:rPr>
        <w:t>MJESEČNI MAKROEKONOMSKI INDIKATORI</w:t>
      </w:r>
    </w:p>
    <w:p w:rsidR="0082570B" w:rsidRPr="00D222D5" w:rsidRDefault="006A469E" w:rsidP="0002564B">
      <w:pPr>
        <w:spacing w:line="240" w:lineRule="auto"/>
        <w:jc w:val="center"/>
        <w:outlineLvl w:val="0"/>
        <w:rPr>
          <w:rFonts w:cs="Calibri"/>
          <w:b/>
          <w:bCs/>
          <w:noProof/>
          <w:sz w:val="32"/>
          <w:szCs w:val="32"/>
        </w:rPr>
      </w:pPr>
      <w:r w:rsidRPr="00D222D5">
        <w:rPr>
          <w:rFonts w:cs="Calibri"/>
          <w:b/>
          <w:bCs/>
          <w:noProof/>
          <w:sz w:val="32"/>
          <w:szCs w:val="32"/>
        </w:rPr>
        <w:t>Oktobar</w:t>
      </w:r>
      <w:r w:rsidR="007D0106" w:rsidRPr="00D222D5">
        <w:rPr>
          <w:rFonts w:cs="Calibri"/>
          <w:b/>
          <w:bCs/>
          <w:noProof/>
          <w:sz w:val="32"/>
          <w:szCs w:val="32"/>
        </w:rPr>
        <w:t xml:space="preserve"> </w:t>
      </w:r>
      <w:r w:rsidR="006D2B20" w:rsidRPr="00D222D5">
        <w:rPr>
          <w:rFonts w:cs="Calibri"/>
          <w:b/>
          <w:bCs/>
          <w:noProof/>
          <w:sz w:val="32"/>
          <w:szCs w:val="32"/>
        </w:rPr>
        <w:t>2014</w:t>
      </w:r>
      <w:r w:rsidR="0082570B" w:rsidRPr="00D222D5">
        <w:rPr>
          <w:rFonts w:cs="Calibri"/>
          <w:b/>
          <w:bCs/>
          <w:noProof/>
          <w:sz w:val="32"/>
          <w:szCs w:val="32"/>
        </w:rPr>
        <w:t>.</w:t>
      </w:r>
    </w:p>
    <w:p w:rsidR="0082570B" w:rsidRPr="00D222D5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82570B" w:rsidRPr="00D222D5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82570B" w:rsidRPr="00D222D5" w:rsidRDefault="006904B2" w:rsidP="00D20CDA">
      <w:pPr>
        <w:spacing w:after="0" w:line="240" w:lineRule="auto"/>
        <w:rPr>
          <w:rFonts w:cs="Calibri"/>
          <w:bCs/>
          <w:noProof/>
          <w:sz w:val="28"/>
          <w:szCs w:val="28"/>
        </w:rPr>
      </w:pPr>
      <w:r w:rsidRPr="006904B2"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margin-left:-14pt;margin-top:5in;width:252.6pt;height:338pt;rotation:-360;z-index:-251657728;mso-position-horizontal-relative:margin;mso-position-vertical-relative:margin" wrapcoords="1315 -107 900 -53 -138 587 -138 20747 277 21227 277 21333 1038 21653 1246 21653 20285 21653 20423 21653 21392 21227 21738 20480 21738 1440 21669 587 20769 0 20285 -107 1315 -107" o:allowincell="f" adj="1739" fillcolor="#943634" strokecolor="#548dd4 [1951]" strokeweight="3pt">
            <v:imagedata embosscolor="shadow add(51)"/>
            <v:shadow type="emboss" color="lineOrFill darken(153)" color2="shadow add(102)" offset="1pt,1pt"/>
            <v:textbox style="mso-next-textbox:#_x0000_s1026" inset="3.6pt,,3.6pt">
              <w:txbxContent>
                <w:p w:rsidR="00734007" w:rsidRDefault="00734007" w:rsidP="00BE47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3A5C77"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  <w:t>KLJUČNE PORUKE</w:t>
                  </w:r>
                </w:p>
                <w:p w:rsidR="00734007" w:rsidRDefault="00734007" w:rsidP="00E2362B">
                  <w:pPr>
                    <w:pStyle w:val="NoSpacing"/>
                    <w:ind w:left="851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</w:p>
                <w:p w:rsidR="00734007" w:rsidRPr="00DD1A3B" w:rsidRDefault="00734007" w:rsidP="00E72ABE">
                  <w:pPr>
                    <w:pStyle w:val="NoSpacing"/>
                    <w:numPr>
                      <w:ilvl w:val="0"/>
                      <w:numId w:val="29"/>
                    </w:numPr>
                    <w:spacing w:after="120"/>
                    <w:ind w:left="567" w:hanging="425"/>
                    <w:jc w:val="both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DD1A3B">
                    <w:rPr>
                      <w:b/>
                      <w:sz w:val="24"/>
                    </w:rPr>
                    <w:t xml:space="preserve">Evropska komisija </w:t>
                  </w:r>
                  <w:r>
                    <w:rPr>
                      <w:b/>
                      <w:sz w:val="24"/>
                    </w:rPr>
                    <w:t xml:space="preserve">objavila </w:t>
                  </w:r>
                  <w:r w:rsidRPr="00DD1A3B">
                    <w:rPr>
                      <w:b/>
                      <w:sz w:val="24"/>
                    </w:rPr>
                    <w:t>projekcije ekonomskog rasta</w:t>
                  </w:r>
                  <w:r>
                    <w:rPr>
                      <w:b/>
                      <w:sz w:val="24"/>
                    </w:rPr>
                    <w:t xml:space="preserve"> za Crnu Goru</w:t>
                  </w:r>
                  <w:r w:rsidRPr="00DD1A3B">
                    <w:rPr>
                      <w:b/>
                      <w:sz w:val="24"/>
                    </w:rPr>
                    <w:t xml:space="preserve"> za </w:t>
                  </w:r>
                  <w:r>
                    <w:rPr>
                      <w:b/>
                      <w:sz w:val="24"/>
                    </w:rPr>
                    <w:t>period 2014-2016, respektivno – 2%, 3%, 3,5%.</w:t>
                  </w:r>
                </w:p>
                <w:p w:rsidR="00734007" w:rsidRPr="00846DA4" w:rsidRDefault="00734007" w:rsidP="00E72ABE">
                  <w:pPr>
                    <w:pStyle w:val="NoSpacing"/>
                    <w:numPr>
                      <w:ilvl w:val="0"/>
                      <w:numId w:val="29"/>
                    </w:numPr>
                    <w:spacing w:after="120"/>
                    <w:ind w:left="567" w:hanging="425"/>
                    <w:jc w:val="both"/>
                    <w:rPr>
                      <w:rFonts w:asciiTheme="minorHAnsi" w:hAnsiTheme="minorHAnsi" w:cstheme="minorHAnsi"/>
                      <w:b/>
                      <w:sz w:val="32"/>
                      <w:szCs w:val="24"/>
                      <w:lang w:eastAsia="sr-Latn-CS"/>
                    </w:rPr>
                  </w:pPr>
                  <w:r w:rsidRPr="00DD1A3B">
                    <w:rPr>
                      <w:b/>
                      <w:sz w:val="24"/>
                      <w:szCs w:val="20"/>
                    </w:rPr>
                    <w:t>Industrijska proizvodnja u septembru 2014. bilježi godišnji rast, rasla</w:t>
                  </w:r>
                  <w:r>
                    <w:rPr>
                      <w:b/>
                      <w:sz w:val="24"/>
                      <w:szCs w:val="20"/>
                    </w:rPr>
                    <w:t xml:space="preserve"> proizvodnja</w:t>
                  </w:r>
                  <w:r w:rsidRPr="00DD1A3B">
                    <w:rPr>
                      <w:b/>
                      <w:sz w:val="24"/>
                      <w:szCs w:val="20"/>
                    </w:rPr>
                    <w:t xml:space="preserve"> električne energije</w:t>
                  </w:r>
                  <w:r>
                    <w:rPr>
                      <w:b/>
                      <w:sz w:val="24"/>
                      <w:szCs w:val="20"/>
                    </w:rPr>
                    <w:t>.</w:t>
                  </w:r>
                </w:p>
                <w:p w:rsidR="00734007" w:rsidRPr="00DD1A3B" w:rsidRDefault="00734007" w:rsidP="00E72ABE">
                  <w:pPr>
                    <w:pStyle w:val="NoSpacing"/>
                    <w:numPr>
                      <w:ilvl w:val="0"/>
                      <w:numId w:val="29"/>
                    </w:numPr>
                    <w:spacing w:after="120"/>
                    <w:ind w:left="567" w:hanging="425"/>
                    <w:jc w:val="both"/>
                    <w:rPr>
                      <w:rFonts w:asciiTheme="minorHAnsi" w:hAnsiTheme="minorHAnsi" w:cstheme="minorHAnsi"/>
                      <w:b/>
                      <w:sz w:val="32"/>
                      <w:szCs w:val="24"/>
                      <w:lang w:eastAsia="sr-Latn-CS"/>
                    </w:rPr>
                  </w:pPr>
                  <w:r>
                    <w:rPr>
                      <w:b/>
                      <w:sz w:val="24"/>
                      <w:szCs w:val="20"/>
                    </w:rPr>
                    <w:t>Cijene u septembru više za 0,5%, a godišnja inflacija -0,7%.</w:t>
                  </w:r>
                </w:p>
                <w:p w:rsidR="00734007" w:rsidRPr="00846DA4" w:rsidRDefault="00734007" w:rsidP="00E72ABE">
                  <w:pPr>
                    <w:pStyle w:val="NoSpacing"/>
                    <w:numPr>
                      <w:ilvl w:val="0"/>
                      <w:numId w:val="29"/>
                    </w:numPr>
                    <w:spacing w:after="120"/>
                    <w:ind w:left="567" w:hanging="425"/>
                    <w:jc w:val="both"/>
                    <w:rPr>
                      <w:rFonts w:asciiTheme="minorHAnsi" w:hAnsiTheme="minorHAnsi" w:cstheme="minorHAnsi"/>
                      <w:b/>
                      <w:sz w:val="32"/>
                      <w:szCs w:val="24"/>
                      <w:lang w:eastAsia="sr-Latn-CS"/>
                    </w:rPr>
                  </w:pPr>
                  <w:r w:rsidRPr="00DD1A3B">
                    <w:rPr>
                      <w:b/>
                      <w:sz w:val="24"/>
                      <w:szCs w:val="20"/>
                    </w:rPr>
                    <w:t>Izvorni prihodi budžeta Crne Gore</w:t>
                  </w:r>
                  <w:r>
                    <w:rPr>
                      <w:b/>
                      <w:sz w:val="24"/>
                      <w:szCs w:val="20"/>
                    </w:rPr>
                    <w:t xml:space="preserve"> u septembru </w:t>
                  </w:r>
                  <w:r w:rsidRPr="00DD1A3B">
                    <w:rPr>
                      <w:b/>
                      <w:sz w:val="24"/>
                      <w:szCs w:val="20"/>
                    </w:rPr>
                    <w:t xml:space="preserve">veći za </w:t>
                  </w:r>
                  <w:r>
                    <w:rPr>
                      <w:b/>
                      <w:sz w:val="24"/>
                      <w:szCs w:val="20"/>
                    </w:rPr>
                    <w:t>0,7%</w:t>
                  </w:r>
                  <w:r w:rsidRPr="00DD1A3B">
                    <w:rPr>
                      <w:b/>
                      <w:sz w:val="24"/>
                      <w:szCs w:val="20"/>
                    </w:rPr>
                    <w:t xml:space="preserve"> u odnosu na septembar 2013.</w:t>
                  </w:r>
                </w:p>
                <w:p w:rsidR="00734007" w:rsidRPr="00846DA4" w:rsidRDefault="00734007" w:rsidP="00E72ABE">
                  <w:pPr>
                    <w:pStyle w:val="NoSpacing"/>
                    <w:numPr>
                      <w:ilvl w:val="0"/>
                      <w:numId w:val="29"/>
                    </w:numPr>
                    <w:spacing w:after="120"/>
                    <w:ind w:left="567" w:hanging="425"/>
                    <w:jc w:val="both"/>
                    <w:rPr>
                      <w:b/>
                      <w:sz w:val="24"/>
                      <w:szCs w:val="20"/>
                    </w:rPr>
                  </w:pPr>
                  <w:r>
                    <w:rPr>
                      <w:b/>
                      <w:sz w:val="24"/>
                      <w:szCs w:val="20"/>
                    </w:rPr>
                    <w:t>Ukupni depoziti rasli za 4,4%</w:t>
                  </w:r>
                  <w:r w:rsidRPr="00846DA4">
                    <w:rPr>
                      <w:b/>
                      <w:sz w:val="24"/>
                      <w:szCs w:val="20"/>
                    </w:rPr>
                    <w:t>, a krediti niži za 3,7% na godišnjem nivou</w:t>
                  </w:r>
                  <w:r>
                    <w:rPr>
                      <w:b/>
                      <w:sz w:val="24"/>
                      <w:szCs w:val="20"/>
                    </w:rPr>
                    <w:t>.</w:t>
                  </w:r>
                </w:p>
                <w:p w:rsidR="00734007" w:rsidRDefault="00734007"/>
              </w:txbxContent>
            </v:textbox>
            <w10:wrap type="tight" anchorx="margin" anchory="margin"/>
          </v:shape>
        </w:pict>
      </w:r>
    </w:p>
    <w:p w:rsidR="0082570B" w:rsidRPr="00D222D5" w:rsidRDefault="0082570B" w:rsidP="00D20CDA">
      <w:pPr>
        <w:spacing w:after="0" w:line="240" w:lineRule="auto"/>
        <w:rPr>
          <w:rFonts w:cs="Calibri"/>
          <w:bCs/>
          <w:iCs/>
          <w:noProof/>
          <w:sz w:val="26"/>
          <w:szCs w:val="26"/>
        </w:rPr>
      </w:pPr>
    </w:p>
    <w:p w:rsidR="0082570B" w:rsidRPr="00D222D5" w:rsidRDefault="00311142" w:rsidP="00D61692">
      <w:pPr>
        <w:pStyle w:val="NoSpacing"/>
        <w:rPr>
          <w:bCs/>
          <w:iCs/>
          <w:noProof/>
          <w:sz w:val="26"/>
          <w:szCs w:val="26"/>
        </w:rPr>
      </w:pPr>
      <w:r w:rsidRPr="00D222D5">
        <w:rPr>
          <w:bCs/>
          <w:iCs/>
          <w:noProof/>
          <w:sz w:val="26"/>
          <w:szCs w:val="26"/>
        </w:rPr>
        <w:t xml:space="preserve"> </w:t>
      </w:r>
    </w:p>
    <w:p w:rsidR="0082570B" w:rsidRPr="00D222D5" w:rsidRDefault="0085138D" w:rsidP="00694445">
      <w:pPr>
        <w:pStyle w:val="NoSpacing"/>
        <w:rPr>
          <w:bCs/>
          <w:noProof/>
          <w:sz w:val="28"/>
          <w:szCs w:val="20"/>
        </w:rPr>
      </w:pPr>
      <w:r w:rsidRPr="00D222D5">
        <w:rPr>
          <w:bCs/>
          <w:noProof/>
          <w:sz w:val="28"/>
          <w:szCs w:val="20"/>
          <w:lang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912495</wp:posOffset>
            </wp:positionH>
            <wp:positionV relativeFrom="paragraph">
              <wp:posOffset>136525</wp:posOffset>
            </wp:positionV>
            <wp:extent cx="2238375" cy="2644140"/>
            <wp:effectExtent l="19050" t="0" r="9525" b="0"/>
            <wp:wrapSquare wrapText="bothSides"/>
            <wp:docPr id="13" name="Picture 1" descr="C:\Users\radovan.zivkovic\Desktop\push-to-vert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ovan.zivkovic\Desktop\push-to-vertical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64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70B" w:rsidRPr="00D222D5" w:rsidRDefault="0082570B" w:rsidP="003324D9">
      <w:pPr>
        <w:pStyle w:val="NoSpacing"/>
        <w:rPr>
          <w:noProof/>
          <w:sz w:val="32"/>
        </w:rPr>
      </w:pPr>
    </w:p>
    <w:p w:rsidR="0082570B" w:rsidRPr="00D222D5" w:rsidRDefault="0082570B" w:rsidP="003324D9">
      <w:pPr>
        <w:pStyle w:val="NoSpacing"/>
        <w:rPr>
          <w:noProof/>
          <w:sz w:val="32"/>
        </w:rPr>
      </w:pPr>
    </w:p>
    <w:p w:rsidR="0082570B" w:rsidRPr="00D222D5" w:rsidRDefault="0082570B" w:rsidP="003324D9">
      <w:pPr>
        <w:pStyle w:val="NoSpacing"/>
        <w:rPr>
          <w:noProof/>
        </w:rPr>
      </w:pPr>
    </w:p>
    <w:p w:rsidR="0082570B" w:rsidRPr="00D222D5" w:rsidRDefault="0082570B" w:rsidP="003324D9">
      <w:pPr>
        <w:pStyle w:val="NoSpacing"/>
        <w:rPr>
          <w:noProof/>
        </w:rPr>
      </w:pPr>
    </w:p>
    <w:p w:rsidR="0082570B" w:rsidRPr="00D222D5" w:rsidRDefault="0082570B" w:rsidP="003324D9">
      <w:pPr>
        <w:pStyle w:val="NoSpacing"/>
        <w:rPr>
          <w:noProof/>
        </w:rPr>
      </w:pPr>
    </w:p>
    <w:p w:rsidR="0082570B" w:rsidRPr="00D222D5" w:rsidRDefault="0082570B" w:rsidP="003324D9">
      <w:pPr>
        <w:pStyle w:val="NoSpacing"/>
        <w:rPr>
          <w:noProof/>
        </w:rPr>
      </w:pPr>
    </w:p>
    <w:p w:rsidR="0082570B" w:rsidRPr="00D222D5" w:rsidRDefault="0082570B" w:rsidP="003324D9">
      <w:pPr>
        <w:pStyle w:val="NoSpacing"/>
        <w:rPr>
          <w:noProof/>
        </w:rPr>
      </w:pPr>
    </w:p>
    <w:p w:rsidR="0082570B" w:rsidRPr="00D222D5" w:rsidRDefault="0082570B" w:rsidP="003324D9">
      <w:pPr>
        <w:pStyle w:val="NoSpacing"/>
        <w:rPr>
          <w:noProof/>
        </w:rPr>
      </w:pPr>
    </w:p>
    <w:p w:rsidR="0082570B" w:rsidRPr="00D222D5" w:rsidRDefault="0082570B" w:rsidP="003324D9">
      <w:pPr>
        <w:pStyle w:val="NoSpacing"/>
        <w:rPr>
          <w:noProof/>
        </w:rPr>
      </w:pPr>
    </w:p>
    <w:p w:rsidR="0082570B" w:rsidRPr="00D222D5" w:rsidRDefault="0082570B" w:rsidP="003324D9">
      <w:pPr>
        <w:pStyle w:val="NoSpacing"/>
        <w:rPr>
          <w:noProof/>
        </w:rPr>
      </w:pPr>
    </w:p>
    <w:p w:rsidR="0082570B" w:rsidRPr="00D222D5" w:rsidRDefault="0082570B" w:rsidP="003324D9">
      <w:pPr>
        <w:pStyle w:val="NoSpacing"/>
        <w:rPr>
          <w:noProof/>
        </w:rPr>
      </w:pPr>
    </w:p>
    <w:p w:rsidR="0082570B" w:rsidRPr="00D222D5" w:rsidRDefault="0082570B" w:rsidP="003324D9">
      <w:pPr>
        <w:pStyle w:val="NoSpacing"/>
        <w:rPr>
          <w:noProof/>
        </w:rPr>
      </w:pPr>
    </w:p>
    <w:p w:rsidR="0082570B" w:rsidRPr="00D222D5" w:rsidRDefault="0082570B" w:rsidP="003324D9">
      <w:pPr>
        <w:pStyle w:val="NoSpacing"/>
        <w:rPr>
          <w:noProof/>
        </w:rPr>
      </w:pPr>
    </w:p>
    <w:p w:rsidR="0082570B" w:rsidRPr="00D222D5" w:rsidRDefault="0082570B" w:rsidP="003324D9">
      <w:pPr>
        <w:pStyle w:val="NoSpacing"/>
        <w:rPr>
          <w:noProof/>
        </w:rPr>
      </w:pPr>
    </w:p>
    <w:p w:rsidR="0082570B" w:rsidRPr="00D222D5" w:rsidRDefault="0082570B" w:rsidP="003324D9">
      <w:pPr>
        <w:pStyle w:val="NoSpacing"/>
        <w:rPr>
          <w:noProof/>
        </w:rPr>
      </w:pPr>
    </w:p>
    <w:p w:rsidR="0082570B" w:rsidRPr="00D222D5" w:rsidRDefault="0082570B" w:rsidP="003324D9">
      <w:pPr>
        <w:pStyle w:val="NoSpacing"/>
        <w:rPr>
          <w:noProof/>
        </w:rPr>
      </w:pPr>
    </w:p>
    <w:p w:rsidR="0082570B" w:rsidRPr="00D222D5" w:rsidRDefault="0082570B" w:rsidP="003324D9">
      <w:pPr>
        <w:pStyle w:val="NoSpacing"/>
        <w:rPr>
          <w:noProof/>
        </w:rPr>
      </w:pPr>
    </w:p>
    <w:p w:rsidR="0082570B" w:rsidRPr="00D222D5" w:rsidRDefault="0082570B" w:rsidP="003324D9">
      <w:pPr>
        <w:pStyle w:val="NoSpacing"/>
        <w:rPr>
          <w:noProof/>
        </w:rPr>
      </w:pPr>
    </w:p>
    <w:p w:rsidR="0082570B" w:rsidRPr="00D222D5" w:rsidRDefault="0082570B" w:rsidP="003324D9">
      <w:pPr>
        <w:pStyle w:val="NoSpacing"/>
        <w:rPr>
          <w:noProof/>
        </w:rPr>
      </w:pPr>
    </w:p>
    <w:p w:rsidR="0082570B" w:rsidRPr="00D222D5" w:rsidRDefault="0082570B" w:rsidP="003324D9">
      <w:pPr>
        <w:pStyle w:val="NoSpacing"/>
        <w:rPr>
          <w:noProof/>
        </w:rPr>
      </w:pPr>
    </w:p>
    <w:p w:rsidR="0082570B" w:rsidRPr="00D222D5" w:rsidRDefault="0082570B" w:rsidP="003324D9">
      <w:pPr>
        <w:pStyle w:val="NoSpacing"/>
        <w:rPr>
          <w:b/>
          <w:bCs/>
          <w:noProof/>
          <w:color w:val="000000"/>
          <w:sz w:val="16"/>
          <w:szCs w:val="16"/>
        </w:rPr>
      </w:pPr>
    </w:p>
    <w:p w:rsidR="0082570B" w:rsidRPr="00D222D5" w:rsidRDefault="0082570B" w:rsidP="003324D9">
      <w:pPr>
        <w:pStyle w:val="NoSpacing"/>
        <w:rPr>
          <w:b/>
          <w:bCs/>
          <w:noProof/>
          <w:color w:val="000000"/>
          <w:sz w:val="16"/>
          <w:szCs w:val="16"/>
        </w:rPr>
      </w:pPr>
    </w:p>
    <w:p w:rsidR="0082570B" w:rsidRPr="00D222D5" w:rsidRDefault="0082570B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  <w:r w:rsidRPr="00D222D5">
        <w:rPr>
          <w:b/>
          <w:bCs/>
          <w:noProof/>
          <w:color w:val="000000"/>
          <w:sz w:val="16"/>
          <w:szCs w:val="16"/>
        </w:rPr>
        <w:t xml:space="preserve">Autori priloga: </w:t>
      </w:r>
      <w:r w:rsidR="00423EE9" w:rsidRPr="00D222D5">
        <w:rPr>
          <w:bCs/>
          <w:noProof/>
          <w:color w:val="000000"/>
          <w:sz w:val="16"/>
          <w:szCs w:val="16"/>
        </w:rPr>
        <w:t>Radovan Živković</w:t>
      </w:r>
      <w:r w:rsidR="002A2CED" w:rsidRPr="00D222D5">
        <w:rPr>
          <w:bCs/>
          <w:noProof/>
          <w:color w:val="000000"/>
          <w:sz w:val="16"/>
          <w:szCs w:val="16"/>
        </w:rPr>
        <w:t>, Radojka Martinović</w:t>
      </w:r>
      <w:r w:rsidR="00423EE9" w:rsidRPr="00D222D5">
        <w:rPr>
          <w:bCs/>
          <w:noProof/>
          <w:color w:val="000000"/>
          <w:sz w:val="16"/>
          <w:szCs w:val="16"/>
        </w:rPr>
        <w:t>, Olja Tomanović,</w:t>
      </w:r>
      <w:r w:rsidR="00311142" w:rsidRPr="00D222D5">
        <w:rPr>
          <w:bCs/>
          <w:noProof/>
          <w:color w:val="000000"/>
          <w:sz w:val="16"/>
          <w:szCs w:val="16"/>
        </w:rPr>
        <w:t xml:space="preserve"> </w:t>
      </w:r>
      <w:r w:rsidR="00423EE9" w:rsidRPr="00D222D5">
        <w:rPr>
          <w:bCs/>
          <w:noProof/>
          <w:color w:val="000000"/>
          <w:sz w:val="16"/>
          <w:szCs w:val="16"/>
        </w:rPr>
        <w:t>Stanko Jeknić</w:t>
      </w:r>
      <w:r w:rsidR="002A2CED" w:rsidRPr="00D222D5">
        <w:rPr>
          <w:bCs/>
          <w:noProof/>
          <w:color w:val="000000"/>
          <w:sz w:val="16"/>
          <w:szCs w:val="16"/>
        </w:rPr>
        <w:t>,</w:t>
      </w:r>
      <w:r w:rsidR="00311142" w:rsidRPr="00D222D5">
        <w:rPr>
          <w:bCs/>
          <w:noProof/>
          <w:color w:val="000000"/>
          <w:sz w:val="16"/>
          <w:szCs w:val="16"/>
        </w:rPr>
        <w:t xml:space="preserve"> </w:t>
      </w:r>
      <w:r w:rsidR="004B5F63" w:rsidRPr="00D222D5">
        <w:rPr>
          <w:bCs/>
          <w:noProof/>
          <w:color w:val="000000"/>
          <w:sz w:val="16"/>
          <w:szCs w:val="16"/>
        </w:rPr>
        <w:t>Marija Novosel</w:t>
      </w:r>
      <w:r w:rsidR="00A423C3" w:rsidRPr="00D222D5">
        <w:rPr>
          <w:bCs/>
          <w:noProof/>
          <w:color w:val="000000"/>
          <w:sz w:val="16"/>
          <w:szCs w:val="16"/>
        </w:rPr>
        <w:t>,</w:t>
      </w:r>
      <w:r w:rsidR="002A2CED" w:rsidRPr="00D222D5">
        <w:rPr>
          <w:bCs/>
          <w:noProof/>
          <w:color w:val="000000"/>
          <w:sz w:val="16"/>
          <w:szCs w:val="16"/>
        </w:rPr>
        <w:t xml:space="preserve"> Zdenka</w:t>
      </w:r>
      <w:r w:rsidR="00F03604" w:rsidRPr="00D222D5">
        <w:rPr>
          <w:bCs/>
          <w:noProof/>
          <w:color w:val="000000"/>
          <w:sz w:val="16"/>
          <w:szCs w:val="16"/>
        </w:rPr>
        <w:t xml:space="preserve"> </w:t>
      </w:r>
      <w:r w:rsidR="002A2CED" w:rsidRPr="00D222D5">
        <w:rPr>
          <w:bCs/>
          <w:noProof/>
          <w:color w:val="000000"/>
          <w:sz w:val="16"/>
          <w:szCs w:val="16"/>
        </w:rPr>
        <w:t>Dabović</w:t>
      </w:r>
      <w:r w:rsidR="00E2362B" w:rsidRPr="00D222D5">
        <w:rPr>
          <w:bCs/>
          <w:noProof/>
          <w:color w:val="000000"/>
          <w:sz w:val="16"/>
          <w:szCs w:val="16"/>
        </w:rPr>
        <w:t>, Milanka Jovanović</w:t>
      </w:r>
      <w:r w:rsidR="00A73F8B" w:rsidRPr="00D222D5">
        <w:rPr>
          <w:bCs/>
          <w:noProof/>
          <w:color w:val="000000"/>
          <w:sz w:val="16"/>
          <w:szCs w:val="16"/>
        </w:rPr>
        <w:t>,Vesna Obradović</w:t>
      </w:r>
    </w:p>
    <w:p w:rsidR="00A67F78" w:rsidRPr="00D222D5" w:rsidRDefault="00A67F78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</w:p>
    <w:p w:rsidR="00A67F78" w:rsidRPr="00D222D5" w:rsidRDefault="00A67F78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</w:p>
    <w:p w:rsidR="00A67F78" w:rsidRPr="00D222D5" w:rsidRDefault="00A67F78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</w:p>
    <w:p w:rsidR="00A67F78" w:rsidRPr="00D222D5" w:rsidRDefault="00A67F78" w:rsidP="00A423C3">
      <w:pPr>
        <w:pStyle w:val="NoSpacing"/>
        <w:outlineLvl w:val="0"/>
        <w:rPr>
          <w:noProof/>
        </w:rPr>
      </w:pPr>
    </w:p>
    <w:tbl>
      <w:tblPr>
        <w:tblpPr w:leftFromText="180" w:rightFromText="180" w:vertAnchor="text" w:tblpX="108" w:tblpY="1"/>
        <w:tblOverlap w:val="never"/>
        <w:tblW w:w="10716" w:type="dxa"/>
        <w:tblBorders>
          <w:top w:val="thinThickSmallGap" w:sz="18" w:space="0" w:color="auto"/>
          <w:bottom w:val="thinThickSmallGap" w:sz="18" w:space="0" w:color="auto"/>
          <w:insideH w:val="thinThickSmallGap" w:sz="18" w:space="0" w:color="auto"/>
        </w:tblBorders>
        <w:tblLayout w:type="fixed"/>
        <w:tblLook w:val="00A0"/>
      </w:tblPr>
      <w:tblGrid>
        <w:gridCol w:w="6930"/>
        <w:gridCol w:w="3644"/>
        <w:gridCol w:w="142"/>
      </w:tblGrid>
      <w:tr w:rsidR="0082570B" w:rsidRPr="00D222D5" w:rsidTr="00677E65">
        <w:trPr>
          <w:gridAfter w:val="1"/>
          <w:wAfter w:w="142" w:type="dxa"/>
        </w:trPr>
        <w:tc>
          <w:tcPr>
            <w:tcW w:w="6946" w:type="dxa"/>
            <w:tcBorders>
              <w:bottom w:val="single" w:sz="4" w:space="0" w:color="auto"/>
            </w:tcBorders>
          </w:tcPr>
          <w:p w:rsidR="0082570B" w:rsidRPr="00D222D5" w:rsidRDefault="005065E6" w:rsidP="001D21B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/>
                <w:b/>
                <w:noProof/>
                <w:color w:val="000000"/>
                <w:sz w:val="20"/>
                <w:szCs w:val="20"/>
                <w:lang w:eastAsia="en-US"/>
              </w:rPr>
            </w:pPr>
            <w:r w:rsidRPr="00D222D5">
              <w:rPr>
                <w:rFonts w:eastAsia="Times New Roman"/>
                <w:b/>
                <w:noProof/>
                <w:color w:val="000000"/>
                <w:sz w:val="20"/>
                <w:szCs w:val="20"/>
                <w:lang w:eastAsia="en-US"/>
              </w:rPr>
              <w:t>Međunarodno okruženje</w:t>
            </w:r>
          </w:p>
        </w:tc>
        <w:tc>
          <w:tcPr>
            <w:tcW w:w="3652" w:type="dxa"/>
            <w:vMerge w:val="restart"/>
            <w:tcBorders>
              <w:bottom w:val="nil"/>
            </w:tcBorders>
            <w:vAlign w:val="center"/>
          </w:tcPr>
          <w:p w:rsidR="0082570B" w:rsidRPr="00D222D5" w:rsidRDefault="007C2B1C" w:rsidP="001D21BD">
            <w:pPr>
              <w:spacing w:after="0" w:line="240" w:lineRule="auto"/>
              <w:jc w:val="center"/>
              <w:rPr>
                <w:rFonts w:cs="Calibri"/>
                <w:noProof/>
                <w:color w:val="000000"/>
                <w:sz w:val="20"/>
                <w:szCs w:val="20"/>
              </w:rPr>
            </w:pPr>
            <w:r w:rsidRPr="00D222D5">
              <w:rPr>
                <w:rFonts w:cs="Calibri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2123768" cy="2101645"/>
                  <wp:effectExtent l="0" t="0" r="0" b="0"/>
                  <wp:docPr id="3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82570B" w:rsidRPr="00D222D5" w:rsidTr="00C93695">
        <w:trPr>
          <w:gridAfter w:val="1"/>
          <w:wAfter w:w="142" w:type="dxa"/>
          <w:trHeight w:hRule="exact" w:val="3366"/>
        </w:trPr>
        <w:tc>
          <w:tcPr>
            <w:tcW w:w="6946" w:type="dxa"/>
            <w:tcBorders>
              <w:top w:val="single" w:sz="4" w:space="0" w:color="auto"/>
            </w:tcBorders>
          </w:tcPr>
          <w:p w:rsidR="00B73FD4" w:rsidRPr="00D222D5" w:rsidRDefault="00C93695" w:rsidP="00C93695">
            <w:pPr>
              <w:spacing w:after="0"/>
              <w:jc w:val="both"/>
              <w:rPr>
                <w:noProof/>
                <w:sz w:val="20"/>
                <w:szCs w:val="20"/>
              </w:rPr>
            </w:pPr>
            <w:r w:rsidRPr="00D222D5">
              <w:rPr>
                <w:b/>
                <w:sz w:val="20"/>
              </w:rPr>
              <w:t xml:space="preserve">U najnovijim projekcijama Evropske komisije iz oktobra značajno su smanjene projekcije ekonomskog rasta za </w:t>
            </w:r>
            <w:r w:rsidR="00760D2A" w:rsidRPr="00D222D5">
              <w:rPr>
                <w:b/>
                <w:sz w:val="20"/>
              </w:rPr>
              <w:t>period 2014-2016</w:t>
            </w:r>
            <w:r w:rsidRPr="00D222D5">
              <w:rPr>
                <w:sz w:val="20"/>
              </w:rPr>
              <w:t>. Oporavak E</w:t>
            </w:r>
            <w:r w:rsidR="0027442C" w:rsidRPr="00D222D5">
              <w:rPr>
                <w:sz w:val="20"/>
              </w:rPr>
              <w:t>U</w:t>
            </w:r>
            <w:r w:rsidRPr="00D222D5">
              <w:rPr>
                <w:sz w:val="20"/>
              </w:rPr>
              <w:t xml:space="preserve"> ekonomija je naročito slab kad se uporedi sa onim u</w:t>
            </w:r>
            <w:r w:rsidR="00F13923" w:rsidRPr="00D222D5">
              <w:rPr>
                <w:sz w:val="20"/>
              </w:rPr>
              <w:t xml:space="preserve"> ostalim razvijenim ekonomijama</w:t>
            </w:r>
            <w:r w:rsidRPr="00D222D5">
              <w:rPr>
                <w:sz w:val="20"/>
              </w:rPr>
              <w:t>, kao i sa istorijskim podacima o oporavku p</w:t>
            </w:r>
            <w:r w:rsidR="00F13923" w:rsidRPr="00D222D5">
              <w:rPr>
                <w:sz w:val="20"/>
              </w:rPr>
              <w:t xml:space="preserve">osle jakih finansijskih kriza. </w:t>
            </w:r>
            <w:r w:rsidRPr="00D222D5">
              <w:rPr>
                <w:sz w:val="20"/>
              </w:rPr>
              <w:t>Potencijalne stope rasta koje su bile niže i prije krize, a bile su posljedica slabog rasta produktivnosti, dalje su pogoršane zbog niskog nivoa investicija i pogoršanja strukturne nezaposlenosti. Nepovoljni faktori koji su uticali da ekonomije EU zabilježe niže stope rasta u 2014 su i smanjena tražnja sa kineskog tržišta i uticaj sukoba u Ukrajini. Procijenjene stope rasta za 2014</w:t>
            </w:r>
            <w:r w:rsidRPr="00D222D5">
              <w:rPr>
                <w:noProof/>
                <w:sz w:val="20"/>
                <w:szCs w:val="20"/>
              </w:rPr>
              <w:t xml:space="preserve"> </w:t>
            </w:r>
            <w:r w:rsidR="00760D2A" w:rsidRPr="00D222D5">
              <w:rPr>
                <w:noProof/>
                <w:sz w:val="20"/>
                <w:szCs w:val="20"/>
              </w:rPr>
              <w:t>u Eurozoni iznose</w:t>
            </w:r>
            <w:r w:rsidRPr="00D222D5">
              <w:rPr>
                <w:noProof/>
                <w:sz w:val="20"/>
                <w:szCs w:val="20"/>
              </w:rPr>
              <w:t xml:space="preserve"> 0,9% u 2015 1,1% i 1,7% u 2016. godini. Cijena nafte je u padu pa trenutno iznosi oko 82 barella/USD.</w:t>
            </w:r>
          </w:p>
          <w:p w:rsidR="00C93695" w:rsidRPr="00D222D5" w:rsidRDefault="00C93695" w:rsidP="00C93695">
            <w:pPr>
              <w:spacing w:after="0"/>
              <w:jc w:val="both"/>
              <w:rPr>
                <w:noProof/>
                <w:sz w:val="20"/>
                <w:szCs w:val="20"/>
              </w:rPr>
            </w:pPr>
            <w:r w:rsidRPr="00D222D5">
              <w:rPr>
                <w:noProof/>
                <w:sz w:val="20"/>
                <w:szCs w:val="20"/>
              </w:rPr>
              <w:t>Od kraja juna 2014 do oktobra cijena na</w:t>
            </w:r>
            <w:r w:rsidR="0027442C" w:rsidRPr="00D222D5">
              <w:rPr>
                <w:noProof/>
                <w:sz w:val="20"/>
                <w:szCs w:val="20"/>
              </w:rPr>
              <w:t>f</w:t>
            </w:r>
            <w:r w:rsidRPr="00D222D5">
              <w:rPr>
                <w:noProof/>
                <w:sz w:val="20"/>
                <w:szCs w:val="20"/>
              </w:rPr>
              <w:t>te je opala za preko 20%, što će biti značajan podsticaj ekonomijama zemalja koje je uvoze.</w:t>
            </w:r>
          </w:p>
          <w:p w:rsidR="00C93695" w:rsidRPr="00D222D5" w:rsidRDefault="00C93695" w:rsidP="00C93695">
            <w:pPr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</w:tcBorders>
            <w:vAlign w:val="center"/>
          </w:tcPr>
          <w:p w:rsidR="0082570B" w:rsidRPr="00D222D5" w:rsidRDefault="0082570B" w:rsidP="001D21BD">
            <w:pPr>
              <w:spacing w:after="0" w:line="240" w:lineRule="auto"/>
              <w:ind w:left="34" w:hanging="34"/>
              <w:rPr>
                <w:rFonts w:cs="Calibri"/>
                <w:noProof/>
                <w:color w:val="000000"/>
                <w:sz w:val="20"/>
                <w:szCs w:val="20"/>
              </w:rPr>
            </w:pPr>
          </w:p>
        </w:tc>
      </w:tr>
      <w:tr w:rsidR="0082570B" w:rsidRPr="00D222D5" w:rsidTr="00677E65">
        <w:trPr>
          <w:gridAfter w:val="1"/>
          <w:wAfter w:w="142" w:type="dxa"/>
          <w:trHeight w:val="215"/>
        </w:trPr>
        <w:tc>
          <w:tcPr>
            <w:tcW w:w="6946" w:type="dxa"/>
            <w:tcBorders>
              <w:bottom w:val="single" w:sz="4" w:space="0" w:color="auto"/>
            </w:tcBorders>
          </w:tcPr>
          <w:p w:rsidR="0082570B" w:rsidRPr="00D222D5" w:rsidRDefault="008A31C0" w:rsidP="00677E65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Style w:val="CaptionChar"/>
                <w:noProof/>
              </w:rPr>
            </w:pPr>
            <w:r w:rsidRPr="00D222D5">
              <w:rPr>
                <w:rStyle w:val="CaptionChar"/>
                <w:noProof/>
              </w:rPr>
              <w:t>Realni sektor</w:t>
            </w:r>
          </w:p>
        </w:tc>
        <w:tc>
          <w:tcPr>
            <w:tcW w:w="3652" w:type="dxa"/>
            <w:vMerge w:val="restart"/>
            <w:vAlign w:val="center"/>
          </w:tcPr>
          <w:p w:rsidR="0082570B" w:rsidRPr="00D222D5" w:rsidRDefault="00AE2ACA" w:rsidP="009E51BC">
            <w:pPr>
              <w:spacing w:after="0" w:line="240" w:lineRule="auto"/>
              <w:ind w:left="-250"/>
              <w:jc w:val="center"/>
              <w:rPr>
                <w:noProof/>
              </w:rPr>
            </w:pPr>
            <w:r w:rsidRPr="00D222D5">
              <w:rPr>
                <w:noProof/>
              </w:rPr>
              <w:drawing>
                <wp:inline distT="0" distB="0" distL="0" distR="0">
                  <wp:extent cx="2232000" cy="2232000"/>
                  <wp:effectExtent l="0" t="0" r="0" b="0"/>
                  <wp:docPr id="5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DE587D" w:rsidRPr="00D222D5" w:rsidTr="005157FF">
        <w:trPr>
          <w:gridAfter w:val="1"/>
          <w:wAfter w:w="142" w:type="dxa"/>
          <w:trHeight w:hRule="exact" w:val="3444"/>
        </w:trPr>
        <w:tc>
          <w:tcPr>
            <w:tcW w:w="6946" w:type="dxa"/>
            <w:tcBorders>
              <w:top w:val="single" w:sz="4" w:space="0" w:color="auto"/>
            </w:tcBorders>
          </w:tcPr>
          <w:p w:rsidR="00DE587D" w:rsidRPr="00D222D5" w:rsidRDefault="00AE2ACA" w:rsidP="00BD2B67">
            <w:pPr>
              <w:jc w:val="both"/>
              <w:rPr>
                <w:rFonts w:cs="Calibri"/>
                <w:sz w:val="18"/>
                <w:szCs w:val="18"/>
              </w:rPr>
            </w:pPr>
            <w:r w:rsidRPr="00D222D5">
              <w:rPr>
                <w:b/>
                <w:sz w:val="20"/>
                <w:szCs w:val="20"/>
              </w:rPr>
              <w:t>Industrijska proizvodnja u septembru 2014. bilježi godišnji rast, usljed rasta proizvodnje električne energije.</w:t>
            </w:r>
            <w:r w:rsidR="00760D2A" w:rsidRPr="00D222D5">
              <w:rPr>
                <w:sz w:val="20"/>
                <w:szCs w:val="20"/>
              </w:rPr>
              <w:t xml:space="preserve"> </w:t>
            </w:r>
            <w:r w:rsidRPr="00D222D5">
              <w:rPr>
                <w:sz w:val="20"/>
                <w:szCs w:val="20"/>
              </w:rPr>
              <w:t>Rast ukupne industrijske proizvodnje u septembru iznosio je 7,5% g-n-g, pri čemu rast bilježi sektor „snabdijevanje el.energijom, gasom i parom“ (51,9%), dok sektori „vađenje rude i kamena“ i „prerađivačka industrija“ bilježe pad od 45,6 i 3,2%, respektivno. Na rast proizvodnje električne energije uticala je povoljna hidromet</w:t>
            </w:r>
            <w:r w:rsidR="00760D2A" w:rsidRPr="00D222D5">
              <w:rPr>
                <w:sz w:val="20"/>
                <w:szCs w:val="20"/>
              </w:rPr>
              <w:t>eorološka situacija ali i poveća</w:t>
            </w:r>
            <w:r w:rsidRPr="00D222D5">
              <w:rPr>
                <w:sz w:val="20"/>
                <w:szCs w:val="20"/>
              </w:rPr>
              <w:t xml:space="preserve">na proizvodnja TE Pljevlja. Prerađivačka industrija bilježi pad od 3,2% g-n-g i rast od 9,3% m-n-m, pri čemu </w:t>
            </w:r>
            <w:r w:rsidR="00BD2B67" w:rsidRPr="00D222D5">
              <w:rPr>
                <w:sz w:val="20"/>
                <w:szCs w:val="20"/>
              </w:rPr>
              <w:t>proizvodnja osnovnih metala</w:t>
            </w:r>
            <w:r w:rsidRPr="00D222D5">
              <w:rPr>
                <w:sz w:val="20"/>
                <w:szCs w:val="20"/>
              </w:rPr>
              <w:t xml:space="preserve"> </w:t>
            </w:r>
            <w:r w:rsidR="00BD2B67" w:rsidRPr="00D222D5">
              <w:rPr>
                <w:sz w:val="20"/>
                <w:szCs w:val="20"/>
              </w:rPr>
              <w:t xml:space="preserve">bilježi rast </w:t>
            </w:r>
            <w:r w:rsidR="0073095F" w:rsidRPr="00D222D5">
              <w:rPr>
                <w:sz w:val="20"/>
                <w:szCs w:val="20"/>
              </w:rPr>
              <w:t>na godišnjem (14,6%) i</w:t>
            </w:r>
            <w:r w:rsidRPr="00D222D5">
              <w:rPr>
                <w:sz w:val="20"/>
                <w:szCs w:val="20"/>
              </w:rPr>
              <w:t xml:space="preserve"> mjesečnom nivou (23,2%). Crnu Goru je u septembru posjetilo 2,0% više turista g-n-g, i ostvaren rast noćenja od 1,9% g-n-g. U strukturi noćenja stranih turist</w:t>
            </w:r>
            <w:r w:rsidR="005157FF" w:rsidRPr="00D222D5">
              <w:rPr>
                <w:sz w:val="20"/>
                <w:szCs w:val="20"/>
              </w:rPr>
              <w:t xml:space="preserve">a, </w:t>
            </w:r>
            <w:r w:rsidRPr="00D222D5">
              <w:rPr>
                <w:sz w:val="20"/>
                <w:szCs w:val="20"/>
              </w:rPr>
              <w:t xml:space="preserve">turisti iz Rusije </w:t>
            </w:r>
            <w:r w:rsidR="005157FF" w:rsidRPr="00D222D5">
              <w:rPr>
                <w:sz w:val="20"/>
                <w:szCs w:val="20"/>
              </w:rPr>
              <w:t xml:space="preserve">čine </w:t>
            </w:r>
            <w:r w:rsidR="00F96E71" w:rsidRPr="00D222D5">
              <w:rPr>
                <w:sz w:val="20"/>
                <w:szCs w:val="20"/>
              </w:rPr>
              <w:t>33,4%, Srbije 19,4% i Ukrajine 11,3%</w:t>
            </w:r>
            <w:r w:rsidRPr="00D222D5">
              <w:rPr>
                <w:sz w:val="20"/>
                <w:szCs w:val="20"/>
              </w:rPr>
              <w:t xml:space="preserve">. Promet u trgovini na malo (tekuće cijene) u septembru 2014. bilježi rast </w:t>
            </w:r>
            <w:r w:rsidRPr="00D222D5">
              <w:rPr>
                <w:color w:val="000000" w:themeColor="text1"/>
                <w:sz w:val="20"/>
                <w:szCs w:val="20"/>
              </w:rPr>
              <w:t>3,5% g-n-g</w:t>
            </w:r>
            <w:r w:rsidR="00BD2B67" w:rsidRPr="00D222D5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652" w:type="dxa"/>
            <w:vMerge/>
            <w:vAlign w:val="center"/>
          </w:tcPr>
          <w:p w:rsidR="00DE587D" w:rsidRPr="00D222D5" w:rsidRDefault="00DE587D" w:rsidP="009E51BC">
            <w:pPr>
              <w:spacing w:after="119" w:line="240" w:lineRule="auto"/>
              <w:jc w:val="center"/>
              <w:rPr>
                <w:noProof/>
              </w:rPr>
            </w:pPr>
          </w:p>
        </w:tc>
      </w:tr>
      <w:tr w:rsidR="00DE587D" w:rsidRPr="00D222D5" w:rsidTr="00677E65">
        <w:trPr>
          <w:gridAfter w:val="1"/>
          <w:wAfter w:w="142" w:type="dxa"/>
          <w:trHeight w:val="215"/>
        </w:trPr>
        <w:tc>
          <w:tcPr>
            <w:tcW w:w="6946" w:type="dxa"/>
            <w:tcBorders>
              <w:bottom w:val="single" w:sz="4" w:space="0" w:color="auto"/>
            </w:tcBorders>
          </w:tcPr>
          <w:p w:rsidR="00DE587D" w:rsidRPr="00D222D5" w:rsidRDefault="00DE587D" w:rsidP="00496006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</w:pPr>
            <w:r w:rsidRPr="00D222D5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  <w:t>Cijene</w:t>
            </w:r>
          </w:p>
        </w:tc>
        <w:tc>
          <w:tcPr>
            <w:tcW w:w="3652" w:type="dxa"/>
            <w:vMerge w:val="restart"/>
            <w:vAlign w:val="center"/>
          </w:tcPr>
          <w:p w:rsidR="00DE587D" w:rsidRPr="00D222D5" w:rsidRDefault="00BE6BEE" w:rsidP="00496006">
            <w:pPr>
              <w:spacing w:after="0" w:line="240" w:lineRule="auto"/>
              <w:ind w:left="-250"/>
              <w:jc w:val="center"/>
              <w:rPr>
                <w:b/>
                <w:noProof/>
                <w:sz w:val="20"/>
                <w:szCs w:val="20"/>
              </w:rPr>
            </w:pPr>
            <w:r w:rsidRPr="00D222D5"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2232000" cy="2232000"/>
                  <wp:effectExtent l="0" t="0" r="0" b="0"/>
                  <wp:docPr id="6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DE587D" w:rsidRPr="00D222D5" w:rsidTr="00BD2B67">
        <w:trPr>
          <w:gridAfter w:val="1"/>
          <w:wAfter w:w="142" w:type="dxa"/>
          <w:trHeight w:hRule="exact" w:val="3510"/>
        </w:trPr>
        <w:tc>
          <w:tcPr>
            <w:tcW w:w="6946" w:type="dxa"/>
            <w:tcBorders>
              <w:top w:val="single" w:sz="4" w:space="0" w:color="auto"/>
              <w:bottom w:val="thinThickSmallGap" w:sz="18" w:space="0" w:color="auto"/>
            </w:tcBorders>
          </w:tcPr>
          <w:p w:rsidR="00BE6BEE" w:rsidRPr="00D222D5" w:rsidRDefault="00BE6BEE" w:rsidP="00BE6BEE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222D5">
              <w:rPr>
                <w:rFonts w:asciiTheme="minorHAnsi" w:hAnsiTheme="minorHAnsi"/>
                <w:b/>
                <w:sz w:val="20"/>
                <w:szCs w:val="20"/>
              </w:rPr>
              <w:t xml:space="preserve">Mjesečna inflacija u septembru iznosila je 0,5%, </w:t>
            </w:r>
            <w:r w:rsidR="00151155" w:rsidRPr="00D222D5">
              <w:rPr>
                <w:rFonts w:asciiTheme="minorHAnsi" w:hAnsiTheme="minorHAnsi"/>
                <w:b/>
                <w:sz w:val="20"/>
                <w:szCs w:val="20"/>
              </w:rPr>
              <w:t>dok je godišnja deflacija bila-</w:t>
            </w:r>
            <w:r w:rsidRPr="00D222D5">
              <w:rPr>
                <w:rFonts w:asciiTheme="minorHAnsi" w:hAnsiTheme="minorHAnsi"/>
                <w:b/>
                <w:sz w:val="20"/>
                <w:szCs w:val="20"/>
              </w:rPr>
              <w:t xml:space="preserve">0,7%. </w:t>
            </w:r>
            <w:r w:rsidRPr="00D222D5">
              <w:rPr>
                <w:rFonts w:asciiTheme="minorHAnsi" w:hAnsiTheme="minorHAnsi"/>
                <w:sz w:val="20"/>
                <w:szCs w:val="20"/>
              </w:rPr>
              <w:t>Pad godišnje stope inflacije u septembru je rezultat, prvenstveno, pada u grupi „hrana i bezalkoholna pića“ (1,0%, pri čemu je najveći uticaj pada cijena ulja i masti 20,6% i mlijeka, sira i jaja 2,4%) i grupi „prevoz“ (1,6%, usljed pad cijena goriva i maziva 5,0%). Najveći uticaj na mjesečnu inflaciju imale su cijene u grupi „hrana i bezalkoholna pića“ sa rastom od 0,9% i cijene u grupi „o</w:t>
            </w:r>
            <w:r w:rsidR="007335DB" w:rsidRPr="00D222D5">
              <w:rPr>
                <w:rFonts w:asciiTheme="minorHAnsi" w:hAnsiTheme="minorHAnsi"/>
                <w:sz w:val="20"/>
                <w:szCs w:val="20"/>
              </w:rPr>
              <w:t xml:space="preserve">djeća i obuća“ sa rastom 3,7%. </w:t>
            </w:r>
            <w:r w:rsidRPr="00D222D5">
              <w:rPr>
                <w:rFonts w:asciiTheme="minorHAnsi" w:hAnsiTheme="minorHAnsi"/>
                <w:sz w:val="20"/>
                <w:szCs w:val="20"/>
              </w:rPr>
              <w:t>Godišnja stopa</w:t>
            </w:r>
            <w:r w:rsidRPr="00D222D5">
              <w:rPr>
                <w:rFonts w:asciiTheme="minorHAnsi" w:hAnsiTheme="minorHAnsi"/>
                <w:b/>
                <w:sz w:val="20"/>
                <w:szCs w:val="20"/>
              </w:rPr>
              <w:t xml:space="preserve"> i</w:t>
            </w:r>
            <w:r w:rsidR="007335DB" w:rsidRPr="00D222D5">
              <w:rPr>
                <w:rFonts w:asciiTheme="minorHAnsi" w:hAnsiTheme="minorHAnsi"/>
                <w:sz w:val="20"/>
                <w:szCs w:val="20"/>
              </w:rPr>
              <w:t>nflacije</w:t>
            </w:r>
            <w:r w:rsidRPr="00D222D5">
              <w:rPr>
                <w:rFonts w:asciiTheme="minorHAnsi" w:hAnsiTheme="minorHAnsi"/>
                <w:sz w:val="20"/>
                <w:szCs w:val="20"/>
              </w:rPr>
              <w:t xml:space="preserve">, mjerena HICP-om, u septembru je iznosila -0,9%, pri čemu su najveći uticaj, u procentnim poenima, dale cijene iz grupa „gorivo i mazivo“ (-0,29 p.p), „ulja i masti“ (-0,25 p.p), „usluge smještaja“ (-0,16 p.p), „mlijeko, sir i jaja“ (-0,15 p.p) i povrće (0,14 p.p). Cijene proizvođača industrijskih proizvoda u septembru 2014. bilježe rast od 0,9 % g-n-g, dok je za period januar-septembar zabilježen pad od 0,1% g-n-g. </w:t>
            </w:r>
          </w:p>
          <w:p w:rsidR="00496006" w:rsidRPr="00D222D5" w:rsidRDefault="00496006" w:rsidP="00496006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DE587D" w:rsidRPr="00D222D5" w:rsidRDefault="00DE587D" w:rsidP="00496006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bottom w:val="thinThickSmallGap" w:sz="18" w:space="0" w:color="auto"/>
            </w:tcBorders>
            <w:vAlign w:val="center"/>
          </w:tcPr>
          <w:p w:rsidR="00DE587D" w:rsidRPr="00D222D5" w:rsidRDefault="00DE587D" w:rsidP="00496006">
            <w:pPr>
              <w:pStyle w:val="NoSpacing"/>
              <w:jc w:val="both"/>
              <w:rPr>
                <w:noProof/>
                <w:sz w:val="20"/>
                <w:szCs w:val="20"/>
              </w:rPr>
            </w:pPr>
          </w:p>
        </w:tc>
      </w:tr>
      <w:tr w:rsidR="00DE587D" w:rsidRPr="00D222D5" w:rsidTr="00677E65">
        <w:trPr>
          <w:gridAfter w:val="1"/>
          <w:wAfter w:w="142" w:type="dxa"/>
          <w:trHeight w:hRule="exact" w:val="3742"/>
        </w:trPr>
        <w:tc>
          <w:tcPr>
            <w:tcW w:w="6946" w:type="dxa"/>
            <w:tcBorders>
              <w:top w:val="single" w:sz="4" w:space="0" w:color="auto"/>
              <w:bottom w:val="thinThickSmallGap" w:sz="18" w:space="0" w:color="auto"/>
            </w:tcBorders>
          </w:tcPr>
          <w:p w:rsidR="00DE587D" w:rsidRPr="00D222D5" w:rsidRDefault="00DE587D" w:rsidP="000712B9">
            <w:pPr>
              <w:pStyle w:val="NormalWeb"/>
              <w:numPr>
                <w:ilvl w:val="0"/>
                <w:numId w:val="1"/>
              </w:numPr>
              <w:spacing w:before="0" w:beforeAutospacing="0" w:after="0"/>
              <w:ind w:left="357"/>
              <w:jc w:val="both"/>
              <w:rPr>
                <w:rFonts w:asciiTheme="minorHAnsi" w:hAnsiTheme="minorHAnsi" w:cstheme="minorHAnsi"/>
                <w:b/>
                <w:bCs/>
                <w:noProof/>
                <w:color w:val="000000"/>
                <w:sz w:val="22"/>
                <w:szCs w:val="20"/>
              </w:rPr>
            </w:pPr>
            <w:r w:rsidRPr="00D222D5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  <w:t>Zaposlenost i zarade</w:t>
            </w:r>
          </w:p>
          <w:p w:rsidR="00172053" w:rsidRPr="00D222D5" w:rsidRDefault="00760D2A" w:rsidP="00760D2A">
            <w:pPr>
              <w:pBdr>
                <w:top w:val="single" w:sz="4" w:space="1" w:color="auto"/>
              </w:pBdr>
              <w:jc w:val="both"/>
              <w:rPr>
                <w:sz w:val="18"/>
                <w:szCs w:val="18"/>
              </w:rPr>
            </w:pPr>
            <w:r w:rsidRPr="00D222D5">
              <w:rPr>
                <w:b/>
                <w:sz w:val="18"/>
                <w:szCs w:val="18"/>
              </w:rPr>
              <w:t>Tržište</w:t>
            </w:r>
            <w:r w:rsidR="00172053" w:rsidRPr="00D222D5">
              <w:rPr>
                <w:b/>
                <w:sz w:val="18"/>
                <w:szCs w:val="18"/>
              </w:rPr>
              <w:t xml:space="preserve"> rada </w:t>
            </w:r>
            <w:r w:rsidRPr="00D222D5">
              <w:rPr>
                <w:b/>
                <w:sz w:val="18"/>
                <w:szCs w:val="18"/>
              </w:rPr>
              <w:t>karakteriše</w:t>
            </w:r>
            <w:r w:rsidR="000831EE" w:rsidRPr="00D222D5">
              <w:rPr>
                <w:b/>
                <w:sz w:val="18"/>
                <w:szCs w:val="18"/>
              </w:rPr>
              <w:t xml:space="preserve"> povećanje</w:t>
            </w:r>
            <w:r w:rsidR="008B15CC" w:rsidRPr="00D222D5">
              <w:rPr>
                <w:b/>
                <w:sz w:val="18"/>
                <w:szCs w:val="18"/>
              </w:rPr>
              <w:t xml:space="preserve"> zaposlenosti, ali i povećanje</w:t>
            </w:r>
            <w:r w:rsidR="00172053" w:rsidRPr="00D222D5">
              <w:rPr>
                <w:b/>
                <w:sz w:val="18"/>
                <w:szCs w:val="18"/>
              </w:rPr>
              <w:t xml:space="preserve"> nezaposlenosti. </w:t>
            </w:r>
            <w:r w:rsidR="00172053" w:rsidRPr="00D222D5">
              <w:rPr>
                <w:sz w:val="18"/>
                <w:szCs w:val="18"/>
              </w:rPr>
              <w:t>Broj zaposlenih je u septembru 2014. iznosio 173.942 ili 0,9% više</w:t>
            </w:r>
            <w:r w:rsidR="00311142" w:rsidRPr="00D222D5">
              <w:rPr>
                <w:sz w:val="18"/>
                <w:szCs w:val="18"/>
              </w:rPr>
              <w:t xml:space="preserve"> </w:t>
            </w:r>
            <w:r w:rsidR="000831EE" w:rsidRPr="00D222D5">
              <w:rPr>
                <w:sz w:val="18"/>
                <w:szCs w:val="18"/>
              </w:rPr>
              <w:t>u periodu j</w:t>
            </w:r>
            <w:r w:rsidRPr="00D222D5">
              <w:rPr>
                <w:sz w:val="18"/>
                <w:szCs w:val="18"/>
              </w:rPr>
              <w:t>anuar-septembar</w:t>
            </w:r>
            <w:r w:rsidR="00311142" w:rsidRPr="00D222D5">
              <w:rPr>
                <w:sz w:val="18"/>
                <w:szCs w:val="18"/>
              </w:rPr>
              <w:t xml:space="preserve"> </w:t>
            </w:r>
            <w:r w:rsidR="000831EE" w:rsidRPr="00D222D5">
              <w:rPr>
                <w:rFonts w:asciiTheme="minorHAnsi" w:hAnsiTheme="minorHAnsi"/>
                <w:sz w:val="20"/>
                <w:szCs w:val="20"/>
              </w:rPr>
              <w:t>g-n-g</w:t>
            </w:r>
            <w:r w:rsidR="000831EE" w:rsidRPr="00D222D5">
              <w:rPr>
                <w:sz w:val="18"/>
                <w:szCs w:val="18"/>
              </w:rPr>
              <w:t xml:space="preserve"> </w:t>
            </w:r>
            <w:r w:rsidRPr="00D222D5">
              <w:rPr>
                <w:sz w:val="18"/>
                <w:szCs w:val="18"/>
              </w:rPr>
              <w:t>,</w:t>
            </w:r>
            <w:r w:rsidR="00172053" w:rsidRPr="00D222D5">
              <w:rPr>
                <w:sz w:val="18"/>
                <w:szCs w:val="18"/>
              </w:rPr>
              <w:t xml:space="preserve"> odnosno </w:t>
            </w:r>
            <w:r w:rsidRPr="00D222D5">
              <w:rPr>
                <w:sz w:val="18"/>
                <w:szCs w:val="18"/>
              </w:rPr>
              <w:t xml:space="preserve">pad od </w:t>
            </w:r>
            <w:r w:rsidR="00172053" w:rsidRPr="00D222D5">
              <w:rPr>
                <w:sz w:val="18"/>
                <w:szCs w:val="18"/>
              </w:rPr>
              <w:t>2,6%</w:t>
            </w:r>
            <w:r w:rsidR="00311142" w:rsidRPr="00D222D5">
              <w:rPr>
                <w:sz w:val="18"/>
                <w:szCs w:val="18"/>
              </w:rPr>
              <w:t xml:space="preserve"> </w:t>
            </w:r>
            <w:r w:rsidR="000831EE" w:rsidRPr="00D222D5">
              <w:rPr>
                <w:rFonts w:asciiTheme="minorHAnsi" w:hAnsiTheme="minorHAnsi"/>
                <w:sz w:val="20"/>
                <w:szCs w:val="20"/>
              </w:rPr>
              <w:t>m-n-m</w:t>
            </w:r>
            <w:r w:rsidR="000831EE" w:rsidRPr="00D222D5">
              <w:rPr>
                <w:sz w:val="18"/>
                <w:szCs w:val="18"/>
              </w:rPr>
              <w:t xml:space="preserve">, </w:t>
            </w:r>
            <w:r w:rsidR="00470C83" w:rsidRPr="00D222D5">
              <w:rPr>
                <w:sz w:val="18"/>
                <w:szCs w:val="18"/>
              </w:rPr>
              <w:t>dok je b</w:t>
            </w:r>
            <w:r w:rsidR="000831EE" w:rsidRPr="00D222D5">
              <w:rPr>
                <w:sz w:val="18"/>
                <w:szCs w:val="18"/>
              </w:rPr>
              <w:t>roj nezaposlenih</w:t>
            </w:r>
            <w:r w:rsidR="00311142" w:rsidRPr="00D222D5">
              <w:rPr>
                <w:sz w:val="18"/>
                <w:szCs w:val="18"/>
              </w:rPr>
              <w:t xml:space="preserve"> </w:t>
            </w:r>
            <w:r w:rsidR="00172053" w:rsidRPr="00D222D5">
              <w:rPr>
                <w:sz w:val="18"/>
                <w:szCs w:val="18"/>
              </w:rPr>
              <w:t>iznosio 31.</w:t>
            </w:r>
            <w:r w:rsidR="00470C83" w:rsidRPr="00D222D5">
              <w:rPr>
                <w:sz w:val="18"/>
                <w:szCs w:val="18"/>
              </w:rPr>
              <w:t>584 ili 4,4% vi</w:t>
            </w:r>
            <w:r w:rsidR="00172053" w:rsidRPr="00D222D5">
              <w:rPr>
                <w:sz w:val="18"/>
                <w:szCs w:val="18"/>
              </w:rPr>
              <w:t>še</w:t>
            </w:r>
            <w:r w:rsidR="00311142" w:rsidRPr="00D222D5">
              <w:rPr>
                <w:sz w:val="18"/>
                <w:szCs w:val="18"/>
              </w:rPr>
              <w:t xml:space="preserve"> </w:t>
            </w:r>
            <w:r w:rsidR="000831EE" w:rsidRPr="00D222D5">
              <w:rPr>
                <w:rFonts w:asciiTheme="minorHAnsi" w:hAnsiTheme="minorHAnsi"/>
                <w:sz w:val="20"/>
                <w:szCs w:val="20"/>
              </w:rPr>
              <w:t>g-n-g</w:t>
            </w:r>
            <w:r w:rsidR="00F45FFE" w:rsidRPr="00D222D5">
              <w:rPr>
                <w:sz w:val="18"/>
                <w:szCs w:val="18"/>
              </w:rPr>
              <w:t>,</w:t>
            </w:r>
            <w:r w:rsidR="00172053" w:rsidRPr="00D222D5">
              <w:rPr>
                <w:sz w:val="18"/>
                <w:szCs w:val="18"/>
              </w:rPr>
              <w:t xml:space="preserve"> odnosno 1,3% više nego u prethodnom mjesecu. </w:t>
            </w:r>
            <w:r w:rsidR="000831EE" w:rsidRPr="00D222D5">
              <w:rPr>
                <w:b/>
                <w:sz w:val="18"/>
                <w:szCs w:val="18"/>
              </w:rPr>
              <w:t>Stopa</w:t>
            </w:r>
            <w:r w:rsidR="00172053" w:rsidRPr="00D222D5">
              <w:rPr>
                <w:b/>
                <w:sz w:val="18"/>
                <w:szCs w:val="18"/>
              </w:rPr>
              <w:t xml:space="preserve"> nezaposleno</w:t>
            </w:r>
            <w:r w:rsidR="000831EE" w:rsidRPr="00D222D5">
              <w:rPr>
                <w:b/>
                <w:sz w:val="18"/>
                <w:szCs w:val="18"/>
              </w:rPr>
              <w:t>sti u septembru 2014. je iznosila</w:t>
            </w:r>
            <w:r w:rsidR="00172053" w:rsidRPr="00D222D5">
              <w:rPr>
                <w:b/>
                <w:sz w:val="18"/>
                <w:szCs w:val="18"/>
              </w:rPr>
              <w:t xml:space="preserve"> 13,6%, što je više u odnosu na septembar </w:t>
            </w:r>
            <w:r w:rsidR="000831EE" w:rsidRPr="00D222D5">
              <w:rPr>
                <w:b/>
                <w:sz w:val="18"/>
                <w:szCs w:val="18"/>
              </w:rPr>
              <w:t>2013. kada je bila</w:t>
            </w:r>
            <w:r w:rsidR="00172053" w:rsidRPr="00D222D5">
              <w:rPr>
                <w:b/>
                <w:sz w:val="18"/>
                <w:szCs w:val="18"/>
              </w:rPr>
              <w:t xml:space="preserve"> 13,3%.</w:t>
            </w:r>
            <w:r w:rsidR="00172053" w:rsidRPr="00D222D5">
              <w:rPr>
                <w:sz w:val="18"/>
                <w:szCs w:val="18"/>
              </w:rPr>
              <w:t xml:space="preserve"> I dalje je prisutan visok rast broja visokoškolaca koji prvi put traže zaposlenje. </w:t>
            </w:r>
            <w:r w:rsidR="00CF3173" w:rsidRPr="00D222D5">
              <w:rPr>
                <w:sz w:val="18"/>
                <w:szCs w:val="18"/>
              </w:rPr>
              <w:t>Broj o</w:t>
            </w:r>
            <w:r w:rsidR="00172053" w:rsidRPr="00D222D5">
              <w:rPr>
                <w:sz w:val="18"/>
                <w:szCs w:val="18"/>
              </w:rPr>
              <w:t>glašenih slobodnih radnih mj</w:t>
            </w:r>
            <w:r w:rsidR="00F45FFE" w:rsidRPr="00D222D5">
              <w:rPr>
                <w:sz w:val="18"/>
                <w:szCs w:val="18"/>
              </w:rPr>
              <w:t>esta za devet mjeseci 2014. bio</w:t>
            </w:r>
            <w:r w:rsidR="00172053" w:rsidRPr="00D222D5">
              <w:rPr>
                <w:sz w:val="18"/>
                <w:szCs w:val="18"/>
              </w:rPr>
              <w:t xml:space="preserve"> je 30.306 ili 148,0% više nego u istom periodu 2013, dok je broj izdatih radnih dozvol</w:t>
            </w:r>
            <w:r w:rsidR="00CF3173" w:rsidRPr="00D222D5">
              <w:rPr>
                <w:sz w:val="18"/>
                <w:szCs w:val="18"/>
              </w:rPr>
              <w:t>a strancima iznosio</w:t>
            </w:r>
            <w:r w:rsidR="00311142" w:rsidRPr="00D222D5">
              <w:rPr>
                <w:sz w:val="18"/>
                <w:szCs w:val="18"/>
              </w:rPr>
              <w:t xml:space="preserve"> </w:t>
            </w:r>
            <w:r w:rsidR="00172053" w:rsidRPr="00D222D5">
              <w:rPr>
                <w:sz w:val="18"/>
                <w:szCs w:val="18"/>
              </w:rPr>
              <w:t>19.025 ili 0,6% manje</w:t>
            </w:r>
            <w:r w:rsidR="00311142" w:rsidRPr="00D222D5">
              <w:rPr>
                <w:sz w:val="18"/>
                <w:szCs w:val="18"/>
              </w:rPr>
              <w:t xml:space="preserve"> </w:t>
            </w:r>
            <w:r w:rsidR="00CF3173" w:rsidRPr="00D222D5">
              <w:rPr>
                <w:rFonts w:asciiTheme="minorHAnsi" w:hAnsiTheme="minorHAnsi"/>
                <w:sz w:val="20"/>
                <w:szCs w:val="20"/>
              </w:rPr>
              <w:t>g-n-g</w:t>
            </w:r>
            <w:r w:rsidR="00CF3173" w:rsidRPr="00D222D5">
              <w:rPr>
                <w:sz w:val="18"/>
                <w:szCs w:val="18"/>
              </w:rPr>
              <w:t xml:space="preserve"> </w:t>
            </w:r>
            <w:r w:rsidR="00172053" w:rsidRPr="00D222D5">
              <w:rPr>
                <w:sz w:val="18"/>
                <w:szCs w:val="18"/>
              </w:rPr>
              <w:t xml:space="preserve">. </w:t>
            </w:r>
            <w:r w:rsidR="00172053" w:rsidRPr="00D222D5">
              <w:rPr>
                <w:b/>
                <w:sz w:val="18"/>
                <w:szCs w:val="18"/>
              </w:rPr>
              <w:t>Prosječna zarada u septembru je iznosila 722</w:t>
            </w:r>
            <w:r w:rsidR="00172053" w:rsidRPr="00D222D5">
              <w:rPr>
                <w:sz w:val="18"/>
                <w:szCs w:val="18"/>
              </w:rPr>
              <w:t xml:space="preserve">€ i bila je veća </w:t>
            </w:r>
            <w:r w:rsidR="00900139" w:rsidRPr="00D222D5">
              <w:rPr>
                <w:sz w:val="18"/>
                <w:szCs w:val="18"/>
              </w:rPr>
              <w:t>za 0,6% u odnosu na avgust 2014,</w:t>
            </w:r>
            <w:r w:rsidR="00172053" w:rsidRPr="00D222D5">
              <w:rPr>
                <w:sz w:val="18"/>
                <w:szCs w:val="18"/>
              </w:rPr>
              <w:t xml:space="preserve"> a za 0,4% manja</w:t>
            </w:r>
            <w:r w:rsidR="00311142" w:rsidRPr="00D222D5">
              <w:rPr>
                <w:sz w:val="18"/>
                <w:szCs w:val="18"/>
              </w:rPr>
              <w:t xml:space="preserve"> </w:t>
            </w:r>
            <w:r w:rsidR="00F45FFE" w:rsidRPr="00D222D5">
              <w:rPr>
                <w:rFonts w:asciiTheme="minorHAnsi" w:hAnsiTheme="minorHAnsi"/>
                <w:sz w:val="20"/>
                <w:szCs w:val="20"/>
              </w:rPr>
              <w:t>g-n-g</w:t>
            </w:r>
            <w:r w:rsidR="00F45FFE" w:rsidRPr="00D222D5">
              <w:rPr>
                <w:sz w:val="18"/>
                <w:szCs w:val="18"/>
              </w:rPr>
              <w:t xml:space="preserve"> </w:t>
            </w:r>
            <w:r w:rsidR="00172053" w:rsidRPr="00D222D5">
              <w:rPr>
                <w:sz w:val="18"/>
                <w:szCs w:val="18"/>
              </w:rPr>
              <w:t xml:space="preserve">. Prosječna neto zarada je iznosila 476€ ili </w:t>
            </w:r>
            <w:r w:rsidR="00F45FFE" w:rsidRPr="00D222D5">
              <w:rPr>
                <w:sz w:val="18"/>
                <w:szCs w:val="18"/>
              </w:rPr>
              <w:t>0</w:t>
            </w:r>
            <w:r w:rsidR="00172053" w:rsidRPr="00D222D5">
              <w:rPr>
                <w:sz w:val="18"/>
                <w:szCs w:val="18"/>
              </w:rPr>
              <w:t>,6% više nego u avgustu 2014. dok je. 0,6% manja</w:t>
            </w:r>
            <w:r w:rsidR="00311142" w:rsidRPr="00D222D5">
              <w:rPr>
                <w:sz w:val="18"/>
                <w:szCs w:val="18"/>
              </w:rPr>
              <w:t xml:space="preserve"> </w:t>
            </w:r>
            <w:r w:rsidR="00F45FFE" w:rsidRPr="00D222D5">
              <w:rPr>
                <w:rFonts w:asciiTheme="minorHAnsi" w:hAnsiTheme="minorHAnsi"/>
                <w:sz w:val="20"/>
                <w:szCs w:val="20"/>
              </w:rPr>
              <w:t>g-n-g</w:t>
            </w:r>
            <w:r w:rsidR="00172053" w:rsidRPr="00D222D5">
              <w:rPr>
                <w:sz w:val="18"/>
                <w:szCs w:val="18"/>
              </w:rPr>
              <w:t xml:space="preserve">. Neto zarada je </w:t>
            </w:r>
            <w:r w:rsidR="00172053" w:rsidRPr="00D222D5">
              <w:rPr>
                <w:b/>
                <w:sz w:val="18"/>
                <w:szCs w:val="18"/>
              </w:rPr>
              <w:t>realno</w:t>
            </w:r>
            <w:r w:rsidR="00172053" w:rsidRPr="00D222D5">
              <w:rPr>
                <w:sz w:val="18"/>
                <w:szCs w:val="18"/>
              </w:rPr>
              <w:t xml:space="preserve"> povećana 0,3%</w:t>
            </w:r>
            <w:r w:rsidR="00311142" w:rsidRPr="00D222D5">
              <w:rPr>
                <w:sz w:val="18"/>
                <w:szCs w:val="18"/>
              </w:rPr>
              <w:t xml:space="preserve"> </w:t>
            </w:r>
            <w:r w:rsidR="00F45FFE" w:rsidRPr="00D222D5">
              <w:rPr>
                <w:rFonts w:asciiTheme="minorHAnsi" w:hAnsiTheme="minorHAnsi"/>
                <w:sz w:val="20"/>
                <w:szCs w:val="20"/>
              </w:rPr>
              <w:t>g-n-g</w:t>
            </w:r>
            <w:r w:rsidR="00F45FFE" w:rsidRPr="00D222D5">
              <w:rPr>
                <w:sz w:val="18"/>
                <w:szCs w:val="18"/>
              </w:rPr>
              <w:t>,</w:t>
            </w:r>
            <w:r w:rsidR="00172053" w:rsidRPr="00D222D5">
              <w:rPr>
                <w:sz w:val="18"/>
                <w:szCs w:val="18"/>
              </w:rPr>
              <w:t xml:space="preserve"> dok je u septembru 2014 u odnosu na avgust 2014. povećana za 0,1%.</w:t>
            </w:r>
          </w:p>
          <w:p w:rsidR="00DE587D" w:rsidRPr="00D222D5" w:rsidRDefault="00DE587D" w:rsidP="00242535">
            <w:pPr>
              <w:pStyle w:val="NormalWeb"/>
              <w:pBdr>
                <w:top w:val="single" w:sz="4" w:space="1" w:color="auto"/>
              </w:pBdr>
              <w:spacing w:before="0" w:beforeAutospacing="0" w:after="0"/>
              <w:jc w:val="both"/>
              <w:rPr>
                <w:rFonts w:ascii="Calibri" w:eastAsia="PMingLiU" w:hAnsi="Calibri" w:cs="Calibri"/>
                <w:sz w:val="20"/>
                <w:szCs w:val="20"/>
                <w:lang w:eastAsia="zh-TW"/>
              </w:rPr>
            </w:pPr>
          </w:p>
        </w:tc>
        <w:tc>
          <w:tcPr>
            <w:tcW w:w="3652" w:type="dxa"/>
            <w:tcBorders>
              <w:bottom w:val="thinThickSmallGap" w:sz="18" w:space="0" w:color="auto"/>
            </w:tcBorders>
            <w:vAlign w:val="center"/>
          </w:tcPr>
          <w:p w:rsidR="00DE587D" w:rsidRPr="00D222D5" w:rsidRDefault="007720D7" w:rsidP="00DE587D">
            <w:pPr>
              <w:pStyle w:val="NoSpacing"/>
              <w:jc w:val="center"/>
              <w:rPr>
                <w:noProof/>
                <w:sz w:val="20"/>
                <w:szCs w:val="20"/>
              </w:rPr>
            </w:pPr>
            <w:r w:rsidRPr="00D222D5">
              <w:rPr>
                <w:noProof/>
                <w:sz w:val="20"/>
                <w:szCs w:val="20"/>
                <w:lang w:eastAsia="en-US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151130</wp:posOffset>
                  </wp:positionH>
                  <wp:positionV relativeFrom="margin">
                    <wp:posOffset>78740</wp:posOffset>
                  </wp:positionV>
                  <wp:extent cx="2725420" cy="2206625"/>
                  <wp:effectExtent l="0" t="0" r="0" b="0"/>
                  <wp:wrapSquare wrapText="bothSides"/>
                  <wp:docPr id="10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anchor>
              </w:drawing>
            </w:r>
          </w:p>
        </w:tc>
      </w:tr>
      <w:tr w:rsidR="00DE587D" w:rsidRPr="00D222D5" w:rsidTr="00F45FFE">
        <w:trPr>
          <w:trHeight w:hRule="exact" w:val="4044"/>
        </w:trPr>
        <w:tc>
          <w:tcPr>
            <w:tcW w:w="6946" w:type="dxa"/>
            <w:tcBorders>
              <w:bottom w:val="thinThickSmallGap" w:sz="18" w:space="0" w:color="auto"/>
            </w:tcBorders>
          </w:tcPr>
          <w:p w:rsidR="00DE587D" w:rsidRPr="00D222D5" w:rsidRDefault="00DE587D" w:rsidP="003A6A2F">
            <w:pPr>
              <w:pStyle w:val="NormalWeb"/>
              <w:numPr>
                <w:ilvl w:val="0"/>
                <w:numId w:val="1"/>
              </w:numPr>
              <w:pBdr>
                <w:bottom w:val="single" w:sz="4" w:space="1" w:color="auto"/>
              </w:pBdr>
              <w:spacing w:before="0" w:beforeAutospacing="0" w:after="0"/>
              <w:ind w:left="357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</w:pPr>
            <w:r w:rsidRPr="00D222D5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  <w:lastRenderedPageBreak/>
              <w:t>Javne finansije</w:t>
            </w:r>
          </w:p>
          <w:p w:rsidR="00F86085" w:rsidRPr="00311E82" w:rsidRDefault="00F86085" w:rsidP="00F86085">
            <w:pPr>
              <w:jc w:val="both"/>
              <w:rPr>
                <w:rFonts w:cs="Calibri"/>
                <w:sz w:val="20"/>
                <w:szCs w:val="20"/>
              </w:rPr>
            </w:pPr>
            <w:r w:rsidRPr="00311E82">
              <w:rPr>
                <w:rFonts w:cs="Calibri"/>
                <w:b/>
                <w:sz w:val="20"/>
                <w:szCs w:val="20"/>
              </w:rPr>
              <w:t xml:space="preserve">Izvorni prihodi budžeta Crne Gore </w:t>
            </w:r>
            <w:r w:rsidRPr="00311E82">
              <w:rPr>
                <w:rFonts w:cs="Calibri"/>
                <w:sz w:val="20"/>
                <w:szCs w:val="20"/>
              </w:rPr>
              <w:t xml:space="preserve">u septembru 2014. ostvareni su u iznosu od 117,8 mil.€ što je za </w:t>
            </w:r>
            <w:r w:rsidR="008B15CC" w:rsidRPr="00311E82">
              <w:rPr>
                <w:rFonts w:cs="Calibri"/>
                <w:sz w:val="20"/>
                <w:szCs w:val="20"/>
              </w:rPr>
              <w:t>0,7</w:t>
            </w:r>
            <w:r w:rsidRPr="00311E82">
              <w:rPr>
                <w:rFonts w:cs="Calibri"/>
                <w:sz w:val="20"/>
                <w:szCs w:val="20"/>
              </w:rPr>
              <w:t xml:space="preserve"> % više u odnosu na septembar 2013.</w:t>
            </w:r>
            <w:r w:rsidR="00F45FFE" w:rsidRPr="00311E82">
              <w:rPr>
                <w:rFonts w:cs="Calibri"/>
                <w:sz w:val="20"/>
                <w:szCs w:val="20"/>
              </w:rPr>
              <w:t xml:space="preserve"> </w:t>
            </w:r>
            <w:r w:rsidRPr="00311E82">
              <w:rPr>
                <w:rFonts w:cs="Calibri"/>
                <w:sz w:val="20"/>
                <w:szCs w:val="20"/>
              </w:rPr>
              <w:t>Naplata prihoda u periodu januar-s</w:t>
            </w:r>
            <w:r w:rsidR="00DF6A28" w:rsidRPr="00311E82">
              <w:rPr>
                <w:rFonts w:cs="Calibri"/>
                <w:sz w:val="20"/>
                <w:szCs w:val="20"/>
              </w:rPr>
              <w:t xml:space="preserve">eptembar ove godine viša je za </w:t>
            </w:r>
            <w:r w:rsidRPr="00311E82">
              <w:rPr>
                <w:rFonts w:cs="Calibri"/>
                <w:sz w:val="20"/>
                <w:szCs w:val="20"/>
              </w:rPr>
              <w:t>6,</w:t>
            </w:r>
            <w:r w:rsidR="0034681A" w:rsidRPr="00311E82">
              <w:rPr>
                <w:rFonts w:cs="Calibri"/>
                <w:sz w:val="20"/>
                <w:szCs w:val="20"/>
              </w:rPr>
              <w:t>4</w:t>
            </w:r>
            <w:r w:rsidRPr="00311E82">
              <w:rPr>
                <w:rFonts w:cs="Calibri"/>
                <w:sz w:val="20"/>
                <w:szCs w:val="20"/>
              </w:rPr>
              <w:t>% u odnosu na isti period prošle godine. Priho</w:t>
            </w:r>
            <w:r w:rsidR="00DF6A28" w:rsidRPr="00311E82">
              <w:rPr>
                <w:rFonts w:cs="Calibri"/>
                <w:sz w:val="20"/>
                <w:szCs w:val="20"/>
              </w:rPr>
              <w:t>di po osnovu PDV-a bilježe rast</w:t>
            </w:r>
            <w:r w:rsidRPr="00311E82">
              <w:rPr>
                <w:rFonts w:cs="Calibri"/>
                <w:sz w:val="20"/>
                <w:szCs w:val="20"/>
              </w:rPr>
              <w:t xml:space="preserve"> od 21,2 % kao i naplata carina za 8,0% u odnosu na isti mjesec prošle godine. </w:t>
            </w:r>
            <w:r w:rsidRPr="00311E82">
              <w:rPr>
                <w:rFonts w:cs="Calibri"/>
                <w:b/>
                <w:sz w:val="20"/>
                <w:szCs w:val="20"/>
              </w:rPr>
              <w:t>Izdaci budžeta</w:t>
            </w:r>
            <w:r w:rsidR="00311142" w:rsidRPr="00311E82">
              <w:rPr>
                <w:rFonts w:cs="Calibri"/>
                <w:sz w:val="20"/>
                <w:szCs w:val="20"/>
              </w:rPr>
              <w:t xml:space="preserve"> u septembru 2014.</w:t>
            </w:r>
            <w:r w:rsidRPr="00311E82">
              <w:rPr>
                <w:rFonts w:cs="Calibri"/>
                <w:sz w:val="20"/>
                <w:szCs w:val="20"/>
              </w:rPr>
              <w:t xml:space="preserve"> iznosili su </w:t>
            </w:r>
            <w:r w:rsidR="00793198" w:rsidRPr="00311E82">
              <w:rPr>
                <w:rFonts w:cs="Calibri"/>
                <w:sz w:val="20"/>
                <w:szCs w:val="20"/>
              </w:rPr>
              <w:t>120</w:t>
            </w:r>
            <w:r w:rsidRPr="00311E82">
              <w:rPr>
                <w:rFonts w:cs="Calibri"/>
                <w:sz w:val="20"/>
                <w:szCs w:val="20"/>
              </w:rPr>
              <w:t>,9 mil.</w:t>
            </w:r>
            <w:r w:rsidR="00311142" w:rsidRPr="00311E82">
              <w:rPr>
                <w:rFonts w:cs="Calibri"/>
                <w:sz w:val="20"/>
                <w:szCs w:val="20"/>
              </w:rPr>
              <w:t xml:space="preserve"> </w:t>
            </w:r>
            <w:r w:rsidRPr="00311E82">
              <w:rPr>
                <w:rFonts w:cs="Calibri"/>
                <w:sz w:val="20"/>
                <w:szCs w:val="20"/>
              </w:rPr>
              <w:t xml:space="preserve">€ i </w:t>
            </w:r>
            <w:r w:rsidR="00793198" w:rsidRPr="00311E82">
              <w:rPr>
                <w:rFonts w:cs="Calibri"/>
                <w:sz w:val="20"/>
                <w:szCs w:val="20"/>
              </w:rPr>
              <w:t>veći</w:t>
            </w:r>
            <w:r w:rsidRPr="00311E82">
              <w:rPr>
                <w:rFonts w:cs="Calibri"/>
                <w:sz w:val="20"/>
                <w:szCs w:val="20"/>
              </w:rPr>
              <w:t xml:space="preserve"> su u odnosu na isti mjesec 2013. za </w:t>
            </w:r>
            <w:r w:rsidR="00793198" w:rsidRPr="00311E82">
              <w:rPr>
                <w:rFonts w:cs="Calibri"/>
                <w:sz w:val="20"/>
                <w:szCs w:val="20"/>
              </w:rPr>
              <w:t>1</w:t>
            </w:r>
            <w:r w:rsidRPr="00311E82">
              <w:rPr>
                <w:rFonts w:cs="Calibri"/>
                <w:sz w:val="20"/>
                <w:szCs w:val="20"/>
              </w:rPr>
              <w:t>,</w:t>
            </w:r>
            <w:r w:rsidR="00793198" w:rsidRPr="00311E82">
              <w:rPr>
                <w:rFonts w:cs="Calibri"/>
                <w:sz w:val="20"/>
                <w:szCs w:val="20"/>
              </w:rPr>
              <w:t>6</w:t>
            </w:r>
            <w:r w:rsidR="00311142" w:rsidRPr="00311E82">
              <w:rPr>
                <w:rFonts w:cs="Calibri"/>
                <w:sz w:val="20"/>
                <w:szCs w:val="20"/>
              </w:rPr>
              <w:t xml:space="preserve"> </w:t>
            </w:r>
            <w:r w:rsidRPr="00311E82">
              <w:rPr>
                <w:rFonts w:cs="Calibri"/>
                <w:sz w:val="20"/>
                <w:szCs w:val="20"/>
              </w:rPr>
              <w:t>mil</w:t>
            </w:r>
            <w:r w:rsidR="00311142" w:rsidRPr="00311E82">
              <w:rPr>
                <w:rFonts w:cs="Calibri"/>
                <w:sz w:val="20"/>
                <w:szCs w:val="20"/>
              </w:rPr>
              <w:t xml:space="preserve">. </w:t>
            </w:r>
            <w:r w:rsidRPr="00311E82">
              <w:rPr>
                <w:rFonts w:cs="Calibri"/>
                <w:sz w:val="20"/>
                <w:szCs w:val="20"/>
              </w:rPr>
              <w:t xml:space="preserve">€. </w:t>
            </w:r>
            <w:r w:rsidRPr="00311E82">
              <w:rPr>
                <w:rFonts w:cs="Calibri"/>
                <w:b/>
                <w:sz w:val="20"/>
                <w:szCs w:val="20"/>
              </w:rPr>
              <w:t>Deficit budžeta</w:t>
            </w:r>
            <w:r w:rsidRPr="00311E82">
              <w:rPr>
                <w:rFonts w:cs="Calibri"/>
                <w:sz w:val="20"/>
                <w:szCs w:val="20"/>
              </w:rPr>
              <w:t xml:space="preserve"> u septembru 2014. iznosio je </w:t>
            </w:r>
            <w:r w:rsidR="00793198" w:rsidRPr="00311E82">
              <w:rPr>
                <w:rFonts w:cs="Calibri"/>
                <w:sz w:val="20"/>
                <w:szCs w:val="20"/>
              </w:rPr>
              <w:t>3</w:t>
            </w:r>
            <w:r w:rsidRPr="00311E82">
              <w:rPr>
                <w:rFonts w:cs="Calibri"/>
                <w:sz w:val="20"/>
                <w:szCs w:val="20"/>
              </w:rPr>
              <w:t>,</w:t>
            </w:r>
            <w:r w:rsidR="00793198" w:rsidRPr="00311E82">
              <w:rPr>
                <w:rFonts w:cs="Calibri"/>
                <w:sz w:val="20"/>
                <w:szCs w:val="20"/>
              </w:rPr>
              <w:t>0</w:t>
            </w:r>
            <w:r w:rsidRPr="00311E82">
              <w:rPr>
                <w:rFonts w:cs="Calibri"/>
                <w:sz w:val="20"/>
                <w:szCs w:val="20"/>
              </w:rPr>
              <w:t xml:space="preserve"> mil.</w:t>
            </w:r>
            <w:r w:rsidR="00311142" w:rsidRPr="00311E82">
              <w:rPr>
                <w:rFonts w:cs="Calibri"/>
                <w:sz w:val="20"/>
                <w:szCs w:val="20"/>
              </w:rPr>
              <w:t xml:space="preserve"> </w:t>
            </w:r>
            <w:r w:rsidRPr="00311E82">
              <w:rPr>
                <w:rFonts w:cs="Calibri"/>
                <w:sz w:val="20"/>
                <w:szCs w:val="20"/>
              </w:rPr>
              <w:t>€. U</w:t>
            </w:r>
            <w:r w:rsidR="00311142" w:rsidRPr="00311E82">
              <w:rPr>
                <w:rFonts w:cs="Calibri"/>
                <w:sz w:val="20"/>
                <w:szCs w:val="20"/>
              </w:rPr>
              <w:t xml:space="preserve"> periodu januar-septembar 2014. </w:t>
            </w:r>
            <w:r w:rsidRPr="00311E82">
              <w:rPr>
                <w:rFonts w:cs="Calibri"/>
                <w:sz w:val="20"/>
                <w:szCs w:val="20"/>
              </w:rPr>
              <w:t xml:space="preserve">ostvaren je budžetski deficit od </w:t>
            </w:r>
            <w:r w:rsidR="00793198" w:rsidRPr="00311E82">
              <w:rPr>
                <w:rFonts w:cs="Calibri"/>
                <w:sz w:val="20"/>
                <w:szCs w:val="20"/>
              </w:rPr>
              <w:t>25</w:t>
            </w:r>
            <w:r w:rsidRPr="00311E82">
              <w:rPr>
                <w:rFonts w:cs="Calibri"/>
                <w:sz w:val="20"/>
                <w:szCs w:val="20"/>
              </w:rPr>
              <w:t>,</w:t>
            </w:r>
            <w:r w:rsidR="00793198" w:rsidRPr="00311E82">
              <w:rPr>
                <w:rFonts w:cs="Calibri"/>
                <w:sz w:val="20"/>
                <w:szCs w:val="20"/>
              </w:rPr>
              <w:t>1</w:t>
            </w:r>
            <w:r w:rsidRPr="00311E82">
              <w:rPr>
                <w:rFonts w:cs="Calibri"/>
                <w:sz w:val="20"/>
                <w:szCs w:val="20"/>
              </w:rPr>
              <w:t xml:space="preserve"> mil.</w:t>
            </w:r>
            <w:r w:rsidR="00311142" w:rsidRPr="00311E82">
              <w:rPr>
                <w:rFonts w:cs="Calibri"/>
                <w:sz w:val="20"/>
                <w:szCs w:val="20"/>
              </w:rPr>
              <w:t xml:space="preserve"> €. U odnosu na isti period 2013</w:t>
            </w:r>
            <w:r w:rsidRPr="00311E82">
              <w:rPr>
                <w:rFonts w:cs="Calibri"/>
                <w:sz w:val="20"/>
                <w:szCs w:val="20"/>
              </w:rPr>
              <w:t xml:space="preserve">. kumulativni deficit je niži za oko </w:t>
            </w:r>
            <w:r w:rsidR="00793198" w:rsidRPr="00311E82">
              <w:rPr>
                <w:rFonts w:cs="Calibri"/>
                <w:sz w:val="20"/>
                <w:szCs w:val="20"/>
              </w:rPr>
              <w:t>60,4</w:t>
            </w:r>
            <w:r w:rsidRPr="00311E82">
              <w:rPr>
                <w:rFonts w:cs="Calibri"/>
                <w:sz w:val="20"/>
                <w:szCs w:val="20"/>
              </w:rPr>
              <w:t xml:space="preserve"> mil. € </w:t>
            </w:r>
            <w:r w:rsidR="00793198" w:rsidRPr="00311E82">
              <w:rPr>
                <w:rFonts w:cs="Calibri"/>
                <w:sz w:val="20"/>
                <w:szCs w:val="20"/>
              </w:rPr>
              <w:t>što je posljedica visoke baze iz prošle godine</w:t>
            </w:r>
            <w:r w:rsidRPr="00311E82">
              <w:rPr>
                <w:rFonts w:cs="Calibri"/>
                <w:sz w:val="20"/>
                <w:szCs w:val="20"/>
              </w:rPr>
              <w:t xml:space="preserve">. </w:t>
            </w:r>
            <w:r w:rsidRPr="00311E82">
              <w:rPr>
                <w:rFonts w:cs="Calibri"/>
                <w:b/>
                <w:sz w:val="20"/>
                <w:szCs w:val="20"/>
              </w:rPr>
              <w:t>Državni dug</w:t>
            </w:r>
            <w:r w:rsidRPr="00311E82">
              <w:rPr>
                <w:rFonts w:cs="Calibri"/>
                <w:sz w:val="20"/>
                <w:szCs w:val="20"/>
              </w:rPr>
              <w:t xml:space="preserve"> na kraju </w:t>
            </w:r>
            <w:r w:rsidR="00734007" w:rsidRPr="00311E82">
              <w:rPr>
                <w:rFonts w:cs="Calibri"/>
                <w:sz w:val="20"/>
                <w:szCs w:val="20"/>
              </w:rPr>
              <w:t>septembra</w:t>
            </w:r>
            <w:r w:rsidRPr="00311E82">
              <w:rPr>
                <w:rFonts w:cs="Calibri"/>
                <w:sz w:val="20"/>
                <w:szCs w:val="20"/>
              </w:rPr>
              <w:t xml:space="preserve"> 2014. iznosio je </w:t>
            </w:r>
            <w:r w:rsidR="00734007" w:rsidRPr="00311E82">
              <w:rPr>
                <w:rFonts w:cs="Calibri"/>
                <w:sz w:val="20"/>
                <w:szCs w:val="20"/>
              </w:rPr>
              <w:t>1</w:t>
            </w:r>
            <w:r w:rsidRPr="00311E82">
              <w:rPr>
                <w:rFonts w:cs="Calibri"/>
                <w:sz w:val="20"/>
                <w:szCs w:val="20"/>
              </w:rPr>
              <w:t>.</w:t>
            </w:r>
            <w:r w:rsidR="00734007" w:rsidRPr="00311E82">
              <w:rPr>
                <w:rFonts w:cs="Calibri"/>
                <w:sz w:val="20"/>
                <w:szCs w:val="20"/>
              </w:rPr>
              <w:t>969</w:t>
            </w:r>
            <w:r w:rsidRPr="00311E82">
              <w:rPr>
                <w:rFonts w:cs="Calibri"/>
                <w:sz w:val="20"/>
                <w:szCs w:val="20"/>
              </w:rPr>
              <w:t>,</w:t>
            </w:r>
            <w:r w:rsidR="00734007" w:rsidRPr="00311E82">
              <w:rPr>
                <w:rFonts w:cs="Calibri"/>
                <w:sz w:val="20"/>
                <w:szCs w:val="20"/>
              </w:rPr>
              <w:t>5</w:t>
            </w:r>
            <w:r w:rsidRPr="00311E82">
              <w:rPr>
                <w:rFonts w:cs="Calibri"/>
                <w:sz w:val="20"/>
                <w:szCs w:val="20"/>
              </w:rPr>
              <w:t xml:space="preserve"> mil.</w:t>
            </w:r>
            <w:r w:rsidR="0033733A" w:rsidRPr="00311E82">
              <w:rPr>
                <w:rFonts w:cs="Calibri"/>
                <w:sz w:val="20"/>
                <w:szCs w:val="20"/>
              </w:rPr>
              <w:t xml:space="preserve"> </w:t>
            </w:r>
            <w:r w:rsidRPr="00311E82">
              <w:rPr>
                <w:rFonts w:cs="Calibri"/>
                <w:sz w:val="20"/>
                <w:szCs w:val="20"/>
              </w:rPr>
              <w:t xml:space="preserve">€, što predstavlja </w:t>
            </w:r>
            <w:r w:rsidR="0033733A" w:rsidRPr="00311E82">
              <w:rPr>
                <w:rFonts w:cs="Calibri"/>
                <w:sz w:val="20"/>
                <w:szCs w:val="20"/>
              </w:rPr>
              <w:t>58</w:t>
            </w:r>
            <w:r w:rsidRPr="00311E82">
              <w:rPr>
                <w:rFonts w:cs="Calibri"/>
                <w:sz w:val="20"/>
                <w:szCs w:val="20"/>
              </w:rPr>
              <w:t>,</w:t>
            </w:r>
            <w:r w:rsidR="0033733A" w:rsidRPr="00311E82">
              <w:rPr>
                <w:rFonts w:cs="Calibri"/>
                <w:sz w:val="20"/>
                <w:szCs w:val="20"/>
              </w:rPr>
              <w:t>0</w:t>
            </w:r>
            <w:r w:rsidRPr="00311E82">
              <w:rPr>
                <w:rFonts w:cs="Calibri"/>
                <w:sz w:val="20"/>
                <w:szCs w:val="20"/>
              </w:rPr>
              <w:t xml:space="preserve">% procijenjenog BDP-a Crne Gore i </w:t>
            </w:r>
            <w:r w:rsidR="0033733A" w:rsidRPr="00311E82">
              <w:rPr>
                <w:rFonts w:cs="Calibri"/>
                <w:sz w:val="20"/>
                <w:szCs w:val="20"/>
              </w:rPr>
              <w:t>u nivou je duga na kraju 2013. godine</w:t>
            </w:r>
            <w:r w:rsidR="00311142" w:rsidRPr="00311E82">
              <w:rPr>
                <w:rFonts w:cs="Calibri"/>
                <w:sz w:val="20"/>
                <w:szCs w:val="20"/>
              </w:rPr>
              <w:t>.</w:t>
            </w:r>
            <w:r w:rsidRPr="00311E82">
              <w:rPr>
                <w:rFonts w:cs="Calibri"/>
                <w:sz w:val="20"/>
                <w:szCs w:val="20"/>
              </w:rPr>
              <w:t xml:space="preserve"> Unutrašnji dug iznosio je </w:t>
            </w:r>
            <w:r w:rsidR="0033733A" w:rsidRPr="00311E82">
              <w:rPr>
                <w:rFonts w:cs="Calibri"/>
                <w:sz w:val="20"/>
                <w:szCs w:val="20"/>
              </w:rPr>
              <w:t>392</w:t>
            </w:r>
            <w:r w:rsidRPr="00311E82">
              <w:rPr>
                <w:rFonts w:cs="Calibri"/>
                <w:sz w:val="20"/>
                <w:szCs w:val="20"/>
              </w:rPr>
              <w:t>,</w:t>
            </w:r>
            <w:r w:rsidR="0033733A" w:rsidRPr="00311E82">
              <w:rPr>
                <w:rFonts w:cs="Calibri"/>
                <w:sz w:val="20"/>
                <w:szCs w:val="20"/>
              </w:rPr>
              <w:t>2</w:t>
            </w:r>
            <w:r w:rsidRPr="00311E82">
              <w:rPr>
                <w:rFonts w:cs="Calibri"/>
                <w:sz w:val="20"/>
                <w:szCs w:val="20"/>
              </w:rPr>
              <w:t xml:space="preserve"> mil.€, a dug prema nerezidentima 1.</w:t>
            </w:r>
            <w:r w:rsidR="0033733A" w:rsidRPr="00311E82">
              <w:rPr>
                <w:rFonts w:cs="Calibri"/>
                <w:sz w:val="20"/>
                <w:szCs w:val="20"/>
              </w:rPr>
              <w:t>572</w:t>
            </w:r>
            <w:r w:rsidRPr="00311E82">
              <w:rPr>
                <w:rFonts w:cs="Calibri"/>
                <w:sz w:val="20"/>
                <w:szCs w:val="20"/>
              </w:rPr>
              <w:t>,</w:t>
            </w:r>
            <w:r w:rsidR="0033733A" w:rsidRPr="00311E82">
              <w:rPr>
                <w:rFonts w:cs="Calibri"/>
                <w:sz w:val="20"/>
                <w:szCs w:val="20"/>
              </w:rPr>
              <w:t>7</w:t>
            </w:r>
            <w:r w:rsidRPr="00311E82">
              <w:rPr>
                <w:rFonts w:cs="Calibri"/>
                <w:sz w:val="20"/>
                <w:szCs w:val="20"/>
              </w:rPr>
              <w:t xml:space="preserve"> mil.€.</w:t>
            </w:r>
          </w:p>
          <w:p w:rsidR="00F86085" w:rsidRPr="00D222D5" w:rsidRDefault="00F86085" w:rsidP="00F86085">
            <w:pPr>
              <w:jc w:val="both"/>
              <w:rPr>
                <w:sz w:val="20"/>
                <w:szCs w:val="20"/>
              </w:rPr>
            </w:pPr>
          </w:p>
          <w:p w:rsidR="00DE587D" w:rsidRPr="00D222D5" w:rsidRDefault="00DE587D" w:rsidP="003E6360">
            <w:pPr>
              <w:spacing w:line="240" w:lineRule="auto"/>
              <w:jc w:val="both"/>
              <w:rPr>
                <w:rFonts w:cs="Calibri"/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79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DE587D" w:rsidRPr="00D222D5" w:rsidRDefault="005846E1" w:rsidP="00DE587D">
            <w:pPr>
              <w:rPr>
                <w:noProof/>
                <w:sz w:val="17"/>
                <w:szCs w:val="17"/>
                <w:lang w:eastAsia="sr-Latn-CS"/>
              </w:rPr>
            </w:pPr>
            <w:r w:rsidRPr="00D222D5">
              <w:rPr>
                <w:noProof/>
                <w:sz w:val="17"/>
                <w:szCs w:val="17"/>
              </w:rPr>
              <w:drawing>
                <wp:inline distT="0" distB="0" distL="0" distR="0">
                  <wp:extent cx="2126615" cy="2276475"/>
                  <wp:effectExtent l="0" t="0" r="0" b="0"/>
                  <wp:docPr id="8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DE587D" w:rsidRPr="00D222D5" w:rsidTr="00972CD2">
        <w:trPr>
          <w:trHeight w:hRule="exact" w:val="4539"/>
        </w:trPr>
        <w:tc>
          <w:tcPr>
            <w:tcW w:w="6946" w:type="dxa"/>
            <w:tcBorders>
              <w:bottom w:val="thinThickSmallGap" w:sz="18" w:space="0" w:color="auto"/>
            </w:tcBorders>
          </w:tcPr>
          <w:p w:rsidR="00DE587D" w:rsidRPr="00D222D5" w:rsidRDefault="00DE587D" w:rsidP="000712B9">
            <w:pPr>
              <w:pStyle w:val="NormalWeb"/>
              <w:numPr>
                <w:ilvl w:val="0"/>
                <w:numId w:val="1"/>
              </w:numPr>
              <w:spacing w:before="0" w:beforeAutospacing="0" w:after="0"/>
              <w:ind w:left="357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</w:pPr>
            <w:r w:rsidRPr="00D222D5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  <w:t>Monetarni sektor</w:t>
            </w:r>
          </w:p>
          <w:p w:rsidR="00D53E29" w:rsidRPr="00D222D5" w:rsidRDefault="00D53E29" w:rsidP="00D53E29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noProof/>
                <w:sz w:val="20"/>
                <w:szCs w:val="20"/>
              </w:rPr>
            </w:pPr>
            <w:r w:rsidRPr="00D222D5">
              <w:rPr>
                <w:b/>
                <w:noProof/>
                <w:sz w:val="20"/>
                <w:szCs w:val="20"/>
              </w:rPr>
              <w:t>U septembru je nastavljena pozitivna tendencija kretanja ukupnih depozita i kapitala, uz smanjenu kreditnu aktivnost banaka.</w:t>
            </w:r>
            <w:r w:rsidR="0065597E" w:rsidRPr="00D222D5">
              <w:rPr>
                <w:b/>
                <w:noProof/>
                <w:sz w:val="20"/>
                <w:szCs w:val="20"/>
              </w:rPr>
              <w:t xml:space="preserve"> </w:t>
            </w:r>
            <w:r w:rsidRPr="00D222D5">
              <w:rPr>
                <w:noProof/>
                <w:sz w:val="20"/>
                <w:szCs w:val="20"/>
              </w:rPr>
              <w:t xml:space="preserve">Ukupni </w:t>
            </w:r>
            <w:r w:rsidRPr="00D222D5">
              <w:rPr>
                <w:b/>
                <w:noProof/>
                <w:sz w:val="20"/>
                <w:szCs w:val="20"/>
              </w:rPr>
              <w:t>depoziti</w:t>
            </w:r>
            <w:r w:rsidRPr="00D222D5">
              <w:rPr>
                <w:noProof/>
                <w:sz w:val="20"/>
                <w:szCs w:val="20"/>
              </w:rPr>
              <w:t xml:space="preserve"> na mjesečnom nivou su ostvarili rast od 0,6% i na godiš</w:t>
            </w:r>
            <w:r w:rsidR="0065597E" w:rsidRPr="00D222D5">
              <w:rPr>
                <w:noProof/>
                <w:sz w:val="20"/>
                <w:szCs w:val="20"/>
              </w:rPr>
              <w:t xml:space="preserve">njem 4,4%. Sektor stanovništva, </w:t>
            </w:r>
            <w:r w:rsidRPr="00D222D5">
              <w:rPr>
                <w:noProof/>
                <w:sz w:val="20"/>
                <w:szCs w:val="20"/>
              </w:rPr>
              <w:t>kao najznačajniji deponent bankarskog sistema, ostvario je neto štednju od 407,3 mil.€, što je za 21,2% više u odnosu na isti mjesec prethodne godine.</w:t>
            </w:r>
            <w:r w:rsidR="0065597E" w:rsidRPr="00D222D5">
              <w:rPr>
                <w:noProof/>
                <w:sz w:val="20"/>
                <w:szCs w:val="20"/>
              </w:rPr>
              <w:t xml:space="preserve"> </w:t>
            </w:r>
            <w:r w:rsidRPr="00D222D5">
              <w:rPr>
                <w:b/>
                <w:noProof/>
                <w:sz w:val="20"/>
                <w:szCs w:val="20"/>
              </w:rPr>
              <w:t>Kreditna</w:t>
            </w:r>
            <w:r w:rsidRPr="00D222D5">
              <w:rPr>
                <w:noProof/>
                <w:sz w:val="20"/>
                <w:szCs w:val="20"/>
              </w:rPr>
              <w:t xml:space="preserve"> aktivnost nije zadovoljavajuća i limitirajući je faktor privrednog rasta.</w:t>
            </w:r>
            <w:r w:rsidR="0065597E" w:rsidRPr="00D222D5">
              <w:rPr>
                <w:noProof/>
                <w:sz w:val="20"/>
                <w:szCs w:val="20"/>
              </w:rPr>
              <w:t xml:space="preserve"> </w:t>
            </w:r>
            <w:r w:rsidRPr="00D222D5">
              <w:rPr>
                <w:noProof/>
                <w:sz w:val="20"/>
                <w:szCs w:val="20"/>
              </w:rPr>
              <w:t>Ukupno odobreni krediti</w:t>
            </w:r>
            <w:r w:rsidRPr="00D222D5">
              <w:rPr>
                <w:b/>
                <w:noProof/>
                <w:sz w:val="20"/>
                <w:szCs w:val="20"/>
              </w:rPr>
              <w:t xml:space="preserve"> </w:t>
            </w:r>
            <w:r w:rsidRPr="00D222D5">
              <w:rPr>
                <w:noProof/>
                <w:sz w:val="20"/>
                <w:szCs w:val="20"/>
              </w:rPr>
              <w:t>banaka su</w:t>
            </w:r>
            <w:r w:rsidRPr="00D222D5">
              <w:rPr>
                <w:b/>
                <w:noProof/>
                <w:sz w:val="20"/>
                <w:szCs w:val="20"/>
              </w:rPr>
              <w:t xml:space="preserve"> </w:t>
            </w:r>
            <w:r w:rsidRPr="00D222D5">
              <w:rPr>
                <w:noProof/>
                <w:sz w:val="20"/>
                <w:szCs w:val="20"/>
              </w:rPr>
              <w:t>krajem septembra iznosili</w:t>
            </w:r>
            <w:r w:rsidR="00311142" w:rsidRPr="00D222D5">
              <w:rPr>
                <w:noProof/>
                <w:sz w:val="20"/>
                <w:szCs w:val="20"/>
              </w:rPr>
              <w:t xml:space="preserve"> </w:t>
            </w:r>
            <w:r w:rsidRPr="00D222D5">
              <w:rPr>
                <w:noProof/>
                <w:sz w:val="20"/>
                <w:szCs w:val="20"/>
              </w:rPr>
              <w:t>2.443,21mil. € i smanjeni su za 0,4% na mjesečnom i 3,7% na godišnjem nivou</w:t>
            </w:r>
            <w:r w:rsidR="00425998" w:rsidRPr="00D222D5">
              <w:rPr>
                <w:noProof/>
                <w:sz w:val="20"/>
                <w:szCs w:val="20"/>
              </w:rPr>
              <w:t xml:space="preserve">. </w:t>
            </w:r>
            <w:r w:rsidRPr="00D222D5">
              <w:rPr>
                <w:noProof/>
                <w:sz w:val="20"/>
                <w:szCs w:val="20"/>
              </w:rPr>
              <w:t xml:space="preserve">Nastavak trenda smanjenja kredita i rasta depozita uticao je na poboljšanje </w:t>
            </w:r>
            <w:r w:rsidRPr="00D222D5">
              <w:rPr>
                <w:b/>
                <w:noProof/>
                <w:sz w:val="20"/>
                <w:szCs w:val="20"/>
              </w:rPr>
              <w:t>koeficijenta krediti/depoziti</w:t>
            </w:r>
            <w:r w:rsidRPr="00D222D5">
              <w:rPr>
                <w:noProof/>
                <w:sz w:val="20"/>
                <w:szCs w:val="20"/>
              </w:rPr>
              <w:t>,koji je iznosio 1,08, što je niže kako u odnosu na kraj prethodne godine</w:t>
            </w:r>
            <w:r w:rsidR="0065597E" w:rsidRPr="00D222D5">
              <w:rPr>
                <w:noProof/>
                <w:sz w:val="20"/>
                <w:szCs w:val="20"/>
              </w:rPr>
              <w:t xml:space="preserve"> </w:t>
            </w:r>
            <w:r w:rsidRPr="00D222D5">
              <w:rPr>
                <w:noProof/>
                <w:sz w:val="20"/>
                <w:szCs w:val="20"/>
              </w:rPr>
              <w:t>(1,15), tako i u odnosu na septembar 2013.godine</w:t>
            </w:r>
            <w:r w:rsidR="0065597E" w:rsidRPr="00D222D5">
              <w:rPr>
                <w:noProof/>
                <w:sz w:val="20"/>
                <w:szCs w:val="20"/>
              </w:rPr>
              <w:t xml:space="preserve"> </w:t>
            </w:r>
            <w:r w:rsidRPr="00D222D5">
              <w:rPr>
                <w:noProof/>
                <w:sz w:val="20"/>
                <w:szCs w:val="20"/>
              </w:rPr>
              <w:t xml:space="preserve">(1,17).Iako je bankarski sektor i dalje opterećen visokim iznosom </w:t>
            </w:r>
            <w:r w:rsidRPr="00D222D5">
              <w:rPr>
                <w:b/>
                <w:noProof/>
                <w:sz w:val="20"/>
                <w:szCs w:val="20"/>
              </w:rPr>
              <w:t>nekvalitetnih kredita</w:t>
            </w:r>
            <w:r w:rsidRPr="00D222D5">
              <w:rPr>
                <w:noProof/>
                <w:sz w:val="20"/>
                <w:szCs w:val="20"/>
              </w:rPr>
              <w:t>,</w:t>
            </w:r>
            <w:r w:rsidR="0065597E" w:rsidRPr="00D222D5">
              <w:rPr>
                <w:noProof/>
                <w:sz w:val="20"/>
                <w:szCs w:val="20"/>
              </w:rPr>
              <w:t xml:space="preserve"> </w:t>
            </w:r>
            <w:r w:rsidR="00D61E86" w:rsidRPr="00D222D5">
              <w:rPr>
                <w:noProof/>
                <w:sz w:val="20"/>
                <w:szCs w:val="20"/>
              </w:rPr>
              <w:t>njihov nivo je</w:t>
            </w:r>
            <w:r w:rsidRPr="00D222D5">
              <w:rPr>
                <w:noProof/>
                <w:sz w:val="20"/>
                <w:szCs w:val="20"/>
              </w:rPr>
              <w:t xml:space="preserve"> u septembru smanjen za 5,4% u odnosu na kraj prethodne godine i 9,3% na godišnjem nivou. Krajem septembra je bilo u blokadi 13.540 kompanija </w:t>
            </w:r>
            <w:r w:rsidR="00D61E86" w:rsidRPr="00D222D5">
              <w:rPr>
                <w:noProof/>
                <w:sz w:val="20"/>
                <w:szCs w:val="20"/>
              </w:rPr>
              <w:t>sa ukupnim dugom od 474,0 mil.€</w:t>
            </w:r>
            <w:r w:rsidRPr="00D222D5">
              <w:rPr>
                <w:noProof/>
                <w:sz w:val="20"/>
                <w:szCs w:val="20"/>
              </w:rPr>
              <w:t xml:space="preserve">, što je pokazatelj visoke </w:t>
            </w:r>
            <w:r w:rsidRPr="00D222D5">
              <w:rPr>
                <w:b/>
                <w:noProof/>
                <w:sz w:val="20"/>
                <w:szCs w:val="20"/>
              </w:rPr>
              <w:t>nelikvidnosti</w:t>
            </w:r>
            <w:r w:rsidRPr="00D222D5">
              <w:rPr>
                <w:noProof/>
                <w:sz w:val="20"/>
                <w:szCs w:val="20"/>
              </w:rPr>
              <w:t xml:space="preserve"> privrede.U odnosu na prethodni mjesec broj nelkividnih firmi je smanjen za 1,70% il za 234 kompanije, dok je ukupan dug povećan za 2,49%.</w:t>
            </w:r>
          </w:p>
          <w:p w:rsidR="00DE587D" w:rsidRPr="00D222D5" w:rsidRDefault="00DE587D" w:rsidP="003E6360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79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A92A57" w:rsidRPr="00D222D5" w:rsidRDefault="00A92A57" w:rsidP="00DE587D">
            <w:pPr>
              <w:rPr>
                <w:noProof/>
                <w:sz w:val="17"/>
                <w:szCs w:val="17"/>
                <w:lang w:eastAsia="sr-Latn-CS"/>
              </w:rPr>
            </w:pPr>
          </w:p>
          <w:p w:rsidR="00A92A57" w:rsidRPr="00D222D5" w:rsidRDefault="001F4118" w:rsidP="00A92A57">
            <w:pPr>
              <w:rPr>
                <w:sz w:val="17"/>
                <w:szCs w:val="17"/>
                <w:lang w:eastAsia="sr-Latn-CS"/>
              </w:rPr>
            </w:pPr>
            <w:r w:rsidRPr="00D222D5">
              <w:rPr>
                <w:noProof/>
                <w:sz w:val="17"/>
                <w:szCs w:val="17"/>
              </w:rPr>
              <w:drawing>
                <wp:inline distT="0" distB="0" distL="0" distR="0">
                  <wp:extent cx="2363666" cy="1828800"/>
                  <wp:effectExtent l="0" t="0" r="0" b="0"/>
                  <wp:docPr id="7" name="Chart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  <w:p w:rsidR="00A92A57" w:rsidRPr="00D222D5" w:rsidRDefault="00A92A57" w:rsidP="00A92A57">
            <w:pPr>
              <w:rPr>
                <w:sz w:val="17"/>
                <w:szCs w:val="17"/>
                <w:lang w:eastAsia="sr-Latn-CS"/>
              </w:rPr>
            </w:pPr>
          </w:p>
          <w:p w:rsidR="00A92A57" w:rsidRPr="00D222D5" w:rsidRDefault="00A92A57" w:rsidP="00A92A57">
            <w:pPr>
              <w:rPr>
                <w:sz w:val="17"/>
                <w:szCs w:val="17"/>
                <w:lang w:eastAsia="sr-Latn-CS"/>
              </w:rPr>
            </w:pPr>
          </w:p>
          <w:p w:rsidR="00DE587D" w:rsidRPr="00D222D5" w:rsidRDefault="00DE587D" w:rsidP="00A92A57">
            <w:pPr>
              <w:rPr>
                <w:sz w:val="17"/>
                <w:szCs w:val="17"/>
                <w:lang w:eastAsia="sr-Latn-CS"/>
              </w:rPr>
            </w:pPr>
          </w:p>
        </w:tc>
      </w:tr>
      <w:tr w:rsidR="00DE587D" w:rsidRPr="00D222D5" w:rsidTr="002977E4">
        <w:trPr>
          <w:trHeight w:hRule="exact" w:val="6245"/>
        </w:trPr>
        <w:tc>
          <w:tcPr>
            <w:tcW w:w="6946" w:type="dxa"/>
            <w:tcBorders>
              <w:bottom w:val="thinThickSmallGap" w:sz="18" w:space="0" w:color="auto"/>
            </w:tcBorders>
          </w:tcPr>
          <w:p w:rsidR="00545372" w:rsidRPr="00D222D5" w:rsidRDefault="00DE587D" w:rsidP="00D96335">
            <w:pPr>
              <w:pStyle w:val="NormalWeb"/>
              <w:numPr>
                <w:ilvl w:val="0"/>
                <w:numId w:val="1"/>
              </w:numPr>
              <w:spacing w:before="0" w:beforeAutospacing="0" w:after="0"/>
              <w:ind w:left="357"/>
              <w:jc w:val="both"/>
              <w:rPr>
                <w:rFonts w:asciiTheme="minorHAnsi" w:hAnsiTheme="minorHAnsi" w:cs="Calibri"/>
                <w:b/>
                <w:bCs/>
                <w:noProof/>
                <w:color w:val="000000"/>
                <w:sz w:val="18"/>
                <w:szCs w:val="18"/>
              </w:rPr>
            </w:pPr>
            <w:r w:rsidRPr="00D222D5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18"/>
              </w:rPr>
              <w:t xml:space="preserve">Spoljnotrgovinska razmjena </w:t>
            </w:r>
          </w:p>
          <w:p w:rsidR="003B450F" w:rsidRPr="00D222D5" w:rsidRDefault="003B450F" w:rsidP="002977E4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22D5">
              <w:rPr>
                <w:b/>
                <w:noProof/>
                <w:color w:val="000000"/>
                <w:sz w:val="20"/>
                <w:szCs w:val="18"/>
              </w:rPr>
              <w:t>Kvartalna dinamika spoljnotrgovinske razmjene</w:t>
            </w:r>
            <w:r w:rsidR="00EA1B4B" w:rsidRPr="00D222D5">
              <w:rPr>
                <w:b/>
                <w:noProof/>
                <w:color w:val="000000"/>
                <w:sz w:val="20"/>
                <w:szCs w:val="18"/>
              </w:rPr>
              <w:t xml:space="preserve"> u periodu januar–</w:t>
            </w:r>
            <w:r w:rsidRPr="00D222D5">
              <w:rPr>
                <w:b/>
                <w:noProof/>
                <w:color w:val="000000"/>
                <w:sz w:val="20"/>
                <w:szCs w:val="18"/>
              </w:rPr>
              <w:t>septembar 2014. ukazuje na opadajući trend izvoza, izuzimajući rast u trećem kvartalu,</w:t>
            </w:r>
            <w:r w:rsidR="004D6472" w:rsidRPr="00D222D5">
              <w:rPr>
                <w:b/>
                <w:noProof/>
                <w:color w:val="000000"/>
                <w:sz w:val="20"/>
                <w:szCs w:val="18"/>
              </w:rPr>
              <w:t xml:space="preserve"> usljed</w:t>
            </w:r>
            <w:r w:rsidRPr="00D222D5">
              <w:rPr>
                <w:b/>
                <w:noProof/>
                <w:color w:val="000000"/>
                <w:sz w:val="20"/>
                <w:szCs w:val="18"/>
              </w:rPr>
              <w:t xml:space="preserve"> ekonomskih problema u sektoru crne i obojene metalurgije i negativnih promjena u energetskom sektoru. </w:t>
            </w:r>
            <w:r w:rsidRPr="00D222D5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>Ukupna robna razmjena izn</w:t>
            </w:r>
            <w:r w:rsidR="00EA1B4B" w:rsidRPr="00D222D5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osila je 1.574,5 mil.€, pad od </w:t>
            </w:r>
            <w:r w:rsidRPr="00D222D5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>2,7% g-</w:t>
            </w:r>
            <w:r w:rsidR="00EA1B4B" w:rsidRPr="00D222D5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n-g. Spoljnotrgovinski deficit </w:t>
            </w:r>
            <w:r w:rsidRPr="00D222D5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>povećan</w:t>
            </w:r>
            <w:r w:rsidR="00311142" w:rsidRPr="00D222D5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 </w:t>
            </w:r>
            <w:r w:rsidRPr="00D222D5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>je za 4,3% i iznosi 1.091,9 mil.€, usljed</w:t>
            </w:r>
            <w:r w:rsidR="00311142" w:rsidRPr="00D222D5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 </w:t>
            </w:r>
            <w:r w:rsidRPr="00D222D5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>brže</w:t>
            </w:r>
            <w:r w:rsidR="00EA1B4B" w:rsidRPr="00D222D5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 dinamike pada </w:t>
            </w:r>
            <w:r w:rsidRPr="00D222D5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izvoza od uvoza roba. </w:t>
            </w:r>
            <w:r w:rsidRPr="00D222D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8"/>
              </w:rPr>
              <w:t>Ukupan izvoz</w:t>
            </w:r>
            <w:r w:rsidR="00311142" w:rsidRPr="00D222D5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 </w:t>
            </w:r>
            <w:r w:rsidRPr="00D222D5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>iznosio je 241,3 mil.€, što je za 15,4% manje g-n-g. U prvom kvartalu izvoz je bio niži za 22</w:t>
            </w:r>
            <w:r w:rsidR="00EA1B4B" w:rsidRPr="00D222D5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,2%, u drugom kvartalu slijedi </w:t>
            </w:r>
            <w:r w:rsidRPr="00D222D5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jači pad od 27,8%, dok u trećem kvartalu izvoz bilježi rast od 6,1%. </w:t>
            </w:r>
            <w:r w:rsidRPr="00D222D5">
              <w:rPr>
                <w:rFonts w:asciiTheme="minorHAnsi" w:hAnsiTheme="minorHAnsi" w:cstheme="minorHAnsi"/>
                <w:sz w:val="20"/>
                <w:szCs w:val="18"/>
              </w:rPr>
              <w:t xml:space="preserve">Na smanjenje vrijednosti izvoza najviše je uticao pad izvoza električne energije (65,0%), aluminijuma (16,0%) i gvožđa i čelika (80,0%). Na negativno kretanje izvoza električne energije uticao je pad proizvodnje (26,0%), kao posljedica visoke osnove iz prethodne godine. Smanjenje izvoza aluminijuma posljedica je niskog nivoa proizvodnje, usljed planskog isključivanja ćelija za livenje aluminijuma. Izvoz gvožđa i čelika za tri kvartala ove godine iznosio je svega 2,2 mil.€ ili 79,4% manje u odnosu na tri kvartala 2013, jer u prvih osam mjeseci nije bilo proizvodnje u Željezari Nikšić. Rast izvoza u trećem kvartalu od 6,1%, rezultat je reeksporta mesa i mesnih prerada u Bjelorusiju (17,6 mil.€). </w:t>
            </w:r>
            <w:r w:rsidRPr="00D222D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8"/>
              </w:rPr>
              <w:t xml:space="preserve">Uvoz </w:t>
            </w:r>
            <w:r w:rsidRPr="00D222D5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>robe za devet mjeseci iznosio je 1.333,2 mil.€, što je 0,1% više g–</w:t>
            </w:r>
            <w:r w:rsidR="004B533B" w:rsidRPr="00D222D5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n–g. </w:t>
            </w:r>
            <w:r w:rsidRPr="00D222D5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>Uvoz u prvom kvartalu bilježi pad (- 6,2%), u drugom zadržava nivo iz prethodne godine (0,6%), dok u trećem bilježi rast (4,0%).</w:t>
            </w:r>
            <w:r w:rsidR="007F2376" w:rsidRPr="00D222D5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 </w:t>
            </w:r>
            <w:r w:rsidR="004B533B" w:rsidRPr="00D222D5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Najveći apsolutni pad </w:t>
            </w:r>
            <w:r w:rsidRPr="00D222D5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>uvoza zabilježen je u prvom kvartalu kod kategorije ostala transportna sredstva 23,7 mil.€, visoka baza iz preth</w:t>
            </w:r>
            <w:r w:rsidR="004B533B" w:rsidRPr="00D222D5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odne godine. </w:t>
            </w:r>
            <w:r w:rsidR="00591720" w:rsidRPr="00D222D5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>Na izvoz u Srbiju</w:t>
            </w:r>
            <w:r w:rsidR="004B533B" w:rsidRPr="00D222D5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, Hrvatsku, </w:t>
            </w:r>
            <w:r w:rsidRPr="00D222D5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>Bjelorusiju i Italiju odnosilo se 56,4 % ukupnog izvoza. Na uvoz iz Srbije, Grčke, Kine i Bosne i Hercegovine odnosilo se 50,0% devetomjesečnog</w:t>
            </w:r>
            <w:r w:rsidR="00311142" w:rsidRPr="00D222D5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 </w:t>
            </w:r>
            <w:r w:rsidRPr="00D222D5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uvoza. </w:t>
            </w:r>
          </w:p>
        </w:tc>
        <w:tc>
          <w:tcPr>
            <w:tcW w:w="379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DE587D" w:rsidRPr="00D222D5" w:rsidRDefault="00B31F68" w:rsidP="00DE587D">
            <w:pPr>
              <w:jc w:val="center"/>
              <w:rPr>
                <w:noProof/>
                <w:sz w:val="17"/>
                <w:szCs w:val="17"/>
                <w:lang w:eastAsia="sr-Latn-CS"/>
              </w:rPr>
            </w:pPr>
            <w:r w:rsidRPr="00D222D5">
              <w:rPr>
                <w:noProof/>
                <w:sz w:val="17"/>
                <w:szCs w:val="17"/>
              </w:rPr>
              <w:drawing>
                <wp:inline distT="0" distB="0" distL="0" distR="0">
                  <wp:extent cx="2279600" cy="2014637"/>
                  <wp:effectExtent l="0" t="0" r="0" b="0"/>
                  <wp:docPr id="2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</w:tbl>
    <w:p w:rsidR="0082570B" w:rsidRPr="00D222D5" w:rsidRDefault="0082570B" w:rsidP="00D51C00">
      <w:pPr>
        <w:rPr>
          <w:rFonts w:asciiTheme="minorHAnsi" w:hAnsiTheme="minorHAnsi" w:cstheme="minorHAnsi"/>
          <w:sz w:val="20"/>
          <w:szCs w:val="20"/>
        </w:rPr>
        <w:sectPr w:rsidR="0082570B" w:rsidRPr="00D222D5" w:rsidSect="009C5011">
          <w:pgSz w:w="11907" w:h="16839" w:code="9"/>
          <w:pgMar w:top="720" w:right="720" w:bottom="709" w:left="720" w:header="720" w:footer="720" w:gutter="0"/>
          <w:cols w:space="720"/>
          <w:rtlGutter/>
          <w:docGrid w:linePitch="360"/>
        </w:sectPr>
      </w:pPr>
    </w:p>
    <w:p w:rsidR="002A1639" w:rsidRPr="00D222D5" w:rsidRDefault="0082570B" w:rsidP="00332574">
      <w:pPr>
        <w:jc w:val="center"/>
        <w:outlineLvl w:val="0"/>
        <w:rPr>
          <w:noProof/>
          <w:sz w:val="17"/>
          <w:szCs w:val="16"/>
        </w:rPr>
      </w:pPr>
      <w:r w:rsidRPr="00D222D5">
        <w:rPr>
          <w:noProof/>
          <w:sz w:val="17"/>
          <w:szCs w:val="16"/>
        </w:rPr>
        <w:lastRenderedPageBreak/>
        <w:t xml:space="preserve">Tabela 1: </w:t>
      </w:r>
      <w:r w:rsidRPr="00D222D5">
        <w:rPr>
          <w:b/>
          <w:bCs/>
          <w:noProof/>
          <w:sz w:val="17"/>
          <w:szCs w:val="16"/>
        </w:rPr>
        <w:t>MAKROEKONOMSKI INDIKATORI</w:t>
      </w:r>
      <w:r w:rsidRPr="00D222D5">
        <w:rPr>
          <w:noProof/>
          <w:sz w:val="17"/>
          <w:szCs w:val="16"/>
        </w:rPr>
        <w:t xml:space="preserve"> – </w:t>
      </w:r>
      <w:r w:rsidR="003E6360" w:rsidRPr="00D222D5">
        <w:rPr>
          <w:noProof/>
          <w:sz w:val="17"/>
          <w:szCs w:val="16"/>
        </w:rPr>
        <w:t>septembar</w:t>
      </w:r>
      <w:r w:rsidRPr="00D222D5">
        <w:rPr>
          <w:noProof/>
          <w:sz w:val="17"/>
          <w:szCs w:val="16"/>
        </w:rPr>
        <w:t>201</w:t>
      </w:r>
      <w:r w:rsidR="00B355D6" w:rsidRPr="00D222D5">
        <w:rPr>
          <w:noProof/>
          <w:sz w:val="17"/>
          <w:szCs w:val="16"/>
        </w:rPr>
        <w:t>4</w:t>
      </w:r>
      <w:r w:rsidRPr="00D222D5">
        <w:rPr>
          <w:noProof/>
          <w:sz w:val="17"/>
          <w:szCs w:val="16"/>
        </w:rPr>
        <w:t>.</w:t>
      </w:r>
      <w:bookmarkStart w:id="0" w:name="_GoBack"/>
      <w:bookmarkEnd w:id="0"/>
    </w:p>
    <w:p w:rsidR="0082570B" w:rsidRPr="00D222D5" w:rsidRDefault="0082570B" w:rsidP="00875C4F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tbl>
      <w:tblPr>
        <w:tblpPr w:leftFromText="180" w:rightFromText="180" w:vertAnchor="text" w:horzAnchor="margin" w:tblpY="-47"/>
        <w:tblW w:w="4916" w:type="pct"/>
        <w:tblLook w:val="04A0"/>
      </w:tblPr>
      <w:tblGrid>
        <w:gridCol w:w="3936"/>
        <w:gridCol w:w="718"/>
        <w:gridCol w:w="718"/>
        <w:gridCol w:w="869"/>
        <w:gridCol w:w="718"/>
        <w:gridCol w:w="741"/>
        <w:gridCol w:w="718"/>
        <w:gridCol w:w="718"/>
        <w:gridCol w:w="718"/>
        <w:gridCol w:w="718"/>
        <w:gridCol w:w="718"/>
        <w:gridCol w:w="718"/>
        <w:gridCol w:w="718"/>
        <w:gridCol w:w="718"/>
        <w:gridCol w:w="869"/>
        <w:gridCol w:w="808"/>
        <w:gridCol w:w="979"/>
      </w:tblGrid>
      <w:tr w:rsidR="00051B7E" w:rsidRPr="00D222D5" w:rsidTr="001964CA">
        <w:trPr>
          <w:trHeight w:val="198"/>
        </w:trPr>
        <w:tc>
          <w:tcPr>
            <w:tcW w:w="12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222D5">
              <w:rPr>
                <w:b/>
                <w:bCs/>
                <w:sz w:val="18"/>
                <w:szCs w:val="18"/>
              </w:rPr>
              <w:t>Indikatori</w:t>
            </w:r>
          </w:p>
        </w:tc>
        <w:tc>
          <w:tcPr>
            <w:tcW w:w="223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IX</w:t>
            </w:r>
          </w:p>
        </w:tc>
        <w:tc>
          <w:tcPr>
            <w:tcW w:w="223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70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XI</w:t>
            </w:r>
          </w:p>
        </w:tc>
        <w:tc>
          <w:tcPr>
            <w:tcW w:w="223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XII</w:t>
            </w:r>
          </w:p>
        </w:tc>
        <w:tc>
          <w:tcPr>
            <w:tcW w:w="230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223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23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23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23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V</w:t>
            </w:r>
          </w:p>
        </w:tc>
        <w:tc>
          <w:tcPr>
            <w:tcW w:w="223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VI</w:t>
            </w:r>
          </w:p>
        </w:tc>
        <w:tc>
          <w:tcPr>
            <w:tcW w:w="223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VII</w:t>
            </w:r>
          </w:p>
        </w:tc>
        <w:tc>
          <w:tcPr>
            <w:tcW w:w="223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VIII</w:t>
            </w:r>
          </w:p>
        </w:tc>
        <w:tc>
          <w:tcPr>
            <w:tcW w:w="223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IX</w:t>
            </w:r>
          </w:p>
        </w:tc>
        <w:tc>
          <w:tcPr>
            <w:tcW w:w="270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M-n-M</w:t>
            </w:r>
          </w:p>
        </w:tc>
        <w:tc>
          <w:tcPr>
            <w:tcW w:w="251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sep '14 / sep '13</w:t>
            </w:r>
          </w:p>
        </w:tc>
        <w:tc>
          <w:tcPr>
            <w:tcW w:w="30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jan - sep '14 / jan - sep '13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D222D5">
              <w:rPr>
                <w:b/>
                <w:bCs/>
                <w:sz w:val="18"/>
                <w:szCs w:val="18"/>
              </w:rPr>
              <w:t>REALNI SEKTOR</w:t>
            </w:r>
          </w:p>
        </w:tc>
        <w:tc>
          <w:tcPr>
            <w:tcW w:w="223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D222D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3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D222D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70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D222D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3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D222D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0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D222D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3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D222D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3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D222D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3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D222D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3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D222D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3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D222D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3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D222D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3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D222D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3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D222D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70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D222D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1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D222D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D222D5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Industrijska proizvodnja (stopa rasta)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3.00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10.50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21.40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14.50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7.40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5.70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-20.60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-27.90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-23.40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-26.40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-16.30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-12.70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7.50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10.6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7.5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-12.9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Prerađivačka industrija (stopa rasta)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6.50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22.70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28.20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48.80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39.80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20.50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18.40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-44.90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-10.90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-5.00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-24.60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-19.70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-3.20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9.3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-3.2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-3.7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Noćenja u turizmu (stopa rasta)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30.30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30.30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1.10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22.10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2.00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2.70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5.30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2.10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-4.20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-1.30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2.40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1.90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-65.9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1.9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1.3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Promet u maloprodaji (stopa rasta)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16.00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16.00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12.80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14.20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-1.90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4.90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2.50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3.10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2.60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3.90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3.50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4.30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3.50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-13.5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3.5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3.1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Vrijednost radova u gradjevinarstvu (stopa rasta)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3.8</w:t>
            </w:r>
          </w:p>
        </w:tc>
        <w:tc>
          <w:tcPr>
            <w:tcW w:w="7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27.9</w:t>
            </w:r>
          </w:p>
        </w:tc>
        <w:tc>
          <w:tcPr>
            <w:tcW w:w="6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30.3</w:t>
            </w:r>
          </w:p>
        </w:tc>
        <w:tc>
          <w:tcPr>
            <w:tcW w:w="6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3.3</w:t>
            </w:r>
          </w:p>
        </w:tc>
        <w:tc>
          <w:tcPr>
            <w:tcW w:w="6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color w:val="993300"/>
                <w:sz w:val="14"/>
                <w:szCs w:val="14"/>
              </w:rPr>
            </w:pPr>
            <w:r w:rsidRPr="00D222D5">
              <w:rPr>
                <w:color w:val="9933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color w:val="993300"/>
                <w:sz w:val="14"/>
                <w:szCs w:val="14"/>
              </w:rPr>
            </w:pPr>
            <w:r w:rsidRPr="00D222D5">
              <w:rPr>
                <w:color w:val="993300"/>
                <w:sz w:val="14"/>
                <w:szCs w:val="14"/>
              </w:rPr>
              <w:t> 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color w:val="993300"/>
                <w:sz w:val="14"/>
                <w:szCs w:val="14"/>
              </w:rPr>
            </w:pPr>
            <w:r w:rsidRPr="00D222D5">
              <w:rPr>
                <w:color w:val="993300"/>
                <w:sz w:val="14"/>
                <w:szCs w:val="14"/>
              </w:rPr>
              <w:t> 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INFLACIJA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Indeks potrošačkih cijena (stopa rasta)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1.8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0.3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-1.3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-1.2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-0.7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-0.9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Harmonizovani indeks potrošačkih cijena (stopa rasta)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1.5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0.4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-0.9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n.p.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Indeks proizvodjačkih cijena (stopa rasta)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-0.6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-1.3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-1.2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1.0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0.9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-0.1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ZAPOSLENOST I ZARADE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Zaposlenost (broj, kraj perioda)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169,044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169,044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167,607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167,173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167,616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168,805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170,177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172,202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174,917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179,774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181,408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178,558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173,942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-2.6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2.9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1.0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Broj nezaposlenih (broj, kraj perioda)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33,271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33,271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34,680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34,514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34,804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34,664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34,671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33,906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32,763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31,548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31,115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31,163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31,548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1.2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-5.2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3.5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Stopa nezaposlenosti (%)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13.3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14.3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14.9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14.9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15.0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14.9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14.9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14.6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14.1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13.6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13.4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13.4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13.6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1.5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2.3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4.3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Stopa nezaposlenosti (ARS) (%)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17.8</w:t>
            </w:r>
          </w:p>
        </w:tc>
        <w:tc>
          <w:tcPr>
            <w:tcW w:w="7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19.5</w:t>
            </w:r>
          </w:p>
        </w:tc>
        <w:tc>
          <w:tcPr>
            <w:tcW w:w="6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19.5</w:t>
            </w:r>
          </w:p>
        </w:tc>
        <w:tc>
          <w:tcPr>
            <w:tcW w:w="6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 </w:t>
            </w:r>
          </w:p>
        </w:tc>
        <w:tc>
          <w:tcPr>
            <w:tcW w:w="6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 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 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Oglašena radna mjesta (broj)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796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796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648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1,130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1,028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1,051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3,077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5,399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4,984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2,605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3,616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2,235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2,605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16.6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227.3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133.4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Prosječna mjesečna bruto zarada (u €)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721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721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728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738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726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729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720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720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726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725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713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718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722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0.1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-0.4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Prosječna mjesečna neto zarada (u €)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475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475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480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486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478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480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474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474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478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478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470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473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476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0.2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-0.8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MONETARNI SEKTOR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Ukupni krediti (kumulativ, mil. €)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2,474.5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2,474.5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2,463.9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2,411.9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2,407.9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2,415.0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2,405.0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2,386.6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2,383.1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2,376.2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2,402.7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2,453.0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2,443.2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-1.3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 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 xml:space="preserve">Ukupni krediti (stopa rasta)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2.0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4.8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5.4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3.0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-3.0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-3.7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-3.4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-3.2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-3.8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-3.3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-4.1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-3.4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-1.3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-1.3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 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Nekvalitetni krediti (kumulativ, mil €)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438.6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438.6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428.3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423.2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425.6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426.3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393.9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406.1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417.6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402.6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n.p.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422.4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400.2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n.p.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n.p.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 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Udio nekvalitetnih kredita u ukupnim kreditima (u %)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17.7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17.7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17.4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17.5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17.7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17.7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16.4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17.0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17.5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16.9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n.p.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17.2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16.4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n.p.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n.p.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 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Ukupni depoziti (kumulativ, mil €)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2,104.3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2,104.3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2,084.9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2,098.6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2,096.7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2,101.7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2,104.3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2,094.8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2,114.3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2,146.4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2,188.2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2,254.5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2,268.0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7.8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 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Ukupni depoziti (stopa rasta)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5.2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7.1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5.1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6.0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6.4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5.6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5.3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7.3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7.1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6.8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5.5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5.1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7.8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7.8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 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Krediti privredi (kumulativ, u mil €)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951.1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951.1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955.2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948.4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942.6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951.6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947.7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958.5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959.8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950.4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932.3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911.3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900.9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-1.1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-5.3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 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Krediti domaćinstvima (kumulativ, u mil €)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886.8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886.8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887.1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881.3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881.1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882.6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887.1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887.4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890.7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891.5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893.6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893.0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892.7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0.7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 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Depoziti privrede (kumulativ, u mil €)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572.8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572.8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553.9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554.8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554.0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549.6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542.8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533.0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551.7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576.4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596.1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639.4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633.5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10.6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 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Lična štednja (kumulativ, u mil €)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1,218.1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1,218.1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1,221.0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1,237.7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1,235.1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1,236.4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1,239.2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1,247.8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1,245.5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1,244.5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1,270.1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1,288.5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1,300.0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6.7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 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Kamatna stopa na kredite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9.33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9.33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9.33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9.36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9.40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9.42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9.42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9.45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9.51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9.54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9.55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9.31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9.57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0.26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0.24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 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Kamatna stopa na depozite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2.67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2.67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2.60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2.55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2.41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2.45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2.34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2.31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2.25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2.19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2.08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2.01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1.96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-0.71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 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EKSTERNI SEKTOR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Izvoz roba (u mil. €)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24.6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24.6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31.2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34.5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22.6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22.2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24.7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23.2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25.7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28.3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31.7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27.7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35.2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27.0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43.3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-14.1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Uvoz roba (u mil. €)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161.4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161.4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130.7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149.0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83.1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112.7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145.9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158.4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158.0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171.9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184.3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164.4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154.6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-6.0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-4.3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-1.0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Spoljnotrgovinski bilans (u mil €)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-136.9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-136.9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-99.6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-114.5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-60.5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-90.5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-121.2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-135.2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-132.2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-143.6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-152.6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-136.7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-119.4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-12.7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-12.8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2.4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Strane direktne investicije (mil.€)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-19.8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-19.8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12.6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55.5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17.0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28.8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32.1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17.1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29.0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39.7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26.1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n.p.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n.p.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n.p.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n.p.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n.p.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MEĐUNARODNO OKRUŽENJE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99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D222D5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Brent crude oil (USD/barel)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105.9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105.9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111.5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107.8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108.8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109.7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107.7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108.0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109.6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112.5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105.6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103.0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94.8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-7.9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-10.5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-1.2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Aluminijum (USD/T)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1,814.6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1,814.6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1,748.0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1,739.8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1,740.8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1,695.2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1,705.4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1,810.7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1,751.1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1,839.0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1,948.3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2,030.5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1,990.4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-2.0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9.7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-2.4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Euribor (12 mjeseci)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0.54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0.54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0.53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0.50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0.56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0.55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0.59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0.61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0.57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0.43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0.34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-0.09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-0.20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-0.02</w:t>
            </w:r>
          </w:p>
        </w:tc>
      </w:tr>
      <w:tr w:rsidR="00051B7E" w:rsidRPr="00D222D5" w:rsidTr="001964CA">
        <w:trPr>
          <w:trHeight w:val="198"/>
        </w:trPr>
        <w:tc>
          <w:tcPr>
            <w:tcW w:w="1222" w:type="pct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222D5">
              <w:rPr>
                <w:b/>
                <w:bCs/>
                <w:sz w:val="16"/>
                <w:szCs w:val="16"/>
              </w:rPr>
              <w:t>Inflacija u Eurozoni</w:t>
            </w:r>
          </w:p>
        </w:tc>
        <w:tc>
          <w:tcPr>
            <w:tcW w:w="223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0.7</w:t>
            </w:r>
          </w:p>
        </w:tc>
        <w:tc>
          <w:tcPr>
            <w:tcW w:w="223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0.7</w:t>
            </w:r>
          </w:p>
        </w:tc>
        <w:tc>
          <w:tcPr>
            <w:tcW w:w="270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0.9</w:t>
            </w:r>
          </w:p>
        </w:tc>
        <w:tc>
          <w:tcPr>
            <w:tcW w:w="223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0.8</w:t>
            </w:r>
          </w:p>
        </w:tc>
        <w:tc>
          <w:tcPr>
            <w:tcW w:w="230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0.8</w:t>
            </w:r>
          </w:p>
        </w:tc>
        <w:tc>
          <w:tcPr>
            <w:tcW w:w="223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0.7</w:t>
            </w:r>
          </w:p>
        </w:tc>
        <w:tc>
          <w:tcPr>
            <w:tcW w:w="223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0.5</w:t>
            </w:r>
          </w:p>
        </w:tc>
        <w:tc>
          <w:tcPr>
            <w:tcW w:w="223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0.7</w:t>
            </w:r>
          </w:p>
        </w:tc>
        <w:tc>
          <w:tcPr>
            <w:tcW w:w="223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0.5</w:t>
            </w:r>
          </w:p>
        </w:tc>
        <w:tc>
          <w:tcPr>
            <w:tcW w:w="223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0.5</w:t>
            </w:r>
          </w:p>
        </w:tc>
        <w:tc>
          <w:tcPr>
            <w:tcW w:w="223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0.4</w:t>
            </w:r>
          </w:p>
        </w:tc>
        <w:tc>
          <w:tcPr>
            <w:tcW w:w="223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0.4</w:t>
            </w:r>
          </w:p>
        </w:tc>
        <w:tc>
          <w:tcPr>
            <w:tcW w:w="223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0.3</w:t>
            </w:r>
          </w:p>
        </w:tc>
        <w:tc>
          <w:tcPr>
            <w:tcW w:w="270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-0.1</w:t>
            </w:r>
          </w:p>
        </w:tc>
        <w:tc>
          <w:tcPr>
            <w:tcW w:w="251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-0.4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  <w:vAlign w:val="center"/>
            <w:hideMark/>
          </w:tcPr>
          <w:p w:rsidR="00051B7E" w:rsidRPr="00D222D5" w:rsidRDefault="00051B7E" w:rsidP="00051B7E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D222D5">
              <w:rPr>
                <w:sz w:val="14"/>
                <w:szCs w:val="14"/>
              </w:rPr>
              <w:t>-0.9</w:t>
            </w:r>
          </w:p>
        </w:tc>
      </w:tr>
    </w:tbl>
    <w:p w:rsidR="00051B7E" w:rsidRPr="00D222D5" w:rsidRDefault="00051B7E" w:rsidP="00332574">
      <w:pPr>
        <w:spacing w:after="0" w:line="240" w:lineRule="auto"/>
        <w:outlineLvl w:val="0"/>
        <w:rPr>
          <w:b/>
          <w:i/>
          <w:noProof/>
          <w:sz w:val="16"/>
          <w:szCs w:val="16"/>
        </w:rPr>
      </w:pPr>
    </w:p>
    <w:p w:rsidR="00332574" w:rsidRPr="00D222D5" w:rsidRDefault="00332574" w:rsidP="00332574">
      <w:pPr>
        <w:spacing w:after="0" w:line="240" w:lineRule="auto"/>
        <w:outlineLvl w:val="0"/>
        <w:rPr>
          <w:b/>
          <w:i/>
          <w:noProof/>
          <w:sz w:val="16"/>
          <w:szCs w:val="16"/>
        </w:rPr>
      </w:pPr>
      <w:r w:rsidRPr="00D222D5">
        <w:rPr>
          <w:b/>
          <w:i/>
          <w:noProof/>
          <w:sz w:val="16"/>
          <w:szCs w:val="16"/>
        </w:rPr>
        <w:t>Izvor: MONSTAT, Centralna Banka, Zavod za zapošljavanje Crne Gore</w:t>
      </w:r>
    </w:p>
    <w:p w:rsidR="00332574" w:rsidRPr="00D222D5" w:rsidRDefault="00332574" w:rsidP="00332574">
      <w:pPr>
        <w:spacing w:after="0"/>
        <w:ind w:firstLine="142"/>
        <w:rPr>
          <w:i/>
          <w:iCs/>
          <w:noProof/>
          <w:sz w:val="12"/>
          <w:szCs w:val="12"/>
        </w:rPr>
      </w:pPr>
      <w:r w:rsidRPr="00D222D5">
        <w:rPr>
          <w:i/>
          <w:iCs/>
          <w:noProof/>
          <w:sz w:val="12"/>
          <w:szCs w:val="12"/>
        </w:rPr>
        <w:t>Svi indikatori su prikazani kao godišnje stope rasta (stopa promjene indikatora u posmatranom mjesecu u odnosu na isti mjesec prethodne godine u %) ukoliko nije drugačije naznačeno u nazivu</w:t>
      </w:r>
    </w:p>
    <w:p w:rsidR="0083011C" w:rsidRPr="00D222D5" w:rsidRDefault="00332574" w:rsidP="00332574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  <w:r w:rsidRPr="00D222D5">
        <w:rPr>
          <w:i/>
          <w:iCs/>
          <w:noProof/>
          <w:sz w:val="12"/>
          <w:szCs w:val="12"/>
        </w:rPr>
        <w:t>M-n-M označava mjesečnu promjenu (stopa promjene indikatora u posmatranom mjesecu u odnosu na prethodni mjesec u %)</w:t>
      </w:r>
      <w:r w:rsidR="00B012FF" w:rsidRPr="00D222D5">
        <w:rPr>
          <w:i/>
          <w:iCs/>
          <w:noProof/>
          <w:sz w:val="12"/>
          <w:szCs w:val="12"/>
        </w:rPr>
        <w:t xml:space="preserve"> </w:t>
      </w:r>
      <w:r w:rsidR="00E2362B" w:rsidRPr="00D222D5">
        <w:rPr>
          <w:i/>
          <w:iCs/>
          <w:noProof/>
          <w:sz w:val="12"/>
          <w:szCs w:val="12"/>
        </w:rPr>
        <w:t>g-n-g označava godišnju promjenu (stopa promjene indikatora u posmatranom mjesecu</w:t>
      </w:r>
      <w:r w:rsidR="000D1AA8" w:rsidRPr="00D222D5">
        <w:rPr>
          <w:i/>
          <w:iCs/>
          <w:noProof/>
          <w:sz w:val="12"/>
          <w:szCs w:val="12"/>
        </w:rPr>
        <w:t xml:space="preserve"> </w:t>
      </w:r>
      <w:r w:rsidR="00E2362B" w:rsidRPr="00D222D5">
        <w:rPr>
          <w:i/>
          <w:iCs/>
          <w:noProof/>
          <w:sz w:val="12"/>
          <w:szCs w:val="12"/>
        </w:rPr>
        <w:t>ili periodu</w:t>
      </w:r>
      <w:r w:rsidR="00311142" w:rsidRPr="00D222D5">
        <w:rPr>
          <w:i/>
          <w:iCs/>
          <w:noProof/>
          <w:sz w:val="12"/>
          <w:szCs w:val="12"/>
        </w:rPr>
        <w:t xml:space="preserve"> </w:t>
      </w:r>
      <w:r w:rsidR="00E2362B" w:rsidRPr="00D222D5">
        <w:rPr>
          <w:i/>
          <w:iCs/>
          <w:noProof/>
          <w:sz w:val="12"/>
          <w:szCs w:val="12"/>
        </w:rPr>
        <w:t>u odnosu na isti mmjesec ili periodprethodne godine u %)</w:t>
      </w:r>
    </w:p>
    <w:p w:rsidR="00CD0FEF" w:rsidRPr="00D222D5" w:rsidRDefault="00CD0FEF" w:rsidP="00332574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CD0FEF" w:rsidRPr="00D222D5" w:rsidRDefault="00CD0FEF" w:rsidP="00332574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83011C" w:rsidRPr="00D222D5" w:rsidRDefault="0083011C" w:rsidP="00332574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2916F7" w:rsidRPr="00D222D5" w:rsidRDefault="002916F7" w:rsidP="00332574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941319" w:rsidRPr="00D222D5" w:rsidRDefault="00941319" w:rsidP="00784DAE">
      <w:pPr>
        <w:spacing w:after="0" w:line="240" w:lineRule="auto"/>
        <w:ind w:firstLine="142"/>
        <w:jc w:val="center"/>
        <w:rPr>
          <w:noProof/>
          <w:sz w:val="18"/>
          <w:szCs w:val="18"/>
        </w:rPr>
      </w:pPr>
    </w:p>
    <w:p w:rsidR="00052BB7" w:rsidRPr="00D222D5" w:rsidRDefault="00052BB7" w:rsidP="00784DAE">
      <w:pPr>
        <w:spacing w:after="0" w:line="240" w:lineRule="auto"/>
        <w:ind w:firstLine="142"/>
        <w:jc w:val="center"/>
        <w:rPr>
          <w:noProof/>
          <w:sz w:val="18"/>
          <w:szCs w:val="18"/>
        </w:rPr>
      </w:pPr>
    </w:p>
    <w:p w:rsidR="002916F7" w:rsidRPr="00D222D5" w:rsidRDefault="00A30E95" w:rsidP="00784DAE">
      <w:pPr>
        <w:spacing w:after="0" w:line="240" w:lineRule="auto"/>
        <w:ind w:firstLine="142"/>
        <w:jc w:val="center"/>
        <w:rPr>
          <w:noProof/>
          <w:sz w:val="18"/>
          <w:szCs w:val="18"/>
        </w:rPr>
      </w:pPr>
      <w:r w:rsidRPr="00D222D5">
        <w:rPr>
          <w:noProof/>
          <w:sz w:val="18"/>
          <w:szCs w:val="18"/>
        </w:rPr>
        <w:t>T</w:t>
      </w:r>
      <w:r w:rsidR="00784DAE" w:rsidRPr="00D222D5">
        <w:rPr>
          <w:noProof/>
          <w:sz w:val="18"/>
          <w:szCs w:val="18"/>
        </w:rPr>
        <w:t xml:space="preserve">abela 2: </w:t>
      </w:r>
      <w:r w:rsidR="00784DAE" w:rsidRPr="00D222D5">
        <w:rPr>
          <w:b/>
          <w:bCs/>
          <w:noProof/>
          <w:sz w:val="18"/>
          <w:szCs w:val="18"/>
        </w:rPr>
        <w:t>BUDŽET CRNE GORE</w:t>
      </w:r>
      <w:r w:rsidR="00784DAE" w:rsidRPr="00D222D5">
        <w:rPr>
          <w:noProof/>
          <w:sz w:val="18"/>
          <w:szCs w:val="18"/>
        </w:rPr>
        <w:t xml:space="preserve"> –</w:t>
      </w:r>
      <w:r w:rsidR="003A6F63" w:rsidRPr="00D222D5">
        <w:rPr>
          <w:noProof/>
          <w:sz w:val="18"/>
          <w:szCs w:val="18"/>
        </w:rPr>
        <w:t xml:space="preserve"> </w:t>
      </w:r>
      <w:r w:rsidR="00303173" w:rsidRPr="00D222D5">
        <w:rPr>
          <w:noProof/>
          <w:sz w:val="18"/>
          <w:szCs w:val="18"/>
        </w:rPr>
        <w:t>septembar</w:t>
      </w:r>
      <w:r w:rsidR="009C5011" w:rsidRPr="00D222D5">
        <w:rPr>
          <w:noProof/>
          <w:sz w:val="18"/>
          <w:szCs w:val="18"/>
        </w:rPr>
        <w:t xml:space="preserve"> 2014</w:t>
      </w:r>
    </w:p>
    <w:p w:rsidR="00051B7E" w:rsidRPr="00D222D5" w:rsidRDefault="00051B7E" w:rsidP="00784DAE">
      <w:pPr>
        <w:spacing w:after="0" w:line="240" w:lineRule="auto"/>
        <w:ind w:firstLine="142"/>
        <w:jc w:val="center"/>
        <w:rPr>
          <w:noProof/>
          <w:sz w:val="18"/>
          <w:szCs w:val="18"/>
        </w:rPr>
      </w:pPr>
    </w:p>
    <w:p w:rsidR="00051B7E" w:rsidRPr="00D222D5" w:rsidRDefault="00051B7E" w:rsidP="00784DAE">
      <w:pPr>
        <w:spacing w:after="0" w:line="240" w:lineRule="auto"/>
        <w:ind w:firstLine="142"/>
        <w:jc w:val="center"/>
        <w:rPr>
          <w:noProof/>
          <w:sz w:val="18"/>
          <w:szCs w:val="18"/>
        </w:rPr>
      </w:pPr>
    </w:p>
    <w:p w:rsidR="00051B7E" w:rsidRPr="00D222D5" w:rsidRDefault="00051B7E" w:rsidP="00784DAE">
      <w:pPr>
        <w:spacing w:after="0" w:line="240" w:lineRule="auto"/>
        <w:ind w:firstLine="142"/>
        <w:jc w:val="center"/>
        <w:rPr>
          <w:i/>
          <w:iCs/>
          <w:noProof/>
          <w:sz w:val="12"/>
          <w:szCs w:val="12"/>
        </w:rPr>
      </w:pPr>
    </w:p>
    <w:tbl>
      <w:tblPr>
        <w:tblW w:w="14760" w:type="dxa"/>
        <w:tblInd w:w="85" w:type="dxa"/>
        <w:tblLook w:val="04A0"/>
      </w:tblPr>
      <w:tblGrid>
        <w:gridCol w:w="2860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  <w:gridCol w:w="700"/>
        <w:gridCol w:w="752"/>
        <w:gridCol w:w="771"/>
        <w:gridCol w:w="752"/>
      </w:tblGrid>
      <w:tr w:rsidR="000867A0" w:rsidRPr="000867A0" w:rsidTr="000867A0">
        <w:trPr>
          <w:trHeight w:val="435"/>
        </w:trPr>
        <w:tc>
          <w:tcPr>
            <w:tcW w:w="2860" w:type="dxa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867A0">
              <w:rPr>
                <w:b/>
                <w:bCs/>
                <w:sz w:val="16"/>
                <w:szCs w:val="16"/>
              </w:rPr>
              <w:t>BUDŽET CRNE GORE</w:t>
            </w:r>
          </w:p>
        </w:tc>
        <w:tc>
          <w:tcPr>
            <w:tcW w:w="2800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867A0">
              <w:rPr>
                <w:sz w:val="14"/>
                <w:szCs w:val="14"/>
              </w:rPr>
              <w:t>2013</w:t>
            </w:r>
          </w:p>
        </w:tc>
        <w:tc>
          <w:tcPr>
            <w:tcW w:w="6300" w:type="dxa"/>
            <w:gridSpan w:val="9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2014</w:t>
            </w:r>
          </w:p>
        </w:tc>
        <w:tc>
          <w:tcPr>
            <w:tcW w:w="7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plan 2014</w:t>
            </w:r>
          </w:p>
        </w:tc>
        <w:tc>
          <w:tcPr>
            <w:tcW w:w="2100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EEECE1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Analitika-SEPTEMBAR</w:t>
            </w:r>
          </w:p>
        </w:tc>
      </w:tr>
      <w:tr w:rsidR="000867A0" w:rsidRPr="000867A0" w:rsidTr="000867A0">
        <w:trPr>
          <w:trHeight w:val="750"/>
        </w:trPr>
        <w:tc>
          <w:tcPr>
            <w:tcW w:w="2860" w:type="dxa"/>
            <w:vMerge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867A0">
              <w:rPr>
                <w:sz w:val="14"/>
                <w:szCs w:val="14"/>
              </w:rPr>
              <w:t>IX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867A0">
              <w:rPr>
                <w:sz w:val="14"/>
                <w:szCs w:val="14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867A0">
              <w:rPr>
                <w:sz w:val="14"/>
                <w:szCs w:val="14"/>
              </w:rPr>
              <w:t>XI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867A0">
              <w:rPr>
                <w:sz w:val="14"/>
                <w:szCs w:val="14"/>
              </w:rPr>
              <w:t>XII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867A0">
              <w:rPr>
                <w:sz w:val="14"/>
                <w:szCs w:val="14"/>
              </w:rPr>
              <w:t>I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867A0">
              <w:rPr>
                <w:sz w:val="14"/>
                <w:szCs w:val="14"/>
              </w:rPr>
              <w:t>II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867A0">
              <w:rPr>
                <w:sz w:val="14"/>
                <w:szCs w:val="14"/>
              </w:rPr>
              <w:t>III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867A0">
              <w:rPr>
                <w:sz w:val="14"/>
                <w:szCs w:val="14"/>
              </w:rPr>
              <w:t>IV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867A0">
              <w:rPr>
                <w:sz w:val="14"/>
                <w:szCs w:val="14"/>
              </w:rPr>
              <w:t>V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867A0">
              <w:rPr>
                <w:sz w:val="14"/>
                <w:szCs w:val="14"/>
              </w:rPr>
              <w:t>VI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867A0">
              <w:rPr>
                <w:sz w:val="14"/>
                <w:szCs w:val="14"/>
              </w:rPr>
              <w:t>VII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867A0">
              <w:rPr>
                <w:sz w:val="14"/>
                <w:szCs w:val="14"/>
              </w:rPr>
              <w:t>VIII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867A0">
              <w:rPr>
                <w:sz w:val="14"/>
                <w:szCs w:val="14"/>
              </w:rPr>
              <w:t>IX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867A0">
              <w:rPr>
                <w:sz w:val="14"/>
                <w:szCs w:val="14"/>
              </w:rPr>
              <w:t>IX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867A0">
              <w:rPr>
                <w:sz w:val="14"/>
                <w:szCs w:val="14"/>
              </w:rPr>
              <w:t>sep 2014/sep 2013 (%)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867A0">
              <w:rPr>
                <w:sz w:val="14"/>
                <w:szCs w:val="14"/>
              </w:rPr>
              <w:t>jan-sep 2014/jan-sep 2013 (%)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EEECE1"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867A0">
              <w:rPr>
                <w:sz w:val="14"/>
                <w:szCs w:val="14"/>
              </w:rPr>
              <w:t>sep 2014/sep 2014 plan (%)</w:t>
            </w:r>
          </w:p>
        </w:tc>
      </w:tr>
      <w:tr w:rsidR="00D222D5" w:rsidRPr="000867A0" w:rsidTr="000867A0">
        <w:trPr>
          <w:trHeight w:val="330"/>
        </w:trPr>
        <w:tc>
          <w:tcPr>
            <w:tcW w:w="28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867A0">
              <w:rPr>
                <w:b/>
                <w:bCs/>
                <w:sz w:val="18"/>
                <w:szCs w:val="18"/>
              </w:rPr>
              <w:t>IZVORNI PRIHODI, od čega:</w:t>
            </w:r>
          </w:p>
        </w:tc>
        <w:tc>
          <w:tcPr>
            <w:tcW w:w="69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867A0">
              <w:rPr>
                <w:b/>
                <w:bCs/>
                <w:sz w:val="16"/>
                <w:szCs w:val="16"/>
              </w:rPr>
              <w:t>117,13</w:t>
            </w:r>
          </w:p>
        </w:tc>
        <w:tc>
          <w:tcPr>
            <w:tcW w:w="698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118,76</w:t>
            </w:r>
          </w:p>
        </w:tc>
        <w:tc>
          <w:tcPr>
            <w:tcW w:w="698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96,52</w:t>
            </w:r>
          </w:p>
        </w:tc>
        <w:tc>
          <w:tcPr>
            <w:tcW w:w="70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145,12</w:t>
            </w:r>
          </w:p>
        </w:tc>
        <w:tc>
          <w:tcPr>
            <w:tcW w:w="70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70,78</w:t>
            </w:r>
          </w:p>
        </w:tc>
        <w:tc>
          <w:tcPr>
            <w:tcW w:w="698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82,13</w:t>
            </w:r>
          </w:p>
        </w:tc>
        <w:tc>
          <w:tcPr>
            <w:tcW w:w="698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100,71</w:t>
            </w:r>
          </w:p>
        </w:tc>
        <w:tc>
          <w:tcPr>
            <w:tcW w:w="69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109,08</w:t>
            </w:r>
          </w:p>
        </w:tc>
        <w:tc>
          <w:tcPr>
            <w:tcW w:w="69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102,20</w:t>
            </w:r>
          </w:p>
        </w:tc>
        <w:tc>
          <w:tcPr>
            <w:tcW w:w="69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109,84</w:t>
            </w:r>
          </w:p>
        </w:tc>
        <w:tc>
          <w:tcPr>
            <w:tcW w:w="69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120,72</w:t>
            </w:r>
          </w:p>
        </w:tc>
        <w:tc>
          <w:tcPr>
            <w:tcW w:w="69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126,56</w:t>
            </w:r>
          </w:p>
        </w:tc>
        <w:tc>
          <w:tcPr>
            <w:tcW w:w="70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117,90</w:t>
            </w:r>
          </w:p>
        </w:tc>
        <w:tc>
          <w:tcPr>
            <w:tcW w:w="7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867A0">
              <w:rPr>
                <w:b/>
                <w:bCs/>
                <w:sz w:val="16"/>
                <w:szCs w:val="16"/>
              </w:rPr>
              <w:t>121,71</w:t>
            </w:r>
          </w:p>
        </w:tc>
        <w:tc>
          <w:tcPr>
            <w:tcW w:w="7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i/>
                <w:iCs/>
                <w:color w:val="000000"/>
                <w:sz w:val="16"/>
                <w:szCs w:val="16"/>
              </w:rPr>
              <w:t>0,65</w:t>
            </w:r>
          </w:p>
        </w:tc>
        <w:tc>
          <w:tcPr>
            <w:tcW w:w="7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i/>
                <w:iCs/>
                <w:color w:val="000000"/>
                <w:sz w:val="16"/>
                <w:szCs w:val="16"/>
              </w:rPr>
              <w:t>6,46</w:t>
            </w:r>
          </w:p>
        </w:tc>
        <w:tc>
          <w:tcPr>
            <w:tcW w:w="7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i/>
                <w:iCs/>
                <w:color w:val="000000"/>
                <w:sz w:val="16"/>
                <w:szCs w:val="16"/>
              </w:rPr>
              <w:t>-3,13</w:t>
            </w:r>
          </w:p>
        </w:tc>
      </w:tr>
      <w:tr w:rsidR="00D222D5" w:rsidRPr="000867A0" w:rsidTr="000867A0">
        <w:trPr>
          <w:trHeight w:val="330"/>
        </w:trPr>
        <w:tc>
          <w:tcPr>
            <w:tcW w:w="286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rPr>
                <w:sz w:val="18"/>
                <w:szCs w:val="18"/>
              </w:rPr>
            </w:pPr>
            <w:r w:rsidRPr="000867A0">
              <w:rPr>
                <w:sz w:val="18"/>
                <w:szCs w:val="18"/>
              </w:rPr>
              <w:t>Porezi i doprinosi na  zarade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47,38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54,03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37,52</w:t>
            </w:r>
          </w:p>
        </w:tc>
        <w:tc>
          <w:tcPr>
            <w:tcW w:w="705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75,77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21,23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34,36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37,91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40,21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45,74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45,71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44,52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45,43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40,40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47,26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-14,72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8,79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-14,51</w:t>
            </w:r>
          </w:p>
        </w:tc>
      </w:tr>
      <w:tr w:rsidR="00D222D5" w:rsidRPr="000867A0" w:rsidTr="000867A0">
        <w:trPr>
          <w:trHeight w:val="315"/>
        </w:trPr>
        <w:tc>
          <w:tcPr>
            <w:tcW w:w="286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rPr>
                <w:sz w:val="18"/>
                <w:szCs w:val="18"/>
              </w:rPr>
            </w:pPr>
            <w:r w:rsidRPr="000867A0">
              <w:rPr>
                <w:sz w:val="18"/>
                <w:szCs w:val="18"/>
              </w:rPr>
              <w:t>Porez na dobit pravnih lica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2,33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1,29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1,13</w:t>
            </w:r>
          </w:p>
        </w:tc>
        <w:tc>
          <w:tcPr>
            <w:tcW w:w="705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1,04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1,54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0,96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12,11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11,31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2,49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2,38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5,92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2,52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2,05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2,55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-12,00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11,03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-19,45</w:t>
            </w:r>
          </w:p>
        </w:tc>
      </w:tr>
      <w:tr w:rsidR="00D222D5" w:rsidRPr="000867A0" w:rsidTr="000867A0">
        <w:trPr>
          <w:trHeight w:val="300"/>
        </w:trPr>
        <w:tc>
          <w:tcPr>
            <w:tcW w:w="286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rPr>
                <w:sz w:val="18"/>
                <w:szCs w:val="18"/>
              </w:rPr>
            </w:pPr>
            <w:r w:rsidRPr="000867A0">
              <w:rPr>
                <w:sz w:val="18"/>
                <w:szCs w:val="18"/>
              </w:rPr>
              <w:t>Porez na dodatu vrijednost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40,69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37,65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33,51</w:t>
            </w:r>
          </w:p>
        </w:tc>
        <w:tc>
          <w:tcPr>
            <w:tcW w:w="705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40,19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32,17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31,16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34,92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39,01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33,08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37,06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45,61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49,64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49,31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42,79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21,17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10,74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15,23</w:t>
            </w:r>
          </w:p>
        </w:tc>
      </w:tr>
      <w:tr w:rsidR="000867A0" w:rsidRPr="000867A0" w:rsidTr="000867A0">
        <w:trPr>
          <w:trHeight w:val="300"/>
        </w:trPr>
        <w:tc>
          <w:tcPr>
            <w:tcW w:w="286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rPr>
                <w:sz w:val="18"/>
                <w:szCs w:val="18"/>
              </w:rPr>
            </w:pPr>
            <w:r w:rsidRPr="000867A0">
              <w:rPr>
                <w:sz w:val="18"/>
                <w:szCs w:val="18"/>
              </w:rPr>
              <w:t>Akcize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17,25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14,55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13,08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13,19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9,74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8,37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9,53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10,78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12,29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14,55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15,75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19,49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17,28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20,07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0,18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-2,35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-13,91</w:t>
            </w:r>
          </w:p>
        </w:tc>
      </w:tr>
      <w:tr w:rsidR="000867A0" w:rsidRPr="000867A0" w:rsidTr="000867A0">
        <w:trPr>
          <w:trHeight w:val="315"/>
        </w:trPr>
        <w:tc>
          <w:tcPr>
            <w:tcW w:w="286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rPr>
                <w:sz w:val="18"/>
                <w:szCs w:val="18"/>
              </w:rPr>
            </w:pPr>
            <w:r w:rsidRPr="000867A0">
              <w:rPr>
                <w:sz w:val="18"/>
                <w:szCs w:val="18"/>
              </w:rPr>
              <w:t>Porez na medj trgovinu i transak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2,04</w:t>
            </w:r>
          </w:p>
        </w:tc>
        <w:tc>
          <w:tcPr>
            <w:tcW w:w="6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2,04</w:t>
            </w:r>
          </w:p>
        </w:tc>
        <w:tc>
          <w:tcPr>
            <w:tcW w:w="6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1,48</w:t>
            </w:r>
          </w:p>
        </w:tc>
        <w:tc>
          <w:tcPr>
            <w:tcW w:w="70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1,69</w:t>
            </w:r>
          </w:p>
        </w:tc>
        <w:tc>
          <w:tcPr>
            <w:tcW w:w="70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0,96</w:t>
            </w:r>
          </w:p>
        </w:tc>
        <w:tc>
          <w:tcPr>
            <w:tcW w:w="6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1,30</w:t>
            </w:r>
          </w:p>
        </w:tc>
        <w:tc>
          <w:tcPr>
            <w:tcW w:w="6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1,64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1,83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1,87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2,14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2,58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2,35</w:t>
            </w:r>
          </w:p>
        </w:tc>
        <w:tc>
          <w:tcPr>
            <w:tcW w:w="70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2,20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2,17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8,02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-1,08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1,35</w:t>
            </w:r>
          </w:p>
        </w:tc>
      </w:tr>
      <w:tr w:rsidR="000867A0" w:rsidRPr="000867A0" w:rsidTr="000867A0">
        <w:trPr>
          <w:trHeight w:val="330"/>
        </w:trPr>
        <w:tc>
          <w:tcPr>
            <w:tcW w:w="286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867A0">
              <w:rPr>
                <w:b/>
                <w:bCs/>
                <w:sz w:val="18"/>
                <w:szCs w:val="18"/>
              </w:rPr>
              <w:t>IZDACI BUDŽETA, od čega :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867A0">
              <w:rPr>
                <w:b/>
                <w:bCs/>
                <w:sz w:val="16"/>
                <w:szCs w:val="16"/>
              </w:rPr>
              <w:t>119,29</w:t>
            </w:r>
          </w:p>
        </w:tc>
        <w:tc>
          <w:tcPr>
            <w:tcW w:w="6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98,84</w:t>
            </w:r>
          </w:p>
        </w:tc>
        <w:tc>
          <w:tcPr>
            <w:tcW w:w="6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101,31</w:t>
            </w:r>
          </w:p>
        </w:tc>
        <w:tc>
          <w:tcPr>
            <w:tcW w:w="70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151,66</w:t>
            </w:r>
          </w:p>
        </w:tc>
        <w:tc>
          <w:tcPr>
            <w:tcW w:w="70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94,32</w:t>
            </w:r>
          </w:p>
        </w:tc>
        <w:tc>
          <w:tcPr>
            <w:tcW w:w="6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88,93</w:t>
            </w:r>
          </w:p>
        </w:tc>
        <w:tc>
          <w:tcPr>
            <w:tcW w:w="6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115,88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122,33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101,78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105,77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107,26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107,87</w:t>
            </w:r>
          </w:p>
        </w:tc>
        <w:tc>
          <w:tcPr>
            <w:tcW w:w="70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120,86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867A0">
              <w:rPr>
                <w:b/>
                <w:bCs/>
                <w:sz w:val="16"/>
                <w:szCs w:val="16"/>
              </w:rPr>
              <w:t>111,47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i/>
                <w:iCs/>
                <w:color w:val="000000"/>
                <w:sz w:val="16"/>
                <w:szCs w:val="16"/>
              </w:rPr>
              <w:t>1,31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i/>
                <w:iCs/>
                <w:color w:val="000000"/>
                <w:sz w:val="16"/>
                <w:szCs w:val="16"/>
              </w:rPr>
              <w:t>-4,99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i/>
                <w:iCs/>
                <w:color w:val="000000"/>
                <w:sz w:val="16"/>
                <w:szCs w:val="16"/>
              </w:rPr>
              <w:t>8,42</w:t>
            </w:r>
          </w:p>
        </w:tc>
      </w:tr>
      <w:tr w:rsidR="000867A0" w:rsidRPr="000867A0" w:rsidTr="000867A0">
        <w:trPr>
          <w:trHeight w:val="480"/>
        </w:trPr>
        <w:tc>
          <w:tcPr>
            <w:tcW w:w="286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rPr>
                <w:sz w:val="18"/>
                <w:szCs w:val="18"/>
              </w:rPr>
            </w:pPr>
            <w:r w:rsidRPr="000867A0">
              <w:rPr>
                <w:sz w:val="18"/>
                <w:szCs w:val="18"/>
              </w:rPr>
              <w:t>Bruto zarade i doprinosi na teret poslodavca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31,08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30,09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33,51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29,83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31,75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31,99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28,95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33,40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33,99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29,16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31,64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33,57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32,19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32,21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3,58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3,75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-0,05</w:t>
            </w:r>
          </w:p>
        </w:tc>
      </w:tr>
      <w:tr w:rsidR="000867A0" w:rsidRPr="00D222D5" w:rsidTr="000867A0">
        <w:trPr>
          <w:trHeight w:val="315"/>
        </w:trPr>
        <w:tc>
          <w:tcPr>
            <w:tcW w:w="286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rPr>
                <w:sz w:val="18"/>
                <w:szCs w:val="18"/>
              </w:rPr>
            </w:pPr>
            <w:r w:rsidRPr="000867A0">
              <w:rPr>
                <w:sz w:val="18"/>
                <w:szCs w:val="18"/>
              </w:rPr>
              <w:t>Rashodi za materijal i usluge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5,88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7,28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5,22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15,37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3,12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4,42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6,41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5,25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5,56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6,62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5,96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5,94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5,30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7,43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-9,98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-14,05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-28,77</w:t>
            </w:r>
          </w:p>
        </w:tc>
      </w:tr>
      <w:tr w:rsidR="000867A0" w:rsidRPr="00D222D5" w:rsidTr="000867A0">
        <w:trPr>
          <w:trHeight w:val="300"/>
        </w:trPr>
        <w:tc>
          <w:tcPr>
            <w:tcW w:w="286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rPr>
                <w:sz w:val="18"/>
                <w:szCs w:val="18"/>
              </w:rPr>
            </w:pPr>
            <w:r w:rsidRPr="000867A0">
              <w:rPr>
                <w:sz w:val="18"/>
                <w:szCs w:val="18"/>
              </w:rPr>
              <w:t>Kamate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18,70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0,80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5,61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2,31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1,11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4,62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24,66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0,92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5,61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6,41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1,24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17,85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6,11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-4,56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6,58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192,12</w:t>
            </w:r>
          </w:p>
        </w:tc>
      </w:tr>
      <w:tr w:rsidR="000867A0" w:rsidRPr="00D222D5" w:rsidTr="000867A0">
        <w:trPr>
          <w:trHeight w:val="300"/>
        </w:trPr>
        <w:tc>
          <w:tcPr>
            <w:tcW w:w="286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rPr>
                <w:sz w:val="18"/>
                <w:szCs w:val="18"/>
              </w:rPr>
            </w:pPr>
            <w:r w:rsidRPr="000867A0">
              <w:rPr>
                <w:sz w:val="18"/>
                <w:szCs w:val="18"/>
              </w:rPr>
              <w:t>Transferi za socijalnu zaštitu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40,14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39,79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39,83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43,05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39,56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41,43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41,91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40,42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40,51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40,39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42,65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41,82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39,29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41,52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-2,11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2,13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-5,36</w:t>
            </w:r>
          </w:p>
        </w:tc>
      </w:tr>
      <w:tr w:rsidR="000867A0" w:rsidRPr="00D222D5" w:rsidTr="000867A0">
        <w:trPr>
          <w:trHeight w:val="300"/>
        </w:trPr>
        <w:tc>
          <w:tcPr>
            <w:tcW w:w="286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rPr>
                <w:sz w:val="18"/>
                <w:szCs w:val="18"/>
              </w:rPr>
            </w:pPr>
            <w:r w:rsidRPr="000867A0">
              <w:rPr>
                <w:sz w:val="18"/>
                <w:szCs w:val="18"/>
              </w:rPr>
              <w:t>Transferi instit, pojed i NVO sektoru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8,25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7,30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4,75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17,85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4,73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3,67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11,94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8,80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7,96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8,71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7,34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8,85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7,11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8,42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-13,83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7,32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-15,62</w:t>
            </w:r>
          </w:p>
        </w:tc>
      </w:tr>
      <w:tr w:rsidR="00D222D5" w:rsidRPr="000867A0" w:rsidTr="000867A0">
        <w:trPr>
          <w:trHeight w:val="315"/>
        </w:trPr>
        <w:tc>
          <w:tcPr>
            <w:tcW w:w="286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rPr>
                <w:sz w:val="18"/>
                <w:szCs w:val="18"/>
              </w:rPr>
            </w:pPr>
            <w:r w:rsidRPr="000867A0">
              <w:rPr>
                <w:sz w:val="18"/>
                <w:szCs w:val="18"/>
              </w:rPr>
              <w:t>Kapitalni izdaci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5,91</w:t>
            </w:r>
          </w:p>
        </w:tc>
        <w:tc>
          <w:tcPr>
            <w:tcW w:w="6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6,63</w:t>
            </w:r>
          </w:p>
        </w:tc>
        <w:tc>
          <w:tcPr>
            <w:tcW w:w="6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6,49</w:t>
            </w:r>
          </w:p>
        </w:tc>
        <w:tc>
          <w:tcPr>
            <w:tcW w:w="70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22,14</w:t>
            </w:r>
          </w:p>
        </w:tc>
        <w:tc>
          <w:tcPr>
            <w:tcW w:w="70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1,67</w:t>
            </w:r>
          </w:p>
        </w:tc>
        <w:tc>
          <w:tcPr>
            <w:tcW w:w="6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1,07</w:t>
            </w:r>
          </w:p>
        </w:tc>
        <w:tc>
          <w:tcPr>
            <w:tcW w:w="6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6,63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3,51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6,72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6,75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6,40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8,57</w:t>
            </w:r>
          </w:p>
        </w:tc>
        <w:tc>
          <w:tcPr>
            <w:tcW w:w="70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5,21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9,36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-11,92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20,09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-44,37</w:t>
            </w:r>
          </w:p>
        </w:tc>
      </w:tr>
      <w:tr w:rsidR="000867A0" w:rsidRPr="000867A0" w:rsidTr="000867A0">
        <w:trPr>
          <w:trHeight w:val="330"/>
        </w:trPr>
        <w:tc>
          <w:tcPr>
            <w:tcW w:w="286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867A0">
              <w:rPr>
                <w:b/>
                <w:bCs/>
                <w:sz w:val="18"/>
                <w:szCs w:val="18"/>
              </w:rPr>
              <w:t>Suficit / Deficit budžeta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867A0">
              <w:rPr>
                <w:b/>
                <w:bCs/>
                <w:sz w:val="16"/>
                <w:szCs w:val="16"/>
              </w:rPr>
              <w:t>-2,16</w:t>
            </w:r>
          </w:p>
        </w:tc>
        <w:tc>
          <w:tcPr>
            <w:tcW w:w="6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19,92</w:t>
            </w:r>
          </w:p>
        </w:tc>
        <w:tc>
          <w:tcPr>
            <w:tcW w:w="6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-4,79</w:t>
            </w:r>
          </w:p>
        </w:tc>
        <w:tc>
          <w:tcPr>
            <w:tcW w:w="70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-6,54</w:t>
            </w:r>
          </w:p>
        </w:tc>
        <w:tc>
          <w:tcPr>
            <w:tcW w:w="70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-23,54</w:t>
            </w:r>
          </w:p>
        </w:tc>
        <w:tc>
          <w:tcPr>
            <w:tcW w:w="6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-6,80</w:t>
            </w:r>
          </w:p>
        </w:tc>
        <w:tc>
          <w:tcPr>
            <w:tcW w:w="6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-15,17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-13,24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0,42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4,07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13,46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18,69</w:t>
            </w:r>
          </w:p>
        </w:tc>
        <w:tc>
          <w:tcPr>
            <w:tcW w:w="70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-2,96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10,25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i/>
                <w:iCs/>
                <w:color w:val="000000"/>
                <w:sz w:val="16"/>
                <w:szCs w:val="16"/>
              </w:rPr>
              <w:t>36,81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i/>
                <w:iCs/>
                <w:color w:val="000000"/>
                <w:sz w:val="16"/>
                <w:szCs w:val="16"/>
              </w:rPr>
              <w:t>-81,12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i/>
                <w:iCs/>
                <w:color w:val="000000"/>
                <w:sz w:val="16"/>
                <w:szCs w:val="16"/>
              </w:rPr>
              <w:t>-128,84</w:t>
            </w:r>
          </w:p>
        </w:tc>
      </w:tr>
      <w:tr w:rsidR="000867A0" w:rsidRPr="00D222D5" w:rsidTr="000867A0">
        <w:trPr>
          <w:trHeight w:val="330"/>
        </w:trPr>
        <w:tc>
          <w:tcPr>
            <w:tcW w:w="286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rPr>
                <w:sz w:val="18"/>
                <w:szCs w:val="18"/>
              </w:rPr>
            </w:pPr>
            <w:r w:rsidRPr="000867A0">
              <w:rPr>
                <w:sz w:val="18"/>
                <w:szCs w:val="18"/>
              </w:rPr>
              <w:t>Primarni deficit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16,54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20,72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-4,04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-0,92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-21,23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-5,69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-10,55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11,42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1,34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9,77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19,82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19,92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14,89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16,36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-9,96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-155,09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-8,96</w:t>
            </w:r>
          </w:p>
        </w:tc>
      </w:tr>
      <w:tr w:rsidR="000867A0" w:rsidRPr="00D222D5" w:rsidTr="000867A0">
        <w:trPr>
          <w:trHeight w:val="330"/>
        </w:trPr>
        <w:tc>
          <w:tcPr>
            <w:tcW w:w="286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rPr>
                <w:sz w:val="18"/>
                <w:szCs w:val="18"/>
              </w:rPr>
            </w:pPr>
            <w:r w:rsidRPr="000867A0">
              <w:rPr>
                <w:sz w:val="18"/>
                <w:szCs w:val="18"/>
              </w:rPr>
              <w:t>Otplata dugova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24,39</w:t>
            </w:r>
          </w:p>
        </w:tc>
        <w:tc>
          <w:tcPr>
            <w:tcW w:w="6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14,01</w:t>
            </w:r>
          </w:p>
        </w:tc>
        <w:tc>
          <w:tcPr>
            <w:tcW w:w="6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17,57</w:t>
            </w:r>
          </w:p>
        </w:tc>
        <w:tc>
          <w:tcPr>
            <w:tcW w:w="70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71,64</w:t>
            </w:r>
          </w:p>
        </w:tc>
        <w:tc>
          <w:tcPr>
            <w:tcW w:w="70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6,53</w:t>
            </w:r>
          </w:p>
        </w:tc>
        <w:tc>
          <w:tcPr>
            <w:tcW w:w="6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4,92</w:t>
            </w:r>
          </w:p>
        </w:tc>
        <w:tc>
          <w:tcPr>
            <w:tcW w:w="6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9,83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38,71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8,79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60,61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42,13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11,80</w:t>
            </w:r>
          </w:p>
        </w:tc>
        <w:tc>
          <w:tcPr>
            <w:tcW w:w="70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17,26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14,29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-29,26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44,76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20,81</w:t>
            </w:r>
          </w:p>
        </w:tc>
      </w:tr>
      <w:tr w:rsidR="00D222D5" w:rsidRPr="000867A0" w:rsidTr="000867A0">
        <w:trPr>
          <w:trHeight w:val="330"/>
        </w:trPr>
        <w:tc>
          <w:tcPr>
            <w:tcW w:w="286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867A0">
              <w:rPr>
                <w:b/>
                <w:bCs/>
                <w:sz w:val="18"/>
                <w:szCs w:val="18"/>
              </w:rPr>
              <w:t>Državni dug (stanje duga)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867A0">
              <w:rPr>
                <w:b/>
                <w:bCs/>
                <w:sz w:val="16"/>
                <w:szCs w:val="16"/>
              </w:rPr>
              <w:t>1.846,50</w:t>
            </w:r>
          </w:p>
        </w:tc>
        <w:tc>
          <w:tcPr>
            <w:tcW w:w="6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1.832,00</w:t>
            </w:r>
          </w:p>
        </w:tc>
        <w:tc>
          <w:tcPr>
            <w:tcW w:w="6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1.886,30</w:t>
            </w:r>
          </w:p>
        </w:tc>
        <w:tc>
          <w:tcPr>
            <w:tcW w:w="70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1.873,15</w:t>
            </w:r>
          </w:p>
        </w:tc>
        <w:tc>
          <w:tcPr>
            <w:tcW w:w="70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1.950,10</w:t>
            </w:r>
          </w:p>
        </w:tc>
        <w:tc>
          <w:tcPr>
            <w:tcW w:w="6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1.950,70</w:t>
            </w:r>
          </w:p>
        </w:tc>
        <w:tc>
          <w:tcPr>
            <w:tcW w:w="6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2.006,00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1.990,30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2.180,50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2.022,10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1.985,20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1.982,50</w:t>
            </w:r>
          </w:p>
        </w:tc>
        <w:tc>
          <w:tcPr>
            <w:tcW w:w="70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color w:val="000000"/>
                <w:sz w:val="16"/>
                <w:szCs w:val="16"/>
              </w:rPr>
              <w:t>1.969,53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867A0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i/>
                <w:iCs/>
                <w:color w:val="000000"/>
                <w:sz w:val="16"/>
                <w:szCs w:val="16"/>
              </w:rPr>
              <w:t>6,66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i/>
                <w:iCs/>
                <w:color w:val="000000"/>
                <w:sz w:val="16"/>
                <w:szCs w:val="16"/>
              </w:rPr>
              <w:t>12,67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D222D5" w:rsidRPr="000867A0" w:rsidTr="000867A0">
        <w:trPr>
          <w:trHeight w:val="330"/>
        </w:trPr>
        <w:tc>
          <w:tcPr>
            <w:tcW w:w="286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rPr>
                <w:sz w:val="18"/>
                <w:szCs w:val="18"/>
              </w:rPr>
            </w:pPr>
            <w:r w:rsidRPr="000867A0">
              <w:rPr>
                <w:sz w:val="18"/>
                <w:szCs w:val="18"/>
              </w:rPr>
              <w:t>Domaći dug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480,90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471,70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440,40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440,13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517,60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513,40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572,60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588,10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583,30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438,30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412,10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406,90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394,93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-17,88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14,14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D222D5" w:rsidRPr="000867A0" w:rsidTr="000867A0">
        <w:trPr>
          <w:trHeight w:val="330"/>
        </w:trPr>
        <w:tc>
          <w:tcPr>
            <w:tcW w:w="286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rPr>
                <w:sz w:val="18"/>
                <w:szCs w:val="18"/>
              </w:rPr>
            </w:pPr>
            <w:r w:rsidRPr="000867A0">
              <w:rPr>
                <w:sz w:val="18"/>
                <w:szCs w:val="18"/>
              </w:rPr>
              <w:t>Inostrani dug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1.365,60</w:t>
            </w:r>
          </w:p>
        </w:tc>
        <w:tc>
          <w:tcPr>
            <w:tcW w:w="6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1.360,30</w:t>
            </w:r>
          </w:p>
        </w:tc>
        <w:tc>
          <w:tcPr>
            <w:tcW w:w="6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1.445,90</w:t>
            </w:r>
          </w:p>
        </w:tc>
        <w:tc>
          <w:tcPr>
            <w:tcW w:w="70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1.433,02</w:t>
            </w:r>
          </w:p>
        </w:tc>
        <w:tc>
          <w:tcPr>
            <w:tcW w:w="70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1.432,50</w:t>
            </w:r>
          </w:p>
        </w:tc>
        <w:tc>
          <w:tcPr>
            <w:tcW w:w="6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1.437,30</w:t>
            </w:r>
          </w:p>
        </w:tc>
        <w:tc>
          <w:tcPr>
            <w:tcW w:w="6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1.433,40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1.402,20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1.597,20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1.583,80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1.573,10</w:t>
            </w:r>
          </w:p>
        </w:tc>
        <w:tc>
          <w:tcPr>
            <w:tcW w:w="6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1.575,60</w:t>
            </w:r>
          </w:p>
        </w:tc>
        <w:tc>
          <w:tcPr>
            <w:tcW w:w="70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67A0">
              <w:rPr>
                <w:color w:val="000000"/>
                <w:sz w:val="16"/>
                <w:szCs w:val="16"/>
              </w:rPr>
              <w:t>1.574,60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7A0">
              <w:rPr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15,30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12,20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0867A0" w:rsidRPr="000867A0" w:rsidRDefault="000867A0" w:rsidP="000867A0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867A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</w:tbl>
    <w:p w:rsidR="00332574" w:rsidRPr="00D222D5" w:rsidRDefault="00332574" w:rsidP="000867A0">
      <w:pPr>
        <w:ind w:firstLine="720"/>
        <w:outlineLvl w:val="0"/>
        <w:rPr>
          <w:b/>
          <w:i/>
          <w:noProof/>
          <w:sz w:val="18"/>
          <w:szCs w:val="18"/>
        </w:rPr>
      </w:pPr>
      <w:r w:rsidRPr="00D222D5">
        <w:rPr>
          <w:b/>
          <w:i/>
          <w:noProof/>
          <w:sz w:val="18"/>
          <w:szCs w:val="18"/>
        </w:rPr>
        <w:t>Izvor: Ministarstvo finansija Crne Gore</w:t>
      </w:r>
    </w:p>
    <w:p w:rsidR="00C00142" w:rsidRPr="00D222D5" w:rsidRDefault="00C00142" w:rsidP="00332574">
      <w:pPr>
        <w:outlineLvl w:val="0"/>
        <w:rPr>
          <w:b/>
          <w:i/>
          <w:noProof/>
          <w:sz w:val="18"/>
          <w:szCs w:val="18"/>
        </w:rPr>
      </w:pPr>
    </w:p>
    <w:sectPr w:rsidR="00C00142" w:rsidRPr="00D222D5" w:rsidSect="005025EC">
      <w:pgSz w:w="16839" w:h="11907" w:orient="landscape" w:code="9"/>
      <w:pgMar w:top="284" w:right="254" w:bottom="284" w:left="42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55F" w:rsidRDefault="001D755F" w:rsidP="00965FCD">
      <w:pPr>
        <w:spacing w:after="0" w:line="240" w:lineRule="auto"/>
      </w:pPr>
      <w:r>
        <w:separator/>
      </w:r>
    </w:p>
  </w:endnote>
  <w:endnote w:type="continuationSeparator" w:id="1">
    <w:p w:rsidR="001D755F" w:rsidRDefault="001D755F" w:rsidP="0096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55F" w:rsidRDefault="001D755F" w:rsidP="00965FCD">
      <w:pPr>
        <w:spacing w:after="0" w:line="240" w:lineRule="auto"/>
      </w:pPr>
      <w:r>
        <w:separator/>
      </w:r>
    </w:p>
  </w:footnote>
  <w:footnote w:type="continuationSeparator" w:id="1">
    <w:p w:rsidR="001D755F" w:rsidRDefault="001D755F" w:rsidP="00965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2C1A"/>
    <w:multiLevelType w:val="hybridMultilevel"/>
    <w:tmpl w:val="30AA2F4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16C16"/>
    <w:multiLevelType w:val="hybridMultilevel"/>
    <w:tmpl w:val="A8881E4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B535E"/>
    <w:multiLevelType w:val="hybridMultilevel"/>
    <w:tmpl w:val="23CE0FC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A7F5D"/>
    <w:multiLevelType w:val="hybridMultilevel"/>
    <w:tmpl w:val="D5861986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6B83CB2"/>
    <w:multiLevelType w:val="hybridMultilevel"/>
    <w:tmpl w:val="6DF487A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455C5"/>
    <w:multiLevelType w:val="hybridMultilevel"/>
    <w:tmpl w:val="D3BEC524"/>
    <w:lvl w:ilvl="0" w:tplc="9378DD6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32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AD75D1E"/>
    <w:multiLevelType w:val="hybridMultilevel"/>
    <w:tmpl w:val="D1FE9B4C"/>
    <w:lvl w:ilvl="0" w:tplc="3CB0BA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D15614F"/>
    <w:multiLevelType w:val="hybridMultilevel"/>
    <w:tmpl w:val="9BF2355E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DE6489D"/>
    <w:multiLevelType w:val="hybridMultilevel"/>
    <w:tmpl w:val="FE768EF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D37D0"/>
    <w:multiLevelType w:val="hybridMultilevel"/>
    <w:tmpl w:val="D4C08A40"/>
    <w:lvl w:ilvl="0" w:tplc="08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03C509B"/>
    <w:multiLevelType w:val="hybridMultilevel"/>
    <w:tmpl w:val="C694C4E4"/>
    <w:lvl w:ilvl="0" w:tplc="103E7AA0">
      <w:numFmt w:val="bullet"/>
      <w:lvlText w:val="*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8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21B54940"/>
    <w:multiLevelType w:val="hybridMultilevel"/>
    <w:tmpl w:val="E408973A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9535C14"/>
    <w:multiLevelType w:val="hybridMultilevel"/>
    <w:tmpl w:val="8EEEE808"/>
    <w:lvl w:ilvl="0" w:tplc="5F662FB4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B03CE7"/>
    <w:multiLevelType w:val="hybridMultilevel"/>
    <w:tmpl w:val="9FECAB34"/>
    <w:lvl w:ilvl="0" w:tplc="7DA6C83E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  <w:sz w:val="20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7E02C45"/>
    <w:multiLevelType w:val="hybridMultilevel"/>
    <w:tmpl w:val="1324B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B60745"/>
    <w:multiLevelType w:val="hybridMultilevel"/>
    <w:tmpl w:val="1E52891C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301141A"/>
    <w:multiLevelType w:val="hybridMultilevel"/>
    <w:tmpl w:val="D0A8692C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55BA0AB7"/>
    <w:multiLevelType w:val="hybridMultilevel"/>
    <w:tmpl w:val="75E8BCEE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56A37EC6"/>
    <w:multiLevelType w:val="hybridMultilevel"/>
    <w:tmpl w:val="B78AAF86"/>
    <w:lvl w:ilvl="0" w:tplc="213C6408">
      <w:start w:val="1"/>
      <w:numFmt w:val="decimal"/>
      <w:lvlText w:val="%1."/>
      <w:lvlJc w:val="left"/>
      <w:pPr>
        <w:ind w:left="1800" w:hanging="360"/>
      </w:pPr>
      <w:rPr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58C121CD"/>
    <w:multiLevelType w:val="hybridMultilevel"/>
    <w:tmpl w:val="F1943F8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1D2112"/>
    <w:multiLevelType w:val="hybridMultilevel"/>
    <w:tmpl w:val="B8425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6E7D4B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5ECC0A8D"/>
    <w:multiLevelType w:val="hybridMultilevel"/>
    <w:tmpl w:val="0A4EB86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097970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61246544"/>
    <w:multiLevelType w:val="hybridMultilevel"/>
    <w:tmpl w:val="3D148D9E"/>
    <w:lvl w:ilvl="0" w:tplc="B564503E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66417E"/>
    <w:multiLevelType w:val="hybridMultilevel"/>
    <w:tmpl w:val="62A2514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215A22"/>
    <w:multiLevelType w:val="hybridMultilevel"/>
    <w:tmpl w:val="018EDD7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7715E1"/>
    <w:multiLevelType w:val="hybridMultilevel"/>
    <w:tmpl w:val="0016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7"/>
  </w:num>
  <w:num w:numId="3">
    <w:abstractNumId w:val="27"/>
  </w:num>
  <w:num w:numId="4">
    <w:abstractNumId w:val="19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20"/>
  </w:num>
  <w:num w:numId="8">
    <w:abstractNumId w:val="2"/>
  </w:num>
  <w:num w:numId="9">
    <w:abstractNumId w:val="0"/>
  </w:num>
  <w:num w:numId="10">
    <w:abstractNumId w:val="26"/>
  </w:num>
  <w:num w:numId="11">
    <w:abstractNumId w:val="1"/>
  </w:num>
  <w:num w:numId="12">
    <w:abstractNumId w:val="25"/>
  </w:num>
  <w:num w:numId="13">
    <w:abstractNumId w:val="22"/>
  </w:num>
  <w:num w:numId="14">
    <w:abstractNumId w:val="8"/>
  </w:num>
  <w:num w:numId="15">
    <w:abstractNumId w:val="6"/>
  </w:num>
  <w:num w:numId="16">
    <w:abstractNumId w:val="15"/>
  </w:num>
  <w:num w:numId="17">
    <w:abstractNumId w:val="10"/>
  </w:num>
  <w:num w:numId="18">
    <w:abstractNumId w:val="18"/>
  </w:num>
  <w:num w:numId="19">
    <w:abstractNumId w:val="9"/>
  </w:num>
  <w:num w:numId="20">
    <w:abstractNumId w:val="16"/>
  </w:num>
  <w:num w:numId="21">
    <w:abstractNumId w:val="17"/>
  </w:num>
  <w:num w:numId="22">
    <w:abstractNumId w:val="13"/>
  </w:num>
  <w:num w:numId="23">
    <w:abstractNumId w:val="12"/>
  </w:num>
  <w:num w:numId="24">
    <w:abstractNumId w:val="24"/>
  </w:num>
  <w:num w:numId="25">
    <w:abstractNumId w:val="4"/>
  </w:num>
  <w:num w:numId="26">
    <w:abstractNumId w:val="11"/>
  </w:num>
  <w:num w:numId="27">
    <w:abstractNumId w:val="21"/>
  </w:num>
  <w:num w:numId="28">
    <w:abstractNumId w:val="3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D61692"/>
    <w:rsid w:val="000000CB"/>
    <w:rsid w:val="000009E1"/>
    <w:rsid w:val="000010A3"/>
    <w:rsid w:val="00003D78"/>
    <w:rsid w:val="000040B3"/>
    <w:rsid w:val="00004B56"/>
    <w:rsid w:val="00005AD2"/>
    <w:rsid w:val="00005D5A"/>
    <w:rsid w:val="00007424"/>
    <w:rsid w:val="0001459D"/>
    <w:rsid w:val="000147A0"/>
    <w:rsid w:val="00014AAB"/>
    <w:rsid w:val="00014D0B"/>
    <w:rsid w:val="00014E6A"/>
    <w:rsid w:val="0001641E"/>
    <w:rsid w:val="0001692A"/>
    <w:rsid w:val="00017070"/>
    <w:rsid w:val="00017AE3"/>
    <w:rsid w:val="0002071C"/>
    <w:rsid w:val="00021033"/>
    <w:rsid w:val="000216CA"/>
    <w:rsid w:val="000224B4"/>
    <w:rsid w:val="00022789"/>
    <w:rsid w:val="00022F81"/>
    <w:rsid w:val="0002327A"/>
    <w:rsid w:val="00024DC9"/>
    <w:rsid w:val="0002564B"/>
    <w:rsid w:val="00025AC0"/>
    <w:rsid w:val="000263A4"/>
    <w:rsid w:val="00026971"/>
    <w:rsid w:val="000300F0"/>
    <w:rsid w:val="000314E5"/>
    <w:rsid w:val="00031722"/>
    <w:rsid w:val="00031FAD"/>
    <w:rsid w:val="00032524"/>
    <w:rsid w:val="00032D34"/>
    <w:rsid w:val="0003370D"/>
    <w:rsid w:val="000341DE"/>
    <w:rsid w:val="00034923"/>
    <w:rsid w:val="0003497A"/>
    <w:rsid w:val="00034D42"/>
    <w:rsid w:val="00034F07"/>
    <w:rsid w:val="0003544A"/>
    <w:rsid w:val="00036822"/>
    <w:rsid w:val="000369E1"/>
    <w:rsid w:val="00037558"/>
    <w:rsid w:val="00037B58"/>
    <w:rsid w:val="0004205C"/>
    <w:rsid w:val="000421A3"/>
    <w:rsid w:val="00042CE6"/>
    <w:rsid w:val="00043DED"/>
    <w:rsid w:val="000449CD"/>
    <w:rsid w:val="00044CB0"/>
    <w:rsid w:val="00045654"/>
    <w:rsid w:val="00045D59"/>
    <w:rsid w:val="00046C9E"/>
    <w:rsid w:val="00050101"/>
    <w:rsid w:val="00050EAB"/>
    <w:rsid w:val="00051B7E"/>
    <w:rsid w:val="00052732"/>
    <w:rsid w:val="00052BB7"/>
    <w:rsid w:val="00052DC4"/>
    <w:rsid w:val="00054068"/>
    <w:rsid w:val="000547A1"/>
    <w:rsid w:val="00055E5C"/>
    <w:rsid w:val="00055F78"/>
    <w:rsid w:val="0005630C"/>
    <w:rsid w:val="00056750"/>
    <w:rsid w:val="00056E43"/>
    <w:rsid w:val="000572EC"/>
    <w:rsid w:val="0005797E"/>
    <w:rsid w:val="000601A4"/>
    <w:rsid w:val="00060976"/>
    <w:rsid w:val="00061391"/>
    <w:rsid w:val="000624EE"/>
    <w:rsid w:val="00064395"/>
    <w:rsid w:val="000645F3"/>
    <w:rsid w:val="00067726"/>
    <w:rsid w:val="00067FD6"/>
    <w:rsid w:val="00070965"/>
    <w:rsid w:val="000712B9"/>
    <w:rsid w:val="0007229B"/>
    <w:rsid w:val="000734AF"/>
    <w:rsid w:val="00073786"/>
    <w:rsid w:val="0007424D"/>
    <w:rsid w:val="00074378"/>
    <w:rsid w:val="000746C7"/>
    <w:rsid w:val="000747AC"/>
    <w:rsid w:val="00074C3E"/>
    <w:rsid w:val="00074D69"/>
    <w:rsid w:val="0007530C"/>
    <w:rsid w:val="0007555E"/>
    <w:rsid w:val="000771F2"/>
    <w:rsid w:val="00080AEE"/>
    <w:rsid w:val="000812E2"/>
    <w:rsid w:val="0008138F"/>
    <w:rsid w:val="00082D87"/>
    <w:rsid w:val="000831EE"/>
    <w:rsid w:val="00083320"/>
    <w:rsid w:val="00085B67"/>
    <w:rsid w:val="000867A0"/>
    <w:rsid w:val="00090FDD"/>
    <w:rsid w:val="00091154"/>
    <w:rsid w:val="00091539"/>
    <w:rsid w:val="000915D3"/>
    <w:rsid w:val="000917D8"/>
    <w:rsid w:val="000924C0"/>
    <w:rsid w:val="000925F7"/>
    <w:rsid w:val="00094311"/>
    <w:rsid w:val="000945C9"/>
    <w:rsid w:val="0009505C"/>
    <w:rsid w:val="0009548F"/>
    <w:rsid w:val="000956EB"/>
    <w:rsid w:val="00097527"/>
    <w:rsid w:val="00097E38"/>
    <w:rsid w:val="000A0BBC"/>
    <w:rsid w:val="000A1159"/>
    <w:rsid w:val="000A14DA"/>
    <w:rsid w:val="000A2350"/>
    <w:rsid w:val="000A2E85"/>
    <w:rsid w:val="000A2F52"/>
    <w:rsid w:val="000A33CB"/>
    <w:rsid w:val="000A4226"/>
    <w:rsid w:val="000A42FE"/>
    <w:rsid w:val="000A43CE"/>
    <w:rsid w:val="000A47FF"/>
    <w:rsid w:val="000A4E37"/>
    <w:rsid w:val="000A5E23"/>
    <w:rsid w:val="000A787A"/>
    <w:rsid w:val="000B19D0"/>
    <w:rsid w:val="000B1DD7"/>
    <w:rsid w:val="000B28FC"/>
    <w:rsid w:val="000B2B16"/>
    <w:rsid w:val="000B34E4"/>
    <w:rsid w:val="000B40A4"/>
    <w:rsid w:val="000B45AB"/>
    <w:rsid w:val="000B4800"/>
    <w:rsid w:val="000B48EE"/>
    <w:rsid w:val="000B502D"/>
    <w:rsid w:val="000B54A3"/>
    <w:rsid w:val="000B5DD4"/>
    <w:rsid w:val="000B6252"/>
    <w:rsid w:val="000B62D3"/>
    <w:rsid w:val="000B67B1"/>
    <w:rsid w:val="000B69BF"/>
    <w:rsid w:val="000B788B"/>
    <w:rsid w:val="000B7AE2"/>
    <w:rsid w:val="000C06C5"/>
    <w:rsid w:val="000C0B0A"/>
    <w:rsid w:val="000C108E"/>
    <w:rsid w:val="000C1965"/>
    <w:rsid w:val="000C3655"/>
    <w:rsid w:val="000C36DB"/>
    <w:rsid w:val="000C5764"/>
    <w:rsid w:val="000C5FBB"/>
    <w:rsid w:val="000C65A2"/>
    <w:rsid w:val="000C6818"/>
    <w:rsid w:val="000C7278"/>
    <w:rsid w:val="000C72DD"/>
    <w:rsid w:val="000D0368"/>
    <w:rsid w:val="000D0374"/>
    <w:rsid w:val="000D09EB"/>
    <w:rsid w:val="000D1AA8"/>
    <w:rsid w:val="000D52CF"/>
    <w:rsid w:val="000D588E"/>
    <w:rsid w:val="000D5D48"/>
    <w:rsid w:val="000D5ED7"/>
    <w:rsid w:val="000D6CD4"/>
    <w:rsid w:val="000D6DF1"/>
    <w:rsid w:val="000D765B"/>
    <w:rsid w:val="000D7A66"/>
    <w:rsid w:val="000E13EB"/>
    <w:rsid w:val="000E2251"/>
    <w:rsid w:val="000E2351"/>
    <w:rsid w:val="000E294A"/>
    <w:rsid w:val="000E3987"/>
    <w:rsid w:val="000E40CC"/>
    <w:rsid w:val="000E6096"/>
    <w:rsid w:val="000E77A4"/>
    <w:rsid w:val="000E7E9D"/>
    <w:rsid w:val="000F1186"/>
    <w:rsid w:val="000F1AA9"/>
    <w:rsid w:val="000F4D73"/>
    <w:rsid w:val="000F5B09"/>
    <w:rsid w:val="000F6577"/>
    <w:rsid w:val="000F6C6B"/>
    <w:rsid w:val="000F756E"/>
    <w:rsid w:val="000F7DDF"/>
    <w:rsid w:val="00100371"/>
    <w:rsid w:val="001021CB"/>
    <w:rsid w:val="00102786"/>
    <w:rsid w:val="001030CC"/>
    <w:rsid w:val="0010339D"/>
    <w:rsid w:val="00103CA9"/>
    <w:rsid w:val="0010452C"/>
    <w:rsid w:val="00106446"/>
    <w:rsid w:val="0010656B"/>
    <w:rsid w:val="00107128"/>
    <w:rsid w:val="00107647"/>
    <w:rsid w:val="00107A07"/>
    <w:rsid w:val="001124C4"/>
    <w:rsid w:val="00112853"/>
    <w:rsid w:val="00112E23"/>
    <w:rsid w:val="00114109"/>
    <w:rsid w:val="001141E2"/>
    <w:rsid w:val="00114378"/>
    <w:rsid w:val="00115519"/>
    <w:rsid w:val="00115C83"/>
    <w:rsid w:val="00116365"/>
    <w:rsid w:val="001164A1"/>
    <w:rsid w:val="00116A8F"/>
    <w:rsid w:val="00117AB0"/>
    <w:rsid w:val="001209D0"/>
    <w:rsid w:val="00120A3A"/>
    <w:rsid w:val="00123CBD"/>
    <w:rsid w:val="00124730"/>
    <w:rsid w:val="001251D5"/>
    <w:rsid w:val="001276C7"/>
    <w:rsid w:val="00127B5A"/>
    <w:rsid w:val="00131185"/>
    <w:rsid w:val="001326B7"/>
    <w:rsid w:val="00134816"/>
    <w:rsid w:val="00134A21"/>
    <w:rsid w:val="00134C6C"/>
    <w:rsid w:val="00136E70"/>
    <w:rsid w:val="00141FDD"/>
    <w:rsid w:val="00143FCB"/>
    <w:rsid w:val="001441CA"/>
    <w:rsid w:val="00144C86"/>
    <w:rsid w:val="00144EE5"/>
    <w:rsid w:val="0014607D"/>
    <w:rsid w:val="00147278"/>
    <w:rsid w:val="00150707"/>
    <w:rsid w:val="00151155"/>
    <w:rsid w:val="00152409"/>
    <w:rsid w:val="00152E4F"/>
    <w:rsid w:val="001530CE"/>
    <w:rsid w:val="0015322D"/>
    <w:rsid w:val="00153490"/>
    <w:rsid w:val="00154145"/>
    <w:rsid w:val="0015515C"/>
    <w:rsid w:val="00156E33"/>
    <w:rsid w:val="001575F1"/>
    <w:rsid w:val="00157601"/>
    <w:rsid w:val="001577A1"/>
    <w:rsid w:val="00160183"/>
    <w:rsid w:val="001610BD"/>
    <w:rsid w:val="001613FC"/>
    <w:rsid w:val="001627A3"/>
    <w:rsid w:val="00163041"/>
    <w:rsid w:val="00163A7B"/>
    <w:rsid w:val="001644C7"/>
    <w:rsid w:val="001646BA"/>
    <w:rsid w:val="00165773"/>
    <w:rsid w:val="00165DE6"/>
    <w:rsid w:val="00167281"/>
    <w:rsid w:val="001672AB"/>
    <w:rsid w:val="001678F1"/>
    <w:rsid w:val="00170C82"/>
    <w:rsid w:val="00170CCE"/>
    <w:rsid w:val="00172053"/>
    <w:rsid w:val="00172816"/>
    <w:rsid w:val="00172D59"/>
    <w:rsid w:val="001730BE"/>
    <w:rsid w:val="00174836"/>
    <w:rsid w:val="00174FD6"/>
    <w:rsid w:val="0017540F"/>
    <w:rsid w:val="0017563A"/>
    <w:rsid w:val="00176953"/>
    <w:rsid w:val="00177AD9"/>
    <w:rsid w:val="00181309"/>
    <w:rsid w:val="001824C2"/>
    <w:rsid w:val="0018289E"/>
    <w:rsid w:val="0018331D"/>
    <w:rsid w:val="0018592D"/>
    <w:rsid w:val="0018626E"/>
    <w:rsid w:val="0018666E"/>
    <w:rsid w:val="00186BEF"/>
    <w:rsid w:val="00186F09"/>
    <w:rsid w:val="0018794A"/>
    <w:rsid w:val="00187C66"/>
    <w:rsid w:val="00190285"/>
    <w:rsid w:val="00191F90"/>
    <w:rsid w:val="00192506"/>
    <w:rsid w:val="00192F1E"/>
    <w:rsid w:val="001931C2"/>
    <w:rsid w:val="00193785"/>
    <w:rsid w:val="001942BA"/>
    <w:rsid w:val="001964CA"/>
    <w:rsid w:val="001971A8"/>
    <w:rsid w:val="001A2829"/>
    <w:rsid w:val="001A2F7A"/>
    <w:rsid w:val="001A392F"/>
    <w:rsid w:val="001A594D"/>
    <w:rsid w:val="001A5B99"/>
    <w:rsid w:val="001A65F4"/>
    <w:rsid w:val="001A7319"/>
    <w:rsid w:val="001B0396"/>
    <w:rsid w:val="001B1C6D"/>
    <w:rsid w:val="001B25FF"/>
    <w:rsid w:val="001B3267"/>
    <w:rsid w:val="001B3BE3"/>
    <w:rsid w:val="001B4CB9"/>
    <w:rsid w:val="001B4F99"/>
    <w:rsid w:val="001B7AD0"/>
    <w:rsid w:val="001B7D00"/>
    <w:rsid w:val="001C0237"/>
    <w:rsid w:val="001C0AB4"/>
    <w:rsid w:val="001C1490"/>
    <w:rsid w:val="001C1928"/>
    <w:rsid w:val="001C1F7E"/>
    <w:rsid w:val="001C22CB"/>
    <w:rsid w:val="001C23DD"/>
    <w:rsid w:val="001C264C"/>
    <w:rsid w:val="001C2751"/>
    <w:rsid w:val="001C51EC"/>
    <w:rsid w:val="001C5CE9"/>
    <w:rsid w:val="001C6120"/>
    <w:rsid w:val="001C6698"/>
    <w:rsid w:val="001C6750"/>
    <w:rsid w:val="001C70BA"/>
    <w:rsid w:val="001D0226"/>
    <w:rsid w:val="001D0A32"/>
    <w:rsid w:val="001D21BD"/>
    <w:rsid w:val="001D37FD"/>
    <w:rsid w:val="001D4E81"/>
    <w:rsid w:val="001D755F"/>
    <w:rsid w:val="001E2403"/>
    <w:rsid w:val="001E29C8"/>
    <w:rsid w:val="001E29D1"/>
    <w:rsid w:val="001E2BC7"/>
    <w:rsid w:val="001E33FE"/>
    <w:rsid w:val="001E4EAE"/>
    <w:rsid w:val="001E5BE3"/>
    <w:rsid w:val="001E5E69"/>
    <w:rsid w:val="001F1378"/>
    <w:rsid w:val="001F19CC"/>
    <w:rsid w:val="001F27F8"/>
    <w:rsid w:val="001F2B57"/>
    <w:rsid w:val="001F3E69"/>
    <w:rsid w:val="001F4118"/>
    <w:rsid w:val="001F4C02"/>
    <w:rsid w:val="001F69DD"/>
    <w:rsid w:val="001F7445"/>
    <w:rsid w:val="001F7C33"/>
    <w:rsid w:val="001F7C4B"/>
    <w:rsid w:val="002000E5"/>
    <w:rsid w:val="00200A3F"/>
    <w:rsid w:val="00201AEB"/>
    <w:rsid w:val="0020246C"/>
    <w:rsid w:val="00203447"/>
    <w:rsid w:val="002049C0"/>
    <w:rsid w:val="00205D15"/>
    <w:rsid w:val="00205E88"/>
    <w:rsid w:val="00206062"/>
    <w:rsid w:val="0020648A"/>
    <w:rsid w:val="00207613"/>
    <w:rsid w:val="00207B53"/>
    <w:rsid w:val="0021042E"/>
    <w:rsid w:val="00212126"/>
    <w:rsid w:val="00212633"/>
    <w:rsid w:val="002127F9"/>
    <w:rsid w:val="002128D8"/>
    <w:rsid w:val="002129D4"/>
    <w:rsid w:val="00212CDE"/>
    <w:rsid w:val="002135A2"/>
    <w:rsid w:val="002138EC"/>
    <w:rsid w:val="0021614C"/>
    <w:rsid w:val="00220834"/>
    <w:rsid w:val="00220B59"/>
    <w:rsid w:val="002210E9"/>
    <w:rsid w:val="00222175"/>
    <w:rsid w:val="00223E45"/>
    <w:rsid w:val="00224AD0"/>
    <w:rsid w:val="002251C3"/>
    <w:rsid w:val="00225534"/>
    <w:rsid w:val="00225F74"/>
    <w:rsid w:val="002260FD"/>
    <w:rsid w:val="002263B3"/>
    <w:rsid w:val="0022695C"/>
    <w:rsid w:val="00227682"/>
    <w:rsid w:val="00227D75"/>
    <w:rsid w:val="0023090D"/>
    <w:rsid w:val="00230DE8"/>
    <w:rsid w:val="00230FA2"/>
    <w:rsid w:val="00231268"/>
    <w:rsid w:val="00232A05"/>
    <w:rsid w:val="00233D4D"/>
    <w:rsid w:val="0023443E"/>
    <w:rsid w:val="00234902"/>
    <w:rsid w:val="00235857"/>
    <w:rsid w:val="00236B99"/>
    <w:rsid w:val="00237066"/>
    <w:rsid w:val="00237CC5"/>
    <w:rsid w:val="00240136"/>
    <w:rsid w:val="002402CA"/>
    <w:rsid w:val="00240A77"/>
    <w:rsid w:val="00240CF4"/>
    <w:rsid w:val="002417C5"/>
    <w:rsid w:val="00242535"/>
    <w:rsid w:val="002427AE"/>
    <w:rsid w:val="00243419"/>
    <w:rsid w:val="00245A6C"/>
    <w:rsid w:val="00245B04"/>
    <w:rsid w:val="00247F1B"/>
    <w:rsid w:val="002503CE"/>
    <w:rsid w:val="0025102C"/>
    <w:rsid w:val="0025137D"/>
    <w:rsid w:val="00252FF6"/>
    <w:rsid w:val="00253ECF"/>
    <w:rsid w:val="00253F71"/>
    <w:rsid w:val="00256550"/>
    <w:rsid w:val="0025757E"/>
    <w:rsid w:val="00257D9D"/>
    <w:rsid w:val="00257EFB"/>
    <w:rsid w:val="00260688"/>
    <w:rsid w:val="00260976"/>
    <w:rsid w:val="00260EF0"/>
    <w:rsid w:val="002611D1"/>
    <w:rsid w:val="0026475B"/>
    <w:rsid w:val="0026489F"/>
    <w:rsid w:val="00265023"/>
    <w:rsid w:val="002650CF"/>
    <w:rsid w:val="00265406"/>
    <w:rsid w:val="00265A3D"/>
    <w:rsid w:val="002662BE"/>
    <w:rsid w:val="002668AA"/>
    <w:rsid w:val="0026780C"/>
    <w:rsid w:val="002679BB"/>
    <w:rsid w:val="0027004E"/>
    <w:rsid w:val="00270FD9"/>
    <w:rsid w:val="002717A8"/>
    <w:rsid w:val="002723A7"/>
    <w:rsid w:val="002723D9"/>
    <w:rsid w:val="00273280"/>
    <w:rsid w:val="00273D6D"/>
    <w:rsid w:val="0027442C"/>
    <w:rsid w:val="00274EBC"/>
    <w:rsid w:val="00275609"/>
    <w:rsid w:val="0027697B"/>
    <w:rsid w:val="0027775D"/>
    <w:rsid w:val="00280105"/>
    <w:rsid w:val="00282488"/>
    <w:rsid w:val="00282B2B"/>
    <w:rsid w:val="00282DBE"/>
    <w:rsid w:val="00283704"/>
    <w:rsid w:val="002843B8"/>
    <w:rsid w:val="00284B2C"/>
    <w:rsid w:val="00285B0F"/>
    <w:rsid w:val="00287A18"/>
    <w:rsid w:val="00290CF1"/>
    <w:rsid w:val="002916F7"/>
    <w:rsid w:val="00292EC3"/>
    <w:rsid w:val="00294586"/>
    <w:rsid w:val="00294DE0"/>
    <w:rsid w:val="00296127"/>
    <w:rsid w:val="00296B08"/>
    <w:rsid w:val="002977E4"/>
    <w:rsid w:val="00297AC4"/>
    <w:rsid w:val="002A046A"/>
    <w:rsid w:val="002A0CAC"/>
    <w:rsid w:val="002A0D49"/>
    <w:rsid w:val="002A10A8"/>
    <w:rsid w:val="002A1639"/>
    <w:rsid w:val="002A1B2B"/>
    <w:rsid w:val="002A1CC2"/>
    <w:rsid w:val="002A1DC4"/>
    <w:rsid w:val="002A235B"/>
    <w:rsid w:val="002A2CED"/>
    <w:rsid w:val="002A4910"/>
    <w:rsid w:val="002A5C73"/>
    <w:rsid w:val="002A68B8"/>
    <w:rsid w:val="002B05D7"/>
    <w:rsid w:val="002B10AE"/>
    <w:rsid w:val="002B318C"/>
    <w:rsid w:val="002B3824"/>
    <w:rsid w:val="002B552A"/>
    <w:rsid w:val="002B74C5"/>
    <w:rsid w:val="002C010C"/>
    <w:rsid w:val="002C1A52"/>
    <w:rsid w:val="002C1FBF"/>
    <w:rsid w:val="002C25C6"/>
    <w:rsid w:val="002C454A"/>
    <w:rsid w:val="002C4737"/>
    <w:rsid w:val="002C47B8"/>
    <w:rsid w:val="002C4845"/>
    <w:rsid w:val="002C4A81"/>
    <w:rsid w:val="002C6888"/>
    <w:rsid w:val="002C78FB"/>
    <w:rsid w:val="002C7BD3"/>
    <w:rsid w:val="002D0814"/>
    <w:rsid w:val="002D0F81"/>
    <w:rsid w:val="002D170B"/>
    <w:rsid w:val="002D175D"/>
    <w:rsid w:val="002D2E80"/>
    <w:rsid w:val="002D3579"/>
    <w:rsid w:val="002D3B0F"/>
    <w:rsid w:val="002D4073"/>
    <w:rsid w:val="002D447A"/>
    <w:rsid w:val="002D4C76"/>
    <w:rsid w:val="002D4CDE"/>
    <w:rsid w:val="002D5187"/>
    <w:rsid w:val="002D5865"/>
    <w:rsid w:val="002D6F60"/>
    <w:rsid w:val="002D77A7"/>
    <w:rsid w:val="002D7BA6"/>
    <w:rsid w:val="002E294A"/>
    <w:rsid w:val="002E3514"/>
    <w:rsid w:val="002E3693"/>
    <w:rsid w:val="002E4D6D"/>
    <w:rsid w:val="002E6CB0"/>
    <w:rsid w:val="002F03B5"/>
    <w:rsid w:val="002F184C"/>
    <w:rsid w:val="002F19E7"/>
    <w:rsid w:val="002F2166"/>
    <w:rsid w:val="002F323A"/>
    <w:rsid w:val="002F3B70"/>
    <w:rsid w:val="002F47D9"/>
    <w:rsid w:val="002F5002"/>
    <w:rsid w:val="002F567B"/>
    <w:rsid w:val="002F579B"/>
    <w:rsid w:val="002F58BF"/>
    <w:rsid w:val="002F6AB2"/>
    <w:rsid w:val="002F707E"/>
    <w:rsid w:val="002F7C7C"/>
    <w:rsid w:val="002F7DB2"/>
    <w:rsid w:val="003004B8"/>
    <w:rsid w:val="003022A7"/>
    <w:rsid w:val="00303173"/>
    <w:rsid w:val="00303D85"/>
    <w:rsid w:val="00303F02"/>
    <w:rsid w:val="0030680B"/>
    <w:rsid w:val="00307512"/>
    <w:rsid w:val="00307F4D"/>
    <w:rsid w:val="0031098B"/>
    <w:rsid w:val="00311142"/>
    <w:rsid w:val="00311A9D"/>
    <w:rsid w:val="00311E82"/>
    <w:rsid w:val="00312994"/>
    <w:rsid w:val="00313CA3"/>
    <w:rsid w:val="0031558E"/>
    <w:rsid w:val="00315780"/>
    <w:rsid w:val="00315B94"/>
    <w:rsid w:val="003165E5"/>
    <w:rsid w:val="003201BC"/>
    <w:rsid w:val="00320293"/>
    <w:rsid w:val="003212E4"/>
    <w:rsid w:val="003217C9"/>
    <w:rsid w:val="00321CA6"/>
    <w:rsid w:val="00322DF3"/>
    <w:rsid w:val="00326769"/>
    <w:rsid w:val="00327AC3"/>
    <w:rsid w:val="00327BFC"/>
    <w:rsid w:val="00330832"/>
    <w:rsid w:val="00330C13"/>
    <w:rsid w:val="00331520"/>
    <w:rsid w:val="00331B5C"/>
    <w:rsid w:val="00331C0E"/>
    <w:rsid w:val="00331D9F"/>
    <w:rsid w:val="003324D9"/>
    <w:rsid w:val="00332574"/>
    <w:rsid w:val="0033273E"/>
    <w:rsid w:val="0033276A"/>
    <w:rsid w:val="0033283B"/>
    <w:rsid w:val="00333C49"/>
    <w:rsid w:val="00336033"/>
    <w:rsid w:val="0033733A"/>
    <w:rsid w:val="00337648"/>
    <w:rsid w:val="00340752"/>
    <w:rsid w:val="00340909"/>
    <w:rsid w:val="003409C9"/>
    <w:rsid w:val="00341583"/>
    <w:rsid w:val="00341F7C"/>
    <w:rsid w:val="00344581"/>
    <w:rsid w:val="00344DF2"/>
    <w:rsid w:val="003454A9"/>
    <w:rsid w:val="0034655C"/>
    <w:rsid w:val="0034681A"/>
    <w:rsid w:val="00346A8A"/>
    <w:rsid w:val="00346FFA"/>
    <w:rsid w:val="00347273"/>
    <w:rsid w:val="00347594"/>
    <w:rsid w:val="00350CFE"/>
    <w:rsid w:val="0035139C"/>
    <w:rsid w:val="003524FD"/>
    <w:rsid w:val="00354DDA"/>
    <w:rsid w:val="003561B8"/>
    <w:rsid w:val="003568F4"/>
    <w:rsid w:val="00357182"/>
    <w:rsid w:val="00357B8D"/>
    <w:rsid w:val="00357E66"/>
    <w:rsid w:val="00360100"/>
    <w:rsid w:val="00360197"/>
    <w:rsid w:val="00361C27"/>
    <w:rsid w:val="003625F1"/>
    <w:rsid w:val="003634DC"/>
    <w:rsid w:val="003638CF"/>
    <w:rsid w:val="00363C84"/>
    <w:rsid w:val="00364D14"/>
    <w:rsid w:val="00365311"/>
    <w:rsid w:val="003655B6"/>
    <w:rsid w:val="00365E46"/>
    <w:rsid w:val="00366100"/>
    <w:rsid w:val="003667BB"/>
    <w:rsid w:val="00366F41"/>
    <w:rsid w:val="00375E12"/>
    <w:rsid w:val="00376523"/>
    <w:rsid w:val="0037726C"/>
    <w:rsid w:val="00377697"/>
    <w:rsid w:val="00377A53"/>
    <w:rsid w:val="00377AED"/>
    <w:rsid w:val="003809F3"/>
    <w:rsid w:val="0038117E"/>
    <w:rsid w:val="0038135E"/>
    <w:rsid w:val="003813A6"/>
    <w:rsid w:val="00381900"/>
    <w:rsid w:val="00381B03"/>
    <w:rsid w:val="0038259A"/>
    <w:rsid w:val="00382F01"/>
    <w:rsid w:val="00384DC2"/>
    <w:rsid w:val="00387C29"/>
    <w:rsid w:val="00387DAD"/>
    <w:rsid w:val="00390732"/>
    <w:rsid w:val="00391CC7"/>
    <w:rsid w:val="0039257B"/>
    <w:rsid w:val="003935B1"/>
    <w:rsid w:val="0039441A"/>
    <w:rsid w:val="003965DA"/>
    <w:rsid w:val="00396D7E"/>
    <w:rsid w:val="00396FDF"/>
    <w:rsid w:val="00397760"/>
    <w:rsid w:val="003A0325"/>
    <w:rsid w:val="003A0776"/>
    <w:rsid w:val="003A0C23"/>
    <w:rsid w:val="003A0F73"/>
    <w:rsid w:val="003A1150"/>
    <w:rsid w:val="003A1E5E"/>
    <w:rsid w:val="003A5C77"/>
    <w:rsid w:val="003A5EB6"/>
    <w:rsid w:val="003A6A2F"/>
    <w:rsid w:val="003A6F63"/>
    <w:rsid w:val="003A785D"/>
    <w:rsid w:val="003A7A69"/>
    <w:rsid w:val="003B04DA"/>
    <w:rsid w:val="003B0E7A"/>
    <w:rsid w:val="003B15C8"/>
    <w:rsid w:val="003B17BB"/>
    <w:rsid w:val="003B1992"/>
    <w:rsid w:val="003B1A29"/>
    <w:rsid w:val="003B1C22"/>
    <w:rsid w:val="003B1D25"/>
    <w:rsid w:val="003B2900"/>
    <w:rsid w:val="003B2B30"/>
    <w:rsid w:val="003B2CAA"/>
    <w:rsid w:val="003B30D8"/>
    <w:rsid w:val="003B3299"/>
    <w:rsid w:val="003B436A"/>
    <w:rsid w:val="003B450F"/>
    <w:rsid w:val="003B48D5"/>
    <w:rsid w:val="003B4F8C"/>
    <w:rsid w:val="003B5512"/>
    <w:rsid w:val="003B62EC"/>
    <w:rsid w:val="003B6749"/>
    <w:rsid w:val="003B6844"/>
    <w:rsid w:val="003B75FC"/>
    <w:rsid w:val="003B7F5E"/>
    <w:rsid w:val="003C0B90"/>
    <w:rsid w:val="003C1215"/>
    <w:rsid w:val="003C14C9"/>
    <w:rsid w:val="003C15EF"/>
    <w:rsid w:val="003C1D23"/>
    <w:rsid w:val="003C4817"/>
    <w:rsid w:val="003C5E7B"/>
    <w:rsid w:val="003C6A22"/>
    <w:rsid w:val="003C7870"/>
    <w:rsid w:val="003C79AC"/>
    <w:rsid w:val="003D1EDB"/>
    <w:rsid w:val="003D4359"/>
    <w:rsid w:val="003D4739"/>
    <w:rsid w:val="003D56FD"/>
    <w:rsid w:val="003D75A1"/>
    <w:rsid w:val="003D78F3"/>
    <w:rsid w:val="003D7D58"/>
    <w:rsid w:val="003E0266"/>
    <w:rsid w:val="003E0C4A"/>
    <w:rsid w:val="003E221F"/>
    <w:rsid w:val="003E3296"/>
    <w:rsid w:val="003E3C65"/>
    <w:rsid w:val="003E3F0E"/>
    <w:rsid w:val="003E4749"/>
    <w:rsid w:val="003E4CC0"/>
    <w:rsid w:val="003E51DE"/>
    <w:rsid w:val="003E5D3F"/>
    <w:rsid w:val="003E60D1"/>
    <w:rsid w:val="003E6360"/>
    <w:rsid w:val="003E719B"/>
    <w:rsid w:val="003E757E"/>
    <w:rsid w:val="003F0052"/>
    <w:rsid w:val="003F0CAE"/>
    <w:rsid w:val="003F0EA8"/>
    <w:rsid w:val="003F250B"/>
    <w:rsid w:val="003F5183"/>
    <w:rsid w:val="003F56BD"/>
    <w:rsid w:val="003F5A35"/>
    <w:rsid w:val="003F7085"/>
    <w:rsid w:val="0040060E"/>
    <w:rsid w:val="00400C11"/>
    <w:rsid w:val="004010A8"/>
    <w:rsid w:val="00401DED"/>
    <w:rsid w:val="00402680"/>
    <w:rsid w:val="00404546"/>
    <w:rsid w:val="00406097"/>
    <w:rsid w:val="00406C7B"/>
    <w:rsid w:val="00407182"/>
    <w:rsid w:val="004078E5"/>
    <w:rsid w:val="00407FE4"/>
    <w:rsid w:val="00412F68"/>
    <w:rsid w:val="0041311D"/>
    <w:rsid w:val="00413CAA"/>
    <w:rsid w:val="00413FFD"/>
    <w:rsid w:val="00415784"/>
    <w:rsid w:val="00415806"/>
    <w:rsid w:val="004159BE"/>
    <w:rsid w:val="004168B3"/>
    <w:rsid w:val="0041784C"/>
    <w:rsid w:val="00417DAC"/>
    <w:rsid w:val="00417E13"/>
    <w:rsid w:val="00420CBC"/>
    <w:rsid w:val="00421432"/>
    <w:rsid w:val="00421732"/>
    <w:rsid w:val="00421CD5"/>
    <w:rsid w:val="00421E9D"/>
    <w:rsid w:val="00422784"/>
    <w:rsid w:val="00423EE9"/>
    <w:rsid w:val="00425998"/>
    <w:rsid w:val="00425EC2"/>
    <w:rsid w:val="00427187"/>
    <w:rsid w:val="00427696"/>
    <w:rsid w:val="00427FB8"/>
    <w:rsid w:val="004306A4"/>
    <w:rsid w:val="00431253"/>
    <w:rsid w:val="00432066"/>
    <w:rsid w:val="00435D37"/>
    <w:rsid w:val="00436469"/>
    <w:rsid w:val="00436FB4"/>
    <w:rsid w:val="004379FA"/>
    <w:rsid w:val="00442E20"/>
    <w:rsid w:val="0044465C"/>
    <w:rsid w:val="004453B9"/>
    <w:rsid w:val="0044550D"/>
    <w:rsid w:val="00445736"/>
    <w:rsid w:val="00446DA9"/>
    <w:rsid w:val="004471B9"/>
    <w:rsid w:val="00447221"/>
    <w:rsid w:val="004509F6"/>
    <w:rsid w:val="0045207A"/>
    <w:rsid w:val="00453CE3"/>
    <w:rsid w:val="00454093"/>
    <w:rsid w:val="00454C7D"/>
    <w:rsid w:val="00455227"/>
    <w:rsid w:val="00456F4F"/>
    <w:rsid w:val="004574D9"/>
    <w:rsid w:val="0045758B"/>
    <w:rsid w:val="00461324"/>
    <w:rsid w:val="0046148B"/>
    <w:rsid w:val="00461657"/>
    <w:rsid w:val="00461995"/>
    <w:rsid w:val="004634E4"/>
    <w:rsid w:val="004639A5"/>
    <w:rsid w:val="004655E7"/>
    <w:rsid w:val="0046659C"/>
    <w:rsid w:val="00466A02"/>
    <w:rsid w:val="00466E96"/>
    <w:rsid w:val="00466F15"/>
    <w:rsid w:val="00467156"/>
    <w:rsid w:val="00467511"/>
    <w:rsid w:val="0047022C"/>
    <w:rsid w:val="00470C83"/>
    <w:rsid w:val="00470C90"/>
    <w:rsid w:val="004725CB"/>
    <w:rsid w:val="0047278D"/>
    <w:rsid w:val="004732BC"/>
    <w:rsid w:val="00475763"/>
    <w:rsid w:val="00475BE2"/>
    <w:rsid w:val="00480082"/>
    <w:rsid w:val="00483B9D"/>
    <w:rsid w:val="0048470D"/>
    <w:rsid w:val="004848E8"/>
    <w:rsid w:val="00484EA7"/>
    <w:rsid w:val="004865CE"/>
    <w:rsid w:val="004868F5"/>
    <w:rsid w:val="0048699B"/>
    <w:rsid w:val="00487296"/>
    <w:rsid w:val="0049070F"/>
    <w:rsid w:val="00491368"/>
    <w:rsid w:val="0049250B"/>
    <w:rsid w:val="00492CE5"/>
    <w:rsid w:val="004932C1"/>
    <w:rsid w:val="00493B63"/>
    <w:rsid w:val="004940E0"/>
    <w:rsid w:val="00496006"/>
    <w:rsid w:val="00496861"/>
    <w:rsid w:val="004A1113"/>
    <w:rsid w:val="004A2665"/>
    <w:rsid w:val="004A3449"/>
    <w:rsid w:val="004A3489"/>
    <w:rsid w:val="004A350C"/>
    <w:rsid w:val="004A382B"/>
    <w:rsid w:val="004A3894"/>
    <w:rsid w:val="004A38D1"/>
    <w:rsid w:val="004A3B47"/>
    <w:rsid w:val="004A55B1"/>
    <w:rsid w:val="004A56BE"/>
    <w:rsid w:val="004A5717"/>
    <w:rsid w:val="004A61E8"/>
    <w:rsid w:val="004A62DA"/>
    <w:rsid w:val="004B1C2A"/>
    <w:rsid w:val="004B1ECF"/>
    <w:rsid w:val="004B378C"/>
    <w:rsid w:val="004B41B2"/>
    <w:rsid w:val="004B533B"/>
    <w:rsid w:val="004B5F63"/>
    <w:rsid w:val="004B7800"/>
    <w:rsid w:val="004B7883"/>
    <w:rsid w:val="004B7C4B"/>
    <w:rsid w:val="004C0135"/>
    <w:rsid w:val="004C0541"/>
    <w:rsid w:val="004C16F3"/>
    <w:rsid w:val="004C1D3E"/>
    <w:rsid w:val="004C206D"/>
    <w:rsid w:val="004C2EA5"/>
    <w:rsid w:val="004C373F"/>
    <w:rsid w:val="004C3C31"/>
    <w:rsid w:val="004C659C"/>
    <w:rsid w:val="004D49A0"/>
    <w:rsid w:val="004D4E0F"/>
    <w:rsid w:val="004D6472"/>
    <w:rsid w:val="004D7775"/>
    <w:rsid w:val="004E02D3"/>
    <w:rsid w:val="004E0DE7"/>
    <w:rsid w:val="004E12DB"/>
    <w:rsid w:val="004E28B9"/>
    <w:rsid w:val="004E4063"/>
    <w:rsid w:val="004E40DA"/>
    <w:rsid w:val="004E475F"/>
    <w:rsid w:val="004E5F03"/>
    <w:rsid w:val="004E6169"/>
    <w:rsid w:val="004E6C21"/>
    <w:rsid w:val="004E6F45"/>
    <w:rsid w:val="004E7335"/>
    <w:rsid w:val="004E7676"/>
    <w:rsid w:val="004F17AF"/>
    <w:rsid w:val="004F2797"/>
    <w:rsid w:val="004F288B"/>
    <w:rsid w:val="004F31D0"/>
    <w:rsid w:val="004F3817"/>
    <w:rsid w:val="004F4CFC"/>
    <w:rsid w:val="004F50B8"/>
    <w:rsid w:val="004F5DA8"/>
    <w:rsid w:val="004F62C2"/>
    <w:rsid w:val="004F7808"/>
    <w:rsid w:val="004F7D2D"/>
    <w:rsid w:val="004F7F54"/>
    <w:rsid w:val="004F7F71"/>
    <w:rsid w:val="005025EC"/>
    <w:rsid w:val="005027D6"/>
    <w:rsid w:val="0050365D"/>
    <w:rsid w:val="005065E6"/>
    <w:rsid w:val="005070CF"/>
    <w:rsid w:val="005078B9"/>
    <w:rsid w:val="00507D4D"/>
    <w:rsid w:val="00507F7B"/>
    <w:rsid w:val="00511604"/>
    <w:rsid w:val="00511F1F"/>
    <w:rsid w:val="0051201B"/>
    <w:rsid w:val="0051345D"/>
    <w:rsid w:val="005157FF"/>
    <w:rsid w:val="00516264"/>
    <w:rsid w:val="00516511"/>
    <w:rsid w:val="00517175"/>
    <w:rsid w:val="00517B19"/>
    <w:rsid w:val="00521DE6"/>
    <w:rsid w:val="005221F4"/>
    <w:rsid w:val="00522282"/>
    <w:rsid w:val="00524587"/>
    <w:rsid w:val="0052511E"/>
    <w:rsid w:val="0052531F"/>
    <w:rsid w:val="005253D1"/>
    <w:rsid w:val="005264EC"/>
    <w:rsid w:val="0053016A"/>
    <w:rsid w:val="005309A7"/>
    <w:rsid w:val="00530AE6"/>
    <w:rsid w:val="00531684"/>
    <w:rsid w:val="00532B88"/>
    <w:rsid w:val="005331BD"/>
    <w:rsid w:val="0053330B"/>
    <w:rsid w:val="005337B0"/>
    <w:rsid w:val="00533C4D"/>
    <w:rsid w:val="005340BA"/>
    <w:rsid w:val="005343F8"/>
    <w:rsid w:val="00534ED3"/>
    <w:rsid w:val="0053502A"/>
    <w:rsid w:val="0053621B"/>
    <w:rsid w:val="00536525"/>
    <w:rsid w:val="0053722D"/>
    <w:rsid w:val="005374C9"/>
    <w:rsid w:val="00540842"/>
    <w:rsid w:val="00540D55"/>
    <w:rsid w:val="00541131"/>
    <w:rsid w:val="00541453"/>
    <w:rsid w:val="00541D70"/>
    <w:rsid w:val="005429A2"/>
    <w:rsid w:val="005436E2"/>
    <w:rsid w:val="00543A1F"/>
    <w:rsid w:val="00543F14"/>
    <w:rsid w:val="00543F2D"/>
    <w:rsid w:val="00545372"/>
    <w:rsid w:val="005468F5"/>
    <w:rsid w:val="00546967"/>
    <w:rsid w:val="00547212"/>
    <w:rsid w:val="005479C8"/>
    <w:rsid w:val="00547B34"/>
    <w:rsid w:val="00547C53"/>
    <w:rsid w:val="005523CF"/>
    <w:rsid w:val="00552402"/>
    <w:rsid w:val="0055364A"/>
    <w:rsid w:val="00553E61"/>
    <w:rsid w:val="0055409D"/>
    <w:rsid w:val="00554387"/>
    <w:rsid w:val="00555066"/>
    <w:rsid w:val="0055507E"/>
    <w:rsid w:val="00555A5E"/>
    <w:rsid w:val="005562D6"/>
    <w:rsid w:val="005568D7"/>
    <w:rsid w:val="0055713F"/>
    <w:rsid w:val="00557DB0"/>
    <w:rsid w:val="00560113"/>
    <w:rsid w:val="00560529"/>
    <w:rsid w:val="00560667"/>
    <w:rsid w:val="00561992"/>
    <w:rsid w:val="00562086"/>
    <w:rsid w:val="00564436"/>
    <w:rsid w:val="005644BB"/>
    <w:rsid w:val="0056509E"/>
    <w:rsid w:val="00565662"/>
    <w:rsid w:val="00566BFA"/>
    <w:rsid w:val="005700F4"/>
    <w:rsid w:val="00570C9B"/>
    <w:rsid w:val="00570EEF"/>
    <w:rsid w:val="005715D6"/>
    <w:rsid w:val="00571A37"/>
    <w:rsid w:val="0057438A"/>
    <w:rsid w:val="00575B7D"/>
    <w:rsid w:val="005764FB"/>
    <w:rsid w:val="00580172"/>
    <w:rsid w:val="00580859"/>
    <w:rsid w:val="00581749"/>
    <w:rsid w:val="005818A8"/>
    <w:rsid w:val="00581D4E"/>
    <w:rsid w:val="005829D9"/>
    <w:rsid w:val="00583591"/>
    <w:rsid w:val="005838F0"/>
    <w:rsid w:val="0058458E"/>
    <w:rsid w:val="005846E1"/>
    <w:rsid w:val="005852DA"/>
    <w:rsid w:val="005858DC"/>
    <w:rsid w:val="00585B6B"/>
    <w:rsid w:val="00585F7B"/>
    <w:rsid w:val="005874DD"/>
    <w:rsid w:val="0058776D"/>
    <w:rsid w:val="00590ABD"/>
    <w:rsid w:val="00590B7B"/>
    <w:rsid w:val="005916D5"/>
    <w:rsid w:val="00591720"/>
    <w:rsid w:val="00592DF3"/>
    <w:rsid w:val="00593B25"/>
    <w:rsid w:val="00595DA2"/>
    <w:rsid w:val="00596079"/>
    <w:rsid w:val="005966E6"/>
    <w:rsid w:val="005A054F"/>
    <w:rsid w:val="005A0B3D"/>
    <w:rsid w:val="005A13E6"/>
    <w:rsid w:val="005A17DE"/>
    <w:rsid w:val="005A1C61"/>
    <w:rsid w:val="005A4AB8"/>
    <w:rsid w:val="005A5064"/>
    <w:rsid w:val="005A5229"/>
    <w:rsid w:val="005B0DB1"/>
    <w:rsid w:val="005B18F4"/>
    <w:rsid w:val="005B25F8"/>
    <w:rsid w:val="005B2BF5"/>
    <w:rsid w:val="005B32A9"/>
    <w:rsid w:val="005B5CB7"/>
    <w:rsid w:val="005B5F21"/>
    <w:rsid w:val="005B7040"/>
    <w:rsid w:val="005C19AB"/>
    <w:rsid w:val="005C2D8D"/>
    <w:rsid w:val="005C363C"/>
    <w:rsid w:val="005C3915"/>
    <w:rsid w:val="005C3D3E"/>
    <w:rsid w:val="005C4CBE"/>
    <w:rsid w:val="005C4DBD"/>
    <w:rsid w:val="005C4E87"/>
    <w:rsid w:val="005C5F38"/>
    <w:rsid w:val="005D07D1"/>
    <w:rsid w:val="005D0E14"/>
    <w:rsid w:val="005D2F3D"/>
    <w:rsid w:val="005D4BC4"/>
    <w:rsid w:val="005D5D14"/>
    <w:rsid w:val="005D5E2D"/>
    <w:rsid w:val="005D6EEB"/>
    <w:rsid w:val="005D751B"/>
    <w:rsid w:val="005E0358"/>
    <w:rsid w:val="005E038B"/>
    <w:rsid w:val="005E150E"/>
    <w:rsid w:val="005E199C"/>
    <w:rsid w:val="005E2852"/>
    <w:rsid w:val="005E2B06"/>
    <w:rsid w:val="005E2EE9"/>
    <w:rsid w:val="005E35C9"/>
    <w:rsid w:val="005E4CD1"/>
    <w:rsid w:val="005E55DD"/>
    <w:rsid w:val="005E5941"/>
    <w:rsid w:val="005E6D35"/>
    <w:rsid w:val="005F060E"/>
    <w:rsid w:val="005F13D5"/>
    <w:rsid w:val="005F38AB"/>
    <w:rsid w:val="005F50EA"/>
    <w:rsid w:val="005F568D"/>
    <w:rsid w:val="005F66B5"/>
    <w:rsid w:val="006006C6"/>
    <w:rsid w:val="0060487F"/>
    <w:rsid w:val="006050EA"/>
    <w:rsid w:val="0060648E"/>
    <w:rsid w:val="006070E0"/>
    <w:rsid w:val="006071F2"/>
    <w:rsid w:val="00607217"/>
    <w:rsid w:val="00607500"/>
    <w:rsid w:val="00607541"/>
    <w:rsid w:val="0061084D"/>
    <w:rsid w:val="00610DDD"/>
    <w:rsid w:val="00611BC2"/>
    <w:rsid w:val="006127E9"/>
    <w:rsid w:val="00612A53"/>
    <w:rsid w:val="00612A74"/>
    <w:rsid w:val="00612F5E"/>
    <w:rsid w:val="00613676"/>
    <w:rsid w:val="006139C9"/>
    <w:rsid w:val="006142D5"/>
    <w:rsid w:val="006152FB"/>
    <w:rsid w:val="0061569F"/>
    <w:rsid w:val="00616B6E"/>
    <w:rsid w:val="00617CA0"/>
    <w:rsid w:val="00620ACF"/>
    <w:rsid w:val="00620FA4"/>
    <w:rsid w:val="0062188F"/>
    <w:rsid w:val="00621B53"/>
    <w:rsid w:val="0062271A"/>
    <w:rsid w:val="00622F10"/>
    <w:rsid w:val="00622FAC"/>
    <w:rsid w:val="00623BC4"/>
    <w:rsid w:val="00624C12"/>
    <w:rsid w:val="00630010"/>
    <w:rsid w:val="006304FD"/>
    <w:rsid w:val="00632692"/>
    <w:rsid w:val="00634B74"/>
    <w:rsid w:val="006357BA"/>
    <w:rsid w:val="0063610A"/>
    <w:rsid w:val="006364A1"/>
    <w:rsid w:val="00642A13"/>
    <w:rsid w:val="00642F40"/>
    <w:rsid w:val="006435D8"/>
    <w:rsid w:val="00645ED4"/>
    <w:rsid w:val="00647463"/>
    <w:rsid w:val="00647B12"/>
    <w:rsid w:val="006509EE"/>
    <w:rsid w:val="00650AC3"/>
    <w:rsid w:val="00651027"/>
    <w:rsid w:val="0065108A"/>
    <w:rsid w:val="006534C5"/>
    <w:rsid w:val="0065398C"/>
    <w:rsid w:val="00653CF3"/>
    <w:rsid w:val="0065416C"/>
    <w:rsid w:val="00654A8A"/>
    <w:rsid w:val="0065518C"/>
    <w:rsid w:val="0065597E"/>
    <w:rsid w:val="00655E97"/>
    <w:rsid w:val="0065775B"/>
    <w:rsid w:val="00657F58"/>
    <w:rsid w:val="00661339"/>
    <w:rsid w:val="00661C7E"/>
    <w:rsid w:val="00661E40"/>
    <w:rsid w:val="00663690"/>
    <w:rsid w:val="00664DEB"/>
    <w:rsid w:val="00666EFC"/>
    <w:rsid w:val="0066756D"/>
    <w:rsid w:val="00670373"/>
    <w:rsid w:val="006705D4"/>
    <w:rsid w:val="00670C5E"/>
    <w:rsid w:val="00670C6E"/>
    <w:rsid w:val="00671200"/>
    <w:rsid w:val="00671844"/>
    <w:rsid w:val="00671961"/>
    <w:rsid w:val="006719B2"/>
    <w:rsid w:val="006723F0"/>
    <w:rsid w:val="00672DCB"/>
    <w:rsid w:val="006751BF"/>
    <w:rsid w:val="006752C1"/>
    <w:rsid w:val="006756E9"/>
    <w:rsid w:val="006759B4"/>
    <w:rsid w:val="00675DCF"/>
    <w:rsid w:val="006760A4"/>
    <w:rsid w:val="00676256"/>
    <w:rsid w:val="00676A4B"/>
    <w:rsid w:val="00676BD4"/>
    <w:rsid w:val="00676C8B"/>
    <w:rsid w:val="0067730D"/>
    <w:rsid w:val="00677E65"/>
    <w:rsid w:val="006807FE"/>
    <w:rsid w:val="00680A78"/>
    <w:rsid w:val="00681351"/>
    <w:rsid w:val="006817D4"/>
    <w:rsid w:val="00681A9E"/>
    <w:rsid w:val="00682718"/>
    <w:rsid w:val="00684818"/>
    <w:rsid w:val="00684902"/>
    <w:rsid w:val="00685393"/>
    <w:rsid w:val="006900D2"/>
    <w:rsid w:val="006904B2"/>
    <w:rsid w:val="00690A2B"/>
    <w:rsid w:val="00690D87"/>
    <w:rsid w:val="00690EA9"/>
    <w:rsid w:val="006910F4"/>
    <w:rsid w:val="00692810"/>
    <w:rsid w:val="0069434B"/>
    <w:rsid w:val="00694445"/>
    <w:rsid w:val="00694991"/>
    <w:rsid w:val="00695141"/>
    <w:rsid w:val="00695AC5"/>
    <w:rsid w:val="006966E3"/>
    <w:rsid w:val="00696D67"/>
    <w:rsid w:val="006971AF"/>
    <w:rsid w:val="00697A91"/>
    <w:rsid w:val="006A0B4A"/>
    <w:rsid w:val="006A144B"/>
    <w:rsid w:val="006A174E"/>
    <w:rsid w:val="006A1C8D"/>
    <w:rsid w:val="006A290B"/>
    <w:rsid w:val="006A469E"/>
    <w:rsid w:val="006A478E"/>
    <w:rsid w:val="006A4801"/>
    <w:rsid w:val="006A5DE6"/>
    <w:rsid w:val="006A5F7F"/>
    <w:rsid w:val="006A6C58"/>
    <w:rsid w:val="006A6FB2"/>
    <w:rsid w:val="006B159D"/>
    <w:rsid w:val="006B21AB"/>
    <w:rsid w:val="006B22E5"/>
    <w:rsid w:val="006B2866"/>
    <w:rsid w:val="006B3579"/>
    <w:rsid w:val="006B4777"/>
    <w:rsid w:val="006B5211"/>
    <w:rsid w:val="006B5863"/>
    <w:rsid w:val="006B729D"/>
    <w:rsid w:val="006B7725"/>
    <w:rsid w:val="006C1458"/>
    <w:rsid w:val="006C15C6"/>
    <w:rsid w:val="006C1751"/>
    <w:rsid w:val="006C1C26"/>
    <w:rsid w:val="006C27EC"/>
    <w:rsid w:val="006C28CF"/>
    <w:rsid w:val="006C2906"/>
    <w:rsid w:val="006C2EF6"/>
    <w:rsid w:val="006C3C84"/>
    <w:rsid w:val="006C5096"/>
    <w:rsid w:val="006C5F17"/>
    <w:rsid w:val="006C6303"/>
    <w:rsid w:val="006C6B7E"/>
    <w:rsid w:val="006C6BF9"/>
    <w:rsid w:val="006C6C06"/>
    <w:rsid w:val="006C7BA4"/>
    <w:rsid w:val="006C7EA3"/>
    <w:rsid w:val="006D1A57"/>
    <w:rsid w:val="006D1BC2"/>
    <w:rsid w:val="006D2608"/>
    <w:rsid w:val="006D2A9C"/>
    <w:rsid w:val="006D2B20"/>
    <w:rsid w:val="006D2D6C"/>
    <w:rsid w:val="006D3720"/>
    <w:rsid w:val="006D3727"/>
    <w:rsid w:val="006D3763"/>
    <w:rsid w:val="006D4A5C"/>
    <w:rsid w:val="006D53D7"/>
    <w:rsid w:val="006D5B24"/>
    <w:rsid w:val="006D7398"/>
    <w:rsid w:val="006D74DB"/>
    <w:rsid w:val="006E11AC"/>
    <w:rsid w:val="006E11E0"/>
    <w:rsid w:val="006E4128"/>
    <w:rsid w:val="006E4746"/>
    <w:rsid w:val="006E4B91"/>
    <w:rsid w:val="006E6751"/>
    <w:rsid w:val="006E7282"/>
    <w:rsid w:val="006F0752"/>
    <w:rsid w:val="006F1525"/>
    <w:rsid w:val="006F1AFE"/>
    <w:rsid w:val="006F2861"/>
    <w:rsid w:val="006F4259"/>
    <w:rsid w:val="006F4309"/>
    <w:rsid w:val="006F4C84"/>
    <w:rsid w:val="006F5E1B"/>
    <w:rsid w:val="006F6B2B"/>
    <w:rsid w:val="006F6D5E"/>
    <w:rsid w:val="006F7123"/>
    <w:rsid w:val="006F7C03"/>
    <w:rsid w:val="00701093"/>
    <w:rsid w:val="007027D1"/>
    <w:rsid w:val="00703B0B"/>
    <w:rsid w:val="00705089"/>
    <w:rsid w:val="007055C9"/>
    <w:rsid w:val="007067B2"/>
    <w:rsid w:val="00706A33"/>
    <w:rsid w:val="00706CF0"/>
    <w:rsid w:val="00707E96"/>
    <w:rsid w:val="00710BC7"/>
    <w:rsid w:val="00712271"/>
    <w:rsid w:val="00712C9A"/>
    <w:rsid w:val="00712CC4"/>
    <w:rsid w:val="00713AA0"/>
    <w:rsid w:val="00715429"/>
    <w:rsid w:val="00715597"/>
    <w:rsid w:val="00715DEB"/>
    <w:rsid w:val="00716A7D"/>
    <w:rsid w:val="00716B14"/>
    <w:rsid w:val="0071757A"/>
    <w:rsid w:val="00717FE8"/>
    <w:rsid w:val="00720A33"/>
    <w:rsid w:val="00721DCD"/>
    <w:rsid w:val="007227E1"/>
    <w:rsid w:val="00722A4C"/>
    <w:rsid w:val="007234B4"/>
    <w:rsid w:val="00725D07"/>
    <w:rsid w:val="00725E16"/>
    <w:rsid w:val="00727967"/>
    <w:rsid w:val="00727BED"/>
    <w:rsid w:val="007307C9"/>
    <w:rsid w:val="0073095F"/>
    <w:rsid w:val="007319C8"/>
    <w:rsid w:val="00731BF4"/>
    <w:rsid w:val="007326D7"/>
    <w:rsid w:val="007335DB"/>
    <w:rsid w:val="00733BCB"/>
    <w:rsid w:val="00734007"/>
    <w:rsid w:val="0073431B"/>
    <w:rsid w:val="00734688"/>
    <w:rsid w:val="00734729"/>
    <w:rsid w:val="00736A98"/>
    <w:rsid w:val="00736C15"/>
    <w:rsid w:val="00736E76"/>
    <w:rsid w:val="0073706D"/>
    <w:rsid w:val="007375FD"/>
    <w:rsid w:val="00737DB4"/>
    <w:rsid w:val="007406F2"/>
    <w:rsid w:val="007409AF"/>
    <w:rsid w:val="00742C04"/>
    <w:rsid w:val="00743684"/>
    <w:rsid w:val="007452A1"/>
    <w:rsid w:val="00745BCE"/>
    <w:rsid w:val="00745F91"/>
    <w:rsid w:val="00746132"/>
    <w:rsid w:val="007469F9"/>
    <w:rsid w:val="00746E03"/>
    <w:rsid w:val="00747828"/>
    <w:rsid w:val="00750866"/>
    <w:rsid w:val="007515DA"/>
    <w:rsid w:val="007534AA"/>
    <w:rsid w:val="00753C0A"/>
    <w:rsid w:val="00753E85"/>
    <w:rsid w:val="007548EE"/>
    <w:rsid w:val="00754D46"/>
    <w:rsid w:val="00754F86"/>
    <w:rsid w:val="0075551E"/>
    <w:rsid w:val="00755DB9"/>
    <w:rsid w:val="00755FB7"/>
    <w:rsid w:val="0075626E"/>
    <w:rsid w:val="00756761"/>
    <w:rsid w:val="00756F11"/>
    <w:rsid w:val="007579F4"/>
    <w:rsid w:val="00757A6C"/>
    <w:rsid w:val="00760D2A"/>
    <w:rsid w:val="0076100C"/>
    <w:rsid w:val="00761287"/>
    <w:rsid w:val="0076182F"/>
    <w:rsid w:val="007618B8"/>
    <w:rsid w:val="00762622"/>
    <w:rsid w:val="0076413B"/>
    <w:rsid w:val="00764D09"/>
    <w:rsid w:val="007652FD"/>
    <w:rsid w:val="0076645A"/>
    <w:rsid w:val="007675AF"/>
    <w:rsid w:val="00770772"/>
    <w:rsid w:val="00771538"/>
    <w:rsid w:val="00771D94"/>
    <w:rsid w:val="007720D7"/>
    <w:rsid w:val="007722BC"/>
    <w:rsid w:val="00772523"/>
    <w:rsid w:val="00772A01"/>
    <w:rsid w:val="00772F45"/>
    <w:rsid w:val="00773C65"/>
    <w:rsid w:val="00775529"/>
    <w:rsid w:val="00776710"/>
    <w:rsid w:val="00776A67"/>
    <w:rsid w:val="00776DE5"/>
    <w:rsid w:val="00777134"/>
    <w:rsid w:val="00781377"/>
    <w:rsid w:val="00781E5B"/>
    <w:rsid w:val="00781FAF"/>
    <w:rsid w:val="00783810"/>
    <w:rsid w:val="00783A9F"/>
    <w:rsid w:val="00784166"/>
    <w:rsid w:val="0078476D"/>
    <w:rsid w:val="007847FB"/>
    <w:rsid w:val="00784BF8"/>
    <w:rsid w:val="00784DAE"/>
    <w:rsid w:val="00784E09"/>
    <w:rsid w:val="00785339"/>
    <w:rsid w:val="00786F50"/>
    <w:rsid w:val="00787A25"/>
    <w:rsid w:val="00787E88"/>
    <w:rsid w:val="00791DC2"/>
    <w:rsid w:val="00793198"/>
    <w:rsid w:val="00793A27"/>
    <w:rsid w:val="00793F4D"/>
    <w:rsid w:val="007941BB"/>
    <w:rsid w:val="007946DB"/>
    <w:rsid w:val="00794B8C"/>
    <w:rsid w:val="00796ED1"/>
    <w:rsid w:val="007978AC"/>
    <w:rsid w:val="00797B66"/>
    <w:rsid w:val="00797BA2"/>
    <w:rsid w:val="007A0816"/>
    <w:rsid w:val="007A1882"/>
    <w:rsid w:val="007A1CFE"/>
    <w:rsid w:val="007A2091"/>
    <w:rsid w:val="007A2838"/>
    <w:rsid w:val="007A299E"/>
    <w:rsid w:val="007A2D7A"/>
    <w:rsid w:val="007A33EE"/>
    <w:rsid w:val="007A3B09"/>
    <w:rsid w:val="007A5A5D"/>
    <w:rsid w:val="007A67CB"/>
    <w:rsid w:val="007A6A82"/>
    <w:rsid w:val="007A73EE"/>
    <w:rsid w:val="007A7E1A"/>
    <w:rsid w:val="007B0888"/>
    <w:rsid w:val="007B0B93"/>
    <w:rsid w:val="007B41C4"/>
    <w:rsid w:val="007B5A1B"/>
    <w:rsid w:val="007B5C2E"/>
    <w:rsid w:val="007B7DBE"/>
    <w:rsid w:val="007B7EED"/>
    <w:rsid w:val="007C1EE8"/>
    <w:rsid w:val="007C2107"/>
    <w:rsid w:val="007C2827"/>
    <w:rsid w:val="007C2B1C"/>
    <w:rsid w:val="007C43BE"/>
    <w:rsid w:val="007C49FF"/>
    <w:rsid w:val="007C5F96"/>
    <w:rsid w:val="007C601C"/>
    <w:rsid w:val="007D0106"/>
    <w:rsid w:val="007D033B"/>
    <w:rsid w:val="007D0956"/>
    <w:rsid w:val="007D39CD"/>
    <w:rsid w:val="007D410B"/>
    <w:rsid w:val="007D48C4"/>
    <w:rsid w:val="007D4C9D"/>
    <w:rsid w:val="007D4EE7"/>
    <w:rsid w:val="007D5AB1"/>
    <w:rsid w:val="007D6AA1"/>
    <w:rsid w:val="007D78E3"/>
    <w:rsid w:val="007E01F2"/>
    <w:rsid w:val="007E0203"/>
    <w:rsid w:val="007E056C"/>
    <w:rsid w:val="007E0761"/>
    <w:rsid w:val="007E081D"/>
    <w:rsid w:val="007E1AB8"/>
    <w:rsid w:val="007E293C"/>
    <w:rsid w:val="007E36EB"/>
    <w:rsid w:val="007E380A"/>
    <w:rsid w:val="007E5CC1"/>
    <w:rsid w:val="007E7DDD"/>
    <w:rsid w:val="007F182C"/>
    <w:rsid w:val="007F2376"/>
    <w:rsid w:val="007F33E9"/>
    <w:rsid w:val="007F388B"/>
    <w:rsid w:val="007F4571"/>
    <w:rsid w:val="007F4D55"/>
    <w:rsid w:val="007F5FD8"/>
    <w:rsid w:val="007F61AF"/>
    <w:rsid w:val="007F775F"/>
    <w:rsid w:val="007F7F34"/>
    <w:rsid w:val="0080031F"/>
    <w:rsid w:val="00801411"/>
    <w:rsid w:val="00801DB8"/>
    <w:rsid w:val="0080291E"/>
    <w:rsid w:val="00802B7F"/>
    <w:rsid w:val="00804F0B"/>
    <w:rsid w:val="00805844"/>
    <w:rsid w:val="00805AF2"/>
    <w:rsid w:val="00805F78"/>
    <w:rsid w:val="00806B4B"/>
    <w:rsid w:val="00810837"/>
    <w:rsid w:val="00810CC6"/>
    <w:rsid w:val="00810CDD"/>
    <w:rsid w:val="00811332"/>
    <w:rsid w:val="0081184B"/>
    <w:rsid w:val="00811943"/>
    <w:rsid w:val="00811DF5"/>
    <w:rsid w:val="00812862"/>
    <w:rsid w:val="00812E0B"/>
    <w:rsid w:val="00813346"/>
    <w:rsid w:val="00813F13"/>
    <w:rsid w:val="00814063"/>
    <w:rsid w:val="00815A2F"/>
    <w:rsid w:val="00815E6D"/>
    <w:rsid w:val="00817A6A"/>
    <w:rsid w:val="0082070B"/>
    <w:rsid w:val="0082084A"/>
    <w:rsid w:val="00822F67"/>
    <w:rsid w:val="008239BC"/>
    <w:rsid w:val="008251C2"/>
    <w:rsid w:val="0082570B"/>
    <w:rsid w:val="008269CE"/>
    <w:rsid w:val="0082721B"/>
    <w:rsid w:val="0083011C"/>
    <w:rsid w:val="008312F3"/>
    <w:rsid w:val="008343BA"/>
    <w:rsid w:val="00834A2C"/>
    <w:rsid w:val="0083553F"/>
    <w:rsid w:val="008355A8"/>
    <w:rsid w:val="00835BC9"/>
    <w:rsid w:val="00836A00"/>
    <w:rsid w:val="00840621"/>
    <w:rsid w:val="00841315"/>
    <w:rsid w:val="00842AFE"/>
    <w:rsid w:val="00842C5E"/>
    <w:rsid w:val="00842FB5"/>
    <w:rsid w:val="00843DFF"/>
    <w:rsid w:val="00844116"/>
    <w:rsid w:val="00844B4B"/>
    <w:rsid w:val="00845320"/>
    <w:rsid w:val="00845675"/>
    <w:rsid w:val="0084680E"/>
    <w:rsid w:val="00846DA4"/>
    <w:rsid w:val="00847B5B"/>
    <w:rsid w:val="00847C9F"/>
    <w:rsid w:val="00847EBF"/>
    <w:rsid w:val="0085098F"/>
    <w:rsid w:val="0085138D"/>
    <w:rsid w:val="00854098"/>
    <w:rsid w:val="00855ED0"/>
    <w:rsid w:val="0085673A"/>
    <w:rsid w:val="00856DE2"/>
    <w:rsid w:val="008573C7"/>
    <w:rsid w:val="00857B59"/>
    <w:rsid w:val="00860BDB"/>
    <w:rsid w:val="00861096"/>
    <w:rsid w:val="008617B7"/>
    <w:rsid w:val="00861D85"/>
    <w:rsid w:val="00861F52"/>
    <w:rsid w:val="00862A4F"/>
    <w:rsid w:val="00863019"/>
    <w:rsid w:val="00864891"/>
    <w:rsid w:val="00864D7E"/>
    <w:rsid w:val="008654E2"/>
    <w:rsid w:val="008656F4"/>
    <w:rsid w:val="00866008"/>
    <w:rsid w:val="00870795"/>
    <w:rsid w:val="00871ED5"/>
    <w:rsid w:val="008722E4"/>
    <w:rsid w:val="00873808"/>
    <w:rsid w:val="00873FD5"/>
    <w:rsid w:val="00874F31"/>
    <w:rsid w:val="0087527E"/>
    <w:rsid w:val="00875C4F"/>
    <w:rsid w:val="008770B1"/>
    <w:rsid w:val="00877642"/>
    <w:rsid w:val="00877FE9"/>
    <w:rsid w:val="00880646"/>
    <w:rsid w:val="00881C0B"/>
    <w:rsid w:val="00882650"/>
    <w:rsid w:val="00883754"/>
    <w:rsid w:val="008842AB"/>
    <w:rsid w:val="008844C7"/>
    <w:rsid w:val="008855BC"/>
    <w:rsid w:val="00886294"/>
    <w:rsid w:val="00886302"/>
    <w:rsid w:val="00886930"/>
    <w:rsid w:val="00886A95"/>
    <w:rsid w:val="00886F12"/>
    <w:rsid w:val="008902D3"/>
    <w:rsid w:val="0089194A"/>
    <w:rsid w:val="0089243B"/>
    <w:rsid w:val="00892AFB"/>
    <w:rsid w:val="0089368B"/>
    <w:rsid w:val="00893A0A"/>
    <w:rsid w:val="0089561D"/>
    <w:rsid w:val="0089702D"/>
    <w:rsid w:val="00897403"/>
    <w:rsid w:val="008A1B88"/>
    <w:rsid w:val="008A1D16"/>
    <w:rsid w:val="008A1FE3"/>
    <w:rsid w:val="008A20BC"/>
    <w:rsid w:val="008A280E"/>
    <w:rsid w:val="008A30DD"/>
    <w:rsid w:val="008A31C0"/>
    <w:rsid w:val="008A3BC7"/>
    <w:rsid w:val="008A3F44"/>
    <w:rsid w:val="008A466B"/>
    <w:rsid w:val="008A68EC"/>
    <w:rsid w:val="008A73B0"/>
    <w:rsid w:val="008B15CC"/>
    <w:rsid w:val="008B285E"/>
    <w:rsid w:val="008B2B3C"/>
    <w:rsid w:val="008B4A2E"/>
    <w:rsid w:val="008B58DE"/>
    <w:rsid w:val="008B599F"/>
    <w:rsid w:val="008B6202"/>
    <w:rsid w:val="008B665D"/>
    <w:rsid w:val="008B6D0D"/>
    <w:rsid w:val="008B6F16"/>
    <w:rsid w:val="008C01EB"/>
    <w:rsid w:val="008C15C8"/>
    <w:rsid w:val="008C215C"/>
    <w:rsid w:val="008C2299"/>
    <w:rsid w:val="008C2443"/>
    <w:rsid w:val="008C2CD3"/>
    <w:rsid w:val="008C34B7"/>
    <w:rsid w:val="008C3941"/>
    <w:rsid w:val="008C4151"/>
    <w:rsid w:val="008C5163"/>
    <w:rsid w:val="008C5984"/>
    <w:rsid w:val="008C7C7F"/>
    <w:rsid w:val="008D0308"/>
    <w:rsid w:val="008D0998"/>
    <w:rsid w:val="008D1539"/>
    <w:rsid w:val="008D20A3"/>
    <w:rsid w:val="008D27EB"/>
    <w:rsid w:val="008D2C8B"/>
    <w:rsid w:val="008D30AF"/>
    <w:rsid w:val="008D3CDF"/>
    <w:rsid w:val="008D4618"/>
    <w:rsid w:val="008D5823"/>
    <w:rsid w:val="008D644F"/>
    <w:rsid w:val="008D6A5D"/>
    <w:rsid w:val="008D6E5C"/>
    <w:rsid w:val="008D6E96"/>
    <w:rsid w:val="008D6F6A"/>
    <w:rsid w:val="008D6F78"/>
    <w:rsid w:val="008D76BE"/>
    <w:rsid w:val="008E0886"/>
    <w:rsid w:val="008E0E90"/>
    <w:rsid w:val="008E10D6"/>
    <w:rsid w:val="008E27E6"/>
    <w:rsid w:val="008E2B58"/>
    <w:rsid w:val="008E33EA"/>
    <w:rsid w:val="008E3805"/>
    <w:rsid w:val="008E3D20"/>
    <w:rsid w:val="008E4582"/>
    <w:rsid w:val="008E462B"/>
    <w:rsid w:val="008E5EDA"/>
    <w:rsid w:val="008E636B"/>
    <w:rsid w:val="008E6D00"/>
    <w:rsid w:val="008E6F6E"/>
    <w:rsid w:val="008E7183"/>
    <w:rsid w:val="008E77D5"/>
    <w:rsid w:val="008F0415"/>
    <w:rsid w:val="008F0BE5"/>
    <w:rsid w:val="008F195C"/>
    <w:rsid w:val="008F34CB"/>
    <w:rsid w:val="008F3986"/>
    <w:rsid w:val="008F4F59"/>
    <w:rsid w:val="008F56AC"/>
    <w:rsid w:val="008F6653"/>
    <w:rsid w:val="008F6C10"/>
    <w:rsid w:val="008F71E6"/>
    <w:rsid w:val="008F7755"/>
    <w:rsid w:val="00900139"/>
    <w:rsid w:val="009008A2"/>
    <w:rsid w:val="00900B2B"/>
    <w:rsid w:val="00900F62"/>
    <w:rsid w:val="0090210D"/>
    <w:rsid w:val="0090227C"/>
    <w:rsid w:val="00902289"/>
    <w:rsid w:val="009022BB"/>
    <w:rsid w:val="00902FD4"/>
    <w:rsid w:val="009045B3"/>
    <w:rsid w:val="0090493D"/>
    <w:rsid w:val="00904C72"/>
    <w:rsid w:val="00904D4B"/>
    <w:rsid w:val="00904F52"/>
    <w:rsid w:val="00905430"/>
    <w:rsid w:val="00905BF5"/>
    <w:rsid w:val="00905F6A"/>
    <w:rsid w:val="00907FE0"/>
    <w:rsid w:val="00910CBD"/>
    <w:rsid w:val="0091144B"/>
    <w:rsid w:val="00912260"/>
    <w:rsid w:val="009126D6"/>
    <w:rsid w:val="00912ADF"/>
    <w:rsid w:val="00912CF8"/>
    <w:rsid w:val="00914124"/>
    <w:rsid w:val="00915488"/>
    <w:rsid w:val="00915576"/>
    <w:rsid w:val="00915B6A"/>
    <w:rsid w:val="0091631F"/>
    <w:rsid w:val="00916A0F"/>
    <w:rsid w:val="00917A7F"/>
    <w:rsid w:val="00920528"/>
    <w:rsid w:val="00922BF8"/>
    <w:rsid w:val="0092368D"/>
    <w:rsid w:val="0092378E"/>
    <w:rsid w:val="0092403C"/>
    <w:rsid w:val="009241C9"/>
    <w:rsid w:val="00924234"/>
    <w:rsid w:val="0092474C"/>
    <w:rsid w:val="00925448"/>
    <w:rsid w:val="00925536"/>
    <w:rsid w:val="00925FF2"/>
    <w:rsid w:val="009271A2"/>
    <w:rsid w:val="009309A2"/>
    <w:rsid w:val="009329C9"/>
    <w:rsid w:val="00933305"/>
    <w:rsid w:val="0093378D"/>
    <w:rsid w:val="0093484E"/>
    <w:rsid w:val="00935A48"/>
    <w:rsid w:val="00937C0F"/>
    <w:rsid w:val="009404CE"/>
    <w:rsid w:val="00940D56"/>
    <w:rsid w:val="00941319"/>
    <w:rsid w:val="00941C71"/>
    <w:rsid w:val="00941E99"/>
    <w:rsid w:val="0094299F"/>
    <w:rsid w:val="00942C49"/>
    <w:rsid w:val="009472A1"/>
    <w:rsid w:val="00947B02"/>
    <w:rsid w:val="00947E4E"/>
    <w:rsid w:val="009508FA"/>
    <w:rsid w:val="00951A56"/>
    <w:rsid w:val="009543FD"/>
    <w:rsid w:val="009545F5"/>
    <w:rsid w:val="009553DE"/>
    <w:rsid w:val="00955421"/>
    <w:rsid w:val="0095549B"/>
    <w:rsid w:val="00956F1D"/>
    <w:rsid w:val="0095708D"/>
    <w:rsid w:val="009570EC"/>
    <w:rsid w:val="009571D8"/>
    <w:rsid w:val="00957325"/>
    <w:rsid w:val="00960DB5"/>
    <w:rsid w:val="009611F6"/>
    <w:rsid w:val="00961D65"/>
    <w:rsid w:val="00962311"/>
    <w:rsid w:val="00962341"/>
    <w:rsid w:val="00962426"/>
    <w:rsid w:val="009636C3"/>
    <w:rsid w:val="009637F1"/>
    <w:rsid w:val="009647DB"/>
    <w:rsid w:val="00965B35"/>
    <w:rsid w:val="00965E55"/>
    <w:rsid w:val="00965FCD"/>
    <w:rsid w:val="009667E4"/>
    <w:rsid w:val="00966C86"/>
    <w:rsid w:val="00966CC3"/>
    <w:rsid w:val="009674E4"/>
    <w:rsid w:val="00967750"/>
    <w:rsid w:val="009707F3"/>
    <w:rsid w:val="00970817"/>
    <w:rsid w:val="00971D95"/>
    <w:rsid w:val="009729C4"/>
    <w:rsid w:val="00972CD2"/>
    <w:rsid w:val="00972F5D"/>
    <w:rsid w:val="00973022"/>
    <w:rsid w:val="0097377E"/>
    <w:rsid w:val="00974320"/>
    <w:rsid w:val="00974AD2"/>
    <w:rsid w:val="00974F42"/>
    <w:rsid w:val="00975511"/>
    <w:rsid w:val="00976263"/>
    <w:rsid w:val="00980D4F"/>
    <w:rsid w:val="0098296F"/>
    <w:rsid w:val="00982E62"/>
    <w:rsid w:val="009836D7"/>
    <w:rsid w:val="0098375C"/>
    <w:rsid w:val="00984629"/>
    <w:rsid w:val="00984FFD"/>
    <w:rsid w:val="009851E4"/>
    <w:rsid w:val="0098562F"/>
    <w:rsid w:val="00985BF6"/>
    <w:rsid w:val="00985C9B"/>
    <w:rsid w:val="009860B5"/>
    <w:rsid w:val="00992420"/>
    <w:rsid w:val="00992B90"/>
    <w:rsid w:val="00993E5A"/>
    <w:rsid w:val="0099417D"/>
    <w:rsid w:val="00994D96"/>
    <w:rsid w:val="009960CD"/>
    <w:rsid w:val="00997454"/>
    <w:rsid w:val="009A0736"/>
    <w:rsid w:val="009A1376"/>
    <w:rsid w:val="009A24E1"/>
    <w:rsid w:val="009A2EA5"/>
    <w:rsid w:val="009A4C61"/>
    <w:rsid w:val="009A4CA6"/>
    <w:rsid w:val="009A5640"/>
    <w:rsid w:val="009A63D0"/>
    <w:rsid w:val="009A6AC7"/>
    <w:rsid w:val="009A6D2F"/>
    <w:rsid w:val="009A74A7"/>
    <w:rsid w:val="009A792A"/>
    <w:rsid w:val="009A7E4A"/>
    <w:rsid w:val="009B07AA"/>
    <w:rsid w:val="009B1049"/>
    <w:rsid w:val="009B159E"/>
    <w:rsid w:val="009B1B81"/>
    <w:rsid w:val="009B1C0A"/>
    <w:rsid w:val="009B320B"/>
    <w:rsid w:val="009B37AE"/>
    <w:rsid w:val="009B5779"/>
    <w:rsid w:val="009B65AF"/>
    <w:rsid w:val="009B6603"/>
    <w:rsid w:val="009B6985"/>
    <w:rsid w:val="009C0493"/>
    <w:rsid w:val="009C162D"/>
    <w:rsid w:val="009C1D43"/>
    <w:rsid w:val="009C406B"/>
    <w:rsid w:val="009C41DE"/>
    <w:rsid w:val="009C42D7"/>
    <w:rsid w:val="009C4EAF"/>
    <w:rsid w:val="009C5011"/>
    <w:rsid w:val="009C5462"/>
    <w:rsid w:val="009C62C0"/>
    <w:rsid w:val="009C6D28"/>
    <w:rsid w:val="009C756D"/>
    <w:rsid w:val="009D04AF"/>
    <w:rsid w:val="009D198A"/>
    <w:rsid w:val="009D2F97"/>
    <w:rsid w:val="009D36B4"/>
    <w:rsid w:val="009D3AEA"/>
    <w:rsid w:val="009D3E8D"/>
    <w:rsid w:val="009D45FA"/>
    <w:rsid w:val="009D64D9"/>
    <w:rsid w:val="009D6D64"/>
    <w:rsid w:val="009D7885"/>
    <w:rsid w:val="009E04A3"/>
    <w:rsid w:val="009E21B0"/>
    <w:rsid w:val="009E36CD"/>
    <w:rsid w:val="009E3E79"/>
    <w:rsid w:val="009E510B"/>
    <w:rsid w:val="009E51BC"/>
    <w:rsid w:val="009E58AC"/>
    <w:rsid w:val="009E5D48"/>
    <w:rsid w:val="009E70C1"/>
    <w:rsid w:val="009E7177"/>
    <w:rsid w:val="009F0EB0"/>
    <w:rsid w:val="009F1090"/>
    <w:rsid w:val="009F18E0"/>
    <w:rsid w:val="009F2C2B"/>
    <w:rsid w:val="009F3035"/>
    <w:rsid w:val="009F3089"/>
    <w:rsid w:val="009F327D"/>
    <w:rsid w:val="009F35DF"/>
    <w:rsid w:val="009F3C6F"/>
    <w:rsid w:val="009F3CF9"/>
    <w:rsid w:val="009F3DA9"/>
    <w:rsid w:val="009F4195"/>
    <w:rsid w:val="009F4E29"/>
    <w:rsid w:val="00A00218"/>
    <w:rsid w:val="00A0035B"/>
    <w:rsid w:val="00A01261"/>
    <w:rsid w:val="00A0226B"/>
    <w:rsid w:val="00A040F6"/>
    <w:rsid w:val="00A060B3"/>
    <w:rsid w:val="00A06C70"/>
    <w:rsid w:val="00A06E10"/>
    <w:rsid w:val="00A07539"/>
    <w:rsid w:val="00A105A7"/>
    <w:rsid w:val="00A10CF5"/>
    <w:rsid w:val="00A119B4"/>
    <w:rsid w:val="00A119F1"/>
    <w:rsid w:val="00A11CDE"/>
    <w:rsid w:val="00A11E17"/>
    <w:rsid w:val="00A14996"/>
    <w:rsid w:val="00A16685"/>
    <w:rsid w:val="00A16C9B"/>
    <w:rsid w:val="00A17447"/>
    <w:rsid w:val="00A178C8"/>
    <w:rsid w:val="00A20571"/>
    <w:rsid w:val="00A2097F"/>
    <w:rsid w:val="00A209F6"/>
    <w:rsid w:val="00A20D1B"/>
    <w:rsid w:val="00A22776"/>
    <w:rsid w:val="00A22911"/>
    <w:rsid w:val="00A22FCE"/>
    <w:rsid w:val="00A233F2"/>
    <w:rsid w:val="00A23A9A"/>
    <w:rsid w:val="00A2480A"/>
    <w:rsid w:val="00A24849"/>
    <w:rsid w:val="00A2559B"/>
    <w:rsid w:val="00A25D5F"/>
    <w:rsid w:val="00A26C81"/>
    <w:rsid w:val="00A30660"/>
    <w:rsid w:val="00A30E95"/>
    <w:rsid w:val="00A3121D"/>
    <w:rsid w:val="00A324F2"/>
    <w:rsid w:val="00A33860"/>
    <w:rsid w:val="00A34E49"/>
    <w:rsid w:val="00A34E8F"/>
    <w:rsid w:val="00A34E9D"/>
    <w:rsid w:val="00A3560C"/>
    <w:rsid w:val="00A35630"/>
    <w:rsid w:val="00A35C10"/>
    <w:rsid w:val="00A360C2"/>
    <w:rsid w:val="00A36406"/>
    <w:rsid w:val="00A36F39"/>
    <w:rsid w:val="00A37526"/>
    <w:rsid w:val="00A3777A"/>
    <w:rsid w:val="00A40D24"/>
    <w:rsid w:val="00A4133A"/>
    <w:rsid w:val="00A419CE"/>
    <w:rsid w:val="00A423C3"/>
    <w:rsid w:val="00A429F2"/>
    <w:rsid w:val="00A4482B"/>
    <w:rsid w:val="00A44F75"/>
    <w:rsid w:val="00A451E5"/>
    <w:rsid w:val="00A45934"/>
    <w:rsid w:val="00A45F99"/>
    <w:rsid w:val="00A468B1"/>
    <w:rsid w:val="00A4692E"/>
    <w:rsid w:val="00A46C9C"/>
    <w:rsid w:val="00A46DEF"/>
    <w:rsid w:val="00A478AD"/>
    <w:rsid w:val="00A524E5"/>
    <w:rsid w:val="00A52BC0"/>
    <w:rsid w:val="00A52EA8"/>
    <w:rsid w:val="00A5443B"/>
    <w:rsid w:val="00A55077"/>
    <w:rsid w:val="00A55764"/>
    <w:rsid w:val="00A55823"/>
    <w:rsid w:val="00A559ED"/>
    <w:rsid w:val="00A55A6E"/>
    <w:rsid w:val="00A55AB0"/>
    <w:rsid w:val="00A5642C"/>
    <w:rsid w:val="00A56F16"/>
    <w:rsid w:val="00A57868"/>
    <w:rsid w:val="00A57CDB"/>
    <w:rsid w:val="00A6220E"/>
    <w:rsid w:val="00A62711"/>
    <w:rsid w:val="00A63167"/>
    <w:rsid w:val="00A63DB2"/>
    <w:rsid w:val="00A66994"/>
    <w:rsid w:val="00A66BEC"/>
    <w:rsid w:val="00A67103"/>
    <w:rsid w:val="00A67F78"/>
    <w:rsid w:val="00A719D1"/>
    <w:rsid w:val="00A72B22"/>
    <w:rsid w:val="00A73828"/>
    <w:rsid w:val="00A73F8B"/>
    <w:rsid w:val="00A74590"/>
    <w:rsid w:val="00A75004"/>
    <w:rsid w:val="00A76BD3"/>
    <w:rsid w:val="00A80523"/>
    <w:rsid w:val="00A8105B"/>
    <w:rsid w:val="00A8196A"/>
    <w:rsid w:val="00A81A72"/>
    <w:rsid w:val="00A81DD8"/>
    <w:rsid w:val="00A84EF6"/>
    <w:rsid w:val="00A85320"/>
    <w:rsid w:val="00A85322"/>
    <w:rsid w:val="00A862EE"/>
    <w:rsid w:val="00A86AE2"/>
    <w:rsid w:val="00A90134"/>
    <w:rsid w:val="00A919D2"/>
    <w:rsid w:val="00A92A57"/>
    <w:rsid w:val="00A92C88"/>
    <w:rsid w:val="00A93193"/>
    <w:rsid w:val="00A94105"/>
    <w:rsid w:val="00A9414F"/>
    <w:rsid w:val="00A94444"/>
    <w:rsid w:val="00A944B7"/>
    <w:rsid w:val="00A95390"/>
    <w:rsid w:val="00A95F41"/>
    <w:rsid w:val="00A96249"/>
    <w:rsid w:val="00A965E6"/>
    <w:rsid w:val="00A96B95"/>
    <w:rsid w:val="00A975A4"/>
    <w:rsid w:val="00AA1568"/>
    <w:rsid w:val="00AA4229"/>
    <w:rsid w:val="00AA4C9B"/>
    <w:rsid w:val="00AA53FC"/>
    <w:rsid w:val="00AA57C2"/>
    <w:rsid w:val="00AA6286"/>
    <w:rsid w:val="00AA6372"/>
    <w:rsid w:val="00AA728A"/>
    <w:rsid w:val="00AB08DE"/>
    <w:rsid w:val="00AB1AAD"/>
    <w:rsid w:val="00AB356D"/>
    <w:rsid w:val="00AB3700"/>
    <w:rsid w:val="00AB47EB"/>
    <w:rsid w:val="00AB4C24"/>
    <w:rsid w:val="00AB4C79"/>
    <w:rsid w:val="00AB4F04"/>
    <w:rsid w:val="00AB517A"/>
    <w:rsid w:val="00AB7198"/>
    <w:rsid w:val="00AC28E1"/>
    <w:rsid w:val="00AC2EF2"/>
    <w:rsid w:val="00AC33D0"/>
    <w:rsid w:val="00AC41A8"/>
    <w:rsid w:val="00AC4D78"/>
    <w:rsid w:val="00AC4E44"/>
    <w:rsid w:val="00AC7151"/>
    <w:rsid w:val="00AC717C"/>
    <w:rsid w:val="00AC7CE7"/>
    <w:rsid w:val="00AD02E0"/>
    <w:rsid w:val="00AD0474"/>
    <w:rsid w:val="00AD0892"/>
    <w:rsid w:val="00AD0FC1"/>
    <w:rsid w:val="00AD1B16"/>
    <w:rsid w:val="00AD1CF2"/>
    <w:rsid w:val="00AD2C28"/>
    <w:rsid w:val="00AD308A"/>
    <w:rsid w:val="00AD4978"/>
    <w:rsid w:val="00AD5FD2"/>
    <w:rsid w:val="00AD677F"/>
    <w:rsid w:val="00AD69AC"/>
    <w:rsid w:val="00AD6C85"/>
    <w:rsid w:val="00AD6E0C"/>
    <w:rsid w:val="00AD71D3"/>
    <w:rsid w:val="00AD725A"/>
    <w:rsid w:val="00AD7672"/>
    <w:rsid w:val="00AE1A52"/>
    <w:rsid w:val="00AE2ACA"/>
    <w:rsid w:val="00AE2C4C"/>
    <w:rsid w:val="00AE2FC9"/>
    <w:rsid w:val="00AE3B29"/>
    <w:rsid w:val="00AE3EC8"/>
    <w:rsid w:val="00AE46D2"/>
    <w:rsid w:val="00AE745C"/>
    <w:rsid w:val="00AF16EF"/>
    <w:rsid w:val="00AF29C0"/>
    <w:rsid w:val="00AF2A35"/>
    <w:rsid w:val="00AF39C0"/>
    <w:rsid w:val="00AF3F13"/>
    <w:rsid w:val="00AF62DF"/>
    <w:rsid w:val="00AF6471"/>
    <w:rsid w:val="00AF71DC"/>
    <w:rsid w:val="00AF7CF3"/>
    <w:rsid w:val="00B012FF"/>
    <w:rsid w:val="00B022B2"/>
    <w:rsid w:val="00B02D66"/>
    <w:rsid w:val="00B039A4"/>
    <w:rsid w:val="00B0449D"/>
    <w:rsid w:val="00B063C0"/>
    <w:rsid w:val="00B10371"/>
    <w:rsid w:val="00B12463"/>
    <w:rsid w:val="00B12E31"/>
    <w:rsid w:val="00B12FFF"/>
    <w:rsid w:val="00B13932"/>
    <w:rsid w:val="00B1410C"/>
    <w:rsid w:val="00B144B8"/>
    <w:rsid w:val="00B14CA8"/>
    <w:rsid w:val="00B15B7B"/>
    <w:rsid w:val="00B1724F"/>
    <w:rsid w:val="00B20DEE"/>
    <w:rsid w:val="00B215A7"/>
    <w:rsid w:val="00B21B23"/>
    <w:rsid w:val="00B22227"/>
    <w:rsid w:val="00B2229B"/>
    <w:rsid w:val="00B2262C"/>
    <w:rsid w:val="00B2447D"/>
    <w:rsid w:val="00B2654F"/>
    <w:rsid w:val="00B27D61"/>
    <w:rsid w:val="00B30BC0"/>
    <w:rsid w:val="00B3132A"/>
    <w:rsid w:val="00B31F68"/>
    <w:rsid w:val="00B355D6"/>
    <w:rsid w:val="00B36D48"/>
    <w:rsid w:val="00B40133"/>
    <w:rsid w:val="00B41E7A"/>
    <w:rsid w:val="00B42AAB"/>
    <w:rsid w:val="00B434CF"/>
    <w:rsid w:val="00B43B1F"/>
    <w:rsid w:val="00B44688"/>
    <w:rsid w:val="00B45BDC"/>
    <w:rsid w:val="00B46ABF"/>
    <w:rsid w:val="00B47CAB"/>
    <w:rsid w:val="00B50021"/>
    <w:rsid w:val="00B50CF4"/>
    <w:rsid w:val="00B5154B"/>
    <w:rsid w:val="00B51806"/>
    <w:rsid w:val="00B52271"/>
    <w:rsid w:val="00B5329A"/>
    <w:rsid w:val="00B53433"/>
    <w:rsid w:val="00B5629A"/>
    <w:rsid w:val="00B57358"/>
    <w:rsid w:val="00B57E89"/>
    <w:rsid w:val="00B600D9"/>
    <w:rsid w:val="00B603E6"/>
    <w:rsid w:val="00B62D9E"/>
    <w:rsid w:val="00B6394D"/>
    <w:rsid w:val="00B63FBA"/>
    <w:rsid w:val="00B6519A"/>
    <w:rsid w:val="00B663B8"/>
    <w:rsid w:val="00B669C4"/>
    <w:rsid w:val="00B66E0F"/>
    <w:rsid w:val="00B67014"/>
    <w:rsid w:val="00B71665"/>
    <w:rsid w:val="00B71C0B"/>
    <w:rsid w:val="00B72332"/>
    <w:rsid w:val="00B72446"/>
    <w:rsid w:val="00B73FD4"/>
    <w:rsid w:val="00B74693"/>
    <w:rsid w:val="00B74947"/>
    <w:rsid w:val="00B7591E"/>
    <w:rsid w:val="00B75991"/>
    <w:rsid w:val="00B76838"/>
    <w:rsid w:val="00B77D13"/>
    <w:rsid w:val="00B801BF"/>
    <w:rsid w:val="00B810E2"/>
    <w:rsid w:val="00B81BD0"/>
    <w:rsid w:val="00B820AC"/>
    <w:rsid w:val="00B82794"/>
    <w:rsid w:val="00B82B9C"/>
    <w:rsid w:val="00B82F96"/>
    <w:rsid w:val="00B84CCB"/>
    <w:rsid w:val="00B862AF"/>
    <w:rsid w:val="00B86637"/>
    <w:rsid w:val="00B87E79"/>
    <w:rsid w:val="00B90D97"/>
    <w:rsid w:val="00B91241"/>
    <w:rsid w:val="00B91D36"/>
    <w:rsid w:val="00B92746"/>
    <w:rsid w:val="00B92D47"/>
    <w:rsid w:val="00B96894"/>
    <w:rsid w:val="00B969AC"/>
    <w:rsid w:val="00B9719C"/>
    <w:rsid w:val="00BA06C1"/>
    <w:rsid w:val="00BA0B65"/>
    <w:rsid w:val="00BA1E04"/>
    <w:rsid w:val="00BA1F78"/>
    <w:rsid w:val="00BA2E14"/>
    <w:rsid w:val="00BA54D0"/>
    <w:rsid w:val="00BA6C18"/>
    <w:rsid w:val="00BA6F69"/>
    <w:rsid w:val="00BA6FEF"/>
    <w:rsid w:val="00BB058C"/>
    <w:rsid w:val="00BB24C2"/>
    <w:rsid w:val="00BB30FF"/>
    <w:rsid w:val="00BB360B"/>
    <w:rsid w:val="00BB40F6"/>
    <w:rsid w:val="00BB573E"/>
    <w:rsid w:val="00BB5FE7"/>
    <w:rsid w:val="00BB60B2"/>
    <w:rsid w:val="00BB68A6"/>
    <w:rsid w:val="00BB7001"/>
    <w:rsid w:val="00BB785F"/>
    <w:rsid w:val="00BB7878"/>
    <w:rsid w:val="00BB7D3F"/>
    <w:rsid w:val="00BB7F73"/>
    <w:rsid w:val="00BC05DD"/>
    <w:rsid w:val="00BC1BBF"/>
    <w:rsid w:val="00BC2E39"/>
    <w:rsid w:val="00BC3FB6"/>
    <w:rsid w:val="00BC4BB9"/>
    <w:rsid w:val="00BC5779"/>
    <w:rsid w:val="00BC6076"/>
    <w:rsid w:val="00BC6DA1"/>
    <w:rsid w:val="00BC6E86"/>
    <w:rsid w:val="00BC73F7"/>
    <w:rsid w:val="00BC76FE"/>
    <w:rsid w:val="00BD0C9A"/>
    <w:rsid w:val="00BD0F4E"/>
    <w:rsid w:val="00BD18F0"/>
    <w:rsid w:val="00BD2B67"/>
    <w:rsid w:val="00BD30D2"/>
    <w:rsid w:val="00BE1624"/>
    <w:rsid w:val="00BE20AC"/>
    <w:rsid w:val="00BE2E1E"/>
    <w:rsid w:val="00BE3C50"/>
    <w:rsid w:val="00BE3FF4"/>
    <w:rsid w:val="00BE47BD"/>
    <w:rsid w:val="00BE5B52"/>
    <w:rsid w:val="00BE6311"/>
    <w:rsid w:val="00BE6BEE"/>
    <w:rsid w:val="00BE6E6D"/>
    <w:rsid w:val="00BF0ACC"/>
    <w:rsid w:val="00BF0C5D"/>
    <w:rsid w:val="00BF1440"/>
    <w:rsid w:val="00BF1786"/>
    <w:rsid w:val="00BF1A0B"/>
    <w:rsid w:val="00BF1CB0"/>
    <w:rsid w:val="00BF1F70"/>
    <w:rsid w:val="00BF2B93"/>
    <w:rsid w:val="00BF301B"/>
    <w:rsid w:val="00BF3436"/>
    <w:rsid w:val="00BF43FA"/>
    <w:rsid w:val="00BF6AAD"/>
    <w:rsid w:val="00BF7150"/>
    <w:rsid w:val="00BF72CE"/>
    <w:rsid w:val="00C00142"/>
    <w:rsid w:val="00C00FED"/>
    <w:rsid w:val="00C0135E"/>
    <w:rsid w:val="00C01F4F"/>
    <w:rsid w:val="00C025D3"/>
    <w:rsid w:val="00C06AB7"/>
    <w:rsid w:val="00C07170"/>
    <w:rsid w:val="00C077DA"/>
    <w:rsid w:val="00C0788A"/>
    <w:rsid w:val="00C07EBB"/>
    <w:rsid w:val="00C11266"/>
    <w:rsid w:val="00C123A0"/>
    <w:rsid w:val="00C12BC9"/>
    <w:rsid w:val="00C131FA"/>
    <w:rsid w:val="00C13F58"/>
    <w:rsid w:val="00C14571"/>
    <w:rsid w:val="00C1491F"/>
    <w:rsid w:val="00C14ED8"/>
    <w:rsid w:val="00C15748"/>
    <w:rsid w:val="00C157D1"/>
    <w:rsid w:val="00C15E22"/>
    <w:rsid w:val="00C15F7A"/>
    <w:rsid w:val="00C16FE2"/>
    <w:rsid w:val="00C20050"/>
    <w:rsid w:val="00C20226"/>
    <w:rsid w:val="00C20BFE"/>
    <w:rsid w:val="00C20E5A"/>
    <w:rsid w:val="00C22E55"/>
    <w:rsid w:val="00C23729"/>
    <w:rsid w:val="00C237D7"/>
    <w:rsid w:val="00C25367"/>
    <w:rsid w:val="00C26844"/>
    <w:rsid w:val="00C2734A"/>
    <w:rsid w:val="00C309B8"/>
    <w:rsid w:val="00C31ABA"/>
    <w:rsid w:val="00C31D0E"/>
    <w:rsid w:val="00C321B7"/>
    <w:rsid w:val="00C32B54"/>
    <w:rsid w:val="00C32DED"/>
    <w:rsid w:val="00C34184"/>
    <w:rsid w:val="00C34787"/>
    <w:rsid w:val="00C34AC1"/>
    <w:rsid w:val="00C35CAA"/>
    <w:rsid w:val="00C37756"/>
    <w:rsid w:val="00C37AF3"/>
    <w:rsid w:val="00C37B69"/>
    <w:rsid w:val="00C40651"/>
    <w:rsid w:val="00C40CFD"/>
    <w:rsid w:val="00C411FB"/>
    <w:rsid w:val="00C41B46"/>
    <w:rsid w:val="00C41BAB"/>
    <w:rsid w:val="00C41D78"/>
    <w:rsid w:val="00C41E50"/>
    <w:rsid w:val="00C42122"/>
    <w:rsid w:val="00C427B1"/>
    <w:rsid w:val="00C42838"/>
    <w:rsid w:val="00C43371"/>
    <w:rsid w:val="00C45B6B"/>
    <w:rsid w:val="00C4601D"/>
    <w:rsid w:val="00C46235"/>
    <w:rsid w:val="00C47275"/>
    <w:rsid w:val="00C479E2"/>
    <w:rsid w:val="00C50494"/>
    <w:rsid w:val="00C51BC7"/>
    <w:rsid w:val="00C53291"/>
    <w:rsid w:val="00C535A6"/>
    <w:rsid w:val="00C53A70"/>
    <w:rsid w:val="00C549E0"/>
    <w:rsid w:val="00C565D2"/>
    <w:rsid w:val="00C56A3A"/>
    <w:rsid w:val="00C576EA"/>
    <w:rsid w:val="00C57CD2"/>
    <w:rsid w:val="00C603DE"/>
    <w:rsid w:val="00C6164F"/>
    <w:rsid w:val="00C62171"/>
    <w:rsid w:val="00C6348A"/>
    <w:rsid w:val="00C63916"/>
    <w:rsid w:val="00C63D3F"/>
    <w:rsid w:val="00C63FC1"/>
    <w:rsid w:val="00C6406C"/>
    <w:rsid w:val="00C64636"/>
    <w:rsid w:val="00C646AC"/>
    <w:rsid w:val="00C64C5D"/>
    <w:rsid w:val="00C652CE"/>
    <w:rsid w:val="00C6630B"/>
    <w:rsid w:val="00C663B6"/>
    <w:rsid w:val="00C672D1"/>
    <w:rsid w:val="00C701AF"/>
    <w:rsid w:val="00C7054F"/>
    <w:rsid w:val="00C70D2D"/>
    <w:rsid w:val="00C72651"/>
    <w:rsid w:val="00C72C89"/>
    <w:rsid w:val="00C73B10"/>
    <w:rsid w:val="00C74B05"/>
    <w:rsid w:val="00C75F0D"/>
    <w:rsid w:val="00C75F73"/>
    <w:rsid w:val="00C7630E"/>
    <w:rsid w:val="00C77503"/>
    <w:rsid w:val="00C80520"/>
    <w:rsid w:val="00C80EF3"/>
    <w:rsid w:val="00C81007"/>
    <w:rsid w:val="00C83BDD"/>
    <w:rsid w:val="00C84A12"/>
    <w:rsid w:val="00C85EA2"/>
    <w:rsid w:val="00C86D66"/>
    <w:rsid w:val="00C87E02"/>
    <w:rsid w:val="00C90367"/>
    <w:rsid w:val="00C907BB"/>
    <w:rsid w:val="00C909BF"/>
    <w:rsid w:val="00C9152B"/>
    <w:rsid w:val="00C9246F"/>
    <w:rsid w:val="00C9290A"/>
    <w:rsid w:val="00C93342"/>
    <w:rsid w:val="00C93695"/>
    <w:rsid w:val="00C93D87"/>
    <w:rsid w:val="00C93DA1"/>
    <w:rsid w:val="00C94C39"/>
    <w:rsid w:val="00C9626E"/>
    <w:rsid w:val="00C97975"/>
    <w:rsid w:val="00CA211C"/>
    <w:rsid w:val="00CA2C46"/>
    <w:rsid w:val="00CA2DC5"/>
    <w:rsid w:val="00CA3070"/>
    <w:rsid w:val="00CA44ED"/>
    <w:rsid w:val="00CA5469"/>
    <w:rsid w:val="00CA6E7C"/>
    <w:rsid w:val="00CA7C68"/>
    <w:rsid w:val="00CA7C77"/>
    <w:rsid w:val="00CB0013"/>
    <w:rsid w:val="00CB01AB"/>
    <w:rsid w:val="00CB04AC"/>
    <w:rsid w:val="00CB0D35"/>
    <w:rsid w:val="00CB1B20"/>
    <w:rsid w:val="00CB1EA7"/>
    <w:rsid w:val="00CB2C84"/>
    <w:rsid w:val="00CB311F"/>
    <w:rsid w:val="00CB3B77"/>
    <w:rsid w:val="00CB407D"/>
    <w:rsid w:val="00CB4560"/>
    <w:rsid w:val="00CB47DE"/>
    <w:rsid w:val="00CB776C"/>
    <w:rsid w:val="00CB7966"/>
    <w:rsid w:val="00CC16C7"/>
    <w:rsid w:val="00CC199B"/>
    <w:rsid w:val="00CC2AAE"/>
    <w:rsid w:val="00CC504A"/>
    <w:rsid w:val="00CC51BF"/>
    <w:rsid w:val="00CC53C4"/>
    <w:rsid w:val="00CC577F"/>
    <w:rsid w:val="00CC67DD"/>
    <w:rsid w:val="00CC6A54"/>
    <w:rsid w:val="00CC7595"/>
    <w:rsid w:val="00CC7811"/>
    <w:rsid w:val="00CD019B"/>
    <w:rsid w:val="00CD0FEF"/>
    <w:rsid w:val="00CD1303"/>
    <w:rsid w:val="00CD16E6"/>
    <w:rsid w:val="00CD1F78"/>
    <w:rsid w:val="00CD3371"/>
    <w:rsid w:val="00CD4B5D"/>
    <w:rsid w:val="00CD68CA"/>
    <w:rsid w:val="00CD699F"/>
    <w:rsid w:val="00CD707C"/>
    <w:rsid w:val="00CD769F"/>
    <w:rsid w:val="00CE0770"/>
    <w:rsid w:val="00CE0D08"/>
    <w:rsid w:val="00CE1254"/>
    <w:rsid w:val="00CE3C0D"/>
    <w:rsid w:val="00CE518B"/>
    <w:rsid w:val="00CE69B5"/>
    <w:rsid w:val="00CE6CFC"/>
    <w:rsid w:val="00CE7444"/>
    <w:rsid w:val="00CF0291"/>
    <w:rsid w:val="00CF0D75"/>
    <w:rsid w:val="00CF162C"/>
    <w:rsid w:val="00CF1DF9"/>
    <w:rsid w:val="00CF3173"/>
    <w:rsid w:val="00CF4E1E"/>
    <w:rsid w:val="00CF586D"/>
    <w:rsid w:val="00CF5FA3"/>
    <w:rsid w:val="00CF7392"/>
    <w:rsid w:val="00CF76B6"/>
    <w:rsid w:val="00D00156"/>
    <w:rsid w:val="00D004D6"/>
    <w:rsid w:val="00D0057C"/>
    <w:rsid w:val="00D00D24"/>
    <w:rsid w:val="00D0131E"/>
    <w:rsid w:val="00D01C27"/>
    <w:rsid w:val="00D01E6B"/>
    <w:rsid w:val="00D02C61"/>
    <w:rsid w:val="00D0344E"/>
    <w:rsid w:val="00D0409E"/>
    <w:rsid w:val="00D04EE0"/>
    <w:rsid w:val="00D06379"/>
    <w:rsid w:val="00D0655B"/>
    <w:rsid w:val="00D06D66"/>
    <w:rsid w:val="00D0711F"/>
    <w:rsid w:val="00D10F1E"/>
    <w:rsid w:val="00D134CD"/>
    <w:rsid w:val="00D14D13"/>
    <w:rsid w:val="00D15C59"/>
    <w:rsid w:val="00D17067"/>
    <w:rsid w:val="00D17EA4"/>
    <w:rsid w:val="00D20419"/>
    <w:rsid w:val="00D20CDA"/>
    <w:rsid w:val="00D21899"/>
    <w:rsid w:val="00D222D5"/>
    <w:rsid w:val="00D222E7"/>
    <w:rsid w:val="00D2271A"/>
    <w:rsid w:val="00D253F6"/>
    <w:rsid w:val="00D26B12"/>
    <w:rsid w:val="00D26EB8"/>
    <w:rsid w:val="00D27200"/>
    <w:rsid w:val="00D30045"/>
    <w:rsid w:val="00D31577"/>
    <w:rsid w:val="00D31748"/>
    <w:rsid w:val="00D3212B"/>
    <w:rsid w:val="00D32131"/>
    <w:rsid w:val="00D322B0"/>
    <w:rsid w:val="00D32626"/>
    <w:rsid w:val="00D32FC1"/>
    <w:rsid w:val="00D333BF"/>
    <w:rsid w:val="00D33EDE"/>
    <w:rsid w:val="00D3402D"/>
    <w:rsid w:val="00D34181"/>
    <w:rsid w:val="00D34827"/>
    <w:rsid w:val="00D35983"/>
    <w:rsid w:val="00D3631D"/>
    <w:rsid w:val="00D36486"/>
    <w:rsid w:val="00D4058D"/>
    <w:rsid w:val="00D40A23"/>
    <w:rsid w:val="00D41AE3"/>
    <w:rsid w:val="00D42E77"/>
    <w:rsid w:val="00D44ED9"/>
    <w:rsid w:val="00D45256"/>
    <w:rsid w:val="00D47D6A"/>
    <w:rsid w:val="00D501DA"/>
    <w:rsid w:val="00D506A3"/>
    <w:rsid w:val="00D50FD4"/>
    <w:rsid w:val="00D51C00"/>
    <w:rsid w:val="00D51E0A"/>
    <w:rsid w:val="00D526DB"/>
    <w:rsid w:val="00D527AF"/>
    <w:rsid w:val="00D52AB9"/>
    <w:rsid w:val="00D5331F"/>
    <w:rsid w:val="00D5378F"/>
    <w:rsid w:val="00D53E29"/>
    <w:rsid w:val="00D542E5"/>
    <w:rsid w:val="00D55775"/>
    <w:rsid w:val="00D55D3B"/>
    <w:rsid w:val="00D564C8"/>
    <w:rsid w:val="00D5705A"/>
    <w:rsid w:val="00D5714E"/>
    <w:rsid w:val="00D57413"/>
    <w:rsid w:val="00D60D35"/>
    <w:rsid w:val="00D61692"/>
    <w:rsid w:val="00D61837"/>
    <w:rsid w:val="00D61B63"/>
    <w:rsid w:val="00D61E86"/>
    <w:rsid w:val="00D62029"/>
    <w:rsid w:val="00D6202D"/>
    <w:rsid w:val="00D63E78"/>
    <w:rsid w:val="00D64F6E"/>
    <w:rsid w:val="00D64FD3"/>
    <w:rsid w:val="00D66F3C"/>
    <w:rsid w:val="00D67D95"/>
    <w:rsid w:val="00D710FD"/>
    <w:rsid w:val="00D71690"/>
    <w:rsid w:val="00D719A0"/>
    <w:rsid w:val="00D733AC"/>
    <w:rsid w:val="00D737CD"/>
    <w:rsid w:val="00D73AA8"/>
    <w:rsid w:val="00D75F50"/>
    <w:rsid w:val="00D765A3"/>
    <w:rsid w:val="00D76A94"/>
    <w:rsid w:val="00D7718A"/>
    <w:rsid w:val="00D778E1"/>
    <w:rsid w:val="00D77F3E"/>
    <w:rsid w:val="00D800B5"/>
    <w:rsid w:val="00D803C1"/>
    <w:rsid w:val="00D80FC5"/>
    <w:rsid w:val="00D834E8"/>
    <w:rsid w:val="00D848EE"/>
    <w:rsid w:val="00D85C94"/>
    <w:rsid w:val="00D85F1E"/>
    <w:rsid w:val="00D8651E"/>
    <w:rsid w:val="00D90D26"/>
    <w:rsid w:val="00D91904"/>
    <w:rsid w:val="00D928AF"/>
    <w:rsid w:val="00D92C91"/>
    <w:rsid w:val="00D94466"/>
    <w:rsid w:val="00D96335"/>
    <w:rsid w:val="00D965EE"/>
    <w:rsid w:val="00D96B77"/>
    <w:rsid w:val="00D96CD3"/>
    <w:rsid w:val="00D97C9E"/>
    <w:rsid w:val="00DA1A1F"/>
    <w:rsid w:val="00DA2655"/>
    <w:rsid w:val="00DA2F0A"/>
    <w:rsid w:val="00DA35C2"/>
    <w:rsid w:val="00DA372E"/>
    <w:rsid w:val="00DA3BC4"/>
    <w:rsid w:val="00DA40A3"/>
    <w:rsid w:val="00DA6330"/>
    <w:rsid w:val="00DB0D61"/>
    <w:rsid w:val="00DB2EE2"/>
    <w:rsid w:val="00DB3E5E"/>
    <w:rsid w:val="00DB3FE3"/>
    <w:rsid w:val="00DB4A28"/>
    <w:rsid w:val="00DB51B0"/>
    <w:rsid w:val="00DB55E7"/>
    <w:rsid w:val="00DB560E"/>
    <w:rsid w:val="00DB561E"/>
    <w:rsid w:val="00DB67E3"/>
    <w:rsid w:val="00DB6B8F"/>
    <w:rsid w:val="00DB6DB6"/>
    <w:rsid w:val="00DB721D"/>
    <w:rsid w:val="00DB7C5D"/>
    <w:rsid w:val="00DC006E"/>
    <w:rsid w:val="00DC0241"/>
    <w:rsid w:val="00DC04AD"/>
    <w:rsid w:val="00DC1184"/>
    <w:rsid w:val="00DC19DD"/>
    <w:rsid w:val="00DC3690"/>
    <w:rsid w:val="00DC3FF1"/>
    <w:rsid w:val="00DC47F3"/>
    <w:rsid w:val="00DC48C0"/>
    <w:rsid w:val="00DC4AD1"/>
    <w:rsid w:val="00DC4EE0"/>
    <w:rsid w:val="00DC6634"/>
    <w:rsid w:val="00DC74BC"/>
    <w:rsid w:val="00DC7E28"/>
    <w:rsid w:val="00DD0300"/>
    <w:rsid w:val="00DD1A3B"/>
    <w:rsid w:val="00DD230D"/>
    <w:rsid w:val="00DD2925"/>
    <w:rsid w:val="00DD2C83"/>
    <w:rsid w:val="00DD351E"/>
    <w:rsid w:val="00DD5A8F"/>
    <w:rsid w:val="00DD6AB8"/>
    <w:rsid w:val="00DD6B2D"/>
    <w:rsid w:val="00DD756A"/>
    <w:rsid w:val="00DD75DD"/>
    <w:rsid w:val="00DE0595"/>
    <w:rsid w:val="00DE1A7C"/>
    <w:rsid w:val="00DE2A1F"/>
    <w:rsid w:val="00DE2C31"/>
    <w:rsid w:val="00DE4794"/>
    <w:rsid w:val="00DE47FC"/>
    <w:rsid w:val="00DE495F"/>
    <w:rsid w:val="00DE587D"/>
    <w:rsid w:val="00DE63E8"/>
    <w:rsid w:val="00DE7609"/>
    <w:rsid w:val="00DF1C86"/>
    <w:rsid w:val="00DF1ED1"/>
    <w:rsid w:val="00DF228E"/>
    <w:rsid w:val="00DF2695"/>
    <w:rsid w:val="00DF27B1"/>
    <w:rsid w:val="00DF2AA3"/>
    <w:rsid w:val="00DF2C31"/>
    <w:rsid w:val="00DF4F9D"/>
    <w:rsid w:val="00DF6A28"/>
    <w:rsid w:val="00DF6B9D"/>
    <w:rsid w:val="00E00EA3"/>
    <w:rsid w:val="00E00EAA"/>
    <w:rsid w:val="00E01B04"/>
    <w:rsid w:val="00E01F45"/>
    <w:rsid w:val="00E0269D"/>
    <w:rsid w:val="00E0276A"/>
    <w:rsid w:val="00E02E82"/>
    <w:rsid w:val="00E03367"/>
    <w:rsid w:val="00E04E50"/>
    <w:rsid w:val="00E0598B"/>
    <w:rsid w:val="00E05C49"/>
    <w:rsid w:val="00E06855"/>
    <w:rsid w:val="00E0706D"/>
    <w:rsid w:val="00E074E4"/>
    <w:rsid w:val="00E07C08"/>
    <w:rsid w:val="00E10677"/>
    <w:rsid w:val="00E1390E"/>
    <w:rsid w:val="00E139E6"/>
    <w:rsid w:val="00E143F2"/>
    <w:rsid w:val="00E14901"/>
    <w:rsid w:val="00E157D0"/>
    <w:rsid w:val="00E16763"/>
    <w:rsid w:val="00E20800"/>
    <w:rsid w:val="00E2133B"/>
    <w:rsid w:val="00E22571"/>
    <w:rsid w:val="00E2307A"/>
    <w:rsid w:val="00E2362B"/>
    <w:rsid w:val="00E237D9"/>
    <w:rsid w:val="00E249A9"/>
    <w:rsid w:val="00E25472"/>
    <w:rsid w:val="00E27F19"/>
    <w:rsid w:val="00E30184"/>
    <w:rsid w:val="00E301CE"/>
    <w:rsid w:val="00E3083C"/>
    <w:rsid w:val="00E30F05"/>
    <w:rsid w:val="00E31062"/>
    <w:rsid w:val="00E318AD"/>
    <w:rsid w:val="00E32169"/>
    <w:rsid w:val="00E32881"/>
    <w:rsid w:val="00E328B1"/>
    <w:rsid w:val="00E34692"/>
    <w:rsid w:val="00E34A15"/>
    <w:rsid w:val="00E35767"/>
    <w:rsid w:val="00E35972"/>
    <w:rsid w:val="00E35BCC"/>
    <w:rsid w:val="00E36E18"/>
    <w:rsid w:val="00E37149"/>
    <w:rsid w:val="00E37A47"/>
    <w:rsid w:val="00E40915"/>
    <w:rsid w:val="00E41355"/>
    <w:rsid w:val="00E42290"/>
    <w:rsid w:val="00E43D7A"/>
    <w:rsid w:val="00E44BCC"/>
    <w:rsid w:val="00E44FC4"/>
    <w:rsid w:val="00E453FC"/>
    <w:rsid w:val="00E456CD"/>
    <w:rsid w:val="00E461A4"/>
    <w:rsid w:val="00E4745C"/>
    <w:rsid w:val="00E474C1"/>
    <w:rsid w:val="00E50BCF"/>
    <w:rsid w:val="00E51282"/>
    <w:rsid w:val="00E523EF"/>
    <w:rsid w:val="00E527EE"/>
    <w:rsid w:val="00E53719"/>
    <w:rsid w:val="00E5473E"/>
    <w:rsid w:val="00E54993"/>
    <w:rsid w:val="00E54D5C"/>
    <w:rsid w:val="00E54F87"/>
    <w:rsid w:val="00E565C1"/>
    <w:rsid w:val="00E56648"/>
    <w:rsid w:val="00E56972"/>
    <w:rsid w:val="00E56E69"/>
    <w:rsid w:val="00E57610"/>
    <w:rsid w:val="00E57695"/>
    <w:rsid w:val="00E57725"/>
    <w:rsid w:val="00E57C4B"/>
    <w:rsid w:val="00E610DC"/>
    <w:rsid w:val="00E62908"/>
    <w:rsid w:val="00E63CB1"/>
    <w:rsid w:val="00E64520"/>
    <w:rsid w:val="00E64AA5"/>
    <w:rsid w:val="00E64E93"/>
    <w:rsid w:val="00E660EE"/>
    <w:rsid w:val="00E671BD"/>
    <w:rsid w:val="00E72541"/>
    <w:rsid w:val="00E72808"/>
    <w:rsid w:val="00E72ABE"/>
    <w:rsid w:val="00E72F93"/>
    <w:rsid w:val="00E734B7"/>
    <w:rsid w:val="00E73E27"/>
    <w:rsid w:val="00E75796"/>
    <w:rsid w:val="00E802C5"/>
    <w:rsid w:val="00E8093F"/>
    <w:rsid w:val="00E81A2E"/>
    <w:rsid w:val="00E82901"/>
    <w:rsid w:val="00E82AAA"/>
    <w:rsid w:val="00E82C42"/>
    <w:rsid w:val="00E83DA8"/>
    <w:rsid w:val="00E83E92"/>
    <w:rsid w:val="00E842DE"/>
    <w:rsid w:val="00E84A41"/>
    <w:rsid w:val="00E8523D"/>
    <w:rsid w:val="00E85243"/>
    <w:rsid w:val="00E85E7A"/>
    <w:rsid w:val="00E86C6C"/>
    <w:rsid w:val="00E87BA7"/>
    <w:rsid w:val="00E9031B"/>
    <w:rsid w:val="00E90B13"/>
    <w:rsid w:val="00E9108B"/>
    <w:rsid w:val="00E91311"/>
    <w:rsid w:val="00E91ED3"/>
    <w:rsid w:val="00E92380"/>
    <w:rsid w:val="00E95A95"/>
    <w:rsid w:val="00E95F4E"/>
    <w:rsid w:val="00E979C0"/>
    <w:rsid w:val="00EA0BE5"/>
    <w:rsid w:val="00EA1B4B"/>
    <w:rsid w:val="00EA2D02"/>
    <w:rsid w:val="00EA2FB5"/>
    <w:rsid w:val="00EA36C4"/>
    <w:rsid w:val="00EA43D5"/>
    <w:rsid w:val="00EA5738"/>
    <w:rsid w:val="00EA5E4B"/>
    <w:rsid w:val="00EA60A7"/>
    <w:rsid w:val="00EB250E"/>
    <w:rsid w:val="00EB2AA8"/>
    <w:rsid w:val="00EB32D7"/>
    <w:rsid w:val="00EB3658"/>
    <w:rsid w:val="00EB39B5"/>
    <w:rsid w:val="00EB39E1"/>
    <w:rsid w:val="00EB405A"/>
    <w:rsid w:val="00EB54F9"/>
    <w:rsid w:val="00EB568C"/>
    <w:rsid w:val="00EB5F0E"/>
    <w:rsid w:val="00EB6068"/>
    <w:rsid w:val="00EB64B9"/>
    <w:rsid w:val="00EB7CD3"/>
    <w:rsid w:val="00EC0C1D"/>
    <w:rsid w:val="00EC0D33"/>
    <w:rsid w:val="00EC1003"/>
    <w:rsid w:val="00EC3691"/>
    <w:rsid w:val="00EC3842"/>
    <w:rsid w:val="00EC3B14"/>
    <w:rsid w:val="00EC4680"/>
    <w:rsid w:val="00EC6854"/>
    <w:rsid w:val="00EC70BD"/>
    <w:rsid w:val="00ED05BC"/>
    <w:rsid w:val="00ED0E4C"/>
    <w:rsid w:val="00ED21BB"/>
    <w:rsid w:val="00ED2422"/>
    <w:rsid w:val="00ED2988"/>
    <w:rsid w:val="00ED301D"/>
    <w:rsid w:val="00ED3980"/>
    <w:rsid w:val="00ED3FE9"/>
    <w:rsid w:val="00ED4AD3"/>
    <w:rsid w:val="00ED4E43"/>
    <w:rsid w:val="00ED63EC"/>
    <w:rsid w:val="00ED66A9"/>
    <w:rsid w:val="00ED69B4"/>
    <w:rsid w:val="00ED7615"/>
    <w:rsid w:val="00EE0167"/>
    <w:rsid w:val="00EE0860"/>
    <w:rsid w:val="00EE096D"/>
    <w:rsid w:val="00EE0F98"/>
    <w:rsid w:val="00EE2019"/>
    <w:rsid w:val="00EE219A"/>
    <w:rsid w:val="00EE2426"/>
    <w:rsid w:val="00EE337A"/>
    <w:rsid w:val="00EE4F3A"/>
    <w:rsid w:val="00EE5F9C"/>
    <w:rsid w:val="00EE725A"/>
    <w:rsid w:val="00EE7773"/>
    <w:rsid w:val="00EF0EF4"/>
    <w:rsid w:val="00EF10E3"/>
    <w:rsid w:val="00EF3CD5"/>
    <w:rsid w:val="00EF4511"/>
    <w:rsid w:val="00EF490F"/>
    <w:rsid w:val="00EF5EA4"/>
    <w:rsid w:val="00EF668F"/>
    <w:rsid w:val="00EF6766"/>
    <w:rsid w:val="00EF6D1A"/>
    <w:rsid w:val="00EF737D"/>
    <w:rsid w:val="00F004F6"/>
    <w:rsid w:val="00F00B04"/>
    <w:rsid w:val="00F01200"/>
    <w:rsid w:val="00F01A24"/>
    <w:rsid w:val="00F02C33"/>
    <w:rsid w:val="00F032DD"/>
    <w:rsid w:val="00F03604"/>
    <w:rsid w:val="00F037C2"/>
    <w:rsid w:val="00F03B06"/>
    <w:rsid w:val="00F03CCF"/>
    <w:rsid w:val="00F04386"/>
    <w:rsid w:val="00F048C2"/>
    <w:rsid w:val="00F04AF5"/>
    <w:rsid w:val="00F053FC"/>
    <w:rsid w:val="00F064DC"/>
    <w:rsid w:val="00F076BD"/>
    <w:rsid w:val="00F10750"/>
    <w:rsid w:val="00F10EBC"/>
    <w:rsid w:val="00F1178A"/>
    <w:rsid w:val="00F11F0D"/>
    <w:rsid w:val="00F1270D"/>
    <w:rsid w:val="00F13923"/>
    <w:rsid w:val="00F13EE1"/>
    <w:rsid w:val="00F1493B"/>
    <w:rsid w:val="00F16D4D"/>
    <w:rsid w:val="00F176FB"/>
    <w:rsid w:val="00F17E2E"/>
    <w:rsid w:val="00F20B19"/>
    <w:rsid w:val="00F21847"/>
    <w:rsid w:val="00F21D60"/>
    <w:rsid w:val="00F22301"/>
    <w:rsid w:val="00F231BA"/>
    <w:rsid w:val="00F2366D"/>
    <w:rsid w:val="00F24232"/>
    <w:rsid w:val="00F24992"/>
    <w:rsid w:val="00F24A0A"/>
    <w:rsid w:val="00F25012"/>
    <w:rsid w:val="00F2525E"/>
    <w:rsid w:val="00F26EE8"/>
    <w:rsid w:val="00F27924"/>
    <w:rsid w:val="00F3219F"/>
    <w:rsid w:val="00F32946"/>
    <w:rsid w:val="00F32E78"/>
    <w:rsid w:val="00F34299"/>
    <w:rsid w:val="00F36375"/>
    <w:rsid w:val="00F37E59"/>
    <w:rsid w:val="00F37F75"/>
    <w:rsid w:val="00F40003"/>
    <w:rsid w:val="00F409E5"/>
    <w:rsid w:val="00F4195C"/>
    <w:rsid w:val="00F41ABF"/>
    <w:rsid w:val="00F43051"/>
    <w:rsid w:val="00F44108"/>
    <w:rsid w:val="00F45FFE"/>
    <w:rsid w:val="00F4794F"/>
    <w:rsid w:val="00F500C1"/>
    <w:rsid w:val="00F52271"/>
    <w:rsid w:val="00F52987"/>
    <w:rsid w:val="00F54342"/>
    <w:rsid w:val="00F54BF8"/>
    <w:rsid w:val="00F54EEB"/>
    <w:rsid w:val="00F550CB"/>
    <w:rsid w:val="00F55573"/>
    <w:rsid w:val="00F5720E"/>
    <w:rsid w:val="00F5737B"/>
    <w:rsid w:val="00F61509"/>
    <w:rsid w:val="00F619FF"/>
    <w:rsid w:val="00F6365F"/>
    <w:rsid w:val="00F63D6B"/>
    <w:rsid w:val="00F65299"/>
    <w:rsid w:val="00F653CD"/>
    <w:rsid w:val="00F658A6"/>
    <w:rsid w:val="00F65D2D"/>
    <w:rsid w:val="00F6620F"/>
    <w:rsid w:val="00F664A5"/>
    <w:rsid w:val="00F6696A"/>
    <w:rsid w:val="00F67252"/>
    <w:rsid w:val="00F67463"/>
    <w:rsid w:val="00F6756A"/>
    <w:rsid w:val="00F70CC9"/>
    <w:rsid w:val="00F72EE3"/>
    <w:rsid w:val="00F737D1"/>
    <w:rsid w:val="00F737F3"/>
    <w:rsid w:val="00F73FC6"/>
    <w:rsid w:val="00F74097"/>
    <w:rsid w:val="00F743B0"/>
    <w:rsid w:val="00F80192"/>
    <w:rsid w:val="00F8107E"/>
    <w:rsid w:val="00F81AF7"/>
    <w:rsid w:val="00F81F17"/>
    <w:rsid w:val="00F8300B"/>
    <w:rsid w:val="00F838C5"/>
    <w:rsid w:val="00F83B3C"/>
    <w:rsid w:val="00F84CEA"/>
    <w:rsid w:val="00F86085"/>
    <w:rsid w:val="00F8680A"/>
    <w:rsid w:val="00F911BE"/>
    <w:rsid w:val="00F9185B"/>
    <w:rsid w:val="00F91A17"/>
    <w:rsid w:val="00F92862"/>
    <w:rsid w:val="00F92BD8"/>
    <w:rsid w:val="00F92E4D"/>
    <w:rsid w:val="00F92EB4"/>
    <w:rsid w:val="00F92FB6"/>
    <w:rsid w:val="00F93E6F"/>
    <w:rsid w:val="00F943E3"/>
    <w:rsid w:val="00F94653"/>
    <w:rsid w:val="00F967FC"/>
    <w:rsid w:val="00F96C7B"/>
    <w:rsid w:val="00F96E71"/>
    <w:rsid w:val="00FA053C"/>
    <w:rsid w:val="00FA0AE5"/>
    <w:rsid w:val="00FA1BE2"/>
    <w:rsid w:val="00FA2AA4"/>
    <w:rsid w:val="00FA3278"/>
    <w:rsid w:val="00FA3780"/>
    <w:rsid w:val="00FA3E67"/>
    <w:rsid w:val="00FB03D2"/>
    <w:rsid w:val="00FB0828"/>
    <w:rsid w:val="00FB33D1"/>
    <w:rsid w:val="00FB3CC6"/>
    <w:rsid w:val="00FB495F"/>
    <w:rsid w:val="00FB54D1"/>
    <w:rsid w:val="00FB55B2"/>
    <w:rsid w:val="00FB6971"/>
    <w:rsid w:val="00FB6B92"/>
    <w:rsid w:val="00FB73F7"/>
    <w:rsid w:val="00FC1555"/>
    <w:rsid w:val="00FC1EDA"/>
    <w:rsid w:val="00FC2E1D"/>
    <w:rsid w:val="00FC39C8"/>
    <w:rsid w:val="00FC3AFD"/>
    <w:rsid w:val="00FC4259"/>
    <w:rsid w:val="00FC6E75"/>
    <w:rsid w:val="00FD004E"/>
    <w:rsid w:val="00FD0116"/>
    <w:rsid w:val="00FD0297"/>
    <w:rsid w:val="00FD06B2"/>
    <w:rsid w:val="00FD0AB9"/>
    <w:rsid w:val="00FD2C51"/>
    <w:rsid w:val="00FD2F04"/>
    <w:rsid w:val="00FD40CE"/>
    <w:rsid w:val="00FD41E4"/>
    <w:rsid w:val="00FD4282"/>
    <w:rsid w:val="00FD6D73"/>
    <w:rsid w:val="00FE0243"/>
    <w:rsid w:val="00FE097A"/>
    <w:rsid w:val="00FE138A"/>
    <w:rsid w:val="00FE28DC"/>
    <w:rsid w:val="00FE3405"/>
    <w:rsid w:val="00FE4291"/>
    <w:rsid w:val="00FE4F9D"/>
    <w:rsid w:val="00FE5A47"/>
    <w:rsid w:val="00FE5CB3"/>
    <w:rsid w:val="00FE6153"/>
    <w:rsid w:val="00FE641C"/>
    <w:rsid w:val="00FE6A48"/>
    <w:rsid w:val="00FE7290"/>
    <w:rsid w:val="00FE76FA"/>
    <w:rsid w:val="00FF0188"/>
    <w:rsid w:val="00FF13A2"/>
    <w:rsid w:val="00FF1463"/>
    <w:rsid w:val="00FF1471"/>
    <w:rsid w:val="00FF2BA5"/>
    <w:rsid w:val="00FF2D0B"/>
    <w:rsid w:val="00FF390E"/>
    <w:rsid w:val="00FF3DED"/>
    <w:rsid w:val="00FF5BDC"/>
    <w:rsid w:val="00FF5D0A"/>
    <w:rsid w:val="00FF614F"/>
    <w:rsid w:val="00FF6A0C"/>
    <w:rsid w:val="00FF7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nhideWhenUsed="0"/>
    <w:lsdException w:name="caption" w:locked="1" w:semiHidden="0" w:unhideWhenUsed="0" w:qFormat="1"/>
    <w:lsdException w:name="annotation reference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7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61692"/>
    <w:rPr>
      <w:rFonts w:eastAsia="PMingLiU" w:cs="Calibri"/>
      <w:lang w:eastAsia="zh-TW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61692"/>
    <w:rPr>
      <w:rFonts w:eastAsia="PMingLiU" w:cs="Calibri"/>
      <w:sz w:val="22"/>
      <w:szCs w:val="22"/>
      <w:lang w:val="en-US" w:eastAsia="zh-TW" w:bidi="ar-SA"/>
    </w:rPr>
  </w:style>
  <w:style w:type="paragraph" w:styleId="ListParagraph">
    <w:name w:val="List Paragraph"/>
    <w:basedOn w:val="Normal"/>
    <w:uiPriority w:val="99"/>
    <w:qFormat/>
    <w:rsid w:val="00D61692"/>
    <w:pPr>
      <w:ind w:left="720"/>
    </w:pPr>
    <w:rPr>
      <w:rFonts w:eastAsia="PMingLiU" w:cs="Calibri"/>
      <w:lang w:eastAsia="zh-TW"/>
    </w:rPr>
  </w:style>
  <w:style w:type="paragraph" w:styleId="Caption">
    <w:name w:val="caption"/>
    <w:basedOn w:val="Normal"/>
    <w:next w:val="Normal"/>
    <w:link w:val="CaptionChar"/>
    <w:uiPriority w:val="99"/>
    <w:qFormat/>
    <w:rsid w:val="00D61692"/>
    <w:rPr>
      <w:rFonts w:eastAsia="PMingLiU" w:cs="Calibri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16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5C4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0421A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2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421A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2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21A3"/>
    <w:rPr>
      <w:b/>
      <w:bCs/>
    </w:rPr>
  </w:style>
  <w:style w:type="paragraph" w:customStyle="1" w:styleId="xmsonormal">
    <w:name w:val="x_msonormal"/>
    <w:basedOn w:val="Normal"/>
    <w:uiPriority w:val="99"/>
    <w:rsid w:val="00694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5FC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5FCD"/>
    <w:rPr>
      <w:rFonts w:cs="Times New Roman"/>
    </w:rPr>
  </w:style>
  <w:style w:type="paragraph" w:customStyle="1" w:styleId="msonospacing0">
    <w:name w:val="msonospacing"/>
    <w:uiPriority w:val="99"/>
    <w:rsid w:val="0055364A"/>
    <w:rPr>
      <w:rFonts w:ascii="PMingLiU" w:eastAsia="PMingLiU" w:hAnsi="Times New Roman"/>
      <w:lang w:eastAsia="zh-TW"/>
    </w:rPr>
  </w:style>
  <w:style w:type="table" w:styleId="TableGrid">
    <w:name w:val="Table Grid"/>
    <w:basedOn w:val="TableNormal"/>
    <w:uiPriority w:val="99"/>
    <w:rsid w:val="00CD13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84DC2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5253D1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FootnoteText">
    <w:name w:val="footnote text"/>
    <w:basedOn w:val="Normal"/>
    <w:link w:val="FootnoteTextChar"/>
    <w:uiPriority w:val="99"/>
    <w:semiHidden/>
    <w:rsid w:val="007F61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F61AF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F61AF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0256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6630B"/>
    <w:rPr>
      <w:rFonts w:ascii="Times New Roman" w:hAnsi="Times New Roman" w:cs="Times New Roman"/>
      <w:sz w:val="2"/>
    </w:rPr>
  </w:style>
  <w:style w:type="character" w:styleId="Hyperlink">
    <w:name w:val="Hyperlink"/>
    <w:basedOn w:val="DefaultParagraphFont"/>
    <w:uiPriority w:val="99"/>
    <w:rsid w:val="00034D4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497A"/>
    <w:rPr>
      <w:color w:val="800080"/>
      <w:u w:val="single"/>
    </w:rPr>
  </w:style>
  <w:style w:type="paragraph" w:customStyle="1" w:styleId="xl170">
    <w:name w:val="xl170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171">
    <w:name w:val="xl171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172">
    <w:name w:val="xl17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173">
    <w:name w:val="xl17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4">
    <w:name w:val="xl17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5">
    <w:name w:val="xl17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6">
    <w:name w:val="xl17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7">
    <w:name w:val="xl17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8">
    <w:name w:val="xl17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9">
    <w:name w:val="xl17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0">
    <w:name w:val="xl18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1">
    <w:name w:val="xl18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2">
    <w:name w:val="xl18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3">
    <w:name w:val="xl18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4">
    <w:name w:val="xl18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5">
    <w:name w:val="xl18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6">
    <w:name w:val="xl18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7">
    <w:name w:val="xl18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8">
    <w:name w:val="xl18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189">
    <w:name w:val="xl18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0">
    <w:name w:val="xl19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1">
    <w:name w:val="xl19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2">
    <w:name w:val="xl19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3">
    <w:name w:val="xl19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4">
    <w:name w:val="xl19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5">
    <w:name w:val="xl19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6">
    <w:name w:val="xl19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7">
    <w:name w:val="xl19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8">
    <w:name w:val="xl19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9">
    <w:name w:val="xl19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00">
    <w:name w:val="xl20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1">
    <w:name w:val="xl20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2">
    <w:name w:val="xl20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3">
    <w:name w:val="xl20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4">
    <w:name w:val="xl20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5">
    <w:name w:val="xl20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6">
    <w:name w:val="xl20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7">
    <w:name w:val="xl20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8">
    <w:name w:val="xl20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9">
    <w:name w:val="xl20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10">
    <w:name w:val="xl21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1">
    <w:name w:val="xl21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2">
    <w:name w:val="xl21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3">
    <w:name w:val="xl21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4">
    <w:name w:val="xl21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5">
    <w:name w:val="xl21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6">
    <w:name w:val="xl216"/>
    <w:basedOn w:val="Normal"/>
    <w:rsid w:val="00034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7">
    <w:name w:val="xl21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character" w:customStyle="1" w:styleId="hps">
    <w:name w:val="hps"/>
    <w:basedOn w:val="DefaultParagraphFont"/>
    <w:rsid w:val="00172816"/>
  </w:style>
  <w:style w:type="character" w:customStyle="1" w:styleId="atn">
    <w:name w:val="atn"/>
    <w:basedOn w:val="DefaultParagraphFont"/>
    <w:rsid w:val="00172816"/>
  </w:style>
  <w:style w:type="paragraph" w:customStyle="1" w:styleId="xl230">
    <w:name w:val="xl230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31">
    <w:name w:val="xl231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32">
    <w:name w:val="xl23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3">
    <w:name w:val="xl233"/>
    <w:basedOn w:val="Normal"/>
    <w:rsid w:val="00842C5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4">
    <w:name w:val="xl234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5">
    <w:name w:val="xl23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6">
    <w:name w:val="xl236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8"/>
      <w:szCs w:val="18"/>
      <w:lang w:val="sr-Latn-CS" w:eastAsia="sr-Latn-CS"/>
    </w:rPr>
  </w:style>
  <w:style w:type="paragraph" w:customStyle="1" w:styleId="xl237">
    <w:name w:val="xl237"/>
    <w:basedOn w:val="Normal"/>
    <w:rsid w:val="00842C5E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8">
    <w:name w:val="xl23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39">
    <w:name w:val="xl23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0">
    <w:name w:val="xl24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1">
    <w:name w:val="xl24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2">
    <w:name w:val="xl24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3">
    <w:name w:val="xl24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4">
    <w:name w:val="xl24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5">
    <w:name w:val="xl24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6">
    <w:name w:val="xl24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7">
    <w:name w:val="xl24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8">
    <w:name w:val="xl24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9">
    <w:name w:val="xl24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0">
    <w:name w:val="xl25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1">
    <w:name w:val="xl25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2">
    <w:name w:val="xl25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253">
    <w:name w:val="xl25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4">
    <w:name w:val="xl25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5">
    <w:name w:val="xl25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6">
    <w:name w:val="xl25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7">
    <w:name w:val="xl25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8">
    <w:name w:val="xl25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9">
    <w:name w:val="xl25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0">
    <w:name w:val="xl26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1">
    <w:name w:val="xl26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2">
    <w:name w:val="xl26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3">
    <w:name w:val="xl26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64">
    <w:name w:val="xl26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5">
    <w:name w:val="xl26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6">
    <w:name w:val="xl26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7">
    <w:name w:val="xl26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8">
    <w:name w:val="xl26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9">
    <w:name w:val="xl26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0">
    <w:name w:val="xl27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1">
    <w:name w:val="xl27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2">
    <w:name w:val="xl27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3">
    <w:name w:val="xl27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4">
    <w:name w:val="xl27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5">
    <w:name w:val="xl27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6">
    <w:name w:val="xl27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7">
    <w:name w:val="xl27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8">
    <w:name w:val="xl27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9">
    <w:name w:val="xl279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80">
    <w:name w:val="xl28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1">
    <w:name w:val="xl28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2">
    <w:name w:val="xl28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3">
    <w:name w:val="xl28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4">
    <w:name w:val="xl28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5">
    <w:name w:val="xl28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6">
    <w:name w:val="xl286"/>
    <w:basedOn w:val="Normal"/>
    <w:rsid w:val="00842C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7">
    <w:name w:val="xl28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8">
    <w:name w:val="xl28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9">
    <w:name w:val="xl28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0">
    <w:name w:val="xl290"/>
    <w:basedOn w:val="Normal"/>
    <w:rsid w:val="00CE3C0D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91">
    <w:name w:val="xl291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2">
    <w:name w:val="xl292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3">
    <w:name w:val="xl293"/>
    <w:basedOn w:val="Normal"/>
    <w:rsid w:val="00CE3C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4">
    <w:name w:val="xl294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5">
    <w:name w:val="xl295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96">
    <w:name w:val="xl296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7">
    <w:name w:val="xl29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8">
    <w:name w:val="xl29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9">
    <w:name w:val="xl29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0">
    <w:name w:val="xl300"/>
    <w:basedOn w:val="Normal"/>
    <w:rsid w:val="00CE3C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1">
    <w:name w:val="xl301"/>
    <w:basedOn w:val="Normal"/>
    <w:rsid w:val="00CE3C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2">
    <w:name w:val="xl30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3">
    <w:name w:val="xl30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4">
    <w:name w:val="xl30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5">
    <w:name w:val="xl30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6">
    <w:name w:val="xl30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7">
    <w:name w:val="xl30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8">
    <w:name w:val="xl30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9">
    <w:name w:val="xl30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0">
    <w:name w:val="xl31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1">
    <w:name w:val="xl31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2">
    <w:name w:val="xl31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3">
    <w:name w:val="xl31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314">
    <w:name w:val="xl31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15">
    <w:name w:val="xl31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16">
    <w:name w:val="xl31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7">
    <w:name w:val="xl31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8">
    <w:name w:val="xl31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9">
    <w:name w:val="xl31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0">
    <w:name w:val="xl32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1">
    <w:name w:val="xl32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2">
    <w:name w:val="xl32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3">
    <w:name w:val="xl323"/>
    <w:basedOn w:val="Normal"/>
    <w:rsid w:val="00052BB7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324">
    <w:name w:val="xl324"/>
    <w:basedOn w:val="Normal"/>
    <w:rsid w:val="00052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5">
    <w:name w:val="xl325"/>
    <w:basedOn w:val="Normal"/>
    <w:rsid w:val="00052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6">
    <w:name w:val="xl32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27">
    <w:name w:val="xl32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28">
    <w:name w:val="xl328"/>
    <w:basedOn w:val="Normal"/>
    <w:rsid w:val="00052B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29">
    <w:name w:val="xl32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4"/>
      <w:szCs w:val="14"/>
      <w:lang w:val="sr-Latn-CS" w:eastAsia="sr-Latn-CS"/>
    </w:rPr>
  </w:style>
  <w:style w:type="paragraph" w:customStyle="1" w:styleId="xl330">
    <w:name w:val="xl33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31">
    <w:name w:val="xl331"/>
    <w:basedOn w:val="Normal"/>
    <w:rsid w:val="00052BB7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32">
    <w:name w:val="xl33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3">
    <w:name w:val="xl33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4">
    <w:name w:val="xl33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5">
    <w:name w:val="xl33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6">
    <w:name w:val="xl33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7">
    <w:name w:val="xl33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8">
    <w:name w:val="xl33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9">
    <w:name w:val="xl33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0">
    <w:name w:val="xl340"/>
    <w:basedOn w:val="Normal"/>
    <w:rsid w:val="00052BB7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4"/>
      <w:szCs w:val="14"/>
      <w:lang w:val="sr-Latn-CS" w:eastAsia="sr-Latn-CS"/>
    </w:rPr>
  </w:style>
  <w:style w:type="paragraph" w:customStyle="1" w:styleId="xl341">
    <w:name w:val="xl34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2">
    <w:name w:val="xl34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3">
    <w:name w:val="xl34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4">
    <w:name w:val="xl34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5">
    <w:name w:val="xl34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6">
    <w:name w:val="xl34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7">
    <w:name w:val="xl34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8">
    <w:name w:val="xl34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9">
    <w:name w:val="xl34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0">
    <w:name w:val="xl35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1">
    <w:name w:val="xl35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2">
    <w:name w:val="xl35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3">
    <w:name w:val="xl35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4">
    <w:name w:val="xl35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5">
    <w:name w:val="xl35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6">
    <w:name w:val="xl35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7">
    <w:name w:val="xl35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8">
    <w:name w:val="xl358"/>
    <w:basedOn w:val="Normal"/>
    <w:rsid w:val="00052BB7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59">
    <w:name w:val="xl35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0">
    <w:name w:val="xl36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1">
    <w:name w:val="xl36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2">
    <w:name w:val="xl36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3">
    <w:name w:val="xl363"/>
    <w:basedOn w:val="Normal"/>
    <w:rsid w:val="00052B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4">
    <w:name w:val="xl364"/>
    <w:basedOn w:val="Normal"/>
    <w:rsid w:val="00052B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5">
    <w:name w:val="xl36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66">
    <w:name w:val="xl36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7">
    <w:name w:val="xl36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68">
    <w:name w:val="xl36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76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8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9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9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38372">
                                      <w:marLeft w:val="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66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03605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Documents%20and%20Settings\olja.tomanovic\Desktop\mmi%202014-09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ilos.popovic\Dropbox\MINISTARSTVO%20FINANSIJA\SEP\02_MMI\MMI_2014_10\mmi%202014-1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ja.novosel\Desktop\mjesec\Podaci%20za%20MF%20-%20SEPTEMBAR%202014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zdenka.dabovic\Desktop\MMI\mmi_sirovi%20podaci_2014%201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/>
            </a:pPr>
            <a:r>
              <a:rPr lang="sr-Latn-CS" sz="900" b="0"/>
              <a:t>Projekcije ekonomskog</a:t>
            </a:r>
            <a:r>
              <a:rPr lang="sr-Latn-CS" sz="900" b="0" baseline="0"/>
              <a:t> rasta za zemlje kandidate- EC</a:t>
            </a:r>
            <a:endParaRPr lang="sr-Latn-CS" b="0"/>
          </a:p>
        </c:rich>
      </c:tx>
      <c:layout>
        <c:manualLayout>
          <c:xMode val="edge"/>
          <c:yMode val="edge"/>
          <c:x val="0.14302165725047081"/>
          <c:y val="0"/>
        </c:manualLayout>
      </c:layout>
      <c:overlay val="1"/>
    </c:title>
    <c:plotArea>
      <c:layout>
        <c:manualLayout>
          <c:layoutTarget val="inner"/>
          <c:xMode val="edge"/>
          <c:yMode val="edge"/>
          <c:x val="6.8717043314501597E-2"/>
          <c:y val="0.13324074074074074"/>
          <c:w val="0.86897881355933504"/>
          <c:h val="0.60488981481482362"/>
        </c:manualLayout>
      </c:layout>
      <c:barChart>
        <c:barDir val="bar"/>
        <c:grouping val="clustered"/>
        <c:ser>
          <c:idx val="0"/>
          <c:order val="0"/>
          <c:tx>
            <c:strRef>
              <c:f>Sheet1!$C$3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cat>
            <c:strRef>
              <c:f>Sheet1!$B$4:$B$9</c:f>
              <c:strCache>
                <c:ptCount val="6"/>
                <c:pt idx="0">
                  <c:v>Makedonija</c:v>
                </c:pt>
                <c:pt idx="1">
                  <c:v>Island</c:v>
                </c:pt>
                <c:pt idx="2">
                  <c:v>Crna Gora</c:v>
                </c:pt>
                <c:pt idx="3">
                  <c:v>Srbija</c:v>
                </c:pt>
                <c:pt idx="4">
                  <c:v>Turska</c:v>
                </c:pt>
                <c:pt idx="5">
                  <c:v>Albanija</c:v>
                </c:pt>
              </c:strCache>
            </c:strRef>
          </c:cat>
          <c:val>
            <c:numRef>
              <c:f>Sheet1!$C$4:$C$9</c:f>
              <c:numCache>
                <c:formatCode>0.0</c:formatCode>
                <c:ptCount val="6"/>
                <c:pt idx="0">
                  <c:v>3.3</c:v>
                </c:pt>
                <c:pt idx="1">
                  <c:v>2.2999999999999998</c:v>
                </c:pt>
                <c:pt idx="2">
                  <c:v>2</c:v>
                </c:pt>
                <c:pt idx="3">
                  <c:v>-1</c:v>
                </c:pt>
                <c:pt idx="4">
                  <c:v>2.8</c:v>
                </c:pt>
                <c:pt idx="5">
                  <c:v>1.8</c:v>
                </c:pt>
              </c:numCache>
            </c:numRef>
          </c:val>
        </c:ser>
        <c:ser>
          <c:idx val="1"/>
          <c:order val="1"/>
          <c:tx>
            <c:strRef>
              <c:f>Sheet1!$D$3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bg1">
                <a:lumMod val="95000"/>
              </a:schemeClr>
            </a:solidFill>
            <a:ln>
              <a:solidFill>
                <a:schemeClr val="tx1">
                  <a:lumMod val="50000"/>
                  <a:lumOff val="50000"/>
                </a:schemeClr>
              </a:solidFill>
            </a:ln>
          </c:spPr>
          <c:cat>
            <c:strRef>
              <c:f>Sheet1!$B$4:$B$9</c:f>
              <c:strCache>
                <c:ptCount val="6"/>
                <c:pt idx="0">
                  <c:v>Makedonija</c:v>
                </c:pt>
                <c:pt idx="1">
                  <c:v>Island</c:v>
                </c:pt>
                <c:pt idx="2">
                  <c:v>Crna Gora</c:v>
                </c:pt>
                <c:pt idx="3">
                  <c:v>Srbija</c:v>
                </c:pt>
                <c:pt idx="4">
                  <c:v>Turska</c:v>
                </c:pt>
                <c:pt idx="5">
                  <c:v>Albanija</c:v>
                </c:pt>
              </c:strCache>
            </c:strRef>
          </c:cat>
          <c:val>
            <c:numRef>
              <c:f>Sheet1!$D$4:$D$9</c:f>
              <c:numCache>
                <c:formatCode>0.0</c:formatCode>
                <c:ptCount val="6"/>
                <c:pt idx="0">
                  <c:v>3.4</c:v>
                </c:pt>
                <c:pt idx="1">
                  <c:v>2.8</c:v>
                </c:pt>
                <c:pt idx="2">
                  <c:v>3</c:v>
                </c:pt>
                <c:pt idx="3">
                  <c:v>0</c:v>
                </c:pt>
                <c:pt idx="4">
                  <c:v>3.3</c:v>
                </c:pt>
                <c:pt idx="5">
                  <c:v>2.9</c:v>
                </c:pt>
              </c:numCache>
            </c:numRef>
          </c:val>
        </c:ser>
        <c:ser>
          <c:idx val="2"/>
          <c:order val="2"/>
          <c:tx>
            <c:strRef>
              <c:f>Sheet1!$E$3</c:f>
              <c:strCache>
                <c:ptCount val="1"/>
                <c:pt idx="0">
                  <c:v>2016</c:v>
                </c:pt>
              </c:strCache>
            </c:strRef>
          </c:tx>
          <c:cat>
            <c:strRef>
              <c:f>Sheet1!$B$4:$B$9</c:f>
              <c:strCache>
                <c:ptCount val="6"/>
                <c:pt idx="0">
                  <c:v>Makedonija</c:v>
                </c:pt>
                <c:pt idx="1">
                  <c:v>Island</c:v>
                </c:pt>
                <c:pt idx="2">
                  <c:v>Crna Gora</c:v>
                </c:pt>
                <c:pt idx="3">
                  <c:v>Srbija</c:v>
                </c:pt>
                <c:pt idx="4">
                  <c:v>Turska</c:v>
                </c:pt>
                <c:pt idx="5">
                  <c:v>Albanija</c:v>
                </c:pt>
              </c:strCache>
            </c:strRef>
          </c:cat>
          <c:val>
            <c:numRef>
              <c:f>Sheet1!$E$4:$E$9</c:f>
              <c:numCache>
                <c:formatCode>0.0</c:formatCode>
                <c:ptCount val="6"/>
                <c:pt idx="0">
                  <c:v>3.6</c:v>
                </c:pt>
                <c:pt idx="1">
                  <c:v>2.5</c:v>
                </c:pt>
                <c:pt idx="2">
                  <c:v>3.5</c:v>
                </c:pt>
                <c:pt idx="3">
                  <c:v>1.1000000000000001</c:v>
                </c:pt>
                <c:pt idx="4">
                  <c:v>3.7</c:v>
                </c:pt>
                <c:pt idx="5">
                  <c:v>3.5</c:v>
                </c:pt>
              </c:numCache>
            </c:numRef>
          </c:val>
        </c:ser>
        <c:axId val="105009152"/>
        <c:axId val="105059456"/>
      </c:barChart>
      <c:catAx>
        <c:axId val="105009152"/>
        <c:scaling>
          <c:orientation val="minMax"/>
        </c:scaling>
        <c:axPos val="l"/>
        <c:tickLblPos val="high"/>
        <c:txPr>
          <a:bodyPr/>
          <a:lstStyle/>
          <a:p>
            <a:pPr>
              <a:defRPr lang="sr-Latn-CS" sz="800"/>
            </a:pPr>
            <a:endParaRPr lang="en-US"/>
          </a:p>
        </c:txPr>
        <c:crossAx val="105059456"/>
        <c:crosses val="autoZero"/>
        <c:auto val="1"/>
        <c:lblAlgn val="ctr"/>
        <c:lblOffset val="100"/>
      </c:catAx>
      <c:valAx>
        <c:axId val="105059456"/>
        <c:scaling>
          <c:orientation val="minMax"/>
          <c:min val="-1"/>
        </c:scaling>
        <c:axPos val="b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ot"/>
            </a:ln>
          </c:spPr>
        </c:majorGridlines>
        <c:numFmt formatCode="0.0" sourceLinked="1"/>
        <c:tickLblPos val="nextTo"/>
        <c:spPr>
          <a:ln w="3175">
            <a:solidFill>
              <a:schemeClr val="bg1">
                <a:lumMod val="85000"/>
              </a:schemeClr>
            </a:solidFill>
            <a:prstDash val="sysDash"/>
          </a:ln>
        </c:spPr>
        <c:txPr>
          <a:bodyPr/>
          <a:lstStyle/>
          <a:p>
            <a:pPr>
              <a:defRPr lang="sr-Latn-CS" sz="700"/>
            </a:pPr>
            <a:endParaRPr lang="en-US"/>
          </a:p>
        </c:txPr>
        <c:crossAx val="105009152"/>
        <c:crosses val="autoZero"/>
        <c:crossBetween val="between"/>
        <c:majorUnit val="1"/>
      </c:valAx>
      <c:spPr>
        <a:ln>
          <a:noFill/>
        </a:ln>
      </c:spPr>
    </c:plotArea>
    <c:legend>
      <c:legendPos val="b"/>
      <c:txPr>
        <a:bodyPr/>
        <a:lstStyle/>
        <a:p>
          <a:pPr>
            <a:defRPr lang="sr-Latn-CS" sz="700"/>
          </a:pPr>
          <a:endParaRPr lang="en-US"/>
        </a:p>
      </c:txPr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1000"/>
            </a:pPr>
            <a:r>
              <a:rPr lang="x-none" sz="1000"/>
              <a:t>I</a:t>
            </a:r>
            <a:r>
              <a:rPr lang="en-US" sz="1000"/>
              <a:t>ndustrija</a:t>
            </a:r>
          </a:p>
        </c:rich>
      </c:tx>
    </c:title>
    <c:plotArea>
      <c:layout>
        <c:manualLayout>
          <c:layoutTarget val="inner"/>
          <c:xMode val="edge"/>
          <c:yMode val="edge"/>
          <c:x val="0.15260439068100548"/>
          <c:y val="0.12751209677419537"/>
          <c:w val="0.78480600358422969"/>
          <c:h val="0.51694937275985664"/>
        </c:manualLayout>
      </c:layout>
      <c:lineChart>
        <c:grouping val="standard"/>
        <c:ser>
          <c:idx val="0"/>
          <c:order val="0"/>
          <c:tx>
            <c:strRef>
              <c:f>'Makroekonomski indikatori'!$C$12</c:f>
              <c:strCache>
                <c:ptCount val="1"/>
                <c:pt idx="0">
                  <c:v>Industrija-ukupno</c:v>
                </c:pt>
              </c:strCache>
            </c:strRef>
          </c:tx>
          <c:spPr>
            <a:ln w="38100">
              <a:solidFill>
                <a:srgbClr val="F313A8"/>
              </a:solidFill>
            </a:ln>
          </c:spPr>
          <c:marker>
            <c:symbol val="none"/>
          </c:marker>
          <c:cat>
            <c:strRef>
              <c:f>'Makroekonomski indikatori'!$AO$31:$AW$31</c:f>
              <c:strCache>
                <c:ptCount val="9"/>
                <c:pt idx="0">
                  <c:v>2014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</c:strCache>
            </c:strRef>
          </c:cat>
          <c:val>
            <c:numRef>
              <c:f>'Makroekonomski indikatori'!$AO$12:$AW$12</c:f>
              <c:numCache>
                <c:formatCode>General</c:formatCode>
                <c:ptCount val="9"/>
                <c:pt idx="0">
                  <c:v>7.4</c:v>
                </c:pt>
                <c:pt idx="1">
                  <c:v>5.7</c:v>
                </c:pt>
                <c:pt idx="2">
                  <c:v>-20.6</c:v>
                </c:pt>
                <c:pt idx="3">
                  <c:v>-27.9</c:v>
                </c:pt>
                <c:pt idx="4">
                  <c:v>-23.4</c:v>
                </c:pt>
                <c:pt idx="5">
                  <c:v>-26.4</c:v>
                </c:pt>
                <c:pt idx="6">
                  <c:v>-16.5</c:v>
                </c:pt>
                <c:pt idx="7">
                  <c:v>-12.7</c:v>
                </c:pt>
                <c:pt idx="8">
                  <c:v>7.5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'Makroekonomski indikatori'!$C$16</c:f>
              <c:strCache>
                <c:ptCount val="1"/>
                <c:pt idx="0">
                  <c:v>Proizvodnja električne energije</c:v>
                </c:pt>
              </c:strCache>
            </c:strRef>
          </c:tx>
          <c:spPr>
            <a:ln w="28575">
              <a:solidFill>
                <a:srgbClr val="21E554"/>
              </a:solidFill>
              <a:prstDash val="sysDash"/>
            </a:ln>
          </c:spPr>
          <c:marker>
            <c:symbol val="none"/>
          </c:marker>
          <c:cat>
            <c:strRef>
              <c:f>'Makroekonomski indikatori'!$AO$31:$AW$31</c:f>
              <c:strCache>
                <c:ptCount val="9"/>
                <c:pt idx="0">
                  <c:v>2014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</c:strCache>
            </c:strRef>
          </c:cat>
          <c:val>
            <c:numRef>
              <c:f>'Makroekonomski indikatori'!$AO$16:$AW$16</c:f>
              <c:numCache>
                <c:formatCode>General</c:formatCode>
                <c:ptCount val="9"/>
                <c:pt idx="0">
                  <c:v>-12.2</c:v>
                </c:pt>
                <c:pt idx="1">
                  <c:v>-6.5</c:v>
                </c:pt>
                <c:pt idx="2">
                  <c:v>-48.1</c:v>
                </c:pt>
                <c:pt idx="3">
                  <c:v>-44.9</c:v>
                </c:pt>
                <c:pt idx="4">
                  <c:v>-43.8</c:v>
                </c:pt>
                <c:pt idx="5">
                  <c:v>-56.5</c:v>
                </c:pt>
                <c:pt idx="6">
                  <c:v>-3.7</c:v>
                </c:pt>
                <c:pt idx="7">
                  <c:v>-3.7</c:v>
                </c:pt>
                <c:pt idx="8">
                  <c:v>51.9</c:v>
                </c:pt>
              </c:numCache>
            </c:numRef>
          </c:val>
          <c:smooth val="1"/>
        </c:ser>
        <c:ser>
          <c:idx val="2"/>
          <c:order val="2"/>
          <c:tx>
            <c:strRef>
              <c:f>'Makroekonomski indikatori'!$C$15</c:f>
              <c:strCache>
                <c:ptCount val="1"/>
                <c:pt idx="0">
                  <c:v>Proivodnja osnovnih metala</c:v>
                </c:pt>
              </c:strCache>
            </c:strRef>
          </c:tx>
          <c:spPr>
            <a:ln w="28575">
              <a:solidFill>
                <a:srgbClr val="4A31DD"/>
              </a:solidFill>
              <a:prstDash val="sysDash"/>
            </a:ln>
          </c:spPr>
          <c:marker>
            <c:symbol val="none"/>
          </c:marker>
          <c:cat>
            <c:strRef>
              <c:f>'Makroekonomski indikatori'!$AO$31:$AW$31</c:f>
              <c:strCache>
                <c:ptCount val="9"/>
                <c:pt idx="0">
                  <c:v>2014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</c:strCache>
            </c:strRef>
          </c:cat>
          <c:val>
            <c:numRef>
              <c:f>'Makroekonomski indikatori'!$AO$15:$AW$15</c:f>
              <c:numCache>
                <c:formatCode>General</c:formatCode>
                <c:ptCount val="9"/>
                <c:pt idx="0">
                  <c:v>0.2</c:v>
                </c:pt>
                <c:pt idx="1">
                  <c:v>-17.899999999999999</c:v>
                </c:pt>
                <c:pt idx="2" formatCode="0.0">
                  <c:v>-11</c:v>
                </c:pt>
                <c:pt idx="3">
                  <c:v>-16.5</c:v>
                </c:pt>
                <c:pt idx="4" formatCode="0.0">
                  <c:v>-11</c:v>
                </c:pt>
                <c:pt idx="5">
                  <c:v>-23.2</c:v>
                </c:pt>
                <c:pt idx="6">
                  <c:v>-27.5</c:v>
                </c:pt>
                <c:pt idx="7">
                  <c:v>-26.8</c:v>
                </c:pt>
                <c:pt idx="8">
                  <c:v>14.6</c:v>
                </c:pt>
              </c:numCache>
            </c:numRef>
          </c:val>
          <c:smooth val="1"/>
        </c:ser>
        <c:marker val="1"/>
        <c:axId val="107678720"/>
        <c:axId val="107933056"/>
      </c:lineChart>
      <c:catAx>
        <c:axId val="107678720"/>
        <c:scaling>
          <c:orientation val="minMax"/>
        </c:scaling>
        <c:axPos val="b"/>
        <c:tickLblPos val="low"/>
        <c:txPr>
          <a:bodyPr/>
          <a:lstStyle/>
          <a:p>
            <a:pPr>
              <a:defRPr lang="sr-Latn-CS" sz="600"/>
            </a:pPr>
            <a:endParaRPr lang="en-US"/>
          </a:p>
        </c:txPr>
        <c:crossAx val="107933056"/>
        <c:crosses val="autoZero"/>
        <c:auto val="1"/>
        <c:lblAlgn val="ctr"/>
        <c:lblOffset val="100"/>
      </c:catAx>
      <c:valAx>
        <c:axId val="107933056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107678720"/>
        <c:crosses val="autoZero"/>
        <c:crossBetween val="between"/>
      </c:valAx>
    </c:plotArea>
    <c:legend>
      <c:legendPos val="b"/>
      <c:txPr>
        <a:bodyPr/>
        <a:lstStyle/>
        <a:p>
          <a:pPr>
            <a:defRPr lang="sr-Latn-CS" sz="600"/>
          </a:pPr>
          <a:endParaRPr lang="en-US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1000"/>
            </a:pPr>
            <a:r>
              <a:rPr lang="en-US" sz="1000"/>
              <a:t>Inflacija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'Makroekonomski indikatori'!$C$22</c:f>
              <c:strCache>
                <c:ptCount val="1"/>
                <c:pt idx="0">
                  <c:v>CPI-godišnje stope rasta</c:v>
                </c:pt>
              </c:strCache>
            </c:strRef>
          </c:tx>
          <c:spPr>
            <a:ln>
              <a:solidFill>
                <a:srgbClr val="E527E5"/>
              </a:solidFill>
            </a:ln>
          </c:spPr>
          <c:marker>
            <c:symbol val="none"/>
          </c:marker>
          <c:cat>
            <c:strRef>
              <c:f>'Makroekonomski indikatori'!$AJ$32:$AW$32</c:f>
              <c:strCache>
                <c:ptCount val="13"/>
                <c:pt idx="0">
                  <c:v>IX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2014</c:v>
                </c:pt>
                <c:pt idx="5">
                  <c:v>II</c:v>
                </c:pt>
                <c:pt idx="6">
                  <c:v>III</c:v>
                </c:pt>
                <c:pt idx="7">
                  <c:v>IV</c:v>
                </c:pt>
                <c:pt idx="8">
                  <c:v>V</c:v>
                </c:pt>
                <c:pt idx="9">
                  <c:v>VI</c:v>
                </c:pt>
                <c:pt idx="10">
                  <c:v>VII</c:v>
                </c:pt>
                <c:pt idx="11">
                  <c:v>VIII</c:v>
                </c:pt>
                <c:pt idx="12">
                  <c:v>IX</c:v>
                </c:pt>
              </c:strCache>
            </c:strRef>
          </c:cat>
          <c:val>
            <c:numRef>
              <c:f>'Makroekonomski indikatori'!$AJ$22:$AW$22</c:f>
              <c:numCache>
                <c:formatCode>0.0</c:formatCode>
                <c:ptCount val="13"/>
                <c:pt idx="0">
                  <c:v>1.8</c:v>
                </c:pt>
                <c:pt idx="1">
                  <c:v>0.5</c:v>
                </c:pt>
                <c:pt idx="2">
                  <c:v>0</c:v>
                </c:pt>
                <c:pt idx="3">
                  <c:v>0.30000000000000032</c:v>
                </c:pt>
                <c:pt idx="4" formatCode="General">
                  <c:v>-0.4</c:v>
                </c:pt>
                <c:pt idx="5" formatCode="General">
                  <c:v>-0.60000000000000064</c:v>
                </c:pt>
                <c:pt idx="6" formatCode="General">
                  <c:v>-0.9</c:v>
                </c:pt>
                <c:pt idx="7" formatCode="General">
                  <c:v>-1.4</c:v>
                </c:pt>
                <c:pt idx="8" formatCode="General">
                  <c:v>-1.3</c:v>
                </c:pt>
                <c:pt idx="9" formatCode="General">
                  <c:v>-0.1</c:v>
                </c:pt>
                <c:pt idx="10" formatCode="General">
                  <c:v>-1.2</c:v>
                </c:pt>
                <c:pt idx="11" formatCode="General">
                  <c:v>-1.1000000000000001</c:v>
                </c:pt>
                <c:pt idx="12" formatCode="General">
                  <c:v>-0.70000000000000062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'Makroekonomski indikatori'!$C$23</c:f>
              <c:strCache>
                <c:ptCount val="1"/>
                <c:pt idx="0">
                  <c:v>CPI-mjesečne stope rasta</c:v>
                </c:pt>
              </c:strCache>
            </c:strRef>
          </c:tx>
          <c:spPr>
            <a:ln>
              <a:solidFill>
                <a:srgbClr val="3347D9"/>
              </a:solidFill>
            </a:ln>
          </c:spPr>
          <c:marker>
            <c:symbol val="none"/>
          </c:marker>
          <c:cat>
            <c:strRef>
              <c:f>'Makroekonomski indikatori'!$AJ$32:$AW$32</c:f>
              <c:strCache>
                <c:ptCount val="13"/>
                <c:pt idx="0">
                  <c:v>IX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2014</c:v>
                </c:pt>
                <c:pt idx="5">
                  <c:v>II</c:v>
                </c:pt>
                <c:pt idx="6">
                  <c:v>III</c:v>
                </c:pt>
                <c:pt idx="7">
                  <c:v>IV</c:v>
                </c:pt>
                <c:pt idx="8">
                  <c:v>V</c:v>
                </c:pt>
                <c:pt idx="9">
                  <c:v>VI</c:v>
                </c:pt>
                <c:pt idx="10">
                  <c:v>VII</c:v>
                </c:pt>
                <c:pt idx="11">
                  <c:v>VIII</c:v>
                </c:pt>
                <c:pt idx="12">
                  <c:v>IX</c:v>
                </c:pt>
              </c:strCache>
            </c:strRef>
          </c:cat>
          <c:val>
            <c:numRef>
              <c:f>'Makroekonomski indikatori'!$AJ$23:$AW$23</c:f>
              <c:numCache>
                <c:formatCode>0.0</c:formatCode>
                <c:ptCount val="13"/>
                <c:pt idx="0">
                  <c:v>0.1</c:v>
                </c:pt>
                <c:pt idx="1">
                  <c:v>-0.2</c:v>
                </c:pt>
                <c:pt idx="2">
                  <c:v>-0.60000000000000064</c:v>
                </c:pt>
                <c:pt idx="3">
                  <c:v>0</c:v>
                </c:pt>
                <c:pt idx="4" formatCode="General">
                  <c:v>-0.8</c:v>
                </c:pt>
                <c:pt idx="5">
                  <c:v>0</c:v>
                </c:pt>
                <c:pt idx="6" formatCode="General">
                  <c:v>0.1</c:v>
                </c:pt>
                <c:pt idx="7" formatCode="General">
                  <c:v>-0.2</c:v>
                </c:pt>
                <c:pt idx="8" formatCode="General">
                  <c:v>0.30000000000000032</c:v>
                </c:pt>
                <c:pt idx="9" formatCode="General">
                  <c:v>0.5</c:v>
                </c:pt>
                <c:pt idx="10" formatCode="General">
                  <c:v>-0.4</c:v>
                </c:pt>
                <c:pt idx="11" formatCode="General">
                  <c:v>0.1</c:v>
                </c:pt>
                <c:pt idx="12" formatCode="General">
                  <c:v>0.5</c:v>
                </c:pt>
              </c:numCache>
            </c:numRef>
          </c:val>
          <c:smooth val="1"/>
        </c:ser>
        <c:marker val="1"/>
        <c:axId val="104457344"/>
        <c:axId val="104458880"/>
      </c:lineChart>
      <c:catAx>
        <c:axId val="104457344"/>
        <c:scaling>
          <c:orientation val="minMax"/>
        </c:scaling>
        <c:axPos val="b"/>
        <c:tickLblPos val="low"/>
        <c:txPr>
          <a:bodyPr/>
          <a:lstStyle/>
          <a:p>
            <a:pPr>
              <a:defRPr lang="sr-Latn-CS" sz="600"/>
            </a:pPr>
            <a:endParaRPr lang="en-US"/>
          </a:p>
        </c:txPr>
        <c:crossAx val="104458880"/>
        <c:crosses val="autoZero"/>
        <c:auto val="1"/>
        <c:lblAlgn val="ctr"/>
        <c:lblOffset val="100"/>
      </c:catAx>
      <c:valAx>
        <c:axId val="104458880"/>
        <c:scaling>
          <c:orientation val="minMax"/>
        </c:scaling>
        <c:axPos val="l"/>
        <c:numFmt formatCode="0.0" sourceLinked="1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10445734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txPr>
        <a:bodyPr/>
        <a:lstStyle/>
        <a:p>
          <a:pPr>
            <a:defRPr lang="sr-Latn-CS" sz="600"/>
          </a:pPr>
          <a:endParaRPr lang="en-US"/>
        </a:p>
      </c:txPr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3298079309405259"/>
          <c:y val="7.5757452510597664E-2"/>
          <c:w val="0.57202779755046962"/>
          <c:h val="0.70512943570189224"/>
        </c:manualLayout>
      </c:layout>
      <c:lineChart>
        <c:grouping val="standard"/>
        <c:ser>
          <c:idx val="0"/>
          <c:order val="0"/>
          <c:spPr>
            <a:ln>
              <a:solidFill>
                <a:schemeClr val="accent5">
                  <a:lumMod val="75000"/>
                </a:schemeClr>
              </a:solidFill>
              <a:prstDash val="sysDash"/>
            </a:ln>
          </c:spPr>
          <c:marker>
            <c:symbol val="none"/>
          </c:marker>
          <c:cat>
            <c:strRef>
              <c:f>'Makroekonomski indikatori'!$AI$9:$AZ$9</c:f>
              <c:strCache>
                <c:ptCount val="14"/>
                <c:pt idx="0">
                  <c:v>VIII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2014</c:v>
                </c:pt>
                <c:pt idx="6">
                  <c:v>II</c:v>
                </c:pt>
                <c:pt idx="7">
                  <c:v>III</c:v>
                </c:pt>
                <c:pt idx="8">
                  <c:v>IV</c:v>
                </c:pt>
                <c:pt idx="9">
                  <c:v>V</c:v>
                </c:pt>
                <c:pt idx="10">
                  <c:v>VI</c:v>
                </c:pt>
                <c:pt idx="11">
                  <c:v>VII</c:v>
                </c:pt>
                <c:pt idx="12">
                  <c:v>VIII</c:v>
                </c:pt>
                <c:pt idx="13">
                  <c:v>IX</c:v>
                </c:pt>
              </c:strCache>
            </c:strRef>
          </c:cat>
          <c:val>
            <c:numRef>
              <c:f>'Makroekonomski indikatori'!$AI$21:$AZ$21</c:f>
              <c:numCache>
                <c:formatCode>#,##0</c:formatCode>
                <c:ptCount val="14"/>
                <c:pt idx="0">
                  <c:v>176588</c:v>
                </c:pt>
                <c:pt idx="1">
                  <c:v>169044</c:v>
                </c:pt>
                <c:pt idx="2">
                  <c:v>169044</c:v>
                </c:pt>
                <c:pt idx="3">
                  <c:v>167607</c:v>
                </c:pt>
                <c:pt idx="4">
                  <c:v>167173</c:v>
                </c:pt>
                <c:pt idx="5">
                  <c:v>167616</c:v>
                </c:pt>
                <c:pt idx="6">
                  <c:v>168805</c:v>
                </c:pt>
                <c:pt idx="7">
                  <c:v>170177</c:v>
                </c:pt>
                <c:pt idx="8">
                  <c:v>172202</c:v>
                </c:pt>
                <c:pt idx="9">
                  <c:v>174917</c:v>
                </c:pt>
                <c:pt idx="10">
                  <c:v>179774</c:v>
                </c:pt>
                <c:pt idx="11">
                  <c:v>181408</c:v>
                </c:pt>
                <c:pt idx="12">
                  <c:v>178558</c:v>
                </c:pt>
                <c:pt idx="13" formatCode="#,##0.0">
                  <c:v>173942</c:v>
                </c:pt>
              </c:numCache>
            </c:numRef>
          </c:val>
        </c:ser>
        <c:marker val="1"/>
        <c:axId val="104558976"/>
        <c:axId val="104560512"/>
      </c:lineChart>
      <c:lineChart>
        <c:grouping val="standard"/>
        <c:ser>
          <c:idx val="1"/>
          <c:order val="1"/>
          <c:spPr>
            <a:ln>
              <a:solidFill>
                <a:srgbClr val="C00000"/>
              </a:solidFill>
            </a:ln>
          </c:spPr>
          <c:marker>
            <c:symbol val="none"/>
          </c:marker>
          <c:cat>
            <c:strRef>
              <c:f>'Makroekonomski indikatori'!$AI$9:$AZ$9</c:f>
              <c:strCache>
                <c:ptCount val="14"/>
                <c:pt idx="0">
                  <c:v>VIII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2014</c:v>
                </c:pt>
                <c:pt idx="6">
                  <c:v>II</c:v>
                </c:pt>
                <c:pt idx="7">
                  <c:v>III</c:v>
                </c:pt>
                <c:pt idx="8">
                  <c:v>IV</c:v>
                </c:pt>
                <c:pt idx="9">
                  <c:v>V</c:v>
                </c:pt>
                <c:pt idx="10">
                  <c:v>VI</c:v>
                </c:pt>
                <c:pt idx="11">
                  <c:v>VII</c:v>
                </c:pt>
                <c:pt idx="12">
                  <c:v>VIII</c:v>
                </c:pt>
                <c:pt idx="13">
                  <c:v>IX</c:v>
                </c:pt>
              </c:strCache>
            </c:strRef>
          </c:cat>
          <c:val>
            <c:numRef>
              <c:f>'Makroekonomski indikatori'!$AI$22:$AZ$22</c:f>
              <c:numCache>
                <c:formatCode>#,##0</c:formatCode>
                <c:ptCount val="14"/>
                <c:pt idx="0">
                  <c:v>30947</c:v>
                </c:pt>
                <c:pt idx="1">
                  <c:v>33271</c:v>
                </c:pt>
                <c:pt idx="2">
                  <c:v>33271</c:v>
                </c:pt>
                <c:pt idx="3">
                  <c:v>34680</c:v>
                </c:pt>
                <c:pt idx="4">
                  <c:v>34514</c:v>
                </c:pt>
                <c:pt idx="5">
                  <c:v>34804</c:v>
                </c:pt>
                <c:pt idx="6">
                  <c:v>34664</c:v>
                </c:pt>
                <c:pt idx="7">
                  <c:v>34671</c:v>
                </c:pt>
                <c:pt idx="8">
                  <c:v>33906</c:v>
                </c:pt>
                <c:pt idx="9">
                  <c:v>32763</c:v>
                </c:pt>
                <c:pt idx="10">
                  <c:v>31570</c:v>
                </c:pt>
                <c:pt idx="11">
                  <c:v>31115</c:v>
                </c:pt>
                <c:pt idx="12">
                  <c:v>31163</c:v>
                </c:pt>
                <c:pt idx="13" formatCode="#,##0.0">
                  <c:v>31584</c:v>
                </c:pt>
              </c:numCache>
            </c:numRef>
          </c:val>
        </c:ser>
        <c:marker val="1"/>
        <c:axId val="104572800"/>
        <c:axId val="104570880"/>
      </c:lineChart>
      <c:catAx>
        <c:axId val="104558976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04560512"/>
        <c:crosses val="autoZero"/>
        <c:auto val="1"/>
        <c:lblAlgn val="ctr"/>
        <c:lblOffset val="100"/>
      </c:catAx>
      <c:valAx>
        <c:axId val="104560512"/>
        <c:scaling>
          <c:orientation val="minMax"/>
          <c:min val="164000"/>
        </c:scaling>
        <c:axPos val="l"/>
        <c:majorGridlines>
          <c:spPr>
            <a:ln>
              <a:solidFill>
                <a:schemeClr val="bg1">
                  <a:lumMod val="85000"/>
                </a:schemeClr>
              </a:solidFill>
              <a:prstDash val="sysDot"/>
            </a:ln>
          </c:spPr>
        </c:majorGridlines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04558976"/>
        <c:crosses val="autoZero"/>
        <c:crossBetween val="between"/>
        <c:dispUnits>
          <c:builtInUnit val="thousands"/>
        </c:dispUnits>
      </c:valAx>
      <c:valAx>
        <c:axId val="104570880"/>
        <c:scaling>
          <c:orientation val="maxMin"/>
          <c:max val="35000"/>
          <c:min val="27000"/>
        </c:scaling>
        <c:axPos val="r"/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04572800"/>
        <c:crosses val="max"/>
        <c:crossBetween val="between"/>
        <c:dispUnits>
          <c:builtInUnit val="thousands"/>
        </c:dispUnits>
      </c:valAx>
      <c:catAx>
        <c:axId val="104572800"/>
        <c:scaling>
          <c:orientation val="minMax"/>
        </c:scaling>
        <c:delete val="1"/>
        <c:axPos val="t"/>
        <c:tickLblPos val="none"/>
        <c:crossAx val="104570880"/>
        <c:crosses val="autoZero"/>
        <c:auto val="1"/>
        <c:lblAlgn val="ctr"/>
        <c:lblOffset val="100"/>
      </c:catAx>
    </c:plotArea>
    <c:plotVisOnly val="1"/>
  </c:chart>
  <c:spPr>
    <a:ln>
      <a:noFill/>
    </a:ln>
  </c:spPr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7523858338251178"/>
          <c:y val="9.7212576461415109E-2"/>
          <c:w val="0.64460499846746322"/>
          <c:h val="0.61716371948033466"/>
        </c:manualLayout>
      </c:layout>
      <c:barChart>
        <c:barDir val="col"/>
        <c:grouping val="clustered"/>
        <c:ser>
          <c:idx val="2"/>
          <c:order val="2"/>
          <c:tx>
            <c:strRef>
              <c:f>'Fiskalni indikatori (4)'!$BH$30</c:f>
              <c:strCache>
                <c:ptCount val="1"/>
                <c:pt idx="0">
                  <c:v>Suficit/Deficit</c:v>
                </c:pt>
              </c:strCache>
            </c:strRef>
          </c:tx>
          <c:spPr>
            <a:solidFill>
              <a:srgbClr val="EEECE1"/>
            </a:solidFill>
            <a:ln>
              <a:solidFill>
                <a:srgbClr val="C00000"/>
              </a:solidFill>
            </a:ln>
          </c:spPr>
          <c:cat>
            <c:strRef>
              <c:f>'\Users\stanko.jeknic\Desktop\MMI 8\[mmi 2014-08-1.xlsx]Fiskalni indikatori (3)'!$CD$6:$CN$6</c:f>
              <c:strCache>
                <c:ptCount val="11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I</c:v>
                </c:pt>
              </c:strCache>
            </c:strRef>
          </c:cat>
          <c:val>
            <c:numRef>
              <c:f>'Fiskalni indikatori (4)'!$CO$20:$DA$20</c:f>
              <c:numCache>
                <c:formatCode>0.00,,</c:formatCode>
                <c:ptCount val="13"/>
                <c:pt idx="0">
                  <c:v>-2160139.0499999523</c:v>
                </c:pt>
                <c:pt idx="1">
                  <c:v>19917616.98000003</c:v>
                </c:pt>
                <c:pt idx="2">
                  <c:v>-4788039.1099999994</c:v>
                </c:pt>
                <c:pt idx="3">
                  <c:v>-6536324.8500000192</c:v>
                </c:pt>
                <c:pt idx="4">
                  <c:v>-23539863.519999981</c:v>
                </c:pt>
                <c:pt idx="5">
                  <c:v>-6798027.0200000107</c:v>
                </c:pt>
                <c:pt idx="6">
                  <c:v>-15172464.799999958</c:v>
                </c:pt>
                <c:pt idx="7">
                  <c:v>-13241359.070000026</c:v>
                </c:pt>
                <c:pt idx="8">
                  <c:v>418044.01999998093</c:v>
                </c:pt>
                <c:pt idx="9">
                  <c:v>4073927.8599999547</c:v>
                </c:pt>
                <c:pt idx="10">
                  <c:v>13455550.149999971</c:v>
                </c:pt>
                <c:pt idx="11">
                  <c:v>18685128.389999986</c:v>
                </c:pt>
                <c:pt idx="12">
                  <c:v>-2955282.5300000007</c:v>
                </c:pt>
              </c:numCache>
            </c:numRef>
          </c:val>
        </c:ser>
        <c:axId val="104632704"/>
        <c:axId val="104626816"/>
      </c:barChart>
      <c:lineChart>
        <c:grouping val="standard"/>
        <c:ser>
          <c:idx val="0"/>
          <c:order val="0"/>
          <c:tx>
            <c:strRef>
              <c:f>'Fiskalni indikatori (4)'!$BH$29</c:f>
              <c:strCache>
                <c:ptCount val="1"/>
                <c:pt idx="0">
                  <c:v>Izdaci budžeta</c:v>
                </c:pt>
              </c:strCache>
            </c:strRef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marker>
            <c:symbol val="circle"/>
            <c:size val="4"/>
            <c:spPr>
              <a:solidFill>
                <a:schemeClr val="bg2"/>
              </a:solidFill>
              <a:ln cap="flat">
                <a:solidFill>
                  <a:sysClr val="windowText" lastClr="000000"/>
                </a:solidFill>
                <a:round/>
              </a:ln>
            </c:spPr>
          </c:marker>
          <c:cat>
            <c:strRef>
              <c:f>'Fiskalni indikatori (4)'!$CO$6:$DA$6</c:f>
              <c:strCache>
                <c:ptCount val="13"/>
                <c:pt idx="0">
                  <c:v>IX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I</c:v>
                </c:pt>
                <c:pt idx="5">
                  <c:v>II</c:v>
                </c:pt>
                <c:pt idx="6">
                  <c:v>III</c:v>
                </c:pt>
                <c:pt idx="7">
                  <c:v>IV</c:v>
                </c:pt>
                <c:pt idx="8">
                  <c:v>V</c:v>
                </c:pt>
                <c:pt idx="9">
                  <c:v>VI</c:v>
                </c:pt>
                <c:pt idx="10">
                  <c:v>VII</c:v>
                </c:pt>
                <c:pt idx="11">
                  <c:v>VIII</c:v>
                </c:pt>
                <c:pt idx="12">
                  <c:v>IX</c:v>
                </c:pt>
              </c:strCache>
            </c:strRef>
          </c:cat>
          <c:val>
            <c:numRef>
              <c:f>'Fiskalni indikatori (4)'!$CO$13:$DA$13</c:f>
              <c:numCache>
                <c:formatCode>0.00,,</c:formatCode>
                <c:ptCount val="13"/>
                <c:pt idx="0">
                  <c:v>119294969.16</c:v>
                </c:pt>
                <c:pt idx="1">
                  <c:v>98844023.269999966</c:v>
                </c:pt>
                <c:pt idx="2">
                  <c:v>101306208.56</c:v>
                </c:pt>
                <c:pt idx="3">
                  <c:v>151656327.43000001</c:v>
                </c:pt>
                <c:pt idx="4">
                  <c:v>94321896.899999976</c:v>
                </c:pt>
                <c:pt idx="5">
                  <c:v>88931362.890000001</c:v>
                </c:pt>
                <c:pt idx="6">
                  <c:v>115880628.72999999</c:v>
                </c:pt>
                <c:pt idx="7">
                  <c:v>122325744.22000001</c:v>
                </c:pt>
                <c:pt idx="8">
                  <c:v>101779654.76000002</c:v>
                </c:pt>
                <c:pt idx="9">
                  <c:v>105767679.32000004</c:v>
                </c:pt>
                <c:pt idx="10">
                  <c:v>107264685.88000001</c:v>
                </c:pt>
                <c:pt idx="11">
                  <c:v>107871168.94000009</c:v>
                </c:pt>
                <c:pt idx="12">
                  <c:v>120857307.61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'Fiskalni indikatori (4)'!$BH$28</c:f>
              <c:strCache>
                <c:ptCount val="1"/>
                <c:pt idx="0">
                  <c:v>Izvorni prihodi</c:v>
                </c:pt>
              </c:strCache>
            </c:strRef>
          </c:tx>
          <c:spPr>
            <a:ln>
              <a:solidFill>
                <a:srgbClr val="C00000"/>
              </a:solidFill>
            </a:ln>
          </c:spPr>
          <c:marker>
            <c:symbol val="none"/>
          </c:marker>
          <c:cat>
            <c:strRef>
              <c:f>'Fiskalni indikatori (4)'!$CO$6:$DA$6</c:f>
              <c:strCache>
                <c:ptCount val="13"/>
                <c:pt idx="0">
                  <c:v>IX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I</c:v>
                </c:pt>
                <c:pt idx="5">
                  <c:v>II</c:v>
                </c:pt>
                <c:pt idx="6">
                  <c:v>III</c:v>
                </c:pt>
                <c:pt idx="7">
                  <c:v>IV</c:v>
                </c:pt>
                <c:pt idx="8">
                  <c:v>V</c:v>
                </c:pt>
                <c:pt idx="9">
                  <c:v>VI</c:v>
                </c:pt>
                <c:pt idx="10">
                  <c:v>VII</c:v>
                </c:pt>
                <c:pt idx="11">
                  <c:v>VIII</c:v>
                </c:pt>
                <c:pt idx="12">
                  <c:v>IX</c:v>
                </c:pt>
              </c:strCache>
            </c:strRef>
          </c:cat>
          <c:val>
            <c:numRef>
              <c:f>'Fiskalni indikatori (4)'!$CO$7:$DA$7</c:f>
              <c:numCache>
                <c:formatCode>0.00,,</c:formatCode>
                <c:ptCount val="13"/>
                <c:pt idx="0">
                  <c:v>117134830.11000004</c:v>
                </c:pt>
                <c:pt idx="1">
                  <c:v>118761640.25000001</c:v>
                </c:pt>
                <c:pt idx="2">
                  <c:v>96518169.450000003</c:v>
                </c:pt>
                <c:pt idx="3">
                  <c:v>145120002.57999998</c:v>
                </c:pt>
                <c:pt idx="4">
                  <c:v>70782033.379999921</c:v>
                </c:pt>
                <c:pt idx="5">
                  <c:v>82133335.86999999</c:v>
                </c:pt>
                <c:pt idx="6">
                  <c:v>100708163.93000002</c:v>
                </c:pt>
                <c:pt idx="7">
                  <c:v>109084385.14999999</c:v>
                </c:pt>
                <c:pt idx="8">
                  <c:v>102197698.78</c:v>
                </c:pt>
                <c:pt idx="9">
                  <c:v>109841607.17999992</c:v>
                </c:pt>
                <c:pt idx="10">
                  <c:v>120720236.02999999</c:v>
                </c:pt>
                <c:pt idx="11">
                  <c:v>126556297.33</c:v>
                </c:pt>
                <c:pt idx="12">
                  <c:v>117902025.08</c:v>
                </c:pt>
              </c:numCache>
            </c:numRef>
          </c:val>
          <c:smooth val="1"/>
        </c:ser>
        <c:marker val="1"/>
        <c:axId val="104619392"/>
        <c:axId val="104625280"/>
      </c:lineChart>
      <c:dateAx>
        <c:axId val="104619392"/>
        <c:scaling>
          <c:orientation val="minMax"/>
        </c:scaling>
        <c:axPos val="b"/>
        <c:numFmt formatCode="#,##0.00" sourceLinked="0"/>
        <c:tickLblPos val="nextTo"/>
        <c:txPr>
          <a:bodyPr/>
          <a:lstStyle/>
          <a:p>
            <a:pPr>
              <a:defRPr lang="sr-Latn-CS" sz="650" baseline="0"/>
            </a:pPr>
            <a:endParaRPr lang="en-US"/>
          </a:p>
        </c:txPr>
        <c:crossAx val="104625280"/>
        <c:crosses val="autoZero"/>
        <c:lblOffset val="100"/>
        <c:baseTimeUnit val="days"/>
      </c:dateAx>
      <c:valAx>
        <c:axId val="104625280"/>
        <c:scaling>
          <c:orientation val="minMax"/>
        </c:scaling>
        <c:axPos val="l"/>
        <c:numFmt formatCode="0.0,," sourceLinked="0"/>
        <c:tickLblPos val="nextTo"/>
        <c:txPr>
          <a:bodyPr/>
          <a:lstStyle/>
          <a:p>
            <a:pPr>
              <a:defRPr lang="sr-Latn-CS"/>
            </a:pPr>
            <a:endParaRPr lang="en-US"/>
          </a:p>
        </c:txPr>
        <c:crossAx val="104619392"/>
        <c:crosses val="autoZero"/>
        <c:crossBetween val="between"/>
      </c:valAx>
      <c:valAx>
        <c:axId val="104626816"/>
        <c:scaling>
          <c:orientation val="minMax"/>
          <c:max val="130000000"/>
          <c:min val="-50000000"/>
        </c:scaling>
        <c:axPos val="r"/>
        <c:numFmt formatCode="0.0,," sourceLinked="0"/>
        <c:tickLblPos val="nextTo"/>
        <c:txPr>
          <a:bodyPr/>
          <a:lstStyle/>
          <a:p>
            <a:pPr>
              <a:defRPr lang="sr-Latn-CS"/>
            </a:pPr>
            <a:endParaRPr lang="en-US"/>
          </a:p>
        </c:txPr>
        <c:crossAx val="104632704"/>
        <c:crosses val="max"/>
        <c:crossBetween val="between"/>
        <c:majorUnit val="20000000"/>
      </c:valAx>
      <c:catAx>
        <c:axId val="104632704"/>
        <c:scaling>
          <c:orientation val="minMax"/>
        </c:scaling>
        <c:delete val="1"/>
        <c:axPos val="b"/>
        <c:numFmt formatCode="General" sourceLinked="1"/>
        <c:tickLblPos val="none"/>
        <c:crossAx val="104626816"/>
        <c:crosses val="autoZero"/>
        <c:auto val="1"/>
        <c:lblAlgn val="ctr"/>
        <c:lblOffset val="100"/>
      </c:catAx>
      <c:spPr>
        <a:ln>
          <a:gradFill>
            <a:gsLst>
              <a:gs pos="0">
                <a:srgbClr val="4F81BD">
                  <a:tint val="66000"/>
                  <a:satMod val="160000"/>
                  <a:alpha val="54000"/>
                </a:srgbClr>
              </a:gs>
              <a:gs pos="50000">
                <a:srgbClr val="4F81BD">
                  <a:tint val="44500"/>
                  <a:satMod val="160000"/>
                </a:srgbClr>
              </a:gs>
              <a:gs pos="100000">
                <a:srgbClr val="4F81BD">
                  <a:tint val="23500"/>
                  <a:satMod val="160000"/>
                </a:srgbClr>
              </a:gs>
            </a:gsLst>
            <a:lin ang="5400000" scaled="0"/>
          </a:gradFill>
          <a:prstDash val="sysDot"/>
        </a:ln>
      </c:spPr>
    </c:plotArea>
    <c:legend>
      <c:legendPos val="b"/>
      <c:txPr>
        <a:bodyPr/>
        <a:lstStyle/>
        <a:p>
          <a:pPr>
            <a:defRPr lang="sr-Latn-CS"/>
          </a:pPr>
          <a:endParaRPr lang="en-US"/>
        </a:p>
      </c:txPr>
    </c:legend>
    <c:plotVisOnly val="1"/>
    <c:dispBlanksAs val="gap"/>
  </c:chart>
  <c:spPr>
    <a:ln w="6350">
      <a:noFill/>
      <a:prstDash val="sysDot"/>
    </a:ln>
  </c:spPr>
  <c:txPr>
    <a:bodyPr/>
    <a:lstStyle/>
    <a:p>
      <a:pPr>
        <a:defRPr sz="700" baseline="0"/>
      </a:pPr>
      <a:endParaRPr lang="en-US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en-US" sz="900"/>
            </a:pPr>
            <a:r>
              <a:rPr lang="x-none" sz="900"/>
              <a:t> Kretanje koeficijenta krediti/depoziti</a:t>
            </a:r>
            <a:endParaRPr lang="en-US" sz="900"/>
          </a:p>
        </c:rich>
      </c:tx>
      <c:layout>
        <c:manualLayout>
          <c:xMode val="edge"/>
          <c:yMode val="edge"/>
          <c:x val="0.11461556155710259"/>
          <c:y val="3.3472803347280332E-2"/>
        </c:manualLayout>
      </c:layout>
    </c:title>
    <c:plotArea>
      <c:layout/>
      <c:lineChart>
        <c:grouping val="standard"/>
        <c:ser>
          <c:idx val="0"/>
          <c:order val="0"/>
          <c:tx>
            <c:v>koef.kred/depoziti</c:v>
          </c:tx>
          <c:marker>
            <c:symbol val="none"/>
          </c:marker>
          <c:cat>
            <c:strRef>
              <c:f>'Pokazatelji likvidnosti'!$AW$3:$BI$3</c:f>
              <c:strCache>
                <c:ptCount val="13"/>
                <c:pt idx="0">
                  <c:v>IX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I</c:v>
                </c:pt>
                <c:pt idx="5">
                  <c:v>II</c:v>
                </c:pt>
                <c:pt idx="6">
                  <c:v>III</c:v>
                </c:pt>
                <c:pt idx="7">
                  <c:v>IV</c:v>
                </c:pt>
                <c:pt idx="8">
                  <c:v>V</c:v>
                </c:pt>
                <c:pt idx="9">
                  <c:v>VI</c:v>
                </c:pt>
                <c:pt idx="10">
                  <c:v>VII</c:v>
                </c:pt>
                <c:pt idx="11">
                  <c:v>VIII</c:v>
                </c:pt>
                <c:pt idx="12">
                  <c:v>IX</c:v>
                </c:pt>
              </c:strCache>
            </c:strRef>
          </c:cat>
          <c:val>
            <c:numRef>
              <c:f>'Pokazatelji likvidnosti'!$AW$8:$BI$8</c:f>
              <c:numCache>
                <c:formatCode>0.00</c:formatCode>
                <c:ptCount val="13"/>
                <c:pt idx="0">
                  <c:v>1.1671830913968322</c:v>
                </c:pt>
                <c:pt idx="1">
                  <c:v>1.1759568461086269</c:v>
                </c:pt>
                <c:pt idx="2">
                  <c:v>1.1817415281694092</c:v>
                </c:pt>
                <c:pt idx="3">
                  <c:v>1.1507719868961501</c:v>
                </c:pt>
                <c:pt idx="4">
                  <c:v>1.1483929923027505</c:v>
                </c:pt>
                <c:pt idx="5">
                  <c:v>1.1490869711270011</c:v>
                </c:pt>
                <c:pt idx="6">
                  <c:v>1.1429139660110783</c:v>
                </c:pt>
                <c:pt idx="7">
                  <c:v>1.1392609664490529</c:v>
                </c:pt>
                <c:pt idx="8">
                  <c:v>1.127126760683288</c:v>
                </c:pt>
                <c:pt idx="9">
                  <c:v>1.1070480659433941</c:v>
                </c:pt>
                <c:pt idx="10">
                  <c:v>1.1000000000000001</c:v>
                </c:pt>
                <c:pt idx="11">
                  <c:v>1.0880753494412965</c:v>
                </c:pt>
                <c:pt idx="12">
                  <c:v>1.0772723124154733</c:v>
                </c:pt>
              </c:numCache>
            </c:numRef>
          </c:val>
        </c:ser>
        <c:marker val="1"/>
        <c:axId val="104639872"/>
        <c:axId val="104596608"/>
      </c:lineChart>
      <c:catAx>
        <c:axId val="104639872"/>
        <c:scaling>
          <c:orientation val="minMax"/>
        </c:scaling>
        <c:axPos val="b"/>
        <c:tickLblPos val="nextTo"/>
        <c:txPr>
          <a:bodyPr/>
          <a:lstStyle/>
          <a:p>
            <a:pPr>
              <a:defRPr lang="en-US" sz="800"/>
            </a:pPr>
            <a:endParaRPr lang="en-US"/>
          </a:p>
        </c:txPr>
        <c:crossAx val="104596608"/>
        <c:crosses val="autoZero"/>
        <c:auto val="1"/>
        <c:lblAlgn val="ctr"/>
        <c:lblOffset val="100"/>
      </c:catAx>
      <c:valAx>
        <c:axId val="104596608"/>
        <c:scaling>
          <c:orientation val="minMax"/>
          <c:min val="1.07"/>
        </c:scaling>
        <c:axPos val="l"/>
        <c:majorGridlines>
          <c:spPr>
            <a:ln>
              <a:solidFill>
                <a:schemeClr val="accent5">
                  <a:lumMod val="40000"/>
                  <a:lumOff val="60000"/>
                </a:schemeClr>
              </a:solidFill>
              <a:prstDash val="sysDot"/>
            </a:ln>
          </c:spPr>
        </c:majorGridlines>
        <c:numFmt formatCode="0.00" sourceLinked="1"/>
        <c:tickLblPos val="nextTo"/>
        <c:txPr>
          <a:bodyPr/>
          <a:lstStyle/>
          <a:p>
            <a:pPr>
              <a:defRPr lang="en-US" sz="800"/>
            </a:pPr>
            <a:endParaRPr lang="en-US"/>
          </a:p>
        </c:txPr>
        <c:crossAx val="104639872"/>
        <c:crosses val="autoZero"/>
        <c:crossBetween val="between"/>
      </c:valAx>
    </c:plotArea>
    <c:plotVisOnly val="1"/>
  </c:chart>
  <c:spPr>
    <a:ln>
      <a:noFill/>
    </a:ln>
  </c:spPr>
  <c:txPr>
    <a:bodyPr/>
    <a:lstStyle/>
    <a:p>
      <a:pPr>
        <a:defRPr sz="800"/>
      </a:pPr>
      <a:endParaRPr lang="en-US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/>
            </a:pPr>
            <a:r>
              <a:rPr lang="sr-Latn-CS" sz="800"/>
              <a:t>Spoljnotrgovinska razmjena</a:t>
            </a:r>
            <a:r>
              <a:rPr lang="en-US" sz="800"/>
              <a:t> Crne Gore</a:t>
            </a:r>
            <a:r>
              <a:rPr lang="sr-Latn-CS" sz="800"/>
              <a:t>  </a:t>
            </a:r>
            <a:r>
              <a:rPr lang="en-US" sz="800"/>
              <a:t>u prva tri</a:t>
            </a:r>
            <a:r>
              <a:rPr lang="sr-Latn-CS" sz="800"/>
              <a:t> </a:t>
            </a:r>
            <a:r>
              <a:rPr lang="en-US" sz="800"/>
              <a:t>kvartala 2014 </a:t>
            </a:r>
            <a:r>
              <a:rPr lang="sr-Latn-CS" sz="800"/>
              <a:t>(mil.€)</a:t>
            </a:r>
            <a:endParaRPr lang="en-US" sz="80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'Makroekonomski indikatori'!$BC$95</c:f>
              <c:strCache>
                <c:ptCount val="1"/>
                <c:pt idx="0">
                  <c:v>Izvoz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dLbls>
            <c:dLbl>
              <c:idx val="0"/>
              <c:layout>
                <c:manualLayout>
                  <c:x val="-1.1142305667661204E-2"/>
                  <c:y val="6.3038651628060114E-3"/>
                </c:manualLayout>
              </c:layout>
              <c:showVal val="1"/>
            </c:dLbl>
            <c:dLbl>
              <c:idx val="1"/>
              <c:layout>
                <c:manualLayout>
                  <c:x val="-2.228461133532195E-2"/>
                  <c:y val="6.3038651628060114E-3"/>
                </c:manualLayout>
              </c:layout>
              <c:showVal val="1"/>
            </c:dLbl>
            <c:dLbl>
              <c:idx val="2"/>
              <c:layout>
                <c:manualLayout>
                  <c:x val="-2.2284611335321992E-2"/>
                  <c:y val="1.2607730325612135E-2"/>
                </c:manualLayout>
              </c:layout>
              <c:showVal val="1"/>
            </c:dLbl>
            <c:numFmt formatCode="#,##0.0" sourceLinked="0"/>
            <c:txPr>
              <a:bodyPr/>
              <a:lstStyle/>
              <a:p>
                <a:pPr>
                  <a:defRPr lang="x-none" sz="800"/>
                </a:pPr>
                <a:endParaRPr lang="en-US"/>
              </a:p>
            </c:txPr>
            <c:showVal val="1"/>
          </c:dLbls>
          <c:cat>
            <c:strRef>
              <c:f>'Makroekonomski indikatori'!$BD$94:$BG$94</c:f>
              <c:strCache>
                <c:ptCount val="3"/>
                <c:pt idx="0">
                  <c:v>Q1 </c:v>
                </c:pt>
                <c:pt idx="1">
                  <c:v>Q2 </c:v>
                </c:pt>
                <c:pt idx="2">
                  <c:v>Q3  </c:v>
                </c:pt>
              </c:strCache>
            </c:strRef>
          </c:cat>
          <c:val>
            <c:numRef>
              <c:f>'Makroekonomski indikatori'!$BD$95:$BF$95</c:f>
              <c:numCache>
                <c:formatCode>#,##0.00</c:formatCode>
                <c:ptCount val="3"/>
                <c:pt idx="0">
                  <c:v>69.438999999999993</c:v>
                </c:pt>
                <c:pt idx="1">
                  <c:v>77.087999999999994</c:v>
                </c:pt>
                <c:pt idx="2">
                  <c:v>94.751999999999995</c:v>
                </c:pt>
              </c:numCache>
            </c:numRef>
          </c:val>
        </c:ser>
        <c:ser>
          <c:idx val="1"/>
          <c:order val="1"/>
          <c:tx>
            <c:strRef>
              <c:f>'Makroekonomski indikatori'!$BC$96</c:f>
              <c:strCache>
                <c:ptCount val="1"/>
                <c:pt idx="0">
                  <c:v>Uvoz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>
              <a:solidFill>
                <a:schemeClr val="tx1">
                  <a:lumMod val="50000"/>
                  <a:lumOff val="50000"/>
                </a:schemeClr>
              </a:solidFill>
            </a:ln>
          </c:spPr>
          <c:dLbls>
            <c:numFmt formatCode="#,##0.0" sourceLinked="0"/>
            <c:txPr>
              <a:bodyPr/>
              <a:lstStyle/>
              <a:p>
                <a:pPr>
                  <a:defRPr lang="x-none" sz="800"/>
                </a:pPr>
                <a:endParaRPr lang="en-US"/>
              </a:p>
            </c:txPr>
            <c:showVal val="1"/>
          </c:dLbls>
          <c:cat>
            <c:strRef>
              <c:f>'Makroekonomski indikatori'!$BD$94:$BG$94</c:f>
              <c:strCache>
                <c:ptCount val="3"/>
                <c:pt idx="0">
                  <c:v>Q1 </c:v>
                </c:pt>
                <c:pt idx="1">
                  <c:v>Q2 </c:v>
                </c:pt>
                <c:pt idx="2">
                  <c:v>Q3  </c:v>
                </c:pt>
              </c:strCache>
            </c:strRef>
          </c:cat>
          <c:val>
            <c:numRef>
              <c:f>'Makroekonomski indikatori'!$BD$96:$BF$96</c:f>
              <c:numCache>
                <c:formatCode>#,##0.00</c:formatCode>
                <c:ptCount val="3"/>
                <c:pt idx="0">
                  <c:v>340.60199999999969</c:v>
                </c:pt>
                <c:pt idx="1">
                  <c:v>487.524</c:v>
                </c:pt>
                <c:pt idx="2">
                  <c:v>505.06099999999969</c:v>
                </c:pt>
              </c:numCache>
            </c:numRef>
          </c:val>
        </c:ser>
        <c:ser>
          <c:idx val="2"/>
          <c:order val="2"/>
          <c:tx>
            <c:strRef>
              <c:f>'Makroekonomski indikatori'!$BC$98</c:f>
              <c:strCache>
                <c:ptCount val="1"/>
                <c:pt idx="0">
                  <c:v>Trgovinski bilans</c:v>
                </c:pt>
              </c:strCache>
            </c:strRef>
          </c:tx>
          <c:dLbls>
            <c:numFmt formatCode="#,##0.0" sourceLinked="0"/>
            <c:txPr>
              <a:bodyPr/>
              <a:lstStyle/>
              <a:p>
                <a:pPr>
                  <a:defRPr lang="x-none" sz="800"/>
                </a:pPr>
                <a:endParaRPr lang="en-US"/>
              </a:p>
            </c:txPr>
            <c:showVal val="1"/>
          </c:dLbls>
          <c:cat>
            <c:strRef>
              <c:f>'Makroekonomski indikatori'!$BD$94:$BG$94</c:f>
              <c:strCache>
                <c:ptCount val="3"/>
                <c:pt idx="0">
                  <c:v>Q1 </c:v>
                </c:pt>
                <c:pt idx="1">
                  <c:v>Q2 </c:v>
                </c:pt>
                <c:pt idx="2">
                  <c:v>Q3  </c:v>
                </c:pt>
              </c:strCache>
            </c:strRef>
          </c:cat>
          <c:val>
            <c:numRef>
              <c:f>'Makroekonomski indikatori'!$BD$98:$BF$98</c:f>
              <c:numCache>
                <c:formatCode>#,##0.00</c:formatCode>
                <c:ptCount val="3"/>
                <c:pt idx="0">
                  <c:v>-271.16300000000001</c:v>
                </c:pt>
                <c:pt idx="1">
                  <c:v>-410.43599999999623</c:v>
                </c:pt>
                <c:pt idx="2">
                  <c:v>-410.30899999999963</c:v>
                </c:pt>
              </c:numCache>
            </c:numRef>
          </c:val>
        </c:ser>
        <c:dLbls>
          <c:showVal val="1"/>
        </c:dLbls>
        <c:gapWidth val="75"/>
        <c:axId val="104659968"/>
        <c:axId val="104801024"/>
      </c:barChart>
      <c:catAx>
        <c:axId val="104659968"/>
        <c:scaling>
          <c:orientation val="minMax"/>
        </c:scaling>
        <c:axPos val="b"/>
        <c:numFmt formatCode="@" sourceLinked="1"/>
        <c:majorTickMark val="none"/>
        <c:tickLblPos val="nextTo"/>
        <c:txPr>
          <a:bodyPr/>
          <a:lstStyle/>
          <a:p>
            <a:pPr>
              <a:defRPr lang="en-US" sz="800" b="1"/>
            </a:pPr>
            <a:endParaRPr lang="en-US"/>
          </a:p>
        </c:txPr>
        <c:crossAx val="104801024"/>
        <c:crosses val="autoZero"/>
        <c:lblAlgn val="ctr"/>
        <c:lblOffset val="100"/>
      </c:catAx>
      <c:valAx>
        <c:axId val="104801024"/>
        <c:scaling>
          <c:orientation val="minMax"/>
        </c:scaling>
        <c:axPos val="l"/>
        <c:numFmt formatCode="0.0" sourceLinked="0"/>
        <c:majorTickMark val="none"/>
        <c:tickLblPos val="nextTo"/>
        <c:txPr>
          <a:bodyPr/>
          <a:lstStyle/>
          <a:p>
            <a:pPr>
              <a:defRPr lang="x-none" sz="600"/>
            </a:pPr>
            <a:endParaRPr lang="en-US"/>
          </a:p>
        </c:txPr>
        <c:crossAx val="104659968"/>
        <c:crosses val="autoZero"/>
        <c:crossBetween val="between"/>
      </c:valAx>
    </c:plotArea>
    <c:legend>
      <c:legendPos val="b"/>
      <c:txPr>
        <a:bodyPr/>
        <a:lstStyle/>
        <a:p>
          <a:pPr>
            <a:defRPr lang="x-none" sz="800"/>
          </a:pPr>
          <a:endParaRPr lang="en-US"/>
        </a:p>
      </c:txPr>
    </c:legend>
    <c:dispBlanksAs val="gap"/>
  </c:chart>
  <c:spPr>
    <a:ln>
      <a:noFill/>
    </a:ln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0.11265</cdr:x>
      <cdr:y>0.15167</cdr:y>
    </cdr:from>
    <cdr:to>
      <cdr:x>0.44444</cdr:x>
      <cdr:y>0.23136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515056" y="416278"/>
          <a:ext cx="1516945" cy="2187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sr-Latn-CS" sz="1100"/>
        </a:p>
      </cdr:txBody>
    </cdr:sp>
  </cdr:relSizeAnchor>
  <cdr:relSizeAnchor xmlns:cdr="http://schemas.openxmlformats.org/drawingml/2006/chartDrawing">
    <cdr:from>
      <cdr:x>0.23372</cdr:x>
      <cdr:y>0.05832</cdr:y>
    </cdr:from>
    <cdr:to>
      <cdr:x>0.43372</cdr:x>
      <cdr:y>0.15807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464132" y="107545"/>
          <a:ext cx="397170" cy="18394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sr-Latn-CS" sz="800"/>
            <a:t>broj</a:t>
          </a:r>
          <a:r>
            <a:rPr lang="sr-Latn-CS" sz="800" baseline="0"/>
            <a:t> zaposlenih</a:t>
          </a:r>
          <a:endParaRPr lang="sr-Latn-CS" sz="800"/>
        </a:p>
      </cdr:txBody>
    </cdr:sp>
  </cdr:relSizeAnchor>
  <cdr:relSizeAnchor xmlns:cdr="http://schemas.openxmlformats.org/drawingml/2006/chartDrawing">
    <cdr:from>
      <cdr:x>0.45165</cdr:x>
      <cdr:y>0.68932</cdr:y>
    </cdr:from>
    <cdr:to>
      <cdr:x>0.84023</cdr:x>
      <cdr:y>0.79474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1230923" y="1521069"/>
          <a:ext cx="1059057" cy="2326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sr-Latn-CS" sz="700"/>
            <a:t>broj</a:t>
          </a:r>
          <a:r>
            <a:rPr lang="sr-Latn-CS" sz="700" baseline="0"/>
            <a:t> nezaposlenih</a:t>
          </a:r>
          <a:endParaRPr lang="sr-Latn-CS" sz="700"/>
        </a:p>
      </cdr:txBody>
    </cdr:sp>
  </cdr:relSizeAnchor>
  <cdr:relSizeAnchor xmlns:cdr="http://schemas.openxmlformats.org/drawingml/2006/chartDrawing">
    <cdr:from>
      <cdr:x>0.09522</cdr:x>
      <cdr:y>0.88381</cdr:y>
    </cdr:from>
    <cdr:to>
      <cdr:x>0.75685</cdr:x>
      <cdr:y>0.97414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274320" y="2546252"/>
          <a:ext cx="1906172" cy="26025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endParaRPr lang="sr-Latn-CS" sz="900">
            <a:latin typeface="+mn-lt"/>
            <a:ea typeface="+mn-ea"/>
            <a:cs typeface="+mn-cs"/>
          </a:endParaRPr>
        </a:p>
        <a:p xmlns:a="http://schemas.openxmlformats.org/drawingml/2006/main">
          <a:endParaRPr lang="sr-Latn-CS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A7598F-AFFD-4FEC-B87D-9114DD9F3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2441</Words>
  <Characters>13920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16329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marija.goranovic</cp:lastModifiedBy>
  <cp:revision>3</cp:revision>
  <cp:lastPrinted>2014-10-07T07:42:00Z</cp:lastPrinted>
  <dcterms:created xsi:type="dcterms:W3CDTF">2014-11-28T07:33:00Z</dcterms:created>
  <dcterms:modified xsi:type="dcterms:W3CDTF">2014-11-28T07:33:00Z</dcterms:modified>
</cp:coreProperties>
</file>