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D3" w:rsidRDefault="00F275D3" w:rsidP="00F275D3">
      <w:pPr>
        <w:pStyle w:val="NormalWeb"/>
        <w:spacing w:before="0"/>
        <w:jc w:val="both"/>
        <w:rPr>
          <w:rFonts w:ascii="Arial" w:hAnsi="Arial" w:cs="Arial"/>
          <w:b/>
          <w:color w:val="000000"/>
          <w:lang w:val="hr-BA" w:eastAsia="hr-BA"/>
        </w:rPr>
      </w:pPr>
      <w:r>
        <w:rPr>
          <w:noProof/>
          <w:lang w:val="sr-Latn-RS" w:eastAsia="sr-Latn-RS"/>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260350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lang w:val="hr-BA" w:eastAsia="hr-BA"/>
        </w:rPr>
        <w:t xml:space="preserve"> </w:t>
      </w:r>
    </w:p>
    <w:p w:rsidR="00F275D3" w:rsidRDefault="00F275D3" w:rsidP="00F275D3">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rsidR="00F275D3" w:rsidRDefault="00F275D3" w:rsidP="00F275D3">
      <w:pPr>
        <w:jc w:val="center"/>
        <w:rPr>
          <w:rFonts w:ascii="Arial" w:hAnsi="Arial" w:cs="Arial"/>
          <w:b/>
          <w:sz w:val="24"/>
          <w:szCs w:val="24"/>
          <w:lang w:val="en-US"/>
        </w:rPr>
      </w:pPr>
    </w:p>
    <w:p w:rsidR="00F275D3" w:rsidRDefault="00F275D3" w:rsidP="00F275D3">
      <w:pPr>
        <w:jc w:val="center"/>
        <w:rPr>
          <w:rFonts w:ascii="Arial" w:hAnsi="Arial" w:cs="Arial"/>
          <w:b/>
          <w:sz w:val="24"/>
          <w:szCs w:val="24"/>
        </w:rPr>
      </w:pPr>
    </w:p>
    <w:p w:rsidR="00F275D3" w:rsidRDefault="00F275D3" w:rsidP="00F275D3">
      <w:pPr>
        <w:spacing w:after="0" w:line="240" w:lineRule="auto"/>
        <w:jc w:val="center"/>
        <w:rPr>
          <w:rFonts w:ascii="Arial" w:hAnsi="Arial" w:cs="Arial"/>
          <w:b/>
          <w:sz w:val="24"/>
          <w:szCs w:val="24"/>
        </w:rPr>
      </w:pPr>
      <w:r>
        <w:rPr>
          <w:rFonts w:ascii="Arial" w:hAnsi="Arial" w:cs="Arial"/>
          <w:b/>
          <w:sz w:val="24"/>
          <w:szCs w:val="24"/>
        </w:rPr>
        <w:t>CRNA GORA</w:t>
      </w:r>
    </w:p>
    <w:p w:rsidR="00F275D3" w:rsidRDefault="00F275D3" w:rsidP="00F275D3">
      <w:pPr>
        <w:spacing w:after="0" w:line="240" w:lineRule="auto"/>
        <w:jc w:val="center"/>
        <w:rPr>
          <w:rFonts w:ascii="Arial" w:hAnsi="Arial" w:cs="Arial"/>
          <w:b/>
          <w:sz w:val="24"/>
          <w:szCs w:val="24"/>
        </w:rPr>
      </w:pPr>
      <w:r>
        <w:rPr>
          <w:rFonts w:ascii="Arial" w:hAnsi="Arial" w:cs="Arial"/>
          <w:b/>
          <w:sz w:val="24"/>
          <w:szCs w:val="24"/>
        </w:rPr>
        <w:t>MINISTARSTVO PRAVDE</w:t>
      </w: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jc w:val="center"/>
        <w:rPr>
          <w:rFonts w:ascii="Arial" w:hAnsi="Arial" w:cs="Arial"/>
          <w:b/>
          <w:color w:val="000000"/>
          <w:lang w:val="hr-BA" w:eastAsia="hr-BA"/>
        </w:rPr>
      </w:pP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RADA NOTARA U OSTAVINSKIM PREDMETIMA</w:t>
      </w:r>
    </w:p>
    <w:p w:rsidR="00F275D3" w:rsidRDefault="00F275D3" w:rsidP="00F275D3">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I RASTEREĆENJA SUDOVA OD OVE VRSTE PREDMETA</w:t>
      </w:r>
    </w:p>
    <w:p w:rsidR="00F275D3" w:rsidRDefault="00F275D3" w:rsidP="00F275D3">
      <w:pPr>
        <w:pStyle w:val="NormalWeb"/>
        <w:spacing w:before="0" w:beforeAutospacing="0"/>
        <w:jc w:val="center"/>
        <w:rPr>
          <w:rFonts w:ascii="Arial" w:hAnsi="Arial" w:cs="Arial"/>
          <w:b/>
          <w:color w:val="000000"/>
          <w:lang w:val="hr-BA" w:eastAsia="hr-BA"/>
        </w:rPr>
      </w:pPr>
      <w:r>
        <w:rPr>
          <w:rFonts w:ascii="Arial" w:hAnsi="Arial" w:cs="Arial"/>
          <w:b/>
          <w:color w:val="000000"/>
          <w:lang w:val="hr-BA" w:eastAsia="hr-BA"/>
        </w:rPr>
        <w:t>(januar 2019 – decembar 2019)</w:t>
      </w:r>
    </w:p>
    <w:p w:rsidR="00F275D3" w:rsidRDefault="00F275D3" w:rsidP="00F275D3">
      <w:pPr>
        <w:jc w:val="center"/>
        <w:rPr>
          <w:rFonts w:ascii="Arial" w:hAnsi="Arial" w:cs="Arial"/>
          <w:b/>
          <w:sz w:val="24"/>
          <w:szCs w:val="24"/>
          <w:lang w:val="en-US"/>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jc w:val="center"/>
        <w:rPr>
          <w:rFonts w:ascii="Arial" w:hAnsi="Arial" w:cs="Arial"/>
          <w:b/>
          <w:sz w:val="24"/>
          <w:szCs w:val="24"/>
        </w:rPr>
      </w:pPr>
    </w:p>
    <w:p w:rsidR="00F275D3" w:rsidRDefault="00F275D3" w:rsidP="00F275D3">
      <w:pPr>
        <w:rPr>
          <w:rFonts w:ascii="Arial" w:hAnsi="Arial" w:cs="Arial"/>
          <w:b/>
          <w:sz w:val="24"/>
          <w:szCs w:val="24"/>
        </w:rPr>
      </w:pPr>
    </w:p>
    <w:p w:rsidR="00F275D3" w:rsidRDefault="00F275D3" w:rsidP="00F275D3">
      <w:pPr>
        <w:jc w:val="center"/>
        <w:rPr>
          <w:rFonts w:ascii="Arial" w:hAnsi="Arial" w:cs="Arial"/>
          <w:b/>
          <w:sz w:val="24"/>
          <w:szCs w:val="24"/>
        </w:rPr>
      </w:pPr>
      <w:r>
        <w:rPr>
          <w:rFonts w:ascii="Arial" w:hAnsi="Arial" w:cs="Arial"/>
          <w:b/>
          <w:sz w:val="24"/>
          <w:szCs w:val="24"/>
        </w:rPr>
        <w:t>Podgorica, 2020. godine</w:t>
      </w:r>
    </w:p>
    <w:p w:rsidR="00F275D3" w:rsidRDefault="00F275D3" w:rsidP="00F275D3">
      <w:pPr>
        <w:spacing w:after="0"/>
        <w:rPr>
          <w:rFonts w:ascii="Arial" w:hAnsi="Arial" w:cs="Arial"/>
          <w:b/>
          <w:sz w:val="24"/>
          <w:szCs w:val="24"/>
        </w:rPr>
        <w:sectPr w:rsidR="00F275D3">
          <w:footerReference w:type="default" r:id="rId8"/>
          <w:pgSz w:w="12240" w:h="15840"/>
          <w:pgMar w:top="1440" w:right="1440" w:bottom="1440" w:left="1440" w:header="720" w:footer="720" w:gutter="0"/>
          <w:cols w:space="720"/>
        </w:sectPr>
      </w:pPr>
    </w:p>
    <w:p w:rsidR="00F275D3" w:rsidRDefault="00F275D3" w:rsidP="00F275D3">
      <w:pPr>
        <w:spacing w:after="0" w:line="240" w:lineRule="auto"/>
        <w:jc w:val="center"/>
        <w:rPr>
          <w:rFonts w:ascii="Arial" w:hAnsi="Arial" w:cs="Arial"/>
          <w:b/>
          <w:sz w:val="24"/>
          <w:szCs w:val="24"/>
          <w:lang w:val="pt-BR"/>
        </w:rPr>
      </w:pPr>
      <w:r>
        <w:rPr>
          <w:rFonts w:ascii="Arial" w:hAnsi="Arial" w:cs="Arial"/>
          <w:b/>
          <w:sz w:val="24"/>
          <w:szCs w:val="24"/>
          <w:lang w:val="pt-BR"/>
        </w:rPr>
        <w:lastRenderedPageBreak/>
        <w:t>UVOD</w:t>
      </w:r>
    </w:p>
    <w:p w:rsidR="00F275D3" w:rsidRDefault="00F275D3" w:rsidP="00F275D3">
      <w:pPr>
        <w:spacing w:after="0" w:line="240" w:lineRule="auto"/>
        <w:jc w:val="center"/>
        <w:rPr>
          <w:rFonts w:ascii="Arial" w:hAnsi="Arial" w:cs="Arial"/>
          <w:b/>
          <w:i/>
          <w:sz w:val="24"/>
          <w:szCs w:val="24"/>
          <w:lang w:val="pt-BR"/>
        </w:rPr>
      </w:pPr>
    </w:p>
    <w:p w:rsidR="00F275D3" w:rsidRDefault="00F275D3" w:rsidP="00F275D3">
      <w:pPr>
        <w:spacing w:after="0" w:line="240" w:lineRule="auto"/>
        <w:ind w:firstLine="720"/>
        <w:jc w:val="both"/>
        <w:rPr>
          <w:rFonts w:ascii="Arial" w:hAnsi="Arial" w:cs="Arial"/>
          <w:sz w:val="24"/>
          <w:szCs w:val="24"/>
          <w:lang w:val="en-US"/>
        </w:rPr>
      </w:pPr>
      <w:r>
        <w:rPr>
          <w:rFonts w:ascii="Arial" w:hAnsi="Arial" w:cs="Arial"/>
          <w:sz w:val="24"/>
          <w:szCs w:val="24"/>
          <w:lang w:val="pt-BR"/>
        </w:rPr>
        <w:t>Programom rada Ministarstva pravde za III kvartal 2020. godine predviđena je izrada Analize rada notara u ostavinskim predmetima i rasterećenja sudova od ove vrste predmeta (januar 2019 – decembar 2019. godine). Izrada ove analize bila je ranije predviđena Srednjoročnim planom racionalizacije pravosudne mreže (2017-2019), pa je ocijenjeno neophodnim nastaviti njenu izradu i nakon isteka navedenog perioda kako bi se imao kontinuiran i cjelovit uvid u postupanje notara u povjerenim ostavinskim predmetima i uticaj prenošenja nadležnosti za sprovođenje ostavinskog postupka (postupak za raspravljanje zaostavštine) na rasterećenje sudova od ove vrste predmeta.</w:t>
      </w: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Predmet Analize je sagledavanje rada notara u ostavinskim predmetima</w:t>
      </w:r>
      <w:r>
        <w:rPr>
          <w:rFonts w:ascii="Arial" w:hAnsi="Arial" w:cs="Arial"/>
          <w:sz w:val="24"/>
          <w:szCs w:val="24"/>
          <w:lang w:val="pt-BR"/>
        </w:rPr>
        <w:t xml:space="preserve"> za period 01. januar  2019 - 31. decembar 2019. godine polazeći, prije svega, od broja primljenih, riješenih i neriješenih ostavinskih predmeta, te uključujući rasterećenje sudova od ove vrste predmeta, vršenje nadzora nad postupanjem notara u ostavinskim predmetima od strane suda i edukaciju notara na temu sprovođenja ostavinskog postupka. </w:t>
      </w: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Analiza se zasniva na podacima pribavljenim od Sudskog savjeta Crne Gore (u daljem tekstu: Sudski savjet), osnovnih sudova, Centra za obuku u sudstvu i državnom tužilaštvu i Notarske komore Crne Gore (u daljem tekstu: Notarska komora).</w:t>
      </w:r>
    </w:p>
    <w:p w:rsidR="00F275D3" w:rsidRDefault="00F275D3" w:rsidP="00F275D3">
      <w:pPr>
        <w:spacing w:after="0" w:line="240" w:lineRule="auto"/>
        <w:ind w:firstLine="720"/>
        <w:jc w:val="both"/>
        <w:rPr>
          <w:rFonts w:ascii="Arial" w:hAnsi="Arial" w:cs="Arial"/>
          <w:sz w:val="24"/>
          <w:szCs w:val="24"/>
          <w:lang w:val="sr-Latn-CS"/>
        </w:rPr>
      </w:pPr>
    </w:p>
    <w:p w:rsidR="00F275D3" w:rsidRDefault="00F275D3" w:rsidP="00F275D3">
      <w:pPr>
        <w:jc w:val="center"/>
        <w:rPr>
          <w:rFonts w:ascii="Arial" w:hAnsi="Arial" w:cs="Arial"/>
          <w:b/>
          <w:sz w:val="24"/>
          <w:szCs w:val="24"/>
          <w:lang w:val="sr-Latn-CS"/>
        </w:rPr>
      </w:pPr>
      <w:r>
        <w:rPr>
          <w:rFonts w:ascii="Arial" w:hAnsi="Arial" w:cs="Arial"/>
          <w:b/>
          <w:sz w:val="24"/>
          <w:szCs w:val="24"/>
          <w:lang w:val="sr-Latn-CS"/>
        </w:rPr>
        <w:t>I NORMATIVNA UREĐENOST</w:t>
      </w:r>
    </w:p>
    <w:p w:rsidR="00F275D3" w:rsidRDefault="00F275D3" w:rsidP="00F275D3">
      <w:pPr>
        <w:pStyle w:val="T30X"/>
        <w:ind w:firstLine="567"/>
        <w:rPr>
          <w:rFonts w:ascii="Arial" w:hAnsi="Arial" w:cs="Arial"/>
          <w:color w:val="auto"/>
          <w:sz w:val="24"/>
          <w:szCs w:val="24"/>
          <w:lang w:val="sr-Latn-CS"/>
        </w:rPr>
      </w:pPr>
      <w:r>
        <w:rPr>
          <w:rFonts w:ascii="Arial" w:hAnsi="Arial" w:cs="Arial"/>
          <w:color w:val="auto"/>
          <w:sz w:val="24"/>
          <w:szCs w:val="24"/>
          <w:lang w:val="sr-Latn-CS"/>
        </w:rPr>
        <w:t xml:space="preserve">Nadležnost notara za sprovođenje ostavinskog postupka propisana je Zakonom o notarima („Službeni list RCG“, broj 68/05, „Službeni list CG“, br. 49/08, 55/16 i 84/18), dok je sprovođenje ostavinskog postupka uređeno Zakonom o vanparničnom postupku </w:t>
      </w:r>
      <w:r>
        <w:rPr>
          <w:rFonts w:ascii="Arial" w:hAnsi="Arial" w:cs="Arial"/>
          <w:color w:val="auto"/>
          <w:sz w:val="24"/>
          <w:szCs w:val="24"/>
        </w:rPr>
        <w:t>(“Službeni list RCG", broj 27/06, “Službeni list CG", br. 20/15 i</w:t>
      </w:r>
      <w:r>
        <w:rPr>
          <w:rFonts w:ascii="Arial" w:hAnsi="Arial" w:cs="Arial"/>
          <w:color w:val="auto"/>
          <w:sz w:val="24"/>
          <w:szCs w:val="24"/>
          <w:lang w:val="sr-Latn-ME"/>
        </w:rPr>
        <w:t xml:space="preserve"> 67/19</w:t>
      </w:r>
      <w:r>
        <w:rPr>
          <w:rFonts w:ascii="Arial" w:hAnsi="Arial" w:cs="Arial"/>
          <w:color w:val="auto"/>
          <w:sz w:val="24"/>
          <w:szCs w:val="24"/>
        </w:rPr>
        <w:t>).</w:t>
      </w:r>
    </w:p>
    <w:p w:rsidR="00F275D3" w:rsidRDefault="00F275D3" w:rsidP="00F275D3">
      <w:pPr>
        <w:pStyle w:val="T30X"/>
        <w:ind w:firstLine="567"/>
        <w:rPr>
          <w:rFonts w:ascii="Arial" w:hAnsi="Arial" w:cs="Arial"/>
          <w:color w:val="auto"/>
          <w:sz w:val="24"/>
          <w:szCs w:val="24"/>
        </w:rPr>
      </w:pPr>
      <w:r>
        <w:rPr>
          <w:rFonts w:ascii="Arial" w:hAnsi="Arial" w:cs="Arial"/>
          <w:color w:val="auto"/>
          <w:sz w:val="24"/>
          <w:szCs w:val="24"/>
          <w:lang w:val="sr-Latn-CS"/>
        </w:rPr>
        <w:t xml:space="preserve">Zakonom o notarima </w:t>
      </w:r>
      <w:r>
        <w:rPr>
          <w:rFonts w:ascii="Arial" w:hAnsi="Arial" w:cs="Arial"/>
          <w:color w:val="auto"/>
          <w:sz w:val="24"/>
          <w:szCs w:val="24"/>
        </w:rPr>
        <w:t>uređeni su poslovi notara, organizacija notarske službe, uslovi za obavljanje i razlozi za prestanak notarske djelatnosti, nadzor nad radom notara, disciplinska odgovornost notara i druga pitanja od značaja za obavljanje notarske djelatnosti.</w:t>
      </w:r>
    </w:p>
    <w:p w:rsidR="00F275D3" w:rsidRDefault="00F275D3" w:rsidP="00F275D3">
      <w:pPr>
        <w:pStyle w:val="7podnas"/>
        <w:ind w:firstLine="567"/>
        <w:jc w:val="both"/>
        <w:rPr>
          <w:b w:val="0"/>
          <w:sz w:val="24"/>
          <w:szCs w:val="24"/>
        </w:rPr>
      </w:pPr>
      <w:r>
        <w:rPr>
          <w:b w:val="0"/>
          <w:sz w:val="24"/>
          <w:szCs w:val="24"/>
          <w:lang w:val="hr-HR" w:eastAsia="hr-HR"/>
        </w:rPr>
        <w:t xml:space="preserve">Ovim zakonom predviđeno je da se za teritoriju opštine na svakih započetih 15.000 stanovnika odredi po jedno notarsko mjesto. Pravilnikom o broju mjesta i službenim sjedištima notara </w:t>
      </w:r>
      <w:r>
        <w:rPr>
          <w:rFonts w:eastAsiaTheme="minorHAnsi"/>
          <w:b w:val="0"/>
          <w:sz w:val="24"/>
          <w:szCs w:val="24"/>
          <w:lang w:val="en-GB"/>
        </w:rPr>
        <w:t>("Službeni list Republike Crne Gore", broj 23/06 i Službeni list Crne Gore", broj 11/12)</w:t>
      </w:r>
      <w:r>
        <w:rPr>
          <w:b w:val="0"/>
          <w:sz w:val="24"/>
          <w:szCs w:val="24"/>
          <w:lang w:val="hr-HR" w:eastAsia="hr-HR"/>
        </w:rPr>
        <w:t xml:space="preserve"> za područja osnovnih sudova predviđeno je ukupno 65 notarskih mjesta. </w:t>
      </w:r>
    </w:p>
    <w:p w:rsidR="00F275D3" w:rsidRDefault="00F275D3" w:rsidP="00F275D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Kada je u pitanju nadležnost notara za sprovođenje ostavinskog postupka navedenim zakonom je u članu 4 stav 1 tačka 3a, a u okviru poslova notara, propisano da je notar ovlašćen da sprovodi postupak raspravljanja zaostavštine i donosi odluke u tom postupku u skladu sa zakonom kojim se uređuje vanparnični postupak, dok je stavom 1 tačka 4 istog člana propisano da je notar ovlašćen da vrši i druge poslove povjerene posebnim zakonom (popis i procjena zaostavštine i čuvanje ostavinskih isprava, novca, hartija od vrijednosti ili dragocjenosti, kao i drugi poslovi povjereni posebnim zakonima). </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Zakonom o vanparničnom postupku propisano je da se p</w:t>
      </w:r>
      <w:r>
        <w:rPr>
          <w:rFonts w:eastAsiaTheme="minorEastAsia"/>
          <w:b w:val="0"/>
          <w:sz w:val="24"/>
          <w:szCs w:val="24"/>
          <w:lang w:val="en-GB" w:eastAsia="en-GB"/>
        </w:rPr>
        <w:t>ostupak raspravljanja zaostavštine sprovodi pred sudom, odnosno kod notara kao povjerenika suda.</w:t>
      </w:r>
      <w:r>
        <w:rPr>
          <w:rFonts w:eastAsiaTheme="minorHAnsi"/>
          <w:sz w:val="24"/>
          <w:szCs w:val="24"/>
          <w:lang w:val="en-GB"/>
        </w:rPr>
        <w:t xml:space="preserve"> </w:t>
      </w:r>
      <w:r>
        <w:rPr>
          <w:rFonts w:eastAsiaTheme="minorEastAsia"/>
          <w:b w:val="0"/>
          <w:sz w:val="24"/>
          <w:szCs w:val="24"/>
          <w:lang w:val="en-GB" w:eastAsia="en-GB"/>
        </w:rPr>
        <w:t xml:space="preserve">Kad notar sprovodi radnje u postupku raspravljanja zaostavštine kao povjerenik suda ovlašćen je, kao i sud, da preduzima radnje i donosi odluke, ako ovim zakonom nije drukčije propisano. Istim zakonom propisano je da notar ne može sprovoditi postupak </w:t>
      </w:r>
      <w:r>
        <w:rPr>
          <w:rFonts w:eastAsiaTheme="minorEastAsia"/>
          <w:b w:val="0"/>
          <w:sz w:val="24"/>
          <w:szCs w:val="24"/>
          <w:lang w:val="en-GB" w:eastAsia="en-GB"/>
        </w:rPr>
        <w:lastRenderedPageBreak/>
        <w:t>raspravljanja zaostavštine u slučaju</w:t>
      </w:r>
      <w:r>
        <w:rPr>
          <w:rFonts w:eastAsiaTheme="minorEastAsia"/>
          <w:sz w:val="24"/>
          <w:szCs w:val="24"/>
          <w:lang w:val="en-GB" w:eastAsia="en-GB"/>
        </w:rPr>
        <w:t xml:space="preserve"> </w:t>
      </w:r>
      <w:r>
        <w:rPr>
          <w:rFonts w:eastAsiaTheme="minorEastAsia"/>
          <w:b w:val="0"/>
          <w:sz w:val="24"/>
          <w:szCs w:val="24"/>
          <w:lang w:val="en-GB" w:eastAsia="en-GB"/>
        </w:rPr>
        <w:t>kad je potrebno postaviti privremenog staraoca zaostavštine ili je istaknut zahtjev za izdvajanje zaostavštine od imovine nasljednika ili je potrebno odrediti mjere obezbjeđenja zaostavštine. Takođe je propisano da, kad je zahtjev za izdvajanje zaostavštine istaknut u predlogu kojim je pokrenut postupak raspravljanja zaostavštine, sud neće povjeriti sprovođenje ostavinskog postupka notaru.</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 xml:space="preserve">  N</w:t>
      </w:r>
      <w:r>
        <w:rPr>
          <w:rFonts w:eastAsiaTheme="minorEastAsia"/>
          <w:b w:val="0"/>
          <w:sz w:val="24"/>
          <w:szCs w:val="24"/>
          <w:lang w:val="en-GB" w:eastAsia="en-GB"/>
        </w:rPr>
        <w:t>adzor nad radom notara, kao sudskog povjerenika, u skladu sa Zakonom o vanparničnom postupku, obavlja predsjednik suda koji mu je povjerio sprovođenje ostavinskog postupka. Kad notar odbije da sprovede ostavinski postupak ili kad sud odluči da mu oduzme predmet u tom postupku, predsjednik suda će narediti notaru sa preda spise predmeta. Ako notar ne preda spise predmeta, predsjednik suda će po službenoj dužnosti naložiti predaju spisa predmeta.</w:t>
      </w:r>
    </w:p>
    <w:p w:rsidR="00F275D3" w:rsidRDefault="00F275D3" w:rsidP="00F275D3">
      <w:pPr>
        <w:pStyle w:val="7podnas"/>
        <w:ind w:firstLine="567"/>
        <w:jc w:val="both"/>
        <w:rPr>
          <w:rFonts w:eastAsiaTheme="minorEastAsia"/>
          <w:b w:val="0"/>
          <w:sz w:val="24"/>
          <w:szCs w:val="24"/>
          <w:lang w:val="en-GB" w:eastAsia="en-GB"/>
        </w:rPr>
      </w:pPr>
      <w:r>
        <w:rPr>
          <w:rFonts w:eastAsiaTheme="minorEastAsia"/>
          <w:b w:val="0"/>
          <w:sz w:val="24"/>
          <w:szCs w:val="24"/>
          <w:lang w:val="en-GB" w:eastAsia="en-GB"/>
        </w:rPr>
        <w:t xml:space="preserve">U cilju praćenja rada notara u ostavinskim predmetima, navedenim zakonom je propisana obaveza notara da o ostavinskim postupcima koji su mu povjereni svakih šest mjeseci dostavlja izvještaj sudu koji mu je povjerio sprovođenje tih ostavinskih postupaka. </w:t>
      </w:r>
    </w:p>
    <w:p w:rsidR="00F275D3" w:rsidRDefault="00F275D3" w:rsidP="00F275D3">
      <w:pPr>
        <w:autoSpaceDE w:val="0"/>
        <w:autoSpaceDN w:val="0"/>
        <w:adjustRightInd w:val="0"/>
        <w:spacing w:after="0" w:line="240" w:lineRule="auto"/>
        <w:ind w:firstLine="567"/>
        <w:jc w:val="both"/>
        <w:rPr>
          <w:rFonts w:ascii="Arial" w:eastAsia="Times New Roman" w:hAnsi="Arial" w:cs="Arial"/>
          <w:sz w:val="24"/>
          <w:szCs w:val="24"/>
          <w:lang w:val="en-US"/>
        </w:rPr>
      </w:pPr>
      <w:r>
        <w:rPr>
          <w:rFonts w:ascii="Arial" w:hAnsi="Arial" w:cs="Arial"/>
          <w:sz w:val="24"/>
          <w:szCs w:val="24"/>
        </w:rPr>
        <w:t xml:space="preserve">U Crnoj Gori postoji 15 osnovnih sudova, i to: Osnovni sud u Baru, Osnovni sud u Beranama, Osnovni sud u Bijelom Polju, Osnovni sud u Cetinju, Osnovni sud u Danilovgradu, Osnovni sud u Herceg Novom, Osnovni sud u Kolašinu, Osnovni sud u Kotoru, Osnovni sud u Nikšiću, Osnovni sud u Plavu, Osnovni sud u Pljevljima, Osnovni sud u Podgorici, Osnovni sud u Rožajama, Osnovni sud u Ulcinju i Osnovni sud u Žabljaku. Za područja navedenih sudova imenovano je ukupno 56 notara. Notari još nijesu imenovani za  područja Osnovnog suda u Plavu i Osnovnog suda u Žabljaku, tako da navedeni sudovi, u skladu sa zakonom, sami rješavaju ostavinske predmete. </w:t>
      </w:r>
    </w:p>
    <w:p w:rsidR="00F275D3" w:rsidRDefault="00F275D3" w:rsidP="00F275D3">
      <w:pPr>
        <w:autoSpaceDE w:val="0"/>
        <w:autoSpaceDN w:val="0"/>
        <w:adjustRightInd w:val="0"/>
        <w:spacing w:after="0" w:line="240" w:lineRule="auto"/>
        <w:ind w:firstLine="720"/>
        <w:jc w:val="both"/>
        <w:rPr>
          <w:rFonts w:ascii="Arial" w:hAnsi="Arial" w:cs="Arial"/>
          <w:sz w:val="24"/>
          <w:szCs w:val="24"/>
        </w:rPr>
      </w:pPr>
    </w:p>
    <w:p w:rsidR="00F275D3" w:rsidRDefault="00F275D3" w:rsidP="00F275D3">
      <w:pPr>
        <w:pStyle w:val="NoSpacing"/>
        <w:ind w:firstLine="567"/>
        <w:jc w:val="both"/>
        <w:rPr>
          <w:rFonts w:ascii="Arial" w:hAnsi="Arial" w:cs="Arial"/>
          <w:sz w:val="24"/>
          <w:szCs w:val="24"/>
          <w:lang w:val="pt-BR"/>
        </w:rPr>
      </w:pPr>
      <w:r>
        <w:rPr>
          <w:rFonts w:ascii="Arial" w:hAnsi="Arial" w:cs="Arial"/>
          <w:sz w:val="24"/>
          <w:szCs w:val="24"/>
          <w:lang w:val="pt-BR"/>
        </w:rPr>
        <w:tab/>
        <w:t>U Tabeli koja slijedi prikazani su podaci o broju propisanih notarskih mjesta i broju imenovanih notara po područjima osnovnih sudova i opštinama.</w:t>
      </w:r>
    </w:p>
    <w:p w:rsidR="00F275D3" w:rsidRDefault="00F275D3" w:rsidP="00F275D3">
      <w:pPr>
        <w:pStyle w:val="NoSpacing"/>
        <w:ind w:firstLine="567"/>
        <w:jc w:val="both"/>
        <w:rPr>
          <w:rFonts w:ascii="Arial" w:hAnsi="Arial" w:cs="Arial"/>
          <w:b/>
          <w:sz w:val="24"/>
          <w:szCs w:val="24"/>
          <w:lang w:val="hr-HR" w:eastAsia="hr-HR"/>
        </w:rPr>
      </w:pPr>
    </w:p>
    <w:p w:rsidR="00F275D3" w:rsidRDefault="00F275D3" w:rsidP="00F275D3">
      <w:pPr>
        <w:jc w:val="both"/>
        <w:rPr>
          <w:rFonts w:ascii="Arial" w:hAnsi="Arial" w:cs="Arial"/>
          <w:b/>
          <w:sz w:val="24"/>
          <w:szCs w:val="24"/>
          <w:lang w:val="pt-BR"/>
        </w:rPr>
      </w:pPr>
      <w:r>
        <w:rPr>
          <w:rFonts w:ascii="Arial" w:hAnsi="Arial" w:cs="Arial"/>
          <w:b/>
          <w:sz w:val="24"/>
          <w:szCs w:val="24"/>
          <w:lang w:val="pt-BR"/>
        </w:rPr>
        <w:tab/>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942"/>
        <w:gridCol w:w="2898"/>
        <w:gridCol w:w="1637"/>
        <w:gridCol w:w="2256"/>
      </w:tblGrid>
      <w:tr w:rsidR="00F275D3" w:rsidTr="00F275D3">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sr-Latn-ME"/>
              </w:rPr>
            </w:pPr>
            <w:r>
              <w:rPr>
                <w:rFonts w:ascii="Arial" w:hAnsi="Arial" w:cs="Arial"/>
                <w:b/>
                <w:sz w:val="24"/>
                <w:szCs w:val="24"/>
                <w:lang w:val="en-GB"/>
              </w:rPr>
              <w:t>Područje osnovnog suda</w:t>
            </w:r>
          </w:p>
        </w:tc>
        <w:tc>
          <w:tcPr>
            <w:tcW w:w="0" w:type="auto"/>
            <w:tcBorders>
              <w:top w:val="single" w:sz="4" w:space="0" w:color="auto"/>
              <w:left w:val="single" w:sz="4" w:space="0" w:color="auto"/>
              <w:bottom w:val="single" w:sz="4" w:space="0" w:color="auto"/>
              <w:right w:val="single" w:sz="4" w:space="0" w:color="auto"/>
            </w:tcBorders>
            <w:vAlign w:val="center"/>
          </w:tcPr>
          <w:p w:rsidR="00F275D3" w:rsidRDefault="00F275D3">
            <w:pPr>
              <w:jc w:val="center"/>
              <w:rPr>
                <w:rFonts w:ascii="Arial" w:hAnsi="Arial" w:cs="Arial"/>
                <w:b/>
                <w:sz w:val="24"/>
                <w:szCs w:val="24"/>
                <w:lang w:val="en-GB"/>
              </w:rPr>
            </w:pPr>
          </w:p>
          <w:p w:rsidR="00F275D3" w:rsidRDefault="00F275D3">
            <w:pPr>
              <w:jc w:val="center"/>
              <w:rPr>
                <w:rFonts w:ascii="Arial" w:hAnsi="Arial" w:cs="Arial"/>
                <w:b/>
                <w:sz w:val="24"/>
                <w:szCs w:val="24"/>
                <w:lang w:val="en-GB"/>
              </w:rPr>
            </w:pPr>
            <w:r>
              <w:rPr>
                <w:rFonts w:ascii="Arial" w:hAnsi="Arial" w:cs="Arial"/>
                <w:b/>
                <w:sz w:val="24"/>
                <w:szCs w:val="24"/>
                <w:lang w:val="en-GB"/>
              </w:rPr>
              <w:t>Broj predviđenih notarskih mjesta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Op</w:t>
            </w:r>
            <w:r>
              <w:rPr>
                <w:rFonts w:ascii="Arial" w:hAnsi="Arial" w:cs="Arial"/>
                <w:b/>
                <w:sz w:val="24"/>
                <w:szCs w:val="24"/>
                <w:lang w:val="sr-Latn-ME"/>
              </w:rPr>
              <w:t>ština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Broj imenovanih notara</w:t>
            </w:r>
          </w:p>
        </w:tc>
      </w:tr>
      <w:tr w:rsidR="00F275D3" w:rsidTr="00F275D3">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5</w:t>
            </w:r>
          </w:p>
        </w:tc>
      </w:tr>
      <w:tr w:rsidR="00F275D3" w:rsidTr="00F275D3">
        <w:trPr>
          <w:trHeight w:val="29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Berane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Berane (3)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r>
      <w:tr w:rsidR="00F275D3" w:rsidTr="00F275D3">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Andrijevica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rPr>
          <w:trHeight w:val="29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Bijelo Polje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Bijelo Polje (4)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4</w:t>
            </w:r>
          </w:p>
        </w:tc>
      </w:tr>
      <w:tr w:rsidR="00F275D3" w:rsidTr="00F275D3">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Mojkovac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r>
      <w:tr w:rsidR="00F275D3" w:rsidTr="00F275D3">
        <w:trPr>
          <w:trHeight w:val="29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Žabljak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Žabljak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Šavnik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w:t>
            </w:r>
          </w:p>
        </w:tc>
      </w:tr>
      <w:tr w:rsidR="00F275D3" w:rsidTr="00F275D3">
        <w:trPr>
          <w:trHeight w:val="1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Kotor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Kotor (4)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4</w:t>
            </w:r>
          </w:p>
        </w:tc>
      </w:tr>
      <w:tr w:rsidR="00F275D3" w:rsidTr="00F275D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Budva (4)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4</w:t>
            </w:r>
          </w:p>
        </w:tc>
      </w:tr>
      <w:tr w:rsidR="00F275D3" w:rsidTr="00F275D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Tivat (3)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r>
      <w:tr w:rsidR="00F275D3" w:rsidTr="00F275D3">
        <w:trPr>
          <w:trHeight w:val="29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Nikšić</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Nikšić (6)</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5</w:t>
            </w:r>
          </w:p>
        </w:tc>
      </w:tr>
      <w:tr w:rsidR="00F275D3" w:rsidTr="00F275D3">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b/>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56" w:lineRule="auto"/>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Plužine (1)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rPr>
          <w:trHeight w:val="180"/>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Plav</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Plav</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w:t>
            </w:r>
          </w:p>
        </w:tc>
      </w:tr>
      <w:tr w:rsidR="00F275D3" w:rsidTr="00F275D3">
        <w:trPr>
          <w:trHeight w:val="120"/>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w:t>
            </w:r>
          </w:p>
        </w:tc>
      </w:tr>
      <w:tr w:rsidR="00F275D3" w:rsidTr="00F275D3">
        <w:trPr>
          <w:trHeight w:val="150"/>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Podgorica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Podgorica</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15</w:t>
            </w:r>
          </w:p>
        </w:tc>
      </w:tr>
      <w:tr w:rsidR="00F275D3" w:rsidTr="00F275D3">
        <w:trPr>
          <w:trHeight w:val="150"/>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r>
      <w:tr w:rsidR="00F275D3" w:rsidTr="00F275D3">
        <w:trPr>
          <w:trHeight w:val="135"/>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r>
      <w:tr w:rsidR="00F275D3" w:rsidTr="00F275D3">
        <w:trPr>
          <w:trHeight w:val="105"/>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3</w:t>
            </w:r>
          </w:p>
        </w:tc>
      </w:tr>
      <w:tr w:rsidR="00F275D3" w:rsidTr="00F275D3">
        <w:trPr>
          <w:trHeight w:val="90"/>
        </w:trPr>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sz w:val="24"/>
                <w:szCs w:val="24"/>
                <w:lang w:val="en-GB"/>
              </w:rPr>
            </w:pPr>
            <w:r>
              <w:rPr>
                <w:rFonts w:ascii="Arial" w:hAnsi="Arial" w:cs="Arial"/>
                <w:sz w:val="24"/>
                <w:szCs w:val="24"/>
                <w:lang w:val="en-GB"/>
              </w:rPr>
              <w:t>2</w:t>
            </w:r>
          </w:p>
        </w:tc>
      </w:tr>
      <w:tr w:rsidR="00F275D3" w:rsidTr="00F275D3">
        <w:trPr>
          <w:trHeight w:val="9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UKUPNO</w:t>
            </w: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65</w:t>
            </w:r>
          </w:p>
        </w:tc>
        <w:tc>
          <w:tcPr>
            <w:tcW w:w="0" w:type="auto"/>
            <w:tcBorders>
              <w:top w:val="single" w:sz="4" w:space="0" w:color="auto"/>
              <w:left w:val="single" w:sz="4" w:space="0" w:color="auto"/>
              <w:bottom w:val="single" w:sz="4" w:space="0" w:color="auto"/>
              <w:right w:val="single" w:sz="4" w:space="0" w:color="auto"/>
            </w:tcBorders>
            <w:vAlign w:val="center"/>
          </w:tcPr>
          <w:p w:rsidR="00F275D3" w:rsidRDefault="00F275D3">
            <w:pPr>
              <w:jc w:val="center"/>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275D3" w:rsidRDefault="00F275D3">
            <w:pPr>
              <w:jc w:val="center"/>
              <w:rPr>
                <w:rFonts w:ascii="Arial" w:hAnsi="Arial" w:cs="Arial"/>
                <w:b/>
                <w:sz w:val="24"/>
                <w:szCs w:val="24"/>
                <w:lang w:val="en-GB"/>
              </w:rPr>
            </w:pPr>
            <w:r>
              <w:rPr>
                <w:rFonts w:ascii="Arial" w:hAnsi="Arial" w:cs="Arial"/>
                <w:b/>
                <w:sz w:val="24"/>
                <w:szCs w:val="24"/>
                <w:lang w:val="en-GB"/>
              </w:rPr>
              <w:t>56</w:t>
            </w:r>
          </w:p>
        </w:tc>
      </w:tr>
    </w:tbl>
    <w:p w:rsidR="00F275D3" w:rsidRDefault="00F275D3" w:rsidP="00F275D3">
      <w:pPr>
        <w:jc w:val="center"/>
        <w:rPr>
          <w:rFonts w:ascii="Arial" w:hAnsi="Arial" w:cs="Arial"/>
          <w:b/>
          <w:sz w:val="24"/>
          <w:szCs w:val="24"/>
          <w:u w:val="single"/>
          <w:lang w:val="sr-Latn-CS"/>
        </w:rPr>
      </w:pPr>
    </w:p>
    <w:p w:rsidR="00F275D3" w:rsidRDefault="00F275D3" w:rsidP="00F275D3">
      <w:pPr>
        <w:jc w:val="center"/>
        <w:rPr>
          <w:rFonts w:ascii="Arial" w:hAnsi="Arial" w:cs="Arial"/>
          <w:b/>
          <w:sz w:val="24"/>
          <w:szCs w:val="24"/>
          <w:lang w:val="sr-Latn-CS"/>
        </w:rPr>
      </w:pPr>
      <w:r>
        <w:rPr>
          <w:rFonts w:ascii="Arial" w:hAnsi="Arial" w:cs="Arial"/>
          <w:b/>
          <w:sz w:val="24"/>
          <w:szCs w:val="24"/>
          <w:lang w:val="sr-Latn-CS"/>
        </w:rPr>
        <w:t>II PREGLED RADA NOTARA U OSTAVINSKIM PREDMETIMA</w:t>
      </w:r>
    </w:p>
    <w:p w:rsidR="00F275D3" w:rsidRDefault="00F275D3" w:rsidP="00F275D3">
      <w:pPr>
        <w:pStyle w:val="T30X"/>
        <w:spacing w:before="0"/>
        <w:rPr>
          <w:rFonts w:ascii="Arial" w:hAnsi="Arial" w:cs="Arial"/>
          <w:color w:val="auto"/>
          <w:sz w:val="24"/>
          <w:szCs w:val="24"/>
          <w:lang w:val="hr-BA" w:eastAsia="hr-BA"/>
        </w:rPr>
      </w:pPr>
      <w:r>
        <w:rPr>
          <w:rFonts w:ascii="Arial" w:hAnsi="Arial" w:cs="Arial"/>
          <w:color w:val="auto"/>
          <w:sz w:val="24"/>
          <w:szCs w:val="24"/>
          <w:lang w:val="hr-BA" w:eastAsia="hr-BA"/>
        </w:rPr>
        <w:tab/>
        <w:t>Radi izvođenja pravilnih zaključaka o radu notara u ostavinskim predmetima neophodno je njihov rad u ovoj vrsti predmeta sagledati kroz nekoliko važnih segmenata, i to: broj povjerenih ostavinskih predmeta, broj vraćenih predmeta sudu zbog nenadležnosti notara za postupanje u tim predmetima, broj riješenih</w:t>
      </w:r>
      <w:r>
        <w:rPr>
          <w:rFonts w:ascii="Arial" w:hAnsi="Arial" w:cs="Arial"/>
          <w:color w:val="auto"/>
          <w:sz w:val="24"/>
          <w:szCs w:val="24"/>
          <w:lang w:val="sr-Latn-ME" w:eastAsia="hr-BA"/>
        </w:rPr>
        <w:t>/neriješenih</w:t>
      </w:r>
      <w:r>
        <w:rPr>
          <w:rFonts w:ascii="Arial" w:hAnsi="Arial" w:cs="Arial"/>
          <w:color w:val="auto"/>
          <w:sz w:val="24"/>
          <w:szCs w:val="24"/>
          <w:lang w:val="hr-BA" w:eastAsia="hr-BA"/>
        </w:rPr>
        <w:t xml:space="preserve"> predmeta i broj izjavljenih prigovora protiv odluka notara.</w:t>
      </w:r>
    </w:p>
    <w:p w:rsidR="00F275D3" w:rsidRDefault="00F275D3" w:rsidP="00F275D3">
      <w:pPr>
        <w:pStyle w:val="NormalWeb"/>
        <w:spacing w:before="0" w:beforeAutospacing="0" w:after="0" w:afterAutospacing="0"/>
        <w:ind w:firstLine="720"/>
        <w:jc w:val="both"/>
        <w:rPr>
          <w:rFonts w:ascii="Arial" w:hAnsi="Arial" w:cs="Arial"/>
          <w:lang w:eastAsia="en-US"/>
        </w:rPr>
      </w:pPr>
      <w:r>
        <w:rPr>
          <w:rFonts w:ascii="Arial" w:hAnsi="Arial" w:cs="Arial"/>
        </w:rPr>
        <w:t xml:space="preserve">Prema podacima pribavljenim od Notarske komore, sudovi su u posmatranom periodu povjerili notarima u rad ukupno 6.791 ostavinski predmet. Od navedenog broja povjerenih predmeta notari su vratili sudu ukupno 29 predmeta, što čini 0,43% od broja povjerenih predmeta, jer nijesu bili nadležni za sprovođenje ostavinskog postupka u tim </w:t>
      </w:r>
      <w:r>
        <w:rPr>
          <w:rFonts w:ascii="Arial" w:hAnsi="Arial" w:cs="Arial"/>
        </w:rPr>
        <w:lastRenderedPageBreak/>
        <w:t xml:space="preserve">predmetima, dok su riješili ukupno 5.265 predmeta ili 77,53%, tako da je ostalo neriješeno 1.497 predmeta ili 22,04% od broja povjerenih predmeta. </w:t>
      </w: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 xml:space="preserve">U pretežnom broju povjerenih ostavinskih predmeta postupak raspravljanja zaostavštine okončan je u zakonskom roku od 60 dana. Razlozi za prekoračenje navedenog roka u pojedinim povjerenim ostavinskim predmetima, prema dostavljenim podacima, procesne su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dostavljanje poziva i drugih akata u inostranstvo putem međunarodne pravne pomoći-zamolnica; poštovanje propisane procedure prilikom pribavljanja podataka od nadležnih organa i institucija itd. </w:t>
      </w: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Kada uporedimo navedene podatke sa podacima iz prethodne analize koja se odnosi na 2018. godinu može se konstatovati da su sudovi u posmatranom periodu ustupili notarima nešto manji broj predmeta – 6.791 ili 1,67% manje u odnosu na prethodni period, u kojem je notarima povjereno ukupno 6.906 predmeta. Procenat riješenih predmeta prema broju predmeta u radu u posmatranom periodu iznosio je 77,53%. Ovaj procenat je nešto niži i to za 2,28 u odnosu na prethodni period u kojem je isti iznosio 79,81%.</w:t>
      </w: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S obzirom da je procenat riješenih predmeta niži u odnosu na prethodni period (2018. godina), kao i na period maj 2016 – decembar 2017, potrebno je da notari dodatno intenziviraju preduzimanje svih radnji za koje su ovlašćeni u toku sprovođenja ostavinskog postupka kako bi se procenat riješenih predmeta povećao u narednom periodu.</w:t>
      </w:r>
    </w:p>
    <w:p w:rsidR="00F275D3" w:rsidRDefault="00F275D3" w:rsidP="00F275D3">
      <w:pPr>
        <w:pStyle w:val="NormalWeb"/>
        <w:spacing w:before="0" w:beforeAutospacing="0" w:after="0" w:afterAutospacing="0"/>
        <w:ind w:firstLine="720"/>
        <w:jc w:val="both"/>
        <w:rPr>
          <w:rFonts w:ascii="Arial" w:hAnsi="Arial" w:cs="Arial"/>
        </w:rPr>
      </w:pPr>
    </w:p>
    <w:p w:rsidR="00F275D3" w:rsidRDefault="00F275D3" w:rsidP="00F275D3">
      <w:pPr>
        <w:pStyle w:val="T30X"/>
        <w:spacing w:before="0"/>
        <w:rPr>
          <w:rFonts w:ascii="Arial" w:hAnsi="Arial" w:cs="Arial"/>
          <w:color w:val="auto"/>
          <w:sz w:val="24"/>
          <w:szCs w:val="24"/>
        </w:rPr>
      </w:pPr>
      <w:r>
        <w:rPr>
          <w:rFonts w:ascii="Arial" w:hAnsi="Arial" w:cs="Arial"/>
          <w:color w:val="auto"/>
          <w:sz w:val="24"/>
          <w:szCs w:val="24"/>
          <w:lang w:val="hr-BA" w:eastAsia="hr-BA"/>
        </w:rPr>
        <w:tab/>
      </w:r>
      <w:r>
        <w:rPr>
          <w:rFonts w:ascii="Arial" w:hAnsi="Arial" w:cs="Arial"/>
          <w:color w:val="auto"/>
          <w:sz w:val="24"/>
          <w:szCs w:val="24"/>
        </w:rPr>
        <w:t>Podaci o rješavanju ostavinskih predmeta kod notara u</w:t>
      </w:r>
      <w:r>
        <w:rPr>
          <w:rFonts w:ascii="Arial" w:hAnsi="Arial" w:cs="Arial"/>
          <w:color w:val="auto"/>
          <w:sz w:val="24"/>
          <w:szCs w:val="24"/>
          <w:lang w:val="hr-BA" w:eastAsia="hr-BA"/>
        </w:rPr>
        <w:t xml:space="preserve"> periodu 01. januar 2019 - 31. decembar 2019. godine,</w:t>
      </w:r>
      <w:r>
        <w:rPr>
          <w:rFonts w:ascii="Arial" w:hAnsi="Arial" w:cs="Arial"/>
          <w:color w:val="auto"/>
          <w:sz w:val="24"/>
          <w:szCs w:val="24"/>
          <w:lang w:val="hr-BA"/>
        </w:rPr>
        <w:t xml:space="preserve"> </w:t>
      </w:r>
      <w:r>
        <w:rPr>
          <w:rFonts w:ascii="Arial" w:hAnsi="Arial" w:cs="Arial"/>
          <w:color w:val="auto"/>
          <w:sz w:val="24"/>
          <w:szCs w:val="24"/>
        </w:rPr>
        <w:t>po područjima osnovnih sudova za koje su notari imenovani, prikazani su u tabeli koja slijedi</w:t>
      </w:r>
    </w:p>
    <w:p w:rsidR="00F275D3" w:rsidRDefault="00F275D3" w:rsidP="00F275D3">
      <w:pPr>
        <w:pStyle w:val="T30X"/>
        <w:spacing w:before="0"/>
        <w:rPr>
          <w:rFonts w:ascii="Arial" w:hAnsi="Arial" w:cs="Arial"/>
          <w:color w:val="auto"/>
          <w:sz w:val="24"/>
          <w:szCs w:val="24"/>
          <w:lang w:val="hr-BA" w:eastAsia="hr-BA"/>
        </w:rPr>
      </w:pPr>
    </w:p>
    <w:p w:rsidR="00F275D3" w:rsidRDefault="00F275D3" w:rsidP="00F275D3">
      <w:pPr>
        <w:pStyle w:val="T30X"/>
        <w:spacing w:before="0" w:after="0"/>
        <w:rPr>
          <w:rFonts w:ascii="Arial" w:hAnsi="Arial" w:cs="Arial"/>
          <w:b/>
          <w:color w:val="auto"/>
          <w:sz w:val="24"/>
          <w:szCs w:val="24"/>
          <w:lang w:val="hr-BA" w:eastAsia="hr-BA"/>
        </w:rPr>
      </w:pPr>
      <w:r>
        <w:rPr>
          <w:rFonts w:ascii="Arial" w:hAnsi="Arial" w:cs="Arial"/>
          <w:b/>
          <w:color w:val="auto"/>
          <w:sz w:val="24"/>
          <w:szCs w:val="24"/>
          <w:lang w:val="hr-BA" w:eastAsia="hr-BA"/>
        </w:rPr>
        <w:t>Tabela 2</w:t>
      </w:r>
    </w:p>
    <w:tbl>
      <w:tblPr>
        <w:tblStyle w:val="TableGrid"/>
        <w:tblpPr w:leftFromText="180" w:rightFromText="180" w:vertAnchor="text" w:horzAnchor="margin" w:tblpXSpec="center" w:tblpY="441"/>
        <w:tblW w:w="0" w:type="dxa"/>
        <w:tblInd w:w="0" w:type="dxa"/>
        <w:tblLayout w:type="fixed"/>
        <w:tblLook w:val="04A0" w:firstRow="1" w:lastRow="0" w:firstColumn="1" w:lastColumn="0" w:noHBand="0" w:noVBand="1"/>
      </w:tblPr>
      <w:tblGrid>
        <w:gridCol w:w="831"/>
        <w:gridCol w:w="1497"/>
        <w:gridCol w:w="1324"/>
        <w:gridCol w:w="1562"/>
        <w:gridCol w:w="1761"/>
        <w:gridCol w:w="1400"/>
        <w:gridCol w:w="1401"/>
        <w:gridCol w:w="1105"/>
      </w:tblGrid>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Redni broj</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Osnovni sud</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Opština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Broj povjerenih ostavinskih predmeta</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Vraćeni predmeti u skladu sa članom 94 stav 4 Zakona o vanparničnom postupku</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Riješeni predmeti na dan 31.12.2018. godine</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sz w:val="18"/>
                <w:szCs w:val="18"/>
                <w:lang w:val="hr-BA" w:eastAsia="hr-BA"/>
              </w:rPr>
            </w:pPr>
            <w:r>
              <w:rPr>
                <w:rFonts w:ascii="Arial" w:hAnsi="Arial" w:cs="Arial"/>
                <w:b/>
                <w:sz w:val="18"/>
                <w:szCs w:val="18"/>
                <w:lang w:val="hr-BA" w:eastAsia="hr-BA"/>
              </w:rPr>
              <w:t>Neriješeni predmeti na dan 31.12.2018. godine</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sz w:val="18"/>
                <w:szCs w:val="18"/>
                <w:lang w:val="hr-BA" w:eastAsia="hr-BA"/>
              </w:rPr>
            </w:pPr>
            <w:r>
              <w:rPr>
                <w:rFonts w:ascii="Arial" w:hAnsi="Arial" w:cs="Arial"/>
                <w:b/>
                <w:sz w:val="18"/>
                <w:szCs w:val="18"/>
                <w:lang w:val="hr-BA" w:eastAsia="hr-BA"/>
              </w:rPr>
              <w:t>Procenat riješenih predmeta</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511</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366</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145</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71,62%</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662</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500</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161</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75,53%</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3.</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630</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533</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96</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84,60%</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5.</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178</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130</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73,03%</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6.</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182</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154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84,62%</w:t>
            </w:r>
          </w:p>
        </w:tc>
      </w:tr>
      <w:tr w:rsidR="00F275D3" w:rsidTr="00F275D3">
        <w:tc>
          <w:tcPr>
            <w:tcW w:w="831"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7.</w:t>
            </w:r>
          </w:p>
        </w:tc>
        <w:tc>
          <w:tcPr>
            <w:tcW w:w="1497"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422</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358</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59</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84,83%</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146</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80</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66</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54,79%</w:t>
            </w:r>
          </w:p>
        </w:tc>
      </w:tr>
      <w:tr w:rsidR="00F275D3" w:rsidTr="00F275D3">
        <w:trPr>
          <w:trHeight w:val="210"/>
        </w:trPr>
        <w:tc>
          <w:tcPr>
            <w:tcW w:w="831"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lastRenderedPageBreak/>
              <w:t>9.</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307</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244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61</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275D3">
            <w:pPr>
              <w:pStyle w:val="NormalWeb"/>
              <w:spacing w:line="360" w:lineRule="auto"/>
              <w:jc w:val="center"/>
              <w:rPr>
                <w:rFonts w:ascii="Arial" w:hAnsi="Arial" w:cs="Arial"/>
                <w:lang w:val="hr-BA" w:eastAsia="hr-BA"/>
              </w:rPr>
            </w:pPr>
            <w:r>
              <w:rPr>
                <w:rFonts w:ascii="Arial" w:hAnsi="Arial" w:cs="Arial"/>
                <w:lang w:val="hr-BA" w:eastAsia="hr-BA"/>
              </w:rPr>
              <w:t>79,48%</w:t>
            </w:r>
          </w:p>
        </w:tc>
      </w:tr>
      <w:tr w:rsidR="00F275D3" w:rsidTr="00F275D3">
        <w:trPr>
          <w:trHeight w:val="413"/>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Budva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228</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195</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33</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275D3">
            <w:pPr>
              <w:pStyle w:val="NormalWeb"/>
              <w:spacing w:line="360" w:lineRule="auto"/>
              <w:jc w:val="center"/>
              <w:rPr>
                <w:rFonts w:ascii="Arial" w:hAnsi="Arial" w:cs="Arial"/>
                <w:lang w:val="hr-BA" w:eastAsia="hr-BA"/>
              </w:rPr>
            </w:pPr>
            <w:r>
              <w:rPr>
                <w:rFonts w:ascii="Arial" w:hAnsi="Arial" w:cs="Arial"/>
                <w:lang w:val="hr-BA" w:eastAsia="hr-BA"/>
              </w:rPr>
              <w:t>85,53%</w:t>
            </w:r>
          </w:p>
        </w:tc>
      </w:tr>
      <w:tr w:rsidR="00F275D3" w:rsidTr="00F275D3">
        <w:trPr>
          <w:trHeight w:val="58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Tivat</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224</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163</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59</w:t>
            </w:r>
          </w:p>
        </w:tc>
        <w:tc>
          <w:tcPr>
            <w:tcW w:w="1105" w:type="dxa"/>
            <w:tcBorders>
              <w:top w:val="single" w:sz="4" w:space="0" w:color="auto"/>
              <w:left w:val="single" w:sz="4" w:space="0" w:color="auto"/>
              <w:bottom w:val="single" w:sz="4" w:space="0" w:color="auto"/>
              <w:right w:val="single" w:sz="4" w:space="0" w:color="auto"/>
            </w:tcBorders>
            <w:vAlign w:val="bottom"/>
            <w:hideMark/>
          </w:tcPr>
          <w:p w:rsidR="00F275D3" w:rsidRDefault="00F275D3">
            <w:pPr>
              <w:pStyle w:val="NormalWeb"/>
              <w:spacing w:line="360" w:lineRule="auto"/>
              <w:jc w:val="center"/>
              <w:rPr>
                <w:rFonts w:ascii="Arial" w:hAnsi="Arial" w:cs="Arial"/>
                <w:lang w:val="hr-BA" w:eastAsia="hr-BA"/>
              </w:rPr>
            </w:pPr>
            <w:r>
              <w:rPr>
                <w:rFonts w:ascii="Arial" w:hAnsi="Arial" w:cs="Arial"/>
                <w:lang w:val="hr-BA" w:eastAsia="hr-BA"/>
              </w:rPr>
              <w:t>72,77%</w:t>
            </w:r>
          </w:p>
        </w:tc>
      </w:tr>
      <w:tr w:rsidR="00F275D3" w:rsidTr="00F275D3">
        <w:trPr>
          <w:trHeight w:val="734"/>
        </w:trPr>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699</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531</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168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75,96%</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11.</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469</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444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25</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spacing w:line="360" w:lineRule="auto"/>
              <w:jc w:val="center"/>
              <w:rPr>
                <w:rFonts w:ascii="Arial" w:hAnsi="Arial" w:cs="Arial"/>
                <w:lang w:val="hr-BA" w:eastAsia="hr-BA"/>
              </w:rPr>
            </w:pPr>
            <w:r>
              <w:rPr>
                <w:rFonts w:ascii="Arial" w:hAnsi="Arial" w:cs="Arial"/>
                <w:lang w:val="hr-BA" w:eastAsia="hr-BA"/>
              </w:rPr>
              <w:t>94,67%</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12.</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1.606</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1.129</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472</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70,30%</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13.</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238</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224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14</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94,12%</w:t>
            </w:r>
          </w:p>
        </w:tc>
      </w:tr>
      <w:tr w:rsidR="00F275D3" w:rsidTr="00F275D3">
        <w:tc>
          <w:tcPr>
            <w:tcW w:w="83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14.</w:t>
            </w:r>
          </w:p>
        </w:tc>
        <w:tc>
          <w:tcPr>
            <w:tcW w:w="1497"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324"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289</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13</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214</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62</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74,05%</w:t>
            </w:r>
          </w:p>
        </w:tc>
      </w:tr>
      <w:tr w:rsidR="00F275D3" w:rsidTr="00F275D3">
        <w:tc>
          <w:tcPr>
            <w:tcW w:w="3652" w:type="dxa"/>
            <w:gridSpan w:val="3"/>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UKUPNO</w:t>
            </w:r>
          </w:p>
        </w:tc>
        <w:tc>
          <w:tcPr>
            <w:tcW w:w="1562"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6.791</w:t>
            </w:r>
          </w:p>
        </w:tc>
        <w:tc>
          <w:tcPr>
            <w:tcW w:w="176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29</w:t>
            </w:r>
          </w:p>
        </w:tc>
        <w:tc>
          <w:tcPr>
            <w:tcW w:w="1400"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5.265</w:t>
            </w:r>
          </w:p>
        </w:tc>
        <w:tc>
          <w:tcPr>
            <w:tcW w:w="14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1.497</w:t>
            </w:r>
          </w:p>
        </w:tc>
        <w:tc>
          <w:tcPr>
            <w:tcW w:w="110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77,53%</w:t>
            </w:r>
          </w:p>
        </w:tc>
      </w:tr>
    </w:tbl>
    <w:p w:rsidR="00F275D3" w:rsidRDefault="00F275D3" w:rsidP="00B65264">
      <w:pPr>
        <w:pStyle w:val="NormalWeb"/>
        <w:ind w:firstLine="720"/>
        <w:jc w:val="both"/>
        <w:rPr>
          <w:rFonts w:ascii="Arial" w:hAnsi="Arial" w:cs="Arial"/>
          <w:b/>
          <w:color w:val="FF0000"/>
          <w:lang w:val="hr-BA" w:eastAsia="hr-BA"/>
        </w:rPr>
      </w:pPr>
      <w:r>
        <w:rPr>
          <w:rFonts w:ascii="Arial" w:hAnsi="Arial" w:cs="Arial"/>
          <w:b/>
          <w:color w:val="FF0000"/>
          <w:lang w:val="hr-BA" w:eastAsia="hr-BA"/>
        </w:rPr>
        <w:t xml:space="preserve"> </w:t>
      </w:r>
    </w:p>
    <w:p w:rsidR="00F275D3" w:rsidRDefault="00F275D3" w:rsidP="00F275D3">
      <w:pPr>
        <w:pStyle w:val="NormalWeb"/>
        <w:numPr>
          <w:ilvl w:val="0"/>
          <w:numId w:val="2"/>
        </w:numPr>
        <w:spacing w:before="0" w:beforeAutospacing="0" w:after="0" w:afterAutospacing="0"/>
        <w:jc w:val="both"/>
        <w:rPr>
          <w:rFonts w:ascii="Arial" w:hAnsi="Arial" w:cs="Arial"/>
          <w:b/>
          <w:lang w:eastAsia="en-US"/>
        </w:rPr>
      </w:pPr>
      <w:r>
        <w:rPr>
          <w:rFonts w:ascii="Arial" w:hAnsi="Arial" w:cs="Arial"/>
          <w:b/>
        </w:rPr>
        <w:t>Prigovori protiv rješenja notara donesenih u ostavinskim postupcima</w:t>
      </w:r>
    </w:p>
    <w:p w:rsidR="00F275D3" w:rsidRDefault="00F275D3" w:rsidP="00F275D3">
      <w:pPr>
        <w:pStyle w:val="NormalWeb"/>
        <w:spacing w:before="0" w:beforeAutospacing="0" w:after="0" w:afterAutospacing="0"/>
        <w:ind w:left="1440"/>
        <w:jc w:val="both"/>
        <w:rPr>
          <w:rFonts w:ascii="Arial" w:hAnsi="Arial" w:cs="Arial"/>
          <w:b/>
        </w:rPr>
      </w:pP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 xml:space="preserve">U posmatranom periodu izjavljena su ukupno 24 prigovora protiv rješenja notara donesenih u ostavinskim postupcima. Najveći broj prigovora izjavljen je Osnovnom sudu u Podgorici – 10 ili 41,67% od ukupnog broja izjavljenih prigovora, što je i očekivano s obzirom na najveći broj ostavinskih predmeta koje je ovaj sud povjerio notarima, dok u pojedinim osnovnim sudovima, i to: Osnovnom sudu u Cetinju, Osnovnom sudu u Danilovgradu, Osnovnom sudu u Kolašinu i Osnovnom sudu u Rožajama nije izjavljen nijedan prigovor. Posmatrajući broj izjavljenih prigovora - 24 prema broju riješenih predmeta u posmatranom periodu – 5.265, može se konstatovati da je taj broj izuzetno mali i da njegov procenat iznosi 0,45%. Upoređujući navedeni procenat sa procentom izjavljenih prigovora u prethodnom periodu zaključuje se da je isti smanjen za 0,18 ili 28,57%, obzirom da je u prethodnom periodu iznosio 0,63%.  </w:t>
      </w:r>
    </w:p>
    <w:p w:rsidR="00F275D3" w:rsidRDefault="00F275D3" w:rsidP="00F275D3">
      <w:pPr>
        <w:pStyle w:val="NormalWeb"/>
        <w:spacing w:before="0" w:beforeAutospacing="0" w:after="0" w:afterAutospacing="0"/>
        <w:ind w:firstLine="720"/>
        <w:jc w:val="both"/>
        <w:rPr>
          <w:rFonts w:ascii="Arial" w:hAnsi="Arial" w:cs="Arial"/>
          <w:color w:val="FF0000"/>
        </w:rPr>
      </w:pP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Broj izjavljenih prigovora za svaki osnovni sud pojedinačno, kao i njihovi zbrini podaci, prikazani su u tabeli koja slijedi.</w:t>
      </w:r>
    </w:p>
    <w:p w:rsidR="00F275D3" w:rsidRDefault="00F275D3" w:rsidP="00F275D3">
      <w:pPr>
        <w:pStyle w:val="NormalWeb"/>
        <w:spacing w:before="0" w:beforeAutospacing="0" w:after="0" w:afterAutospacing="0"/>
        <w:ind w:firstLine="720"/>
        <w:jc w:val="both"/>
        <w:rPr>
          <w:rFonts w:ascii="Arial" w:hAnsi="Arial" w:cs="Arial"/>
        </w:rPr>
      </w:pPr>
    </w:p>
    <w:p w:rsidR="00F275D3" w:rsidRDefault="00F275D3" w:rsidP="00F275D3">
      <w:pPr>
        <w:pStyle w:val="NormalWeb"/>
        <w:spacing w:before="0" w:beforeAutospacing="0" w:after="0" w:afterAutospacing="0"/>
        <w:ind w:firstLine="720"/>
        <w:jc w:val="both"/>
        <w:rPr>
          <w:rFonts w:ascii="Arial" w:hAnsi="Arial" w:cs="Arial"/>
          <w:b/>
        </w:rPr>
      </w:pPr>
      <w:r>
        <w:rPr>
          <w:rFonts w:ascii="Arial" w:hAnsi="Arial" w:cs="Arial"/>
          <w:b/>
        </w:rPr>
        <w:t>Tabela 3</w:t>
      </w:r>
    </w:p>
    <w:p w:rsidR="00F275D3" w:rsidRDefault="00F275D3" w:rsidP="00F275D3">
      <w:pPr>
        <w:pStyle w:val="NormalWeb"/>
        <w:spacing w:before="0" w:beforeAutospacing="0" w:after="0" w:afterAutospacing="0"/>
        <w:ind w:left="720"/>
        <w:jc w:val="center"/>
        <w:rPr>
          <w:rFonts w:ascii="Arial" w:hAnsi="Arial" w:cs="Arial"/>
        </w:rPr>
      </w:pPr>
    </w:p>
    <w:tbl>
      <w:tblPr>
        <w:tblStyle w:val="TableGrid"/>
        <w:tblW w:w="0" w:type="auto"/>
        <w:tblInd w:w="0" w:type="dxa"/>
        <w:tblLook w:val="04A0" w:firstRow="1" w:lastRow="0" w:firstColumn="1" w:lastColumn="0" w:noHBand="0" w:noVBand="1"/>
      </w:tblPr>
      <w:tblGrid>
        <w:gridCol w:w="1101"/>
        <w:gridCol w:w="2235"/>
        <w:gridCol w:w="1668"/>
        <w:gridCol w:w="1668"/>
      </w:tblGrid>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Redni broj</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Osnovni sud</w:t>
            </w:r>
          </w:p>
        </w:tc>
        <w:tc>
          <w:tcPr>
            <w:tcW w:w="1668" w:type="dxa"/>
            <w:tcBorders>
              <w:top w:val="single" w:sz="4" w:space="0" w:color="auto"/>
              <w:left w:val="single" w:sz="4" w:space="0" w:color="auto"/>
              <w:bottom w:val="single" w:sz="4" w:space="0" w:color="auto"/>
              <w:right w:val="single" w:sz="4" w:space="0" w:color="auto"/>
            </w:tcBorders>
          </w:tcPr>
          <w:p w:rsidR="00F275D3" w:rsidRDefault="00F275D3">
            <w:pPr>
              <w:pStyle w:val="NormalWeb"/>
              <w:spacing w:before="0" w:beforeAutospacing="0" w:after="0" w:afterAutospacing="0"/>
              <w:jc w:val="center"/>
              <w:rPr>
                <w:rFonts w:ascii="Arial" w:hAnsi="Arial" w:cs="Arial"/>
                <w:b/>
                <w:lang w:val="en-GB" w:eastAsia="en-US"/>
              </w:rPr>
            </w:pPr>
          </w:p>
          <w:p w:rsidR="00F275D3" w:rsidRDefault="00F275D3">
            <w:pPr>
              <w:pStyle w:val="NormalWeb"/>
              <w:spacing w:before="0" w:beforeAutospacing="0" w:after="0" w:afterAutospacing="0"/>
              <w:jc w:val="center"/>
              <w:rPr>
                <w:rFonts w:ascii="Arial" w:hAnsi="Arial" w:cs="Arial"/>
                <w:b/>
                <w:lang w:val="en-GB"/>
              </w:rPr>
            </w:pPr>
            <w:r>
              <w:rPr>
                <w:rFonts w:ascii="Arial" w:hAnsi="Arial" w:cs="Arial"/>
                <w:b/>
                <w:lang w:val="en-GB"/>
              </w:rPr>
              <w:t>Opština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spacing w:before="0" w:beforeAutospacing="0" w:after="0" w:afterAutospacing="0"/>
              <w:jc w:val="center"/>
              <w:rPr>
                <w:rFonts w:ascii="Arial" w:hAnsi="Arial" w:cs="Arial"/>
                <w:b/>
                <w:lang w:val="en-GB"/>
              </w:rPr>
            </w:pPr>
            <w:r>
              <w:rPr>
                <w:rFonts w:ascii="Arial" w:hAnsi="Arial" w:cs="Arial"/>
                <w:b/>
                <w:lang w:val="en-GB"/>
              </w:rPr>
              <w:t>Broj prigovora na odluke notara</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Bar</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2.</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3</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6.</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7.</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rPr>
          <w:trHeight w:val="9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lastRenderedPageBreak/>
              <w:t>8.</w:t>
            </w:r>
          </w:p>
        </w:t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Budva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rPr>
                <w:rFonts w:ascii="Arial" w:eastAsia="Times New Roman" w:hAnsi="Arial" w:cs="Arial"/>
                <w:sz w:val="24"/>
                <w:szCs w:val="24"/>
                <w:lang w:val="hr-BA" w:eastAsia="hr-BA"/>
              </w:rPr>
            </w:pP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Tivat</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9.</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4</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10.</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11.</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highlight w:val="yellow"/>
                <w:lang w:val="hr-BA" w:eastAsia="hr-BA"/>
              </w:rPr>
            </w:pPr>
            <w:r>
              <w:rPr>
                <w:rFonts w:ascii="Arial" w:hAnsi="Arial" w:cs="Arial"/>
                <w:lang w:val="hr-BA" w:eastAsia="hr-BA"/>
              </w:rPr>
              <w:t>10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12.</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0</w:t>
            </w:r>
          </w:p>
        </w:tc>
      </w:tr>
      <w:tr w:rsidR="00F275D3" w:rsidTr="00F275D3">
        <w:tc>
          <w:tcPr>
            <w:tcW w:w="1101"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13.</w:t>
            </w:r>
          </w:p>
        </w:tc>
        <w:tc>
          <w:tcPr>
            <w:tcW w:w="2235"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hideMark/>
          </w:tcPr>
          <w:p w:rsidR="00F275D3" w:rsidRDefault="00F275D3">
            <w:pPr>
              <w:pStyle w:val="NormalWeb"/>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lang w:val="hr-BA" w:eastAsia="hr-BA"/>
              </w:rPr>
            </w:pPr>
            <w:r>
              <w:rPr>
                <w:rFonts w:ascii="Arial" w:hAnsi="Arial" w:cs="Arial"/>
                <w:lang w:val="hr-BA" w:eastAsia="hr-BA"/>
              </w:rPr>
              <w:t>1</w:t>
            </w:r>
          </w:p>
        </w:tc>
      </w:tr>
      <w:tr w:rsidR="00F275D3" w:rsidTr="00F275D3">
        <w:tc>
          <w:tcPr>
            <w:tcW w:w="5004" w:type="dxa"/>
            <w:gridSpan w:val="3"/>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UKUPNO</w:t>
            </w:r>
          </w:p>
        </w:tc>
        <w:tc>
          <w:tcPr>
            <w:tcW w:w="1668" w:type="dxa"/>
            <w:tcBorders>
              <w:top w:val="single" w:sz="4" w:space="0" w:color="auto"/>
              <w:left w:val="single" w:sz="4" w:space="0" w:color="auto"/>
              <w:bottom w:val="single" w:sz="4" w:space="0" w:color="auto"/>
              <w:right w:val="single" w:sz="4" w:space="0" w:color="auto"/>
            </w:tcBorders>
            <w:vAlign w:val="center"/>
            <w:hideMark/>
          </w:tcPr>
          <w:p w:rsidR="00F275D3" w:rsidRDefault="00F275D3">
            <w:pPr>
              <w:pStyle w:val="NormalWeb"/>
              <w:jc w:val="center"/>
              <w:rPr>
                <w:rFonts w:ascii="Arial" w:hAnsi="Arial" w:cs="Arial"/>
                <w:b/>
                <w:lang w:val="hr-BA" w:eastAsia="hr-BA"/>
              </w:rPr>
            </w:pPr>
            <w:r>
              <w:rPr>
                <w:rFonts w:ascii="Arial" w:hAnsi="Arial" w:cs="Arial"/>
                <w:b/>
                <w:lang w:val="hr-BA" w:eastAsia="hr-BA"/>
              </w:rPr>
              <w:t>24</w:t>
            </w:r>
          </w:p>
        </w:tc>
      </w:tr>
    </w:tbl>
    <w:p w:rsidR="00F275D3" w:rsidRDefault="00F275D3" w:rsidP="00F275D3">
      <w:pPr>
        <w:spacing w:after="0" w:line="240" w:lineRule="auto"/>
        <w:jc w:val="both"/>
        <w:rPr>
          <w:rFonts w:ascii="Arial" w:eastAsia="Times New Roman" w:hAnsi="Arial" w:cs="Arial"/>
          <w:sz w:val="24"/>
          <w:szCs w:val="24"/>
          <w:lang w:val="en-US"/>
        </w:rPr>
      </w:pPr>
    </w:p>
    <w:p w:rsidR="00F275D3" w:rsidRDefault="00F275D3" w:rsidP="00B65264">
      <w:pPr>
        <w:autoSpaceDE w:val="0"/>
        <w:autoSpaceDN w:val="0"/>
        <w:adjustRightInd w:val="0"/>
        <w:spacing w:line="240" w:lineRule="auto"/>
        <w:rPr>
          <w:rFonts w:ascii="Arial" w:hAnsi="Arial" w:cs="Arial"/>
          <w:b/>
          <w:sz w:val="24"/>
          <w:szCs w:val="24"/>
        </w:rPr>
      </w:pPr>
    </w:p>
    <w:p w:rsidR="00F275D3" w:rsidRDefault="00F275D3" w:rsidP="00F275D3">
      <w:pPr>
        <w:autoSpaceDE w:val="0"/>
        <w:autoSpaceDN w:val="0"/>
        <w:adjustRightInd w:val="0"/>
        <w:spacing w:line="240" w:lineRule="auto"/>
        <w:jc w:val="center"/>
        <w:rPr>
          <w:rFonts w:ascii="Arial" w:hAnsi="Arial" w:cs="Arial"/>
          <w:b/>
          <w:sz w:val="24"/>
          <w:szCs w:val="24"/>
        </w:rPr>
      </w:pPr>
      <w:r>
        <w:rPr>
          <w:rFonts w:ascii="Arial" w:hAnsi="Arial" w:cs="Arial"/>
          <w:b/>
          <w:sz w:val="24"/>
          <w:szCs w:val="24"/>
        </w:rPr>
        <w:t>III PREGLED RADA SUDOVA U OSTAVINSKIM PREDMETIMA</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Kako bi se imala cjelovita slika o predmetnoj reformi kojom je prenesena nadležnosti za sprovođenje ostavinskog postupka sa suda na notare, te donijeli pravilni zaključci o efektima te reforme, neophodno je analizirati i rad sudova u ovoj vrsti predmeta u posmatranom periodu, odnosno sagledati uticaj ove reforme na rasterećenje sudova od ostavinskih predmeta. </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Kao što je prednje navedeno, sud sprovodi postupak raspravljanja zaostavštine u slučajevima kad je potrebno postaviti privremenog staraoca zaostavštine ili je istaknut zahtjev za izdvajanje zaostavštine od imovine nasljednika ili kad je potrebno odrediti mjere obezbjeđenja zaostavštine. </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Kada su u pitanju ostavinski predmeti, Godišnji izvještaj Sudskog savjeta o radu sudova sadrži podatke evidentirane u dva sudska upisnika: upisnik pod oznakom “O” u kojem se evidentiraju ostavinski predmeti koje rješava sud i upisnik pod oznakom “O-n” u kojem se evidentiraju ostavinski predmeti koje je sud povjerio notaru.</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Prema podacima o radu osnovnih sudova u posmatranom periodu, koji su pribavljeni od Sudskog savjeta, osnovni sudovi su imali u radu ukupno 1.264 ostavinska predmeta. Od navedenog broja predmeta u posmatranom periodu primljeno je ukupno 988 predmeta ili 78,16%, dok je iz prethodnog perioda preneseno 276 predmeta ili 21,84%. Od ukupnog broja predmeta koje su osnovni sudovi rješavali u posmatranom periodu riješena su 1.024 predmeta ili 81,01%, dok je ostalo neriješeno 240 predmeta ili 18,99%. </w:t>
      </w:r>
    </w:p>
    <w:p w:rsidR="00F275D3" w:rsidRPr="00C63A1E" w:rsidRDefault="00F275D3" w:rsidP="00C63A1E">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Upoređujući navedene podatke sa podacima iz prethodnog perioda može se konstatovati da su osnovni sudovi u posmatranom periodu riješili procentualno veći broj predmeta – 81,01% u odnosu na prethodni period kada je je taj procenat iznosio 80,73%. Sa druge strane, u posmatranom periodu riješen je manji broj predmeta – 1.023 u odnosu na prethodni period kada je riješeno 1.144 predmeta, a u kojem je ukupan broj predmeta bio veći u odnosu na posmatrani period i iznosio je 1.417 predmeta.</w:t>
      </w:r>
    </w:p>
    <w:p w:rsidR="00F275D3" w:rsidRDefault="00F275D3" w:rsidP="00F275D3">
      <w:pPr>
        <w:pStyle w:val="ListParagraph"/>
        <w:autoSpaceDE w:val="0"/>
        <w:autoSpaceDN w:val="0"/>
        <w:adjustRightInd w:val="0"/>
        <w:spacing w:line="240" w:lineRule="auto"/>
        <w:ind w:left="0" w:firstLine="720"/>
        <w:jc w:val="both"/>
        <w:rPr>
          <w:rFonts w:ascii="Arial" w:hAnsi="Arial" w:cs="Arial"/>
          <w:sz w:val="24"/>
          <w:szCs w:val="24"/>
        </w:rPr>
      </w:pPr>
    </w:p>
    <w:p w:rsidR="00B65264" w:rsidRDefault="00B65264" w:rsidP="00F275D3">
      <w:pPr>
        <w:pStyle w:val="T30X"/>
        <w:spacing w:before="0"/>
        <w:ind w:firstLine="720"/>
        <w:rPr>
          <w:rFonts w:ascii="Arial" w:hAnsi="Arial" w:cs="Arial"/>
          <w:color w:val="auto"/>
          <w:sz w:val="24"/>
          <w:szCs w:val="24"/>
        </w:rPr>
      </w:pPr>
    </w:p>
    <w:p w:rsidR="00B65264" w:rsidRDefault="00B65264" w:rsidP="00F275D3">
      <w:pPr>
        <w:pStyle w:val="T30X"/>
        <w:spacing w:before="0"/>
        <w:ind w:firstLine="720"/>
        <w:rPr>
          <w:rFonts w:ascii="Arial" w:hAnsi="Arial" w:cs="Arial"/>
          <w:color w:val="auto"/>
          <w:sz w:val="24"/>
          <w:szCs w:val="24"/>
        </w:rPr>
      </w:pPr>
    </w:p>
    <w:p w:rsidR="00B65264" w:rsidRDefault="00B65264" w:rsidP="00F275D3">
      <w:pPr>
        <w:pStyle w:val="T30X"/>
        <w:spacing w:before="0"/>
        <w:ind w:firstLine="720"/>
        <w:rPr>
          <w:rFonts w:ascii="Arial" w:hAnsi="Arial" w:cs="Arial"/>
          <w:color w:val="auto"/>
          <w:sz w:val="24"/>
          <w:szCs w:val="24"/>
        </w:rPr>
      </w:pPr>
    </w:p>
    <w:p w:rsidR="00F275D3" w:rsidRDefault="00F275D3" w:rsidP="00F275D3">
      <w:pPr>
        <w:pStyle w:val="T30X"/>
        <w:spacing w:before="0"/>
        <w:ind w:firstLine="720"/>
        <w:rPr>
          <w:rFonts w:ascii="Arial" w:hAnsi="Arial" w:cs="Arial"/>
          <w:color w:val="auto"/>
          <w:sz w:val="24"/>
          <w:szCs w:val="24"/>
        </w:rPr>
      </w:pPr>
      <w:r>
        <w:rPr>
          <w:rFonts w:ascii="Arial" w:hAnsi="Arial" w:cs="Arial"/>
          <w:color w:val="auto"/>
          <w:sz w:val="24"/>
          <w:szCs w:val="24"/>
        </w:rPr>
        <w:lastRenderedPageBreak/>
        <w:t>Podaci o rješavanju ostavinskih predmeta (“O” upisnik) u</w:t>
      </w:r>
      <w:r>
        <w:rPr>
          <w:rFonts w:ascii="Arial" w:hAnsi="Arial" w:cs="Arial"/>
          <w:color w:val="auto"/>
          <w:sz w:val="24"/>
          <w:szCs w:val="24"/>
          <w:lang w:val="hr-BA" w:eastAsia="hr-BA"/>
        </w:rPr>
        <w:t xml:space="preserve"> periodu 01. januar 2019 - 31. decembar 2019. godine,</w:t>
      </w:r>
      <w:r>
        <w:rPr>
          <w:rFonts w:ascii="Arial" w:hAnsi="Arial" w:cs="Arial"/>
          <w:color w:val="auto"/>
          <w:sz w:val="24"/>
          <w:szCs w:val="24"/>
        </w:rPr>
        <w:t xml:space="preserve"> u osnovnim sudovima, prikazani su u tabeli koja slijedi</w:t>
      </w:r>
    </w:p>
    <w:p w:rsidR="00F275D3" w:rsidRDefault="00F275D3" w:rsidP="00F275D3">
      <w:pPr>
        <w:pStyle w:val="ListParagraph"/>
        <w:autoSpaceDE w:val="0"/>
        <w:autoSpaceDN w:val="0"/>
        <w:adjustRightInd w:val="0"/>
        <w:ind w:left="0" w:firstLine="720"/>
        <w:jc w:val="both"/>
        <w:rPr>
          <w:rFonts w:ascii="Arial" w:hAnsi="Arial" w:cs="Arial"/>
          <w:b/>
          <w:sz w:val="24"/>
          <w:szCs w:val="24"/>
        </w:rPr>
      </w:pPr>
    </w:p>
    <w:p w:rsidR="00F275D3" w:rsidRDefault="00F275D3" w:rsidP="00F275D3">
      <w:pPr>
        <w:pStyle w:val="ListParagraph"/>
        <w:autoSpaceDE w:val="0"/>
        <w:autoSpaceDN w:val="0"/>
        <w:adjustRightInd w:val="0"/>
        <w:ind w:left="0" w:firstLine="720"/>
        <w:jc w:val="both"/>
        <w:rPr>
          <w:rFonts w:ascii="Arial" w:hAnsi="Arial" w:cs="Arial"/>
          <w:b/>
        </w:rPr>
      </w:pPr>
      <w:r>
        <w:rPr>
          <w:rFonts w:ascii="Arial" w:hAnsi="Arial" w:cs="Arial"/>
          <w:b/>
        </w:rPr>
        <w:t>Tabela 4</w:t>
      </w:r>
    </w:p>
    <w:tbl>
      <w:tblPr>
        <w:tblStyle w:val="TableGrid1"/>
        <w:tblW w:w="5550" w:type="pct"/>
        <w:tblInd w:w="-675" w:type="dxa"/>
        <w:tblLook w:val="04A0" w:firstRow="1" w:lastRow="0" w:firstColumn="1" w:lastColumn="0" w:noHBand="0" w:noVBand="1"/>
      </w:tblPr>
      <w:tblGrid>
        <w:gridCol w:w="1391"/>
        <w:gridCol w:w="1167"/>
        <w:gridCol w:w="1067"/>
        <w:gridCol w:w="1029"/>
        <w:gridCol w:w="1205"/>
        <w:gridCol w:w="972"/>
        <w:gridCol w:w="1296"/>
        <w:gridCol w:w="1085"/>
        <w:gridCol w:w="1167"/>
      </w:tblGrid>
      <w:tr w:rsidR="00F275D3" w:rsidTr="00F275D3">
        <w:trPr>
          <w:cantSplit/>
          <w:trHeight w:val="1439"/>
        </w:trPr>
        <w:tc>
          <w:tcPr>
            <w:tcW w:w="661"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sz w:val="18"/>
                <w:szCs w:val="18"/>
                <w:lang w:val="en-GB"/>
              </w:rPr>
            </w:pPr>
          </w:p>
          <w:p w:rsidR="00F275D3" w:rsidRDefault="00F275D3">
            <w:pPr>
              <w:autoSpaceDE w:val="0"/>
              <w:autoSpaceDN w:val="0"/>
              <w:adjustRightInd w:val="0"/>
              <w:spacing w:after="0" w:line="240" w:lineRule="auto"/>
              <w:contextualSpacing/>
              <w:jc w:val="center"/>
              <w:rPr>
                <w:rFonts w:ascii="Arial" w:hAnsi="Arial" w:cs="Arial"/>
                <w:b/>
                <w:sz w:val="20"/>
                <w:szCs w:val="20"/>
                <w:lang w:val="en-GB"/>
              </w:rPr>
            </w:pP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20"/>
                <w:szCs w:val="20"/>
                <w:lang w:val="en-GB"/>
              </w:rPr>
              <w:t>SUD</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01.01.2019. godine</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2019. godini</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2019. godini</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2019. godine</w:t>
            </w:r>
          </w:p>
        </w:tc>
        <w:tc>
          <w:tcPr>
            <w:tcW w:w="649"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31.12.2019. godine</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 riješenih</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neriješenih</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Berane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7</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16</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23</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21</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91,30%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8,70%</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Bijelo</w:t>
            </w:r>
            <w:r>
              <w:rPr>
                <w:rFonts w:ascii="Arial" w:hAnsi="Arial" w:cs="Arial"/>
                <w:b/>
                <w:lang w:val="en-GB"/>
              </w:rPr>
              <w:t xml:space="preserve"> </w:t>
            </w:r>
            <w:r>
              <w:rPr>
                <w:rFonts w:ascii="Arial" w:hAnsi="Arial" w:cs="Arial"/>
                <w:lang w:val="en-GB"/>
              </w:rPr>
              <w:t>Polje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49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51</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49</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96,08%</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3,92%</w:t>
            </w:r>
          </w:p>
        </w:tc>
      </w:tr>
      <w:tr w:rsidR="00F275D3" w:rsidTr="00F275D3">
        <w:trPr>
          <w:trHeight w:val="379"/>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Bar</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70,00%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30,00%</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Cetinje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26</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28</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26</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92,86%</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7,14%</w:t>
            </w:r>
          </w:p>
        </w:tc>
      </w:tr>
      <w:tr w:rsidR="00F275D3" w:rsidTr="00F275D3">
        <w:trPr>
          <w:trHeight w:val="24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Danilovgrad</w:t>
            </w:r>
          </w:p>
        </w:tc>
        <w:tc>
          <w:tcPr>
            <w:tcW w:w="562" w:type="pct"/>
            <w:tcBorders>
              <w:top w:val="single" w:sz="4" w:space="0" w:color="auto"/>
              <w:left w:val="single" w:sz="4" w:space="0" w:color="auto"/>
              <w:bottom w:val="single" w:sz="4" w:space="0" w:color="auto"/>
              <w:right w:val="single" w:sz="4" w:space="0" w:color="auto"/>
            </w:tcBorders>
            <w:vAlign w:val="center"/>
          </w:tcPr>
          <w:p w:rsidR="00F275D3" w:rsidRDefault="00F275D3">
            <w:pPr>
              <w:spacing w:after="0" w:line="240" w:lineRule="auto"/>
              <w:jc w:val="center"/>
              <w:rPr>
                <w:rFonts w:ascii="Arial" w:hAnsi="Arial" w:cs="Arial"/>
                <w:lang w:val="en-GB"/>
              </w:rPr>
            </w:pPr>
          </w:p>
          <w:p w:rsidR="00F275D3" w:rsidRDefault="00F275D3">
            <w:pPr>
              <w:spacing w:after="0" w:line="240" w:lineRule="auto"/>
              <w:jc w:val="center"/>
              <w:rPr>
                <w:rFonts w:ascii="Arial" w:hAnsi="Arial" w:cs="Arial"/>
                <w:lang w:val="en-GB"/>
              </w:rPr>
            </w:pPr>
            <w:r>
              <w:rPr>
                <w:rFonts w:ascii="Arial" w:hAnsi="Arial" w:cs="Arial"/>
                <w:lang w:val="en-GB"/>
              </w:rPr>
              <w:t>4</w:t>
            </w:r>
          </w:p>
        </w:tc>
        <w:tc>
          <w:tcPr>
            <w:tcW w:w="539" w:type="pct"/>
            <w:tcBorders>
              <w:top w:val="single" w:sz="4" w:space="0" w:color="auto"/>
              <w:left w:val="single" w:sz="4" w:space="0" w:color="auto"/>
              <w:bottom w:val="single" w:sz="4" w:space="0" w:color="auto"/>
              <w:right w:val="single" w:sz="4" w:space="0" w:color="auto"/>
            </w:tcBorders>
            <w:vAlign w:val="center"/>
          </w:tcPr>
          <w:p w:rsidR="00F275D3" w:rsidRDefault="00F275D3">
            <w:pPr>
              <w:spacing w:after="0" w:line="240" w:lineRule="auto"/>
              <w:jc w:val="center"/>
              <w:rPr>
                <w:rFonts w:ascii="Arial" w:hAnsi="Arial" w:cs="Arial"/>
                <w:lang w:val="en-GB"/>
              </w:rPr>
            </w:pPr>
          </w:p>
          <w:p w:rsidR="00F275D3" w:rsidRDefault="00F275D3">
            <w:pPr>
              <w:spacing w:after="0" w:line="240" w:lineRule="auto"/>
              <w:jc w:val="center"/>
              <w:rPr>
                <w:rFonts w:ascii="Arial" w:hAnsi="Arial" w:cs="Arial"/>
                <w:lang w:val="en-GB"/>
              </w:rPr>
            </w:pPr>
            <w:r>
              <w:rPr>
                <w:rFonts w:ascii="Arial" w:hAnsi="Arial" w:cs="Arial"/>
                <w:lang w:val="en-GB"/>
              </w:rPr>
              <w:t>13</w:t>
            </w:r>
          </w:p>
        </w:tc>
        <w:tc>
          <w:tcPr>
            <w:tcW w:w="521" w:type="pct"/>
            <w:tcBorders>
              <w:top w:val="single" w:sz="4" w:space="0" w:color="auto"/>
              <w:left w:val="single" w:sz="4" w:space="0" w:color="auto"/>
              <w:bottom w:val="single" w:sz="4" w:space="0" w:color="auto"/>
              <w:right w:val="single" w:sz="4" w:space="0" w:color="auto"/>
            </w:tcBorders>
            <w:vAlign w:val="center"/>
          </w:tcPr>
          <w:p w:rsidR="00F275D3" w:rsidRDefault="00F275D3">
            <w:pPr>
              <w:spacing w:after="0" w:line="240" w:lineRule="auto"/>
              <w:jc w:val="center"/>
              <w:rPr>
                <w:rFonts w:ascii="Arial" w:hAnsi="Arial" w:cs="Arial"/>
                <w:lang w:val="en-GB"/>
              </w:rPr>
            </w:pPr>
          </w:p>
          <w:p w:rsidR="00F275D3" w:rsidRDefault="00F275D3">
            <w:pPr>
              <w:spacing w:after="0" w:line="240" w:lineRule="auto"/>
              <w:jc w:val="center"/>
              <w:rPr>
                <w:rFonts w:ascii="Arial" w:hAnsi="Arial" w:cs="Arial"/>
                <w:lang w:val="en-GB"/>
              </w:rPr>
            </w:pPr>
            <w:r>
              <w:rPr>
                <w:rFonts w:ascii="Arial" w:hAnsi="Arial" w:cs="Arial"/>
                <w:lang w:val="en-GB"/>
              </w:rPr>
              <w:t>17</w:t>
            </w:r>
          </w:p>
        </w:tc>
        <w:tc>
          <w:tcPr>
            <w:tcW w:w="605" w:type="pct"/>
            <w:tcBorders>
              <w:top w:val="single" w:sz="4" w:space="0" w:color="auto"/>
              <w:left w:val="single" w:sz="4" w:space="0" w:color="auto"/>
              <w:bottom w:val="single" w:sz="4" w:space="0" w:color="auto"/>
              <w:right w:val="single" w:sz="4" w:space="0" w:color="auto"/>
            </w:tcBorders>
            <w:vAlign w:val="center"/>
          </w:tcPr>
          <w:p w:rsidR="00F275D3" w:rsidRDefault="00F275D3">
            <w:pPr>
              <w:spacing w:after="0" w:line="240" w:lineRule="auto"/>
              <w:jc w:val="center"/>
              <w:rPr>
                <w:rFonts w:ascii="Arial" w:hAnsi="Arial" w:cs="Arial"/>
                <w:lang w:val="en-GB"/>
              </w:rPr>
            </w:pPr>
          </w:p>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tcPr>
          <w:p w:rsidR="00F275D3" w:rsidRDefault="00F275D3">
            <w:pPr>
              <w:spacing w:after="0" w:line="240" w:lineRule="auto"/>
              <w:jc w:val="center"/>
              <w:rPr>
                <w:rFonts w:ascii="Arial" w:hAnsi="Arial" w:cs="Arial"/>
                <w:lang w:val="en-GB"/>
              </w:rPr>
            </w:pPr>
          </w:p>
          <w:p w:rsidR="00F275D3" w:rsidRDefault="00F275D3">
            <w:pPr>
              <w:spacing w:after="0" w:line="240" w:lineRule="auto"/>
              <w:jc w:val="center"/>
              <w:rPr>
                <w:rFonts w:ascii="Arial" w:hAnsi="Arial" w:cs="Arial"/>
                <w:lang w:val="en-GB"/>
              </w:rPr>
            </w:pPr>
            <w:r>
              <w:rPr>
                <w:rFonts w:ascii="Arial" w:hAnsi="Arial" w:cs="Arial"/>
                <w:lang w:val="en-GB"/>
              </w:rPr>
              <w:t>17</w:t>
            </w:r>
          </w:p>
        </w:tc>
        <w:tc>
          <w:tcPr>
            <w:tcW w:w="649"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p>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100,00%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0,00%</w:t>
            </w:r>
          </w:p>
        </w:tc>
      </w:tr>
      <w:tr w:rsidR="00F275D3" w:rsidTr="00F275D3">
        <w:trPr>
          <w:trHeight w:val="370"/>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Herceg</w:t>
            </w:r>
            <w:r>
              <w:rPr>
                <w:rFonts w:ascii="Arial" w:hAnsi="Arial" w:cs="Arial"/>
                <w:b/>
                <w:lang w:val="en-GB"/>
              </w:rPr>
              <w:t xml:space="preserve"> </w:t>
            </w:r>
            <w:r>
              <w:rPr>
                <w:rFonts w:ascii="Arial" w:hAnsi="Arial" w:cs="Arial"/>
                <w:lang w:val="en-GB"/>
              </w:rPr>
              <w:t>Novi</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15</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72</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87</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65</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22</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74,71%</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25,29%</w:t>
            </w:r>
          </w:p>
        </w:tc>
      </w:tr>
      <w:tr w:rsidR="00F275D3" w:rsidTr="00F275D3">
        <w:trPr>
          <w:trHeight w:val="370"/>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Kolašin</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10</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12</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12</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100,00%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0,00%</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Kotor</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61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111</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172</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118</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54</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68,60%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31,40%</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Nikšić</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45</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56</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50</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6</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89,29%</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10,71%</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Podgorica</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121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174</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295</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198</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97</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67,12%</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32,88%</w:t>
            </w:r>
          </w:p>
        </w:tc>
      </w:tr>
      <w:tr w:rsidR="00F275D3" w:rsidTr="00F275D3">
        <w:trPr>
          <w:trHeight w:val="32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Plav</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7</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208</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215</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210</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5</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97,67%</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2,33%</w:t>
            </w:r>
          </w:p>
        </w:tc>
      </w:tr>
      <w:tr w:rsidR="00F275D3" w:rsidTr="00F275D3">
        <w:trPr>
          <w:trHeight w:val="324"/>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Pljevlja</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7</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8</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8</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100,00%</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0,00%</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Rožaje</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9</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8</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1</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88,89%</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11,11%</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Ulcinj</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21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69</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90</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67</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23</w:t>
            </w:r>
          </w:p>
        </w:tc>
        <w:tc>
          <w:tcPr>
            <w:tcW w:w="532" w:type="pct"/>
            <w:tcBorders>
              <w:top w:val="single" w:sz="4" w:space="0" w:color="auto"/>
              <w:left w:val="single" w:sz="4" w:space="0" w:color="auto"/>
              <w:bottom w:val="single" w:sz="4" w:space="0" w:color="auto"/>
              <w:right w:val="single" w:sz="4" w:space="0" w:color="auto"/>
            </w:tcBorders>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74,44%</w:t>
            </w:r>
          </w:p>
        </w:tc>
        <w:tc>
          <w:tcPr>
            <w:tcW w:w="437" w:type="pct"/>
            <w:tcBorders>
              <w:top w:val="single" w:sz="4" w:space="0" w:color="auto"/>
              <w:left w:val="single" w:sz="4" w:space="0" w:color="auto"/>
              <w:bottom w:val="single" w:sz="4" w:space="0" w:color="auto"/>
              <w:right w:val="single" w:sz="4" w:space="0" w:color="auto"/>
            </w:tcBorders>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25,56%</w:t>
            </w:r>
          </w:p>
        </w:tc>
      </w:tr>
      <w:tr w:rsidR="00F275D3" w:rsidTr="00F275D3">
        <w:trPr>
          <w:trHeight w:val="352"/>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Žabljak</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130</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131</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0</w:t>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lang w:val="en-GB"/>
              </w:rPr>
            </w:pPr>
            <w:r>
              <w:rPr>
                <w:rFonts w:ascii="Arial" w:hAnsi="Arial" w:cs="Arial"/>
                <w:lang w:val="en-GB"/>
              </w:rPr>
              <w:t>126</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lang w:val="en-GB"/>
              </w:rPr>
            </w:pPr>
            <w:r>
              <w:rPr>
                <w:rFonts w:ascii="Arial" w:hAnsi="Arial" w:cs="Arial"/>
                <w:lang w:val="en-GB"/>
              </w:rPr>
              <w:t>5</w:t>
            </w:r>
          </w:p>
        </w:tc>
        <w:tc>
          <w:tcPr>
            <w:tcW w:w="532" w:type="pct"/>
            <w:tcBorders>
              <w:top w:val="single" w:sz="4" w:space="0" w:color="auto"/>
              <w:left w:val="single" w:sz="4" w:space="0" w:color="auto"/>
              <w:bottom w:val="single" w:sz="4" w:space="0" w:color="auto"/>
              <w:right w:val="single" w:sz="4" w:space="0" w:color="auto"/>
            </w:tcBorders>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96,18%</w:t>
            </w:r>
          </w:p>
        </w:tc>
        <w:tc>
          <w:tcPr>
            <w:tcW w:w="437" w:type="pct"/>
            <w:tcBorders>
              <w:top w:val="single" w:sz="4" w:space="0" w:color="auto"/>
              <w:left w:val="single" w:sz="4" w:space="0" w:color="auto"/>
              <w:bottom w:val="single" w:sz="4" w:space="0" w:color="auto"/>
              <w:right w:val="single" w:sz="4" w:space="0" w:color="auto"/>
            </w:tcBorders>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3,82%</w:t>
            </w:r>
          </w:p>
        </w:tc>
      </w:tr>
      <w:tr w:rsidR="00F275D3" w:rsidTr="00F275D3">
        <w:trPr>
          <w:trHeight w:val="411"/>
        </w:trPr>
        <w:tc>
          <w:tcPr>
            <w:tcW w:w="66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56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lang w:val="en-GB"/>
              </w:rPr>
            </w:pPr>
            <w:r>
              <w:rPr>
                <w:rFonts w:ascii="Arial" w:hAnsi="Arial" w:cs="Arial"/>
                <w:b/>
                <w:lang w:val="en-GB"/>
              </w:rPr>
              <w:t>276</w:t>
            </w:r>
          </w:p>
        </w:tc>
        <w:tc>
          <w:tcPr>
            <w:tcW w:w="53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lang w:val="en-GB"/>
              </w:rPr>
            </w:pPr>
            <w:r>
              <w:rPr>
                <w:rFonts w:ascii="Arial" w:hAnsi="Arial" w:cs="Arial"/>
                <w:b/>
                <w:lang w:val="en-GB"/>
              </w:rPr>
              <w:t>988</w:t>
            </w:r>
          </w:p>
        </w:tc>
        <w:tc>
          <w:tcPr>
            <w:tcW w:w="521"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lang w:val="en-GB"/>
              </w:rPr>
            </w:pPr>
            <w:r>
              <w:rPr>
                <w:rFonts w:ascii="Arial" w:hAnsi="Arial" w:cs="Arial"/>
                <w:b/>
                <w:lang w:val="en-GB"/>
              </w:rPr>
              <w:t>1.264</w:t>
            </w:r>
          </w:p>
        </w:tc>
        <w:tc>
          <w:tcPr>
            <w:tcW w:w="60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0</w:t>
            </w:r>
            <w:r>
              <w:rPr>
                <w:rFonts w:ascii="Arial" w:hAnsi="Arial" w:cs="Arial"/>
                <w:b/>
                <w:lang w:val="en-GB"/>
              </w:rPr>
              <w:fldChar w:fldCharType="end"/>
            </w:r>
          </w:p>
        </w:tc>
        <w:tc>
          <w:tcPr>
            <w:tcW w:w="4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spacing w:after="0" w:line="240" w:lineRule="auto"/>
              <w:jc w:val="center"/>
              <w:rPr>
                <w:rFonts w:ascii="Arial" w:hAnsi="Arial" w:cs="Arial"/>
                <w:b/>
                <w:lang w:val="en-GB"/>
              </w:rPr>
            </w:pPr>
            <w:r>
              <w:rPr>
                <w:rFonts w:ascii="Arial" w:hAnsi="Arial" w:cs="Arial"/>
                <w:b/>
                <w:lang w:val="en-GB"/>
              </w:rPr>
              <w:t>1.024</w:t>
            </w:r>
          </w:p>
        </w:tc>
        <w:tc>
          <w:tcPr>
            <w:tcW w:w="64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eastAsia="Times New Roman" w:hAnsi="Arial" w:cs="Arial"/>
                <w:b/>
                <w:lang w:val="en-GB"/>
              </w:rPr>
            </w:pPr>
            <w:r>
              <w:rPr>
                <w:rFonts w:ascii="Arial" w:hAnsi="Arial" w:cs="Arial"/>
                <w:b/>
                <w:lang w:val="en-GB"/>
              </w:rPr>
              <w:t>240</w:t>
            </w:r>
          </w:p>
        </w:tc>
        <w:tc>
          <w:tcPr>
            <w:tcW w:w="53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81,01%</w:t>
            </w:r>
          </w:p>
        </w:tc>
        <w:tc>
          <w:tcPr>
            <w:tcW w:w="437"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18,99%</w:t>
            </w:r>
          </w:p>
        </w:tc>
      </w:tr>
    </w:tbl>
    <w:p w:rsidR="00F275D3" w:rsidRDefault="00F275D3" w:rsidP="00F275D3">
      <w:pPr>
        <w:pStyle w:val="ListParagraph"/>
        <w:autoSpaceDE w:val="0"/>
        <w:autoSpaceDN w:val="0"/>
        <w:adjustRightInd w:val="0"/>
        <w:spacing w:line="240" w:lineRule="auto"/>
        <w:ind w:left="-284" w:right="-164" w:firstLine="1004"/>
        <w:jc w:val="both"/>
        <w:rPr>
          <w:rFonts w:ascii="Arial" w:hAnsi="Arial" w:cs="Arial"/>
          <w:b/>
          <w:sz w:val="24"/>
          <w:szCs w:val="24"/>
        </w:rPr>
      </w:pP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 xml:space="preserve">Osnovni sudovi su u posmatranom periodu primili ukupno 6.808 ostavinskih predmeta, tako da su u radu, zajedno sa ostavinskim predmetima prenesenim iz prethodnog perioda – 22 predmeta, imali 6.830 predmeta. Od navedenog broja notarima je povjereno u rad 6.736 predmeta ili 98,94% od broja primljenih ostavinskih predmeta u posmatranom periodu. Od ukupnog broja ostavinskih predmeta koji su ostali u nadležnosti suda – 94 predmeta, sudovi su u posmatranom periodu riješili 58 predmeta ili 61,70%, dok je ostalo neriješeno 36 predmeta ili 38,30%. </w:t>
      </w: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 xml:space="preserve">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 58 predmeta  ili 61,70% od broja predmeta u radu za koje je propisana isključiva nadležnost suda, koji su po prirodi složeniji pa njihovo rješavanje zahtijeva određeno vrijeme. </w:t>
      </w: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lastRenderedPageBreak/>
        <w:t>Ako uporedimo navedene podatke sa podacima iz prethodnog perioda dolazimo do zaključka da je u posmatranom periodu notarima u rad povjeren procentualno sličan broj predmeta kao i u prethodnom periodu u kojem je taj procenat iznosio 99,42%. Procenat riješenih predmeta u posmatranom periodu – 61,70% niži je za 7,31 ili 10,59% u odnosu na prethodni period u kojem je isti iznosio 69,01%.</w:t>
      </w:r>
    </w:p>
    <w:p w:rsidR="00F275D3" w:rsidRDefault="00F275D3" w:rsidP="00F275D3">
      <w:pPr>
        <w:pStyle w:val="T30X"/>
        <w:spacing w:before="0"/>
        <w:ind w:left="-284" w:firstLine="1004"/>
        <w:rPr>
          <w:rFonts w:ascii="Arial" w:hAnsi="Arial" w:cs="Arial"/>
          <w:color w:val="auto"/>
          <w:sz w:val="24"/>
          <w:szCs w:val="24"/>
        </w:rPr>
      </w:pPr>
      <w:r>
        <w:rPr>
          <w:rFonts w:ascii="Arial" w:hAnsi="Arial" w:cs="Arial"/>
          <w:color w:val="auto"/>
          <w:sz w:val="24"/>
          <w:szCs w:val="24"/>
        </w:rPr>
        <w:t>Podaci o rješavanju ostavinskih predmeta (“O-n”) u</w:t>
      </w:r>
      <w:r>
        <w:rPr>
          <w:rFonts w:ascii="Arial" w:hAnsi="Arial" w:cs="Arial"/>
          <w:color w:val="auto"/>
          <w:sz w:val="24"/>
          <w:szCs w:val="24"/>
          <w:lang w:val="hr-BA" w:eastAsia="hr-BA"/>
        </w:rPr>
        <w:t xml:space="preserve"> periodu 01. januar 2019 - 31. decembar 2019. godine,</w:t>
      </w:r>
      <w:r>
        <w:rPr>
          <w:rFonts w:ascii="Arial" w:hAnsi="Arial" w:cs="Arial"/>
          <w:color w:val="auto"/>
          <w:sz w:val="24"/>
          <w:szCs w:val="24"/>
        </w:rPr>
        <w:t xml:space="preserve"> u osnovnim sudovima, prikazani su u tabeli koja slijedi</w:t>
      </w:r>
    </w:p>
    <w:p w:rsidR="00F275D3" w:rsidRDefault="00F275D3" w:rsidP="00F275D3">
      <w:pPr>
        <w:pStyle w:val="ListParagraph"/>
        <w:autoSpaceDE w:val="0"/>
        <w:autoSpaceDN w:val="0"/>
        <w:adjustRightInd w:val="0"/>
        <w:ind w:left="0" w:firstLine="720"/>
        <w:jc w:val="both"/>
        <w:rPr>
          <w:rFonts w:ascii="Arial" w:hAnsi="Arial" w:cs="Arial"/>
          <w:b/>
        </w:rPr>
      </w:pPr>
    </w:p>
    <w:p w:rsidR="00F275D3" w:rsidRDefault="00F275D3" w:rsidP="00F275D3">
      <w:pPr>
        <w:pStyle w:val="ListParagraph"/>
        <w:autoSpaceDE w:val="0"/>
        <w:autoSpaceDN w:val="0"/>
        <w:adjustRightInd w:val="0"/>
        <w:ind w:left="0" w:firstLine="720"/>
        <w:jc w:val="both"/>
        <w:rPr>
          <w:rFonts w:ascii="Arial" w:hAnsi="Arial" w:cs="Arial"/>
          <w:b/>
        </w:rPr>
      </w:pPr>
      <w:r>
        <w:rPr>
          <w:rFonts w:ascii="Arial" w:hAnsi="Arial" w:cs="Arial"/>
          <w:b/>
        </w:rPr>
        <w:t>Tabela 5</w:t>
      </w:r>
    </w:p>
    <w:tbl>
      <w:tblPr>
        <w:tblStyle w:val="TableGrid2"/>
        <w:tblpPr w:leftFromText="180" w:rightFromText="180" w:vertAnchor="text" w:horzAnchor="margin" w:tblpY="376"/>
        <w:tblW w:w="4835" w:type="pct"/>
        <w:tblInd w:w="0" w:type="dxa"/>
        <w:tblLook w:val="04A0" w:firstRow="1" w:lastRow="0" w:firstColumn="1" w:lastColumn="0" w:noHBand="0" w:noVBand="1"/>
      </w:tblPr>
      <w:tblGrid>
        <w:gridCol w:w="1442"/>
        <w:gridCol w:w="1179"/>
        <w:gridCol w:w="1076"/>
        <w:gridCol w:w="1076"/>
        <w:gridCol w:w="919"/>
        <w:gridCol w:w="1168"/>
        <w:gridCol w:w="1004"/>
        <w:gridCol w:w="1177"/>
      </w:tblGrid>
      <w:tr w:rsidR="00F275D3" w:rsidTr="00F275D3">
        <w:trPr>
          <w:cantSplit/>
          <w:trHeight w:val="1431"/>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SUD</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2019. godine</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2019. godini</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Pogrešan upis</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2019. godini</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2019. godine</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2019.</w:t>
            </w:r>
          </w:p>
          <w:p w:rsidR="00F275D3" w:rsidRDefault="00F275D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godine</w:t>
            </w:r>
          </w:p>
        </w:tc>
      </w:tr>
      <w:tr w:rsidR="00F275D3" w:rsidTr="00F275D3">
        <w:trPr>
          <w:trHeight w:val="350"/>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Berane</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662</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662</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662</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350"/>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Bijelo</w:t>
            </w:r>
            <w:r>
              <w:rPr>
                <w:rFonts w:ascii="Arial" w:hAnsi="Arial" w:cs="Arial"/>
                <w:b/>
                <w:lang w:val="en-GB"/>
              </w:rPr>
              <w:t xml:space="preserve"> </w:t>
            </w:r>
            <w:r>
              <w:rPr>
                <w:rFonts w:ascii="Arial" w:hAnsi="Arial" w:cs="Arial"/>
                <w:lang w:val="en-GB"/>
              </w:rPr>
              <w:t>Polje</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630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630</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629</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332"/>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Bar</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507</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510</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498</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r>
      <w:tr w:rsidR="00F275D3" w:rsidTr="00F275D3">
        <w:trPr>
          <w:trHeight w:val="350"/>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Cetinje</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179</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177</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F275D3" w:rsidTr="00F275D3">
        <w:trPr>
          <w:trHeight w:val="620"/>
        </w:trPr>
        <w:tc>
          <w:tcPr>
            <w:tcW w:w="798"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b/>
                <w:lang w:val="en-GB"/>
              </w:rPr>
            </w:pPr>
          </w:p>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Danilovgrad</w:t>
            </w:r>
          </w:p>
          <w:p w:rsidR="00F275D3" w:rsidRDefault="00F275D3">
            <w:pPr>
              <w:autoSpaceDE w:val="0"/>
              <w:autoSpaceDN w:val="0"/>
              <w:adjustRightInd w:val="0"/>
              <w:spacing w:after="0" w:line="240" w:lineRule="auto"/>
              <w:contextualSpacing/>
              <w:jc w:val="center"/>
              <w:rPr>
                <w:rFonts w:ascii="Arial" w:hAnsi="Arial" w:cs="Arial"/>
                <w:b/>
                <w:lang w:val="en-GB"/>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180</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180</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Herceg</w:t>
            </w:r>
            <w:r>
              <w:rPr>
                <w:rFonts w:ascii="Arial" w:hAnsi="Arial" w:cs="Arial"/>
                <w:b/>
                <w:lang w:val="en-GB"/>
              </w:rPr>
              <w:t xml:space="preserve"> </w:t>
            </w:r>
            <w:r>
              <w:rPr>
                <w:rFonts w:ascii="Arial" w:hAnsi="Arial" w:cs="Arial"/>
                <w:lang w:val="en-GB"/>
              </w:rPr>
              <w:t>Novi</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428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432</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424</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r>
      <w:tr w:rsidR="00F275D3" w:rsidTr="00F275D3">
        <w:trPr>
          <w:trHeight w:val="413"/>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Kolašin</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146</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146</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146</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440"/>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Kotor</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755</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757</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752</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440"/>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Nikšić</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708</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700</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377"/>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Podgorica</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1598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1610</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1560</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w:t>
            </w:r>
          </w:p>
        </w:tc>
      </w:tr>
      <w:tr w:rsidR="00F275D3" w:rsidTr="00F275D3">
        <w:trPr>
          <w:trHeight w:val="406"/>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Pljevlja</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496</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496</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488</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368"/>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Rožaje</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238</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238</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413"/>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Ulcinj</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282</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282</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282</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409"/>
        </w:trPr>
        <w:tc>
          <w:tcPr>
            <w:tcW w:w="79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22</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6.808</w:t>
            </w:r>
          </w:p>
        </w:tc>
        <w:tc>
          <w:tcPr>
            <w:tcW w:w="59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3</w:t>
            </w:r>
          </w:p>
        </w:tc>
        <w:tc>
          <w:tcPr>
            <w:tcW w:w="508"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6.830</w:t>
            </w:r>
          </w:p>
        </w:tc>
        <w:tc>
          <w:tcPr>
            <w:tcW w:w="6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6.736</w:t>
            </w:r>
          </w:p>
        </w:tc>
        <w:tc>
          <w:tcPr>
            <w:tcW w:w="55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58</w:t>
            </w:r>
          </w:p>
        </w:tc>
        <w:tc>
          <w:tcPr>
            <w:tcW w:w="65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36</w:t>
            </w:r>
          </w:p>
        </w:tc>
      </w:tr>
    </w:tbl>
    <w:p w:rsidR="00F275D3" w:rsidRDefault="00F275D3" w:rsidP="00F275D3">
      <w:pPr>
        <w:pStyle w:val="ListParagraph"/>
        <w:autoSpaceDE w:val="0"/>
        <w:autoSpaceDN w:val="0"/>
        <w:adjustRightInd w:val="0"/>
        <w:ind w:left="0" w:firstLine="720"/>
        <w:jc w:val="both"/>
        <w:rPr>
          <w:rFonts w:ascii="Arial" w:hAnsi="Arial" w:cs="Arial"/>
        </w:rPr>
      </w:pPr>
    </w:p>
    <w:p w:rsidR="00F275D3" w:rsidRDefault="00F275D3" w:rsidP="00F275D3">
      <w:pPr>
        <w:autoSpaceDE w:val="0"/>
        <w:autoSpaceDN w:val="0"/>
        <w:adjustRightInd w:val="0"/>
        <w:jc w:val="both"/>
        <w:rPr>
          <w:rFonts w:ascii="Arial" w:eastAsia="Times New Roman" w:hAnsi="Arial" w:cs="Arial"/>
          <w:b/>
          <w:sz w:val="18"/>
          <w:szCs w:val="18"/>
        </w:rPr>
      </w:pPr>
      <w:r>
        <w:rPr>
          <w:rFonts w:ascii="Arial" w:hAnsi="Arial" w:cs="Arial"/>
          <w:b/>
          <w:sz w:val="18"/>
          <w:szCs w:val="18"/>
        </w:rPr>
        <w:t xml:space="preserve">  </w:t>
      </w:r>
      <w:r>
        <w:rPr>
          <w:rFonts w:ascii="Arial" w:eastAsia="Times New Roman" w:hAnsi="Arial" w:cs="Arial"/>
          <w:b/>
          <w:sz w:val="18"/>
          <w:szCs w:val="18"/>
        </w:rPr>
        <w:tab/>
      </w:r>
      <w:r>
        <w:rPr>
          <w:rFonts w:ascii="Arial" w:hAnsi="Arial" w:cs="Arial"/>
          <w:sz w:val="24"/>
          <w:szCs w:val="24"/>
        </w:rPr>
        <w:t>Napomena: Osnovni sud u Žabljaku i Osnovni sud u Plavu u posmatranom periodu nijesu povjeravali ostavinske predmete na rješavanje notarima, jer isti još nijesu imenovani za službena područja ovih sudova.</w:t>
      </w: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 xml:space="preserve">Kada su u pitanju zbirni podaci o svim ostavinskim predmetima koji su se nalazili u radu kod suda, a od kojih je veliki broj povjeren u rad notarima, možemo konstatovati da su osnovni sudovi u posmatranom periodu primili u rad ukupno 7.796 ostavinskih predmeta, tako da su zajedno sa ostavinskim predmetima prenesenim iz prethodnog perioda – 298, imali u </w:t>
      </w:r>
      <w:r>
        <w:rPr>
          <w:rFonts w:ascii="Arial" w:hAnsi="Arial" w:cs="Arial"/>
          <w:sz w:val="24"/>
          <w:szCs w:val="24"/>
          <w:lang w:val="sr-Latn-CS"/>
        </w:rPr>
        <w:lastRenderedPageBreak/>
        <w:t>radu 8.094 predmeta. Od navedenog broja notarima je povjereno u rad 6.736 predmeta ili 86,40% od broja primljenih ostavinskih predmeta u posmatranom periodu. Od ukupnog broja ostavinskih predmeta koji su ostali u nadležnost suda – 1.358 predmeta, sudovi su u posmatranom periodu riješili 1.082 predmeta ili 79,68%, dok je ostalo neriješeno 276 predmeta ili 20,32%. Posmatrajući osnovne sudove pojedinačno, zapaža se da su pojedini osnovni sudovi ostvarili odlične rezultate u rješavanju ove vrste predmeta u posmatranom periodu, pri čemu se mogu izdvojiti: Osnovni sud u Danilovgradu, Osnovni sud u Kola</w:t>
      </w:r>
      <w:r>
        <w:rPr>
          <w:rFonts w:ascii="Arial" w:hAnsi="Arial" w:cs="Arial"/>
          <w:sz w:val="24"/>
          <w:szCs w:val="24"/>
          <w:lang w:val="sr-Latn-ME"/>
        </w:rPr>
        <w:t>š</w:t>
      </w:r>
      <w:r>
        <w:rPr>
          <w:rFonts w:ascii="Arial" w:hAnsi="Arial" w:cs="Arial"/>
          <w:sz w:val="24"/>
          <w:szCs w:val="24"/>
          <w:lang w:val="sr-Latn-CS"/>
        </w:rPr>
        <w:t>inu i Osnovni sud u Pljeviljima koji su riješili sve ostavinske predmete, te Osnovni sud u Plavu koji je riješio 97,67%, Osnovni sud u Žabljaku koji je riješio 96,18%, Osnovni sud u Bijelom Polju koji je riješio 96,15% i Osnovni sud u Beranama koji je riješio 91,30% od broja predmeta u radu. Većina osnovnih sudova ostvarila je visok procenat riješenih predmeta ove vrste.</w:t>
      </w:r>
    </w:p>
    <w:p w:rsidR="00F275D3" w:rsidRDefault="00F275D3" w:rsidP="00F275D3">
      <w:pPr>
        <w:pStyle w:val="T30X"/>
        <w:spacing w:before="0"/>
        <w:ind w:left="-284" w:firstLine="1004"/>
        <w:rPr>
          <w:rFonts w:ascii="Arial" w:hAnsi="Arial" w:cs="Arial"/>
          <w:color w:val="auto"/>
          <w:sz w:val="24"/>
          <w:szCs w:val="24"/>
        </w:rPr>
      </w:pPr>
      <w:r>
        <w:rPr>
          <w:rFonts w:ascii="Arial" w:hAnsi="Arial" w:cs="Arial"/>
          <w:color w:val="auto"/>
          <w:sz w:val="24"/>
          <w:szCs w:val="24"/>
        </w:rPr>
        <w:t>Podaci o rješavanju ostavinskih predmeta (zbirni podaci upisnika “O” i “O-n”) u</w:t>
      </w:r>
      <w:r>
        <w:rPr>
          <w:rFonts w:ascii="Arial" w:hAnsi="Arial" w:cs="Arial"/>
          <w:color w:val="auto"/>
          <w:sz w:val="24"/>
          <w:szCs w:val="24"/>
          <w:lang w:val="hr-BA" w:eastAsia="hr-BA"/>
        </w:rPr>
        <w:t xml:space="preserve"> periodu 01. januar 2019 - 31. decembar 2019. godine,</w:t>
      </w:r>
      <w:r>
        <w:rPr>
          <w:rFonts w:ascii="Arial" w:hAnsi="Arial" w:cs="Arial"/>
          <w:color w:val="auto"/>
          <w:sz w:val="24"/>
          <w:szCs w:val="24"/>
        </w:rPr>
        <w:t xml:space="preserve"> u osnovnim sudovima, prikazani su u tabeli koja slijedi</w:t>
      </w:r>
    </w:p>
    <w:p w:rsidR="00F275D3" w:rsidRDefault="00F275D3" w:rsidP="00F275D3">
      <w:pPr>
        <w:pStyle w:val="T30X"/>
        <w:spacing w:before="0"/>
        <w:ind w:left="-284" w:firstLine="1004"/>
        <w:rPr>
          <w:rFonts w:ascii="Arial" w:hAnsi="Arial" w:cs="Arial"/>
          <w:color w:val="FF0000"/>
          <w:sz w:val="24"/>
          <w:szCs w:val="24"/>
        </w:rPr>
      </w:pPr>
    </w:p>
    <w:p w:rsidR="00F275D3" w:rsidRDefault="00F275D3" w:rsidP="00F275D3">
      <w:pPr>
        <w:pStyle w:val="T30X"/>
        <w:spacing w:before="0"/>
        <w:ind w:left="-284" w:firstLine="1004"/>
        <w:rPr>
          <w:rFonts w:ascii="Arial" w:hAnsi="Arial" w:cs="Arial"/>
          <w:b/>
          <w:color w:val="auto"/>
          <w:sz w:val="24"/>
          <w:szCs w:val="24"/>
        </w:rPr>
      </w:pPr>
      <w:r>
        <w:rPr>
          <w:rFonts w:ascii="Arial" w:hAnsi="Arial" w:cs="Arial"/>
          <w:b/>
          <w:color w:val="auto"/>
          <w:sz w:val="24"/>
          <w:szCs w:val="24"/>
        </w:rPr>
        <w:t>Tabela 6</w:t>
      </w:r>
    </w:p>
    <w:p w:rsidR="00F275D3" w:rsidRDefault="00F275D3" w:rsidP="00F275D3">
      <w:pPr>
        <w:autoSpaceDE w:val="0"/>
        <w:autoSpaceDN w:val="0"/>
        <w:adjustRightInd w:val="0"/>
        <w:jc w:val="both"/>
        <w:rPr>
          <w:rFonts w:ascii="Arial" w:eastAsia="Times New Roman" w:hAnsi="Arial" w:cs="Arial"/>
          <w:b/>
          <w:sz w:val="18"/>
          <w:szCs w:val="18"/>
        </w:rPr>
      </w:pPr>
    </w:p>
    <w:tbl>
      <w:tblPr>
        <w:tblStyle w:val="TableGrid2"/>
        <w:tblpPr w:leftFromText="180" w:rightFromText="180" w:vertAnchor="text" w:horzAnchor="margin" w:tblpXSpec="center" w:tblpY="224"/>
        <w:tblW w:w="6439" w:type="pct"/>
        <w:tblInd w:w="0" w:type="dxa"/>
        <w:tblLook w:val="04A0" w:firstRow="1" w:lastRow="0" w:firstColumn="1" w:lastColumn="0" w:noHBand="0" w:noVBand="1"/>
      </w:tblPr>
      <w:tblGrid>
        <w:gridCol w:w="1444"/>
        <w:gridCol w:w="1431"/>
        <w:gridCol w:w="1264"/>
        <w:gridCol w:w="1074"/>
        <w:gridCol w:w="1377"/>
        <w:gridCol w:w="1430"/>
        <w:gridCol w:w="1430"/>
        <w:gridCol w:w="1163"/>
        <w:gridCol w:w="1428"/>
      </w:tblGrid>
      <w:tr w:rsidR="00F275D3" w:rsidTr="00F275D3">
        <w:trPr>
          <w:cantSplit/>
          <w:trHeight w:val="1431"/>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SUD</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Neriješeno na dan 01.01.2019. godine</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Primljeno u 2019. godini</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 u radu u 2019. godini</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 povjereno notaru</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Riješeno do 31.12.2019. godine</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Neriješeno na dan 31.12.2019.</w:t>
            </w:r>
          </w:p>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godine</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 riješenih</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 neriješenih</w:t>
            </w:r>
          </w:p>
        </w:tc>
      </w:tr>
      <w:tr w:rsidR="00F275D3" w:rsidTr="00F275D3">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Berane</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678</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685</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662</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91,30%</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8,70%</w:t>
            </w:r>
          </w:p>
        </w:tc>
      </w:tr>
      <w:tr w:rsidR="00F275D3" w:rsidTr="00F275D3">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Bijelo</w:t>
            </w:r>
            <w:r>
              <w:rPr>
                <w:rFonts w:ascii="Arial" w:hAnsi="Arial" w:cs="Arial"/>
                <w:b/>
                <w:lang w:val="en-GB"/>
              </w:rPr>
              <w:t xml:space="preserve"> </w:t>
            </w:r>
            <w:r>
              <w:rPr>
                <w:rFonts w:ascii="Arial" w:hAnsi="Arial" w:cs="Arial"/>
                <w:lang w:val="en-GB"/>
              </w:rPr>
              <w:t>Polje</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679</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681</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629</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96,15%</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3,85%</w:t>
            </w:r>
          </w:p>
        </w:tc>
      </w:tr>
      <w:tr w:rsidR="00F275D3" w:rsidTr="00F275D3">
        <w:trPr>
          <w:trHeight w:val="332"/>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Bar</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24</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556</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580</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498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54</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65,85%</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34,15%</w:t>
            </w:r>
          </w:p>
        </w:tc>
      </w:tr>
      <w:tr w:rsidR="00F275D3" w:rsidTr="00F275D3">
        <w:trPr>
          <w:trHeight w:val="35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Cetinje</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204</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207</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177</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90,00%</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10,00%</w:t>
            </w:r>
          </w:p>
        </w:tc>
      </w:tr>
      <w:tr w:rsidR="00F275D3" w:rsidTr="00F275D3">
        <w:trPr>
          <w:trHeight w:val="620"/>
        </w:trPr>
        <w:tc>
          <w:tcPr>
            <w:tcW w:w="599"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b/>
                <w:lang w:val="en-GB"/>
              </w:rPr>
            </w:pPr>
          </w:p>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Danilovgrad</w:t>
            </w:r>
          </w:p>
          <w:p w:rsidR="00F275D3" w:rsidRDefault="00F275D3">
            <w:pPr>
              <w:autoSpaceDE w:val="0"/>
              <w:autoSpaceDN w:val="0"/>
              <w:adjustRightInd w:val="0"/>
              <w:spacing w:after="0" w:line="240" w:lineRule="auto"/>
              <w:contextualSpacing/>
              <w:jc w:val="center"/>
              <w:rPr>
                <w:rFonts w:ascii="Arial" w:hAnsi="Arial" w:cs="Arial"/>
                <w:b/>
                <w:lang w:val="en-GB"/>
              </w:rPr>
            </w:pP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193</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197</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83"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lang w:val="en-GB"/>
              </w:rPr>
            </w:pPr>
          </w:p>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593" w:type="pct"/>
            <w:tcBorders>
              <w:top w:val="single" w:sz="4" w:space="0" w:color="auto"/>
              <w:left w:val="single" w:sz="4" w:space="0" w:color="auto"/>
              <w:bottom w:val="single" w:sz="4" w:space="0" w:color="auto"/>
              <w:right w:val="single" w:sz="4" w:space="0" w:color="auto"/>
            </w:tcBorders>
            <w:vAlign w:val="center"/>
          </w:tcPr>
          <w:p w:rsidR="00F275D3" w:rsidRDefault="00F275D3">
            <w:pPr>
              <w:autoSpaceDE w:val="0"/>
              <w:autoSpaceDN w:val="0"/>
              <w:adjustRightInd w:val="0"/>
              <w:spacing w:after="0" w:line="240" w:lineRule="auto"/>
              <w:contextualSpacing/>
              <w:jc w:val="center"/>
              <w:rPr>
                <w:rFonts w:ascii="Arial" w:hAnsi="Arial" w:cs="Arial"/>
                <w:lang w:val="en-GB"/>
              </w:rPr>
            </w:pPr>
          </w:p>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lang w:val="en-GB"/>
              </w:rPr>
              <w:t>Herceg</w:t>
            </w:r>
            <w:r>
              <w:rPr>
                <w:rFonts w:ascii="Arial" w:hAnsi="Arial" w:cs="Arial"/>
                <w:b/>
                <w:lang w:val="en-GB"/>
              </w:rPr>
              <w:t xml:space="preserve"> </w:t>
            </w:r>
            <w:r>
              <w:rPr>
                <w:rFonts w:ascii="Arial" w:hAnsi="Arial" w:cs="Arial"/>
                <w:lang w:val="en-GB"/>
              </w:rPr>
              <w:t>Novi</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500</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519</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424</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71,58%</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28,42%</w:t>
            </w:r>
          </w:p>
        </w:tc>
      </w:tr>
      <w:tr w:rsidR="00F275D3" w:rsidTr="00F275D3">
        <w:trPr>
          <w:trHeight w:val="413"/>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Kolašin</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156</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158</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146</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Kotor</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63</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866</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929</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752</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123</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54</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69,49%</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30,51%</w:t>
            </w:r>
          </w:p>
        </w:tc>
      </w:tr>
      <w:tr w:rsidR="00F275D3" w:rsidTr="00F275D3">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Nikšić</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753</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764</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90,62%</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9,38%</w:t>
            </w:r>
          </w:p>
        </w:tc>
      </w:tr>
      <w:tr w:rsidR="00F275D3" w:rsidTr="00F275D3">
        <w:trPr>
          <w:trHeight w:val="440"/>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Plav</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208</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215</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97,67%</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2,33%</w:t>
            </w:r>
          </w:p>
        </w:tc>
      </w:tr>
      <w:tr w:rsidR="00F275D3" w:rsidTr="00F275D3">
        <w:trPr>
          <w:trHeight w:val="377"/>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Podgorica</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133</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1772</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1905</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1560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225</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120</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65,22%</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34,78%</w:t>
            </w:r>
          </w:p>
        </w:tc>
      </w:tr>
      <w:tr w:rsidR="00F275D3" w:rsidTr="00F275D3">
        <w:trPr>
          <w:trHeight w:val="406"/>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Pljevlja</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503</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504</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F275D3" w:rsidTr="00F275D3">
        <w:trPr>
          <w:trHeight w:val="368"/>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Rožaje</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247</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247</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88,89%</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11,11%</w:t>
            </w:r>
          </w:p>
        </w:tc>
      </w:tr>
      <w:tr w:rsidR="00F275D3" w:rsidTr="00F275D3">
        <w:trPr>
          <w:trHeight w:val="413"/>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Ulcinj</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351</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372</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282</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67</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74,44%</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25,56%</w:t>
            </w:r>
          </w:p>
        </w:tc>
      </w:tr>
      <w:tr w:rsidR="00F275D3" w:rsidTr="00F275D3">
        <w:trPr>
          <w:trHeight w:val="416"/>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lastRenderedPageBreak/>
              <w:t>Žabljak</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130</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131</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126</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96,18%</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3,82%</w:t>
            </w:r>
          </w:p>
        </w:tc>
      </w:tr>
      <w:tr w:rsidR="00F275D3" w:rsidTr="00F275D3">
        <w:trPr>
          <w:trHeight w:val="409"/>
        </w:trPr>
        <w:tc>
          <w:tcPr>
            <w:tcW w:w="599"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298</w:t>
            </w:r>
          </w:p>
        </w:tc>
        <w:tc>
          <w:tcPr>
            <w:tcW w:w="525"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7.796</w:t>
            </w:r>
          </w:p>
        </w:tc>
        <w:tc>
          <w:tcPr>
            <w:tcW w:w="446"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8.094</w:t>
            </w:r>
          </w:p>
        </w:tc>
        <w:tc>
          <w:tcPr>
            <w:tcW w:w="572"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6.736</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1.082</w:t>
            </w:r>
          </w:p>
        </w:tc>
        <w:tc>
          <w:tcPr>
            <w:tcW w:w="594"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276</w:t>
            </w:r>
          </w:p>
        </w:tc>
        <w:tc>
          <w:tcPr>
            <w:tcW w:w="48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79,68%</w:t>
            </w:r>
          </w:p>
        </w:tc>
        <w:tc>
          <w:tcPr>
            <w:tcW w:w="593" w:type="pct"/>
            <w:tcBorders>
              <w:top w:val="single" w:sz="4" w:space="0" w:color="auto"/>
              <w:left w:val="single" w:sz="4" w:space="0" w:color="auto"/>
              <w:bottom w:val="single" w:sz="4" w:space="0" w:color="auto"/>
              <w:right w:val="single" w:sz="4" w:space="0" w:color="auto"/>
            </w:tcBorders>
            <w:vAlign w:val="center"/>
            <w:hideMark/>
          </w:tcPr>
          <w:p w:rsidR="00F275D3" w:rsidRDefault="00F275D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20,32%</w:t>
            </w:r>
          </w:p>
        </w:tc>
      </w:tr>
    </w:tbl>
    <w:p w:rsidR="00F275D3" w:rsidRDefault="00F275D3" w:rsidP="00C63A1E">
      <w:pPr>
        <w:autoSpaceDE w:val="0"/>
        <w:autoSpaceDN w:val="0"/>
        <w:adjustRightInd w:val="0"/>
        <w:spacing w:after="0" w:line="240" w:lineRule="auto"/>
        <w:jc w:val="both"/>
        <w:rPr>
          <w:rFonts w:ascii="Arial" w:hAnsi="Arial" w:cs="Arial"/>
          <w:sz w:val="24"/>
          <w:szCs w:val="24"/>
        </w:rPr>
      </w:pPr>
    </w:p>
    <w:p w:rsidR="00F275D3" w:rsidRDefault="00F275D3" w:rsidP="00F275D3">
      <w:pPr>
        <w:autoSpaceDE w:val="0"/>
        <w:autoSpaceDN w:val="0"/>
        <w:adjustRightInd w:val="0"/>
        <w:spacing w:after="0" w:line="240" w:lineRule="auto"/>
        <w:ind w:left="-284" w:firstLine="1004"/>
        <w:jc w:val="both"/>
        <w:rPr>
          <w:rFonts w:ascii="Arial" w:hAnsi="Arial" w:cs="Arial"/>
          <w:sz w:val="24"/>
          <w:szCs w:val="24"/>
        </w:rPr>
      </w:pPr>
    </w:p>
    <w:p w:rsidR="00F275D3" w:rsidRDefault="00F275D3" w:rsidP="00F275D3">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t xml:space="preserve">Razlika u podacima o broju ostavinskih predmeta koji su u posmatranom periodu povjereni u rad notarima, koja iznosi 25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F275D3" w:rsidRDefault="00F275D3" w:rsidP="00F275D3">
      <w:pPr>
        <w:autoSpaceDE w:val="0"/>
        <w:autoSpaceDN w:val="0"/>
        <w:adjustRightInd w:val="0"/>
        <w:spacing w:after="0" w:line="240" w:lineRule="auto"/>
        <w:jc w:val="center"/>
        <w:rPr>
          <w:rFonts w:ascii="Arial" w:hAnsi="Arial" w:cs="Arial"/>
          <w:b/>
          <w:sz w:val="24"/>
          <w:szCs w:val="24"/>
        </w:rPr>
      </w:pPr>
    </w:p>
    <w:p w:rsidR="00F275D3" w:rsidRDefault="00F275D3" w:rsidP="00F275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IV NADZOR NAD RADOM NOTARA U OSTAVINSKIM PREDMETIMA</w:t>
      </w:r>
    </w:p>
    <w:p w:rsidR="00F275D3" w:rsidRDefault="00F275D3" w:rsidP="00F275D3">
      <w:pPr>
        <w:autoSpaceDE w:val="0"/>
        <w:autoSpaceDN w:val="0"/>
        <w:adjustRightInd w:val="0"/>
        <w:spacing w:after="0" w:line="240" w:lineRule="auto"/>
        <w:jc w:val="center"/>
        <w:rPr>
          <w:rFonts w:ascii="Arial" w:hAnsi="Arial" w:cs="Arial"/>
          <w:b/>
          <w:sz w:val="24"/>
          <w:szCs w:val="24"/>
        </w:rPr>
      </w:pPr>
    </w:p>
    <w:p w:rsidR="00F275D3" w:rsidRDefault="00F275D3" w:rsidP="00F275D3">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Nadzor nad radom notara u ostavinskim predmetima vrši predsjednik suda koji mu je povjerio sprovođenje ostavinskog postupka. </w:t>
      </w:r>
    </w:p>
    <w:p w:rsidR="00F275D3" w:rsidRDefault="00F275D3" w:rsidP="00F275D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Prema podacima pribavljenim od osnovnih sudova, nad</w:t>
      </w:r>
      <w:r>
        <w:rPr>
          <w:rFonts w:ascii="Arial" w:hAnsi="Arial" w:cs="Arial"/>
          <w:sz w:val="24"/>
          <w:szCs w:val="24"/>
          <w:lang w:val="sr-Latn-ME"/>
        </w:rPr>
        <w:t>zorom</w:t>
      </w:r>
      <w:r>
        <w:rPr>
          <w:rFonts w:ascii="Arial" w:hAnsi="Arial" w:cs="Arial"/>
          <w:sz w:val="24"/>
          <w:szCs w:val="24"/>
        </w:rPr>
        <w:t xml:space="preserve"> nad radom notara u povjerenim ostavinskim predmetima, u posmatranom periodu, utvrđeno je sljedeće:</w:t>
      </w:r>
    </w:p>
    <w:p w:rsidR="00F275D3" w:rsidRDefault="00F275D3" w:rsidP="00F275D3">
      <w:pPr>
        <w:autoSpaceDE w:val="0"/>
        <w:autoSpaceDN w:val="0"/>
        <w:adjustRightInd w:val="0"/>
        <w:spacing w:after="0" w:line="240" w:lineRule="auto"/>
        <w:ind w:firstLine="720"/>
        <w:jc w:val="both"/>
        <w:rPr>
          <w:rFonts w:ascii="Arial" w:hAnsi="Arial" w:cs="Arial"/>
          <w:b/>
          <w:sz w:val="24"/>
          <w:szCs w:val="24"/>
        </w:rPr>
      </w:pP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Na području Osnovnog suda u Beranama dva notara postupaju u skladu sa zakonom u svim povjerenim ostavinskim predmetima, dok je kod jednog notara utvrđen određeni broj neriješenih predmeta iz ranijih godina (2015., 2016. i 2017.), zbog čega mu je naloženo da ove predmete riješi u roku od tri mjeseca i da o tome podnese izvještaj sudu. Notar je postupio po navedenom nalogu suda, o čemu je podnio izvještaj iz kojeg proizilazi da je riješio gotovo sve zaostale predmete iz 2015. i 2016. godine, kao i pretežan broj predmeta iz 2017. godine;</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Na području Osnovnog suda u Bijelom Polju notari u povjerenim ostavinskim predmetima postupaju savjesno, stručno i efikasno;</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Na području Osnovnog suda u Danilovgradu notari u ostavinskim predmetima postupaju u skladu sa zakonom, tako da nije bilo nepravilnosti u njihovom radu, kao ni pritužbi na njihov rad u tim predmetima;</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Na području Osnovnog suda u Kolašinu notar u svim povjerenim ostavinskim predmetima postupa ažurno i u skladu zakonom;</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 xml:space="preserve"> Na području Osnovnog suda u Kotoru notari u ostavinskim predmetima postupaju u skladu sa zakonom. Ni u jednom pregledanom predmetu nije uočena nepravilnost u postupanju notara;</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Na području Osnovnog suda u Pljevljima notar u ostavinskim predmetima postupa u skladu sa zakonom. U svim predmetima notar je uredno zakazivao ročišta, pozivao nasljednike, uzimao nasljedničke izjave, donosio rješenja o nasljeđivanju i ista dostavljao sudu i strankama;</w:t>
      </w:r>
      <w:r>
        <w:rPr>
          <w:rFonts w:ascii="Arial" w:hAnsi="Arial" w:cs="Arial"/>
          <w:sz w:val="24"/>
          <w:szCs w:val="24"/>
        </w:rPr>
        <w:tab/>
        <w:t xml:space="preserve"> </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rPr>
        <w:t xml:space="preserve">Na području Osnovnog suda u Podgorici nije bilo nepravilnosti u radu notara u povjerenim ostavinskim predmetima; </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lang w:val="sr-Latn-ME"/>
        </w:rPr>
        <w:t xml:space="preserve">Na području Osnovnog suda u Rožajama kod jednog notara utvrđen je niz nepravilnosti u radu u povjerenim ostavinskim predmetima, a iste se odnose na: neblagovremeno uzimanje u rad i zakazivanje povjerenih ostavinskih predmeta; nepostojanje zapisnika sa zakaznih ročišta, kao ni dostavnica o izvršenoj dostavi; postavljanje privremenog staraoca nasljednicima suprotno zakonu-kada za to nijesu </w:t>
      </w:r>
      <w:r>
        <w:rPr>
          <w:rFonts w:ascii="Arial" w:hAnsi="Arial" w:cs="Arial"/>
          <w:sz w:val="24"/>
          <w:szCs w:val="24"/>
          <w:lang w:val="sr-Latn-ME"/>
        </w:rPr>
        <w:lastRenderedPageBreak/>
        <w:t>ispunjeni uslovi; odlaganje u spisima predmeta blanko potpisanih dostavnica za lično dostavljanje. Sud je sugerisao notaru da otkloni sve navedene nepravilnosti u radu u povjerenim ostavinskim predmetima;</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lang w:val="sr-Latn-ME"/>
        </w:rPr>
        <w:t>Na području Osnovnog suda u Ulcinju nijesu utvrđene nepravilnosti ili nezakonitosti u radu notara u povjerenim ostavinskim predmetima;</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lang w:val="sr-Latn-ME"/>
        </w:rPr>
        <w:t>Na području Osnovnog suda u Herceg Novom notari u povjerenim ostavinskim predmetima  postupaju  u skladu sa zakonom;</w:t>
      </w:r>
    </w:p>
    <w:p w:rsidR="00F275D3" w:rsidRDefault="00F275D3" w:rsidP="00F275D3">
      <w:pPr>
        <w:pStyle w:val="ListParagraph"/>
        <w:numPr>
          <w:ilvl w:val="0"/>
          <w:numId w:val="4"/>
        </w:numPr>
        <w:autoSpaceDE w:val="0"/>
        <w:autoSpaceDN w:val="0"/>
        <w:adjustRightInd w:val="0"/>
        <w:spacing w:after="0" w:line="240" w:lineRule="auto"/>
        <w:ind w:left="0" w:firstLine="720"/>
        <w:jc w:val="both"/>
        <w:rPr>
          <w:rFonts w:ascii="Arial" w:hAnsi="Arial" w:cs="Arial"/>
          <w:sz w:val="24"/>
          <w:szCs w:val="24"/>
        </w:rPr>
      </w:pPr>
      <w:r>
        <w:rPr>
          <w:rFonts w:ascii="Arial" w:hAnsi="Arial" w:cs="Arial"/>
          <w:sz w:val="24"/>
          <w:szCs w:val="24"/>
          <w:lang w:val="sr-Latn-ME"/>
        </w:rPr>
        <w:t xml:space="preserve"> Na području Osnovnog suda u Cetinju nijesu utvrđene nepravilnosti u postupanju notara u povjerenim ostavinskim predmetima.</w:t>
      </w:r>
    </w:p>
    <w:p w:rsidR="00F275D3" w:rsidRDefault="00F275D3" w:rsidP="00F275D3">
      <w:pPr>
        <w:pStyle w:val="ListParagraph"/>
        <w:autoSpaceDE w:val="0"/>
        <w:autoSpaceDN w:val="0"/>
        <w:adjustRightInd w:val="0"/>
        <w:spacing w:after="0" w:line="240" w:lineRule="auto"/>
        <w:jc w:val="both"/>
        <w:rPr>
          <w:rFonts w:ascii="Arial" w:hAnsi="Arial" w:cs="Arial"/>
          <w:sz w:val="24"/>
          <w:szCs w:val="24"/>
          <w:lang w:val="sr-Latn-ME"/>
        </w:rPr>
      </w:pPr>
    </w:p>
    <w:p w:rsidR="00F275D3" w:rsidRDefault="00F275D3" w:rsidP="00F275D3">
      <w:pPr>
        <w:spacing w:after="0" w:line="240" w:lineRule="auto"/>
        <w:ind w:firstLine="720"/>
        <w:jc w:val="both"/>
        <w:rPr>
          <w:rFonts w:ascii="Arial" w:hAnsi="Arial" w:cs="Arial"/>
          <w:sz w:val="24"/>
          <w:szCs w:val="24"/>
          <w:lang w:val="sr-Latn-ME"/>
        </w:rPr>
      </w:pPr>
      <w:r>
        <w:rPr>
          <w:rFonts w:ascii="Arial" w:hAnsi="Arial" w:cs="Arial"/>
          <w:sz w:val="24"/>
          <w:szCs w:val="24"/>
        </w:rPr>
        <w:t>Osnovni sud u Baru u posmatranom periodu nije vršio nadzor nad radom notara u povjerenim ostavinskim predmetima jer, kako je navedeno, nije bilo povoda za vršenje nadzora. Takođe, ni Osnovni sud u Nikšiću u posmatranom periodu nije vršio nadzor nad radom notara u povjerenim ostavinskim predmetima jer, kako je navedeno, nije bilo primjedbi na rad notara u ovoj vrsti predmeta, kao ni oduzimanja predmeta od notara, a nijesu uočene ni nepravilnosti u pravosnažno okončanim predmetima.</w:t>
      </w:r>
    </w:p>
    <w:p w:rsidR="00F275D3" w:rsidRDefault="00F275D3" w:rsidP="00F275D3">
      <w:pPr>
        <w:autoSpaceDE w:val="0"/>
        <w:autoSpaceDN w:val="0"/>
        <w:adjustRightInd w:val="0"/>
        <w:spacing w:after="0" w:line="240" w:lineRule="auto"/>
        <w:ind w:firstLine="720"/>
        <w:jc w:val="both"/>
        <w:rPr>
          <w:rFonts w:ascii="Arial" w:hAnsi="Arial" w:cs="Arial"/>
          <w:sz w:val="24"/>
          <w:szCs w:val="24"/>
          <w:lang w:val="en-US"/>
        </w:rPr>
      </w:pPr>
      <w:r>
        <w:rPr>
          <w:rFonts w:ascii="Arial" w:hAnsi="Arial" w:cs="Arial"/>
          <w:sz w:val="24"/>
          <w:szCs w:val="24"/>
          <w:lang w:val="sr-Latn-ME"/>
        </w:rPr>
        <w:t>Iz navedenih podataka se zaključuje da su notari u posmatranom periodu u povjerenim ostavinskim predmetima postupali u skladu sa zakonom, osim jedan notar sa službenog područja Osnovnog suda u Rožajama, kod kojeg su u određenim predmetima utvrđeni propusti u radu, koje je neophodno otkloniti u narednom periodu, dok je jedan notar sa službenog područja Osnovnog suda u Beranama postupio po nalogu suda i uspješno preduzeo radnje u pravcu rješavanja zaostalih predmeta iz ranijeg perioda.</w:t>
      </w:r>
    </w:p>
    <w:p w:rsidR="00F275D3" w:rsidRDefault="00F275D3" w:rsidP="00F275D3">
      <w:pPr>
        <w:pStyle w:val="ListParagraph"/>
        <w:autoSpaceDE w:val="0"/>
        <w:autoSpaceDN w:val="0"/>
        <w:adjustRightInd w:val="0"/>
        <w:spacing w:after="0" w:line="240" w:lineRule="auto"/>
        <w:jc w:val="both"/>
        <w:rPr>
          <w:rFonts w:ascii="Arial" w:hAnsi="Arial" w:cs="Arial"/>
          <w:sz w:val="24"/>
          <w:szCs w:val="24"/>
        </w:rPr>
      </w:pPr>
    </w:p>
    <w:p w:rsidR="00F275D3" w:rsidRDefault="00F275D3" w:rsidP="00F275D3">
      <w:pPr>
        <w:spacing w:line="240" w:lineRule="auto"/>
        <w:jc w:val="center"/>
        <w:rPr>
          <w:rFonts w:ascii="Arial" w:hAnsi="Arial" w:cs="Arial"/>
          <w:b/>
          <w:sz w:val="24"/>
          <w:szCs w:val="24"/>
          <w:lang w:val="sr-Latn-CS"/>
        </w:rPr>
      </w:pPr>
      <w:r>
        <w:rPr>
          <w:rFonts w:ascii="Arial" w:hAnsi="Arial" w:cs="Arial"/>
          <w:b/>
          <w:sz w:val="24"/>
          <w:szCs w:val="24"/>
          <w:lang w:val="sr-Latn-CS"/>
        </w:rPr>
        <w:t>V OBUKE NOTARA I SUDIJA NA TEMU SPROVOĐENJA OSTAVINSKOG POSTUPKA</w:t>
      </w:r>
    </w:p>
    <w:p w:rsidR="00F275D3" w:rsidRDefault="00F275D3" w:rsidP="00F275D3">
      <w:pPr>
        <w:autoSpaceDE w:val="0"/>
        <w:autoSpaceDN w:val="0"/>
        <w:adjustRightInd w:val="0"/>
        <w:spacing w:after="0" w:line="240" w:lineRule="auto"/>
        <w:ind w:firstLine="720"/>
        <w:jc w:val="both"/>
        <w:rPr>
          <w:rFonts w:ascii="Arial" w:hAnsi="Arial" w:cs="Arial"/>
          <w:sz w:val="24"/>
          <w:szCs w:val="24"/>
          <w:lang w:val="en-US"/>
        </w:rPr>
      </w:pPr>
      <w:r>
        <w:rPr>
          <w:rFonts w:ascii="Arial" w:hAnsi="Arial" w:cs="Arial"/>
          <w:sz w:val="24"/>
          <w:szCs w:val="24"/>
        </w:rPr>
        <w:t>Notarska komora je</w:t>
      </w:r>
      <w:r w:rsidR="00B65264">
        <w:rPr>
          <w:rFonts w:ascii="Arial" w:hAnsi="Arial" w:cs="Arial"/>
          <w:sz w:val="24"/>
          <w:szCs w:val="24"/>
        </w:rPr>
        <w:t>,</w:t>
      </w:r>
      <w:r>
        <w:rPr>
          <w:rFonts w:ascii="Arial" w:hAnsi="Arial" w:cs="Arial"/>
          <w:sz w:val="24"/>
          <w:szCs w:val="24"/>
        </w:rPr>
        <w:t xml:space="preserve"> u posmatranom periodu, u saradnji sa Centrom za obuku u sudstvu i državnom tužilaštvu, organizovala jednu obuku za notare na temu ostavinskog postupka. </w:t>
      </w:r>
    </w:p>
    <w:p w:rsidR="00F275D3" w:rsidRDefault="00F275D3" w:rsidP="00F275D3">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Centar za obuku u sudstvu i državnom tužilaštvu u okviru Programa za kontinuiranu obuku sudija i državnih tužilaca u posmatranom periodu nije organizovao obuke na temu ostavinskog postupka. </w:t>
      </w: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F275D3">
      <w:pPr>
        <w:tabs>
          <w:tab w:val="left" w:pos="1935"/>
        </w:tabs>
        <w:spacing w:after="0" w:line="240" w:lineRule="auto"/>
        <w:jc w:val="center"/>
        <w:rPr>
          <w:rFonts w:ascii="Arial" w:hAnsi="Arial" w:cs="Arial"/>
          <w:b/>
          <w:color w:val="FF0000"/>
          <w:sz w:val="24"/>
          <w:szCs w:val="24"/>
          <w:lang w:val="sr-Latn-CS"/>
        </w:rPr>
      </w:pP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C63A1E">
      <w:pPr>
        <w:tabs>
          <w:tab w:val="left" w:pos="1935"/>
        </w:tabs>
        <w:spacing w:after="0" w:line="240" w:lineRule="auto"/>
        <w:rPr>
          <w:rFonts w:ascii="Arial" w:hAnsi="Arial" w:cs="Arial"/>
          <w:b/>
          <w:sz w:val="24"/>
          <w:szCs w:val="24"/>
          <w:lang w:val="sr-Latn-CS"/>
        </w:rPr>
      </w:pPr>
    </w:p>
    <w:p w:rsidR="00F275D3" w:rsidRDefault="00F275D3" w:rsidP="00F275D3">
      <w:pPr>
        <w:tabs>
          <w:tab w:val="left" w:pos="1935"/>
        </w:tabs>
        <w:spacing w:after="0" w:line="240" w:lineRule="auto"/>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B65264" w:rsidRDefault="00B65264" w:rsidP="00F275D3">
      <w:pPr>
        <w:tabs>
          <w:tab w:val="left" w:pos="1935"/>
        </w:tabs>
        <w:spacing w:after="0" w:line="240" w:lineRule="auto"/>
        <w:jc w:val="center"/>
        <w:rPr>
          <w:rFonts w:ascii="Arial" w:hAnsi="Arial" w:cs="Arial"/>
          <w:b/>
          <w:sz w:val="24"/>
          <w:szCs w:val="24"/>
          <w:lang w:val="sr-Latn-CS"/>
        </w:rPr>
      </w:pPr>
    </w:p>
    <w:p w:rsidR="00F275D3" w:rsidRDefault="00F275D3" w:rsidP="00F275D3">
      <w:pPr>
        <w:tabs>
          <w:tab w:val="left" w:pos="1935"/>
        </w:tabs>
        <w:spacing w:after="0" w:line="240" w:lineRule="auto"/>
        <w:jc w:val="center"/>
        <w:rPr>
          <w:rFonts w:ascii="Arial" w:hAnsi="Arial" w:cs="Arial"/>
          <w:b/>
          <w:sz w:val="24"/>
          <w:szCs w:val="24"/>
          <w:lang w:val="sr-Latn-CS"/>
        </w:rPr>
      </w:pPr>
      <w:r>
        <w:rPr>
          <w:rFonts w:ascii="Arial" w:hAnsi="Arial" w:cs="Arial"/>
          <w:b/>
          <w:sz w:val="24"/>
          <w:szCs w:val="24"/>
          <w:lang w:val="sr-Latn-CS"/>
        </w:rPr>
        <w:lastRenderedPageBreak/>
        <w:t>VI OCJENA STANJA</w:t>
      </w:r>
    </w:p>
    <w:p w:rsidR="00F275D3" w:rsidRDefault="00F275D3" w:rsidP="00F275D3">
      <w:pPr>
        <w:tabs>
          <w:tab w:val="left" w:pos="1935"/>
        </w:tabs>
        <w:spacing w:after="0" w:line="240" w:lineRule="auto"/>
        <w:jc w:val="center"/>
        <w:rPr>
          <w:rFonts w:ascii="Arial" w:hAnsi="Arial" w:cs="Arial"/>
          <w:b/>
          <w:sz w:val="24"/>
          <w:szCs w:val="24"/>
          <w:lang w:val="sr-Latn-CS"/>
        </w:rPr>
      </w:pP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Polazeći od rezultata rada notara u povjerenim ostavinskim predmetima, kako od broja povjerenih i riješenih predmeta tako i od zakonitosti u njihovom rješavanju, a imajući, pri tom, u vidu podatke o rasterećenju sudova od ove vrste predmeta, možemo konstatovati da je prenošenje nadležnosti za sprovođenje ostavinskog postupka sa suda na notare u posmatranom periodu dalo dobre rezultate.</w:t>
      </w:r>
    </w:p>
    <w:p w:rsidR="00F275D3" w:rsidRDefault="00F275D3" w:rsidP="00F275D3">
      <w:pPr>
        <w:spacing w:after="0" w:line="240" w:lineRule="auto"/>
        <w:ind w:firstLine="720"/>
        <w:jc w:val="both"/>
        <w:rPr>
          <w:rFonts w:ascii="Arial" w:hAnsi="Arial" w:cs="Arial"/>
          <w:sz w:val="24"/>
          <w:szCs w:val="24"/>
          <w:lang w:val="sr-Latn-CS"/>
        </w:rPr>
      </w:pPr>
      <w:r>
        <w:rPr>
          <w:rFonts w:ascii="Arial" w:hAnsi="Arial" w:cs="Arial"/>
          <w:sz w:val="24"/>
          <w:szCs w:val="24"/>
          <w:lang w:val="sr-Latn-CS"/>
        </w:rPr>
        <w:t>Naime, notarima je u posmatranom periodu</w:t>
      </w:r>
      <w:r w:rsidR="00D63124">
        <w:rPr>
          <w:rFonts w:ascii="Arial" w:hAnsi="Arial" w:cs="Arial"/>
          <w:sz w:val="24"/>
          <w:szCs w:val="24"/>
          <w:lang w:val="sr-Latn-CS"/>
        </w:rPr>
        <w:t>, prema podacima Notarske komore,</w:t>
      </w:r>
      <w:r>
        <w:rPr>
          <w:rFonts w:ascii="Arial" w:hAnsi="Arial" w:cs="Arial"/>
          <w:sz w:val="24"/>
          <w:szCs w:val="24"/>
          <w:lang w:val="sr-Latn-CS"/>
        </w:rPr>
        <w:t xml:space="preserve"> povjeren u rad 6.791 ostavinski predmet. Od navedenog broja sudu je vraćeno 29 predmeta ili 0,43% zbog nenadležnosti notara za postupanje u tim predmeta, dok je uspješno riješeno 5.265 ili 77,53%, tako da je ostalo neriješeno 1.497 predmeta ili 22,44% od broja povjerenih predmeta. Dakle, radi se o prilično visokom procentu riješenih predmeta koji, iako nešto niži u odnosu na prethodni period kada je iznosio 79,81%, upućuje na zaključak da su ostavinski predmeti u posmatranom periodu uspješno rješavani, te da treba uložiti dodatne napore kako bi navedeni procenat u narednom periodu bio još veći.</w:t>
      </w:r>
    </w:p>
    <w:p w:rsidR="00F275D3" w:rsidRDefault="00F275D3" w:rsidP="00F275D3">
      <w:pPr>
        <w:pStyle w:val="NormalWeb"/>
        <w:spacing w:before="0" w:beforeAutospacing="0" w:after="0" w:afterAutospacing="0"/>
        <w:ind w:firstLine="720"/>
        <w:jc w:val="both"/>
        <w:rPr>
          <w:rFonts w:ascii="Arial" w:hAnsi="Arial" w:cs="Arial"/>
        </w:rPr>
      </w:pPr>
      <w:r>
        <w:rPr>
          <w:rFonts w:ascii="Arial" w:hAnsi="Arial" w:cs="Arial"/>
        </w:rPr>
        <w:t xml:space="preserve">U pretežnom broju povjerenih ostavinskih predmeta postupak raspravljanja zaostavštine okončan je u zakonskom roku od 60 dana. Razlozi za prekoračenje navedenog roka u pojedinim povjerenim ostavinskim predmetima, prema pribavljenim podacima, procesne su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dostavljanje poziva i drugih akata u inostranstvo putem međunarodne pravne pomoći-zamolnica; poštovanje propisane procedure prilikom pribavljanja podataka od nadležnih organa i institucija itd. Dakle, radi se o objektivnim okolnostima na koje notari ne mogu da utiču. I pored toga, u narednom periodu treba intenzivirati preduzimanje svih odgovarajućih zakonom propisanih radnji sa ciljem uspješnog rješavanja svih povjerenih ostavinskih predmeta, a naročito onih koji datiraju iz ranijeg perioda. </w:t>
      </w:r>
    </w:p>
    <w:p w:rsidR="00F275D3" w:rsidRDefault="00F275D3" w:rsidP="00F275D3">
      <w:pPr>
        <w:spacing w:after="0" w:line="240" w:lineRule="auto"/>
        <w:ind w:firstLine="720"/>
        <w:jc w:val="both"/>
        <w:rPr>
          <w:rFonts w:ascii="Arial" w:hAnsi="Arial" w:cs="Arial"/>
          <w:sz w:val="24"/>
          <w:szCs w:val="24"/>
        </w:rPr>
      </w:pPr>
      <w:r>
        <w:rPr>
          <w:rFonts w:ascii="Arial" w:hAnsi="Arial" w:cs="Arial"/>
          <w:sz w:val="24"/>
          <w:szCs w:val="24"/>
        </w:rPr>
        <w:t>Što se tiče prigovora izjavljenih protiv rješenja notara donesenih u ostavinskom postupku može se konstatovati da je u posmatranom periodu izjavljen vrlo mali broj prigovora - 24, tako da je njihov procenat, posmatrano prema broju završenih predmeta, izuzetno nizak i iznosi 0,45%. Navedeni procenat smanjen je u odnosu na prethodni period za 0,18 ili 28,57%, jer je isti u tom periodu iznosio 0,63%. Vrlo mali broj izjavljenih prigovora upućuje na zaključak da su građani zadovoljni postupanjem notara prilikom sprovođenja ostavinskog postupka i donesenim odlukama u tom postupku, što u značajnoj mjeri doprinosi jačanju povjerenja u rad notara i osnaživanju notarske službe, kao prilično mlade službe koja je u funkciji pravosuđa.</w:t>
      </w:r>
    </w:p>
    <w:p w:rsidR="00F275D3" w:rsidRDefault="00F275D3" w:rsidP="00F275D3">
      <w:pPr>
        <w:spacing w:after="0" w:line="240" w:lineRule="auto"/>
        <w:ind w:firstLine="720"/>
        <w:jc w:val="both"/>
        <w:rPr>
          <w:rFonts w:ascii="Arial" w:hAnsi="Arial" w:cs="Arial"/>
          <w:sz w:val="24"/>
          <w:szCs w:val="24"/>
          <w:lang w:val="sr-Latn-ME"/>
        </w:rPr>
      </w:pPr>
      <w:r>
        <w:rPr>
          <w:rFonts w:ascii="Arial" w:hAnsi="Arial" w:cs="Arial"/>
          <w:sz w:val="24"/>
          <w:szCs w:val="24"/>
          <w:lang w:val="sr-Latn-ME"/>
        </w:rPr>
        <w:t>Rad i rezultati rada sudova u ostavinskim predmeta takođe su važni za pravilnu ocjenu efekata predmetne reforme. Naročito su važni podaci o rasterećenju sudova od ove vrste predmeta.</w:t>
      </w:r>
    </w:p>
    <w:p w:rsidR="00F275D3" w:rsidRDefault="00F275D3" w:rsidP="00F275D3">
      <w:pPr>
        <w:spacing w:after="0" w:line="240" w:lineRule="auto"/>
        <w:ind w:firstLine="720"/>
        <w:jc w:val="both"/>
        <w:rPr>
          <w:rFonts w:ascii="Arial" w:hAnsi="Arial" w:cs="Arial"/>
          <w:sz w:val="24"/>
          <w:szCs w:val="24"/>
          <w:lang w:val="en-US"/>
        </w:rPr>
      </w:pPr>
      <w:r>
        <w:rPr>
          <w:rFonts w:ascii="Arial" w:hAnsi="Arial" w:cs="Arial"/>
          <w:sz w:val="24"/>
          <w:szCs w:val="24"/>
          <w:lang w:val="sr-Latn-ME"/>
        </w:rPr>
        <w:t xml:space="preserve">Osnovni sudovi su u posmatranom periodu </w:t>
      </w:r>
      <w:r>
        <w:rPr>
          <w:rFonts w:ascii="Arial" w:hAnsi="Arial" w:cs="Arial"/>
          <w:sz w:val="24"/>
          <w:szCs w:val="24"/>
        </w:rPr>
        <w:t xml:space="preserve">od ukupnog broja ostavinskih predmeta u radu (“O”) – 1.264, riješili 1.024 predmeta ili 81,01%, dok je ostalo neriješeno 240 predmeta ili 18,99%. Navedeni procenat neznatno je povećan u odnosu na prethodni period u kojem je isti iznosio 80,73%. Imajući u vidu da se u nadležnosti suda nalaze </w:t>
      </w:r>
      <w:r>
        <w:rPr>
          <w:rFonts w:ascii="Arial" w:hAnsi="Arial" w:cs="Arial"/>
          <w:sz w:val="24"/>
          <w:szCs w:val="24"/>
        </w:rPr>
        <w:lastRenderedPageBreak/>
        <w:t>samo složeniji ostavinski predmeti koji zahtijevaju preduzimanje određenih specifičnih radnji prilikom njihovog rješavanja, za šta je neophodno više vremena u odnosu na druge ostavinske predmete, može  se konstatovati da su sudovi bili izuzetno uspješni u rješavanju ove vrste predmeta u posmatranom periodu.</w:t>
      </w:r>
    </w:p>
    <w:p w:rsidR="00F275D3" w:rsidRDefault="00C63A1E"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Kad</w:t>
      </w:r>
      <w:r w:rsidR="00F275D3">
        <w:rPr>
          <w:rFonts w:ascii="Arial" w:hAnsi="Arial" w:cs="Arial"/>
          <w:sz w:val="24"/>
          <w:szCs w:val="24"/>
          <w:lang w:val="sr-Latn-CS"/>
        </w:rPr>
        <w:t xml:space="preserve"> su u pitanju ostavinski predmeti koje sudovi povjeravaju u rad notarima, a koji se vode u „O-n“ upisniku, osnovni sudovi su u posmatranom periodu primili ukupno 6.808 ostavinskih predmeta, tako da su u radu, zajedno sa ostavinskim predmetima prenesenim iz prethodnog perioda – 22 predmeta, imali 6.830 predmeta. Od navedenog broja notarima je</w:t>
      </w:r>
      <w:r w:rsidR="00970E55">
        <w:rPr>
          <w:rFonts w:ascii="Arial" w:hAnsi="Arial" w:cs="Arial"/>
          <w:sz w:val="24"/>
          <w:szCs w:val="24"/>
          <w:lang w:val="sr-Latn-CS"/>
        </w:rPr>
        <w:t>, prema podacima Sudskog savjeta,</w:t>
      </w:r>
      <w:r w:rsidR="00F275D3">
        <w:rPr>
          <w:rFonts w:ascii="Arial" w:hAnsi="Arial" w:cs="Arial"/>
          <w:sz w:val="24"/>
          <w:szCs w:val="24"/>
          <w:lang w:val="sr-Latn-CS"/>
        </w:rPr>
        <w:t xml:space="preserve"> povjereno u rad 6.736 predmeta ili 98,94% od broja primljenih ostavinskih predmeta u posmatranom periodu. Od ukupnog broja ostavinskih predmeta koji su ostali u nadležnosti suda – 94 predmeta, sudovi su u posmatranom periodu riješili 58 predmeta ili 61,70%, dok je ostalo neriješeno 36 predmeta ili 38,30%. Ovi predmeti koje je rješavao sud upisani su u „O-n“ upisnik, jer je tek nakon pokretanja ostavinskog postupka utvrđeno da je njihovo rješavanje u isključivoj nadležnosti suda. 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 58 predmeta  ili 61,70% od broja predmeta u radu za koje je propisana isključiva nadležnost suda, koji su po prirodi složeniji pa njihovo rješavanje zahtijeva određeno vrijeme. Upoređujući navedene podatke sa podacima iz prethodnog perioda dolazimo do zaključka da je notarima u posmatranom periodu povjeren u rad  procentualno sličan broj ostavinskih predmeta kao i u prethodnom periodu u kojem je taj procenat iznosio 99,42%. </w:t>
      </w:r>
    </w:p>
    <w:p w:rsidR="00F275D3" w:rsidRDefault="00C63A1E"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Kad</w:t>
      </w:r>
      <w:r w:rsidR="00F275D3">
        <w:rPr>
          <w:rFonts w:ascii="Arial" w:hAnsi="Arial" w:cs="Arial"/>
          <w:sz w:val="24"/>
          <w:szCs w:val="24"/>
          <w:lang w:val="sr-Latn-CS"/>
        </w:rPr>
        <w:t xml:space="preserve"> posmatramo zbirno podatke iz upisnika „O“ i „O-n“ u kojima se evidentiraju kako ostavinski predmeti za čije je rješavanje isključivo nadležan sud, tako i ostavinski predmeti koji su povjereni u rad notarima, zaključujemo da su osnovni sudovi u posmatranom periodu primili u rad ukupno 7.796 ostavinskih predmeta, tako da su zajedno sa ostavinskim predmetima prenesenim iz prethodnog perioda – 298, imali u radu 8.094 predmeta. Od navedenog broja</w:t>
      </w:r>
      <w:r w:rsidR="00970E55">
        <w:rPr>
          <w:rFonts w:ascii="Arial" w:hAnsi="Arial" w:cs="Arial"/>
          <w:sz w:val="24"/>
          <w:szCs w:val="24"/>
          <w:lang w:val="sr-Latn-CS"/>
        </w:rPr>
        <w:t xml:space="preserve"> </w:t>
      </w:r>
      <w:r w:rsidR="00F275D3">
        <w:rPr>
          <w:rFonts w:ascii="Arial" w:hAnsi="Arial" w:cs="Arial"/>
          <w:sz w:val="24"/>
          <w:szCs w:val="24"/>
          <w:lang w:val="sr-Latn-CS"/>
        </w:rPr>
        <w:t>notarima je povjereno u rad 6.736 predmeta ili 86,40% od broja primljenih ostavinskih predmeta u posmatranom periodu. Od ukupnog broja ostavinskih predmeta koji su ostali u nadležnosti suda – 1.358 predmeta, sudovi su u posmatranom periodu riješili 1.082 predmeta ili 79,68%, dok je ostalo neriješeno 276 predmeta ili 20,32%. Posmatrajući osnovne sudove pojedinačno, zapaža se da su pojedini osnovni sudovi ostvarili odlične rezultate u rješavanju ove vrste predmeta u posmatranom periodu, pri čemu se mogu izdvojiti: Osnovni sud u Danilovgradu, Osnovni sud u Kola</w:t>
      </w:r>
      <w:r w:rsidR="00F275D3">
        <w:rPr>
          <w:rFonts w:ascii="Arial" w:hAnsi="Arial" w:cs="Arial"/>
          <w:sz w:val="24"/>
          <w:szCs w:val="24"/>
          <w:lang w:val="sr-Latn-ME"/>
        </w:rPr>
        <w:t>š</w:t>
      </w:r>
      <w:r w:rsidR="00F275D3">
        <w:rPr>
          <w:rFonts w:ascii="Arial" w:hAnsi="Arial" w:cs="Arial"/>
          <w:sz w:val="24"/>
          <w:szCs w:val="24"/>
          <w:lang w:val="sr-Latn-CS"/>
        </w:rPr>
        <w:t>inu i Osnovni sud u Pljeviljima koji su  riješili sve ostavinske predmete, te Osnovni sud u Plavu koji je riješio 97,67%, Osnovni sud u Žabljaku koji je riješio 96,18%, Osnovni sud u Bijelom Polju koji je riješio 96,15% i Osnovni sud u Beranama koji je riješio 91,30% od broja predmeta u radu. Većina osnovnih sudova ostvarila je visok procenat riješenih predmeta ove vrste.</w:t>
      </w:r>
    </w:p>
    <w:p w:rsidR="00F275D3" w:rsidRDefault="00F275D3" w:rsidP="00C63A1E">
      <w:pPr>
        <w:pStyle w:val="ListParagraph"/>
        <w:autoSpaceDE w:val="0"/>
        <w:autoSpaceDN w:val="0"/>
        <w:adjustRightInd w:val="0"/>
        <w:spacing w:after="0" w:line="240" w:lineRule="auto"/>
        <w:ind w:left="-284" w:right="-164" w:firstLine="1004"/>
        <w:jc w:val="both"/>
        <w:rPr>
          <w:rFonts w:ascii="Arial" w:hAnsi="Arial" w:cs="Arial"/>
          <w:sz w:val="24"/>
          <w:szCs w:val="24"/>
          <w:lang w:val="sr-Latn-CS"/>
        </w:rPr>
      </w:pPr>
      <w:r>
        <w:rPr>
          <w:rFonts w:ascii="Arial" w:hAnsi="Arial" w:cs="Arial"/>
          <w:sz w:val="24"/>
          <w:szCs w:val="24"/>
          <w:lang w:val="sr-Latn-CS"/>
        </w:rPr>
        <w:t xml:space="preserve">Prenošenje nadležnosti za sprovođenje ostavinskog postupka sa suda na notare imalo je </w:t>
      </w:r>
      <w:r w:rsidR="00D63124">
        <w:rPr>
          <w:rFonts w:ascii="Arial" w:hAnsi="Arial" w:cs="Arial"/>
          <w:sz w:val="24"/>
          <w:szCs w:val="24"/>
          <w:lang w:val="sr-Latn-CS"/>
        </w:rPr>
        <w:t xml:space="preserve">za </w:t>
      </w:r>
      <w:r>
        <w:rPr>
          <w:rFonts w:ascii="Arial" w:hAnsi="Arial" w:cs="Arial"/>
          <w:sz w:val="24"/>
          <w:szCs w:val="24"/>
          <w:lang w:val="sr-Latn-CS"/>
        </w:rPr>
        <w:t xml:space="preserve">cilj rasterećenje sudova od ove vrste predmeta i njihovo efikasno rješavanje kod notara, uz poštovanje svih relevantnih zakonskih i drugih propisa i, s tim u vezi, ostvarivanje i zaštitu prava i interesa svih učesnika u ostavinskom postupku. Najvažniju ulogu u tom smislu imaju predsjednici osnovnih sudova koji vrše nadzor nad radom notara u povjerenim ostavinskim predmetima, a na osnovu kojeg se može konstatovati da su notari u posmatranom periodu u povjerenim ostavinskim predmetima postupali u skladu sa zakonom, </w:t>
      </w:r>
      <w:r>
        <w:rPr>
          <w:rFonts w:ascii="Arial" w:hAnsi="Arial" w:cs="Arial"/>
          <w:sz w:val="24"/>
          <w:szCs w:val="24"/>
          <w:lang w:val="sr-Latn-CS"/>
        </w:rPr>
        <w:lastRenderedPageBreak/>
        <w:t>sa izuzetkom dva notara od kojih je notar sa područja Osnovnog suda u Beranama postupio po datom nalogu suda i uspješno riješio pretežan broj ostavinskih predmeta iz ranijeg perioda, dok je notaru sa područja Osnovnog suda u Rožajama preporučeno da otkloni niz propusta koje je napravio u kontrolisanim ostavinskim predmetima. S tim u vezi, u narednom periodu neophodno je vršiti kontinuiran nadzor nad radom notara u ovoj vrsti predmeta, sa posebnim akcentom na notare kod kojih su utvrđeni propusti u sprovođenju ostavinskog postupka, a u vezi kojih se nadležnim sudovima preporučuje intenziviranje nadzora nad njihovim radom sve do konačnog otklanjanja utvrđenih propusta. Takođe, preporučuje se sudovima koji u posmatranom periodu nijesu vršili nadzor nad postupanjem notara u ostavinskim predmetima da isti neodložno izvrše.</w:t>
      </w:r>
    </w:p>
    <w:p w:rsidR="00C63A1E" w:rsidRPr="00C63A1E" w:rsidRDefault="00C63A1E" w:rsidP="00C63A1E">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t xml:space="preserve">Razlika u podacima o broju ostavinskih predmeta koji su u posmatranom periodu povjereni u rad notarima, koja iznosi 25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Pr>
          <w:rFonts w:ascii="Arial" w:hAnsi="Arial" w:cs="Arial"/>
          <w:sz w:val="24"/>
          <w:szCs w:val="24"/>
          <w:lang w:val="sr-Latn-CS"/>
        </w:rPr>
        <w:t>Za sprovođenje ostavinskog postupka u skladu sa pozitivnim propisima i donošenje zakonite odluke o nasljeđivanju izuzetno je važna obuka koju je za notare u posmatranom periodu organizovala Notarska komora u saradnji sa Centrom za obuku u sudstvu i državnom tužilaštvu, čime je poslala jasnu poruku da je, kao strukovno udruženje, posvećena ovom važnom pitanju. Snažno se preporučuje Notarskoj komori i Centru za obuku u sudstvu i državnom tužilaštvu kontinuirano organizovanje navedenih obuka i u narednom periodu.</w:t>
      </w:r>
    </w:p>
    <w:p w:rsidR="00F275D3" w:rsidRDefault="00F275D3" w:rsidP="00F275D3">
      <w:pPr>
        <w:pStyle w:val="ListParagraph"/>
        <w:autoSpaceDE w:val="0"/>
        <w:autoSpaceDN w:val="0"/>
        <w:adjustRightInd w:val="0"/>
        <w:spacing w:line="240" w:lineRule="auto"/>
        <w:ind w:left="-284" w:right="-164" w:firstLine="1004"/>
        <w:jc w:val="both"/>
        <w:rPr>
          <w:rFonts w:ascii="Arial" w:hAnsi="Arial" w:cs="Arial"/>
          <w:sz w:val="24"/>
          <w:szCs w:val="24"/>
          <w:lang w:val="sr-Latn-ME"/>
        </w:rPr>
      </w:pPr>
      <w:r>
        <w:rPr>
          <w:rFonts w:ascii="Arial" w:hAnsi="Arial" w:cs="Arial"/>
          <w:sz w:val="24"/>
          <w:szCs w:val="24"/>
          <w:lang w:val="sr-Latn-ME"/>
        </w:rPr>
        <w:t xml:space="preserve">U konačnom, zbog značaja koji ima ostavinski postupak i, s tim u vezi, potrebe praćenja njegovog sprovođenja kod notara i suda, te praćenja rasterećenja sudova od ove vrste predmeta, u narednom periodu potrebno je nastaviti sa kontinuiranom izradom predmetne analize. </w:t>
      </w:r>
    </w:p>
    <w:p w:rsidR="00F275D3" w:rsidRDefault="00F275D3" w:rsidP="00F275D3">
      <w:pPr>
        <w:pStyle w:val="FootnoteText"/>
        <w:jc w:val="both"/>
        <w:rPr>
          <w:rFonts w:ascii="Arial" w:hAnsi="Arial" w:cs="Arial"/>
          <w:b/>
          <w:sz w:val="24"/>
          <w:szCs w:val="24"/>
          <w:lang w:val="sr-Latn-ME"/>
        </w:rPr>
      </w:pPr>
    </w:p>
    <w:p w:rsidR="006813E8" w:rsidRPr="005F097F" w:rsidRDefault="00750814">
      <w:pPr>
        <w:rPr>
          <w:rFonts w:ascii="Arial" w:hAnsi="Arial" w:cs="Arial"/>
          <w:sz w:val="24"/>
          <w:szCs w:val="24"/>
        </w:rPr>
      </w:pPr>
      <w:r>
        <w:rPr>
          <w:rFonts w:ascii="Arial" w:hAnsi="Arial" w:cs="Arial"/>
          <w:sz w:val="24"/>
          <w:szCs w:val="24"/>
        </w:rPr>
        <w:t>.</w:t>
      </w:r>
      <w:r w:rsidR="00536B46">
        <w:rPr>
          <w:rFonts w:ascii="Arial" w:hAnsi="Arial" w:cs="Arial"/>
          <w:sz w:val="24"/>
          <w:szCs w:val="24"/>
        </w:rPr>
        <w:t>.</w:t>
      </w:r>
      <w:bookmarkStart w:id="0" w:name="_GoBack"/>
      <w:bookmarkEnd w:id="0"/>
    </w:p>
    <w:sectPr w:rsidR="006813E8" w:rsidRPr="005F097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3A8" w:rsidRDefault="00E713A8" w:rsidP="00D63124">
      <w:pPr>
        <w:spacing w:after="0" w:line="240" w:lineRule="auto"/>
      </w:pPr>
      <w:r>
        <w:separator/>
      </w:r>
    </w:p>
  </w:endnote>
  <w:endnote w:type="continuationSeparator" w:id="0">
    <w:p w:rsidR="00E713A8" w:rsidRDefault="00E713A8" w:rsidP="00D6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80158"/>
      <w:docPartObj>
        <w:docPartGallery w:val="Page Numbers (Bottom of Page)"/>
        <w:docPartUnique/>
      </w:docPartObj>
    </w:sdtPr>
    <w:sdtEndPr>
      <w:rPr>
        <w:noProof/>
      </w:rPr>
    </w:sdtEndPr>
    <w:sdtContent>
      <w:p w:rsidR="00D63124" w:rsidRDefault="00D63124">
        <w:pPr>
          <w:pStyle w:val="Footer"/>
          <w:jc w:val="right"/>
        </w:pPr>
        <w:r>
          <w:fldChar w:fldCharType="begin"/>
        </w:r>
        <w:r>
          <w:instrText xml:space="preserve"> PAGE   \* MERGEFORMAT </w:instrText>
        </w:r>
        <w:r>
          <w:fldChar w:fldCharType="separate"/>
        </w:r>
        <w:r w:rsidR="00536B46">
          <w:rPr>
            <w:noProof/>
          </w:rPr>
          <w:t>15</w:t>
        </w:r>
        <w:r>
          <w:rPr>
            <w:noProof/>
          </w:rPr>
          <w:fldChar w:fldCharType="end"/>
        </w:r>
      </w:p>
    </w:sdtContent>
  </w:sdt>
  <w:p w:rsidR="00D63124" w:rsidRDefault="00D6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3A8" w:rsidRDefault="00E713A8" w:rsidP="00D63124">
      <w:pPr>
        <w:spacing w:after="0" w:line="240" w:lineRule="auto"/>
      </w:pPr>
      <w:r>
        <w:separator/>
      </w:r>
    </w:p>
  </w:footnote>
  <w:footnote w:type="continuationSeparator" w:id="0">
    <w:p w:rsidR="00E713A8" w:rsidRDefault="00E713A8" w:rsidP="00D63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384D"/>
    <w:multiLevelType w:val="hybridMultilevel"/>
    <w:tmpl w:val="A24CB7FE"/>
    <w:lvl w:ilvl="0" w:tplc="2C1A000B">
      <w:start w:val="1"/>
      <w:numFmt w:val="bullet"/>
      <w:lvlText w:val=""/>
      <w:lvlJc w:val="left"/>
      <w:pPr>
        <w:ind w:left="1080" w:hanging="360"/>
      </w:pPr>
      <w:rPr>
        <w:rFonts w:ascii="Wingdings" w:hAnsi="Wingdings" w:hint="default"/>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 w15:restartNumberingAfterBreak="0">
    <w:nsid w:val="21E2046F"/>
    <w:multiLevelType w:val="hybridMultilevel"/>
    <w:tmpl w:val="920A04A8"/>
    <w:lvl w:ilvl="0" w:tplc="C6F67456">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AE"/>
    <w:rsid w:val="000A6AED"/>
    <w:rsid w:val="000C5382"/>
    <w:rsid w:val="000F191B"/>
    <w:rsid w:val="00121980"/>
    <w:rsid w:val="001A460D"/>
    <w:rsid w:val="001A6EA7"/>
    <w:rsid w:val="00255111"/>
    <w:rsid w:val="002E05FE"/>
    <w:rsid w:val="0031311D"/>
    <w:rsid w:val="00536B46"/>
    <w:rsid w:val="00544491"/>
    <w:rsid w:val="005D5AE3"/>
    <w:rsid w:val="005F097F"/>
    <w:rsid w:val="00622A7C"/>
    <w:rsid w:val="00653193"/>
    <w:rsid w:val="006657F7"/>
    <w:rsid w:val="00667E42"/>
    <w:rsid w:val="006813E8"/>
    <w:rsid w:val="006A4F09"/>
    <w:rsid w:val="006A6126"/>
    <w:rsid w:val="006C1C59"/>
    <w:rsid w:val="006E3DA0"/>
    <w:rsid w:val="006E4EE7"/>
    <w:rsid w:val="00712BA1"/>
    <w:rsid w:val="00750814"/>
    <w:rsid w:val="00784B28"/>
    <w:rsid w:val="007E222F"/>
    <w:rsid w:val="0084719E"/>
    <w:rsid w:val="0086284F"/>
    <w:rsid w:val="008C7660"/>
    <w:rsid w:val="00970E55"/>
    <w:rsid w:val="00977460"/>
    <w:rsid w:val="00A16C4A"/>
    <w:rsid w:val="00A40043"/>
    <w:rsid w:val="00AB7075"/>
    <w:rsid w:val="00B40C86"/>
    <w:rsid w:val="00B47C8E"/>
    <w:rsid w:val="00B54881"/>
    <w:rsid w:val="00B6232E"/>
    <w:rsid w:val="00B65264"/>
    <w:rsid w:val="00B765E6"/>
    <w:rsid w:val="00B9234A"/>
    <w:rsid w:val="00BA0FB2"/>
    <w:rsid w:val="00BF37DD"/>
    <w:rsid w:val="00C277DD"/>
    <w:rsid w:val="00C33760"/>
    <w:rsid w:val="00C63A1E"/>
    <w:rsid w:val="00C70EFC"/>
    <w:rsid w:val="00D63124"/>
    <w:rsid w:val="00DA23AE"/>
    <w:rsid w:val="00DA42BC"/>
    <w:rsid w:val="00DD42EC"/>
    <w:rsid w:val="00E713A8"/>
    <w:rsid w:val="00E72162"/>
    <w:rsid w:val="00E8203C"/>
    <w:rsid w:val="00E94FDF"/>
    <w:rsid w:val="00EA2BA5"/>
    <w:rsid w:val="00F0240C"/>
    <w:rsid w:val="00F12771"/>
    <w:rsid w:val="00F275D3"/>
    <w:rsid w:val="00F31694"/>
    <w:rsid w:val="00F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D982"/>
  <w15:chartTrackingRefBased/>
  <w15:docId w15:val="{9DAD8537-BD96-4B8D-ACB7-FF9830F8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AE"/>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03C"/>
    <w:rPr>
      <w:rFonts w:ascii="Segoe UI" w:hAnsi="Segoe UI" w:cs="Segoe UI"/>
      <w:sz w:val="18"/>
      <w:szCs w:val="18"/>
      <w:lang w:val="sr-Latn-RS"/>
    </w:rPr>
  </w:style>
  <w:style w:type="character" w:styleId="Hyperlink">
    <w:name w:val="Hyperlink"/>
    <w:basedOn w:val="DefaultParagraphFont"/>
    <w:uiPriority w:val="99"/>
    <w:semiHidden/>
    <w:unhideWhenUsed/>
    <w:rsid w:val="00F275D3"/>
    <w:rPr>
      <w:color w:val="0563C1" w:themeColor="hyperlink"/>
      <w:u w:val="single"/>
    </w:rPr>
  </w:style>
  <w:style w:type="character" w:styleId="FollowedHyperlink">
    <w:name w:val="FollowedHyperlink"/>
    <w:basedOn w:val="DefaultParagraphFont"/>
    <w:uiPriority w:val="99"/>
    <w:semiHidden/>
    <w:unhideWhenUsed/>
    <w:rsid w:val="00F275D3"/>
    <w:rPr>
      <w:color w:val="954F72" w:themeColor="followedHyperlink"/>
      <w:u w:val="single"/>
    </w:rPr>
  </w:style>
  <w:style w:type="paragraph" w:customStyle="1" w:styleId="msonormal0">
    <w:name w:val="msonormal"/>
    <w:basedOn w:val="Normal"/>
    <w:rsid w:val="00F275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semiHidden/>
    <w:unhideWhenUsed/>
    <w:rsid w:val="00F275D3"/>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F275D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F275D3"/>
    <w:rPr>
      <w:sz w:val="20"/>
      <w:szCs w:val="20"/>
      <w:lang w:val="en-GB"/>
    </w:rPr>
  </w:style>
  <w:style w:type="paragraph" w:styleId="Header">
    <w:name w:val="header"/>
    <w:basedOn w:val="Normal"/>
    <w:link w:val="HeaderChar"/>
    <w:uiPriority w:val="99"/>
    <w:unhideWhenUsed/>
    <w:rsid w:val="00F275D3"/>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275D3"/>
  </w:style>
  <w:style w:type="paragraph" w:styleId="Footer">
    <w:name w:val="footer"/>
    <w:basedOn w:val="Normal"/>
    <w:link w:val="FooterChar"/>
    <w:uiPriority w:val="99"/>
    <w:unhideWhenUsed/>
    <w:rsid w:val="00F275D3"/>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275D3"/>
  </w:style>
  <w:style w:type="character" w:customStyle="1" w:styleId="NoSpacingChar">
    <w:name w:val="No Spacing Char"/>
    <w:basedOn w:val="DefaultParagraphFont"/>
    <w:link w:val="NoSpacing"/>
    <w:uiPriority w:val="99"/>
    <w:locked/>
    <w:rsid w:val="00F275D3"/>
    <w:rPr>
      <w:rFonts w:ascii="Calibri" w:eastAsia="Times New Roman" w:hAnsi="Calibri" w:cs="Times New Roman"/>
    </w:rPr>
  </w:style>
  <w:style w:type="paragraph" w:styleId="NoSpacing">
    <w:name w:val="No Spacing"/>
    <w:link w:val="NoSpacingChar"/>
    <w:uiPriority w:val="99"/>
    <w:qFormat/>
    <w:rsid w:val="00F275D3"/>
    <w:pPr>
      <w:spacing w:after="0" w:line="240" w:lineRule="auto"/>
    </w:pPr>
    <w:rPr>
      <w:rFonts w:ascii="Calibri" w:eastAsia="Times New Roman" w:hAnsi="Calibri" w:cs="Times New Roman"/>
    </w:rPr>
  </w:style>
  <w:style w:type="paragraph" w:styleId="ListParagraph">
    <w:name w:val="List Paragraph"/>
    <w:basedOn w:val="Normal"/>
    <w:uiPriority w:val="34"/>
    <w:qFormat/>
    <w:rsid w:val="00F275D3"/>
    <w:pPr>
      <w:ind w:left="720"/>
      <w:contextualSpacing/>
    </w:pPr>
    <w:rPr>
      <w:rFonts w:ascii="Calibri" w:eastAsia="Times New Roman" w:hAnsi="Calibri" w:cs="Times New Roman"/>
      <w:lang w:val="en-US"/>
    </w:rPr>
  </w:style>
  <w:style w:type="paragraph" w:customStyle="1" w:styleId="Normal1">
    <w:name w:val="Normal1"/>
    <w:basedOn w:val="Normal"/>
    <w:rsid w:val="00F275D3"/>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Normal2">
    <w:name w:val="Normal2"/>
    <w:basedOn w:val="Normal"/>
    <w:rsid w:val="00F275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30X">
    <w:name w:val="T30X"/>
    <w:basedOn w:val="Normal"/>
    <w:uiPriority w:val="99"/>
    <w:rsid w:val="00F275D3"/>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rsid w:val="00F275D3"/>
    <w:pPr>
      <w:shd w:val="clear" w:color="auto" w:fill="FFFFFF"/>
      <w:spacing w:before="60" w:after="0" w:line="240" w:lineRule="auto"/>
      <w:jc w:val="center"/>
    </w:pPr>
    <w:rPr>
      <w:rFonts w:ascii="Arial" w:eastAsia="Times New Roman" w:hAnsi="Arial" w:cs="Arial"/>
      <w:b/>
      <w:bCs/>
      <w:sz w:val="27"/>
      <w:szCs w:val="27"/>
      <w:lang w:val="en-US"/>
    </w:rPr>
  </w:style>
  <w:style w:type="character" w:styleId="FootnoteReference">
    <w:name w:val="footnote reference"/>
    <w:basedOn w:val="DefaultParagraphFont"/>
    <w:uiPriority w:val="99"/>
    <w:semiHidden/>
    <w:unhideWhenUsed/>
    <w:rsid w:val="00F275D3"/>
    <w:rPr>
      <w:vertAlign w:val="superscript"/>
    </w:rPr>
  </w:style>
  <w:style w:type="character" w:customStyle="1" w:styleId="normalchar">
    <w:name w:val="normal__char"/>
    <w:basedOn w:val="DefaultParagraphFont"/>
    <w:rsid w:val="00F275D3"/>
  </w:style>
  <w:style w:type="table" w:styleId="TableGrid">
    <w:name w:val="Table Grid"/>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7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268140">
      <w:bodyDiv w:val="1"/>
      <w:marLeft w:val="0"/>
      <w:marRight w:val="0"/>
      <w:marTop w:val="0"/>
      <w:marBottom w:val="0"/>
      <w:divBdr>
        <w:top w:val="none" w:sz="0" w:space="0" w:color="auto"/>
        <w:left w:val="none" w:sz="0" w:space="0" w:color="auto"/>
        <w:bottom w:val="none" w:sz="0" w:space="0" w:color="auto"/>
        <w:right w:val="none" w:sz="0" w:space="0" w:color="auto"/>
      </w:divBdr>
    </w:div>
    <w:div w:id="11084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4954</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Delic</dc:creator>
  <cp:keywords/>
  <dc:description/>
  <cp:lastModifiedBy>Ibrahim Smailovic</cp:lastModifiedBy>
  <cp:revision>8</cp:revision>
  <cp:lastPrinted>2020-09-11T11:36:00Z</cp:lastPrinted>
  <dcterms:created xsi:type="dcterms:W3CDTF">2020-09-21T09:47:00Z</dcterms:created>
  <dcterms:modified xsi:type="dcterms:W3CDTF">2020-09-21T09:55:00Z</dcterms:modified>
</cp:coreProperties>
</file>