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8C" w:rsidRPr="002923B3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434199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:rsidR="0067538C" w:rsidRPr="00434199" w:rsidRDefault="0067538C" w:rsidP="002774E1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  <w:r w:rsidR="002774E1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:rsidR="0067538C" w:rsidRPr="00434199" w:rsidRDefault="008A7D92" w:rsidP="00C476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Nacrt</w:t>
            </w:r>
            <w:r w:rsidR="00B02A38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zakona o izmjen</w:t>
            </w:r>
            <w:r w:rsidR="003E5EF7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ama</w:t>
            </w:r>
            <w:r w:rsidR="00B02A38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7A2A1B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i dopun</w:t>
            </w:r>
            <w:r w:rsidR="003E5EF7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ama</w:t>
            </w:r>
            <w:r w:rsidR="007A2A1B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B02A38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Zakona o </w:t>
            </w:r>
            <w:r w:rsidR="003E5EF7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Ustavnom sudu Crne </w:t>
            </w:r>
            <w:r w:rsidR="00A82085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Gore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  <w:r w:rsidR="006D6AA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  <w:r w:rsidR="00766965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  <w:r w:rsidR="00625B3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367576" w:rsidRDefault="00EE203F" w:rsidP="00EE203F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Donošenju Zakona </w:t>
            </w:r>
            <w:r w:rsidR="00E267BC" w:rsidRP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o izmjenama i dopunama Zakona o Ustavnom sudu Crne</w:t>
            </w:r>
            <w:r w:rsidR="00A82085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Gore</w:t>
            </w:r>
            <w:r w:rsidR="00E267BC" w:rsidRP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A768D7" w:rsidRPr="00A768D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pristupilo se u </w:t>
            </w:r>
            <w:r w:rsid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cilju </w:t>
            </w:r>
            <w:r w:rsidR="00E267BC" w:rsidRP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unapređenj</w:t>
            </w:r>
            <w:r w:rsid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 w:rsidR="00E267BC" w:rsidRP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određenih zakonskih rješenja</w:t>
            </w:r>
            <w:r w:rsidR="0055469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, u vezi sa postupkom prijevremenog prestanka mandata sudija Ustavnog suda zbog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ispunjavanja uslova za starosnu penziju</w:t>
            </w:r>
            <w:r w:rsidR="0055469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,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 w:rsidR="00E267BC" w:rsidRPr="00E267B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u skladu sa preporukama iz Mišljenja Venecijanske komisije CDL-AD(2025)029  od 16. juna 2025. godine i Naknadnog mišljenja Venecijanske komisije CDL-AD(2025)051 od 15. decembra 2025. godine</w:t>
            </w:r>
            <w:r w:rsidR="0055469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</w:p>
          <w:p w:rsidR="0055469E" w:rsidRDefault="0055469E" w:rsidP="00EE203F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4952AA" w:rsidRDefault="00143099" w:rsidP="004952AA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Uzr</w:t>
            </w:r>
            <w:r w:rsidR="004952A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oci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problema </w:t>
            </w:r>
            <w:r w:rsidR="004952A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su</w:t>
            </w:r>
            <w:r w:rsidR="00126B90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4952A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nepostojanje </w:t>
            </w:r>
            <w:r w:rsidR="004952AA" w:rsidRPr="004952A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jasnog zakonskog okvira koji izričito uređuje starosnu granicu za penzionisanje sudija Ustavnog suda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460F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kao i </w:t>
            </w:r>
            <w:r w:rsidR="00460F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njihovo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460F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izuzeće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u postupku utvrđivanja razloga za prestanak funkcije zbog sticanja uslova za starosnu penziju</w:t>
            </w:r>
            <w:r w:rsidR="00460F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4952A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te izostanak deblokirajućeg mehanizma koji sprječava odlaganje u obnavljanju sastava Ustavnog suda i njegovo redovno funkcionisanje.</w:t>
            </w:r>
          </w:p>
          <w:p w:rsidR="004952AA" w:rsidRDefault="004952AA" w:rsidP="004952AA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7F2D24" w:rsidRDefault="004952AA" w:rsidP="004952AA">
            <w:pPr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  <w:r w:rsidRPr="00A822C6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Posljedice problema </w:t>
            </w:r>
            <w:r w:rsidR="0001534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u vezi sa starosnom granicom </w:t>
            </w:r>
            <w:r w:rsidR="007F2D24" w:rsidRPr="00A822C6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za </w:t>
            </w:r>
            <w:r w:rsidR="0001534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ispunjavanje uslova za </w:t>
            </w:r>
            <w:r w:rsidR="007F2D24" w:rsidRPr="00A822C6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penzionisanje sudija Ustavnog suda </w:t>
            </w:r>
            <w:r w:rsidR="00015344" w:rsidRPr="0001534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su različita tumačenja </w:t>
            </w:r>
            <w:r w:rsidR="007F2D24" w:rsidRPr="00A822C6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u vezi sa primjenjivošću Zakona o radu, koji propisuje starosnu granicu od 66 godina, odnosno Zakona o penzijskom i invalidskom osiguranju, koji od 2024. godine propisuje starosnu granicu od 65 godina.</w:t>
            </w:r>
            <w:r w:rsidR="00A822C6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Takođe, posljedica je i ugroženost redovnog funkcionisanja Ustavnog suda usled neimenovanja novih sudija na upražnjena sudijska mjesta</w:t>
            </w:r>
            <w:r w:rsidR="005B0FE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, što se odražava na djelotvornost rada suda i dužinu trajanja postupaka.</w:t>
            </w:r>
          </w:p>
          <w:p w:rsidR="00A822C6" w:rsidRDefault="00A822C6" w:rsidP="004952AA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</w:p>
          <w:p w:rsidR="00CA2896" w:rsidRDefault="00367576" w:rsidP="00367576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Subjekti koji su najviše oštećeni zbog navedenih problema su građani</w:t>
            </w:r>
            <w:r w:rsidR="00C7409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CA2896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jer bi u slučaju nepopunjavanja upražnjenih sudijskih mjesta došlo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do </w:t>
            </w:r>
            <w:r w:rsidR="00CA2896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blokade rada Ustavnog suda, kao </w:t>
            </w:r>
            <w:r w:rsidR="00CA2896" w:rsidRPr="00CA2896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institucije koja ima ključnu ulogu u funkcionisanju demokratije kao krajnji autoritet u pitanjima ustavnog prava, u poštovanju vladavine prava i zaštiti ljudskih prava.</w:t>
            </w:r>
          </w:p>
          <w:p w:rsidR="00CA2896" w:rsidRDefault="00CA2896" w:rsidP="00367576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</w:p>
          <w:p w:rsidR="00367576" w:rsidRDefault="00367576" w:rsidP="00367576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Nedostaci u normativnom okviru</w:t>
            </w:r>
            <w:r w:rsidR="00F84BEF"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, </w:t>
            </w:r>
            <w:r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uticali su da i s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ame sudije Ustavnog suda</w:t>
            </w:r>
            <w:r w:rsidR="00634F4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F84BEF"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zbog preopterećenosti u radu usled 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smanjenog broja sudija i </w:t>
            </w:r>
            <w:r w:rsidR="00F84BEF"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velikog broja predmeta</w:t>
            </w:r>
            <w:r w:rsidRPr="00F84B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budu oštećeni subjekti.</w:t>
            </w:r>
          </w:p>
          <w:p w:rsidR="002A7B9A" w:rsidRPr="00434199" w:rsidRDefault="002A7B9A" w:rsidP="00EE203F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ED7461" w:rsidRPr="00434199" w:rsidRDefault="00EE203F" w:rsidP="00A8266A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Bez izmjen</w:t>
            </w:r>
            <w:r w:rsidR="001430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e</w:t>
            </w: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A8266A"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i dopun</w:t>
            </w:r>
            <w:r w:rsidR="001430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e</w:t>
            </w:r>
            <w:r w:rsidR="00A8266A"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Zakona o 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Ustavnom sudu Crne Gore</w:t>
            </w:r>
            <w:r w:rsidR="001430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ne bi se mog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ao</w:t>
            </w: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prevazići problem 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različitih tumačenja oko </w:t>
            </w:r>
            <w:r w:rsidR="0056092F" w:rsidRP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zakonskog okvira koji izričito uređuje starosnu granicu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i postupak</w:t>
            </w:r>
            <w:r w:rsidR="0056092F" w:rsidRP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za</w:t>
            </w:r>
            <w:r w:rsidR="00770BB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prestanak funkcije sudije Ustavnog suda zbog ispunjavanja uslova za starosnu penziju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, niti problem moguće blokade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r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ada </w:t>
            </w:r>
            <w:r w:rsidR="0001534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</w:t>
            </w:r>
            <w:r w:rsidR="0056092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stavnog suda.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116440" w:rsidRDefault="00D62D31" w:rsidP="00AF6A19">
            <w:pPr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Predloženim izmjenama zakona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jasno će se precizirati starosna granica za i</w:t>
            </w:r>
            <w:r w:rsidR="00805D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spunjavanje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uslova za starosnu penziju, kao jedan od razloga</w:t>
            </w:r>
            <w:r w:rsidR="00C56F59">
              <w:t xml:space="preserve"> </w:t>
            </w:r>
            <w:r w:rsidR="00C56F59" w:rsidRP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prestanak funkcije sudije Ustavnog suda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predsjednika Ustavnog suda</w:t>
            </w:r>
            <w:r w:rsidR="00A633DE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D103E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te omogućiti redovno fukcionisanje Ustavnog suda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C56F59" w:rsidRP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usvajanje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m</w:t>
            </w:r>
            <w:r w:rsidR="00C56F59" w:rsidRP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odredbe kojom bi se sudiji omogućilo da nastavi vršiti svoju funkciju dok novi sudija ne stupi na dužnost, kako bi se izbjegla situacija u kojoj su sudijska mjesta upražnjena zbog toga što nove sudije nijesu imenovane</w:t>
            </w:r>
            <w:r w:rsidR="00C56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:rsidR="00C56F59" w:rsidRDefault="00C56F59" w:rsidP="00AF6A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6440" w:rsidRPr="003978A7" w:rsidRDefault="00116440" w:rsidP="00116440">
            <w:pP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P</w:t>
            </w:r>
            <w:r w:rsidRPr="003978A7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redložene zakonske izmjene će, pored </w:t>
            </w:r>
            <w:r w:rsidR="00D103EF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toga</w:t>
            </w:r>
            <w:r w:rsidRPr="003978A7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omogućiti</w:t>
            </w:r>
            <w:r w:rsidR="00D103EF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i</w:t>
            </w:r>
            <w:r w:rsidRPr="003978A7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 w:rsidR="00D103EF" w:rsidRPr="00D103EF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uvođenje pojednostavljenog mehanizma za obavještavanje o ispunjenju uslova za starosnu penziju sudija Ustavnog suda</w:t>
            </w:r>
            <w:r w:rsidR="00C56F59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i preciziranje normi o izuzeću </w:t>
            </w:r>
            <w:r w:rsidR="00C56F59" w:rsidRPr="00C56F59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lastRenderedPageBreak/>
              <w:t>sudija Ustavnog suda zbog sukoba interesa, uz puno poštovanje procesnih garancija i očuvanje funkcionisanja Ustavnog suda.</w:t>
            </w:r>
          </w:p>
          <w:p w:rsidR="00355D04" w:rsidRPr="00434199" w:rsidRDefault="00355D04" w:rsidP="00C56F59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3. Opcije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  <w:r w:rsidR="002B1F87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8F5079" w:rsidRPr="00434199" w:rsidRDefault="008F5079" w:rsidP="008B44EA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62C1A" w:rsidRDefault="008B24B7" w:rsidP="00FC6E81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Bez izmjena Zakona o </w:t>
            </w:r>
            <w:r w:rsidR="00E13E1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Ustavnom sudu Crne Gore</w:t>
            </w:r>
            <w:r w:rsidR="0034000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ne bi se mogli prevazići problemi</w:t>
            </w:r>
            <w:r w:rsidR="00222F7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koji su prepoznati u praktičnoj primjeni važećeg zakona</w:t>
            </w:r>
            <w:r w:rsidR="00A633D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222F7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niti ispuniti preporuke iz </w:t>
            </w:r>
            <w:r w:rsidR="00222F7F" w:rsidRPr="00222F7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Mišljenja Venecijanske komisije CDL-AD(2025)029 o od 16. juna 2025. godine i Naknadnog mišljenja  Venecijanske komisije CDL-AD(2025)051 od 15. decembra 2025. godine.</w:t>
            </w:r>
          </w:p>
          <w:p w:rsidR="00222F7F" w:rsidRDefault="00222F7F" w:rsidP="00FC6E81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</w:p>
          <w:p w:rsidR="00805D59" w:rsidRPr="00805D59" w:rsidRDefault="00E17E0B" w:rsidP="00FC6E81">
            <w:pP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</w:pPr>
            <w:r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Donošenje predloženog propisa je najdjelotvorniji način za prevazilaženje nedostataka </w:t>
            </w:r>
            <w:r w:rsidR="0016619A"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važećeg zakona</w:t>
            </w:r>
            <w:r w:rsidR="00D62C1A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jer je jasno propisana</w:t>
            </w:r>
            <w:r w:rsidR="0016619A" w:rsidRPr="0043419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starosna granica za </w:t>
            </w:r>
            <w:r w:rsidR="00805D59" w:rsidRP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ispunjavanje uslova za starosnu penziju, kao jedan od razloga za prestanak funkcije sudije Ustavnog suda i predsjednika Ustavnog sud</w:t>
            </w:r>
            <w:r w:rsidR="00A633D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a. Takođe,</w:t>
            </w:r>
            <w:r w:rsid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uveden</w:t>
            </w:r>
            <w:r w:rsidR="00A633DE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je</w:t>
            </w:r>
            <w:r w:rsid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05D59" w:rsidRP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deblokirajući mehanizam</w:t>
            </w:r>
            <w:r w:rsid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koji će omogućiti da </w:t>
            </w:r>
            <w:r w:rsidR="00805D59" w:rsidRP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sudija kome je prestala funkcija može da nastavi da vrši funkciju sudije Ustavnog suda do izbora novog sudije, uz njegovu saglasnost</w:t>
            </w:r>
            <w:r w:rsidR="00805D59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, u slučaju </w:t>
            </w:r>
            <w:r w:rsidR="00805D59" w:rsidRPr="00805D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kad sudiji Ustavnog suda prestane funkcija zbog ispunjenja uslova za starosnu penziju ili zbog isteka mandata, a predlagač ne predloži ili Skupština ne izabere na upražnjeno mjesto sudiju Ustavnog suda, pa Ustavni sud zbog toga ima manje od četiri sudije.</w:t>
            </w:r>
          </w:p>
          <w:p w:rsidR="00805D59" w:rsidRPr="00434199" w:rsidRDefault="00805D59" w:rsidP="00FC6E81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:rsidR="0067538C" w:rsidRPr="00434199" w:rsidRDefault="0067538C" w:rsidP="00ED74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8A7287" w:rsidRPr="00434199" w:rsidRDefault="00545DB5" w:rsidP="008A728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Predložene izmjene </w:t>
            </w:r>
            <w:r w:rsidR="008A7287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zakona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omogućiće</w:t>
            </w:r>
            <w:r w:rsidR="008A7287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:</w:t>
            </w:r>
          </w:p>
          <w:p w:rsidR="003035BF" w:rsidRDefault="008A7287" w:rsidP="008A728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-</w:t>
            </w:r>
            <w:r w:rsidR="00A75CB5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3035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da se </w:t>
            </w:r>
            <w:r w:rsidR="00B663E8" w:rsidRP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</w:t>
            </w:r>
            <w:r w:rsid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</w:t>
            </w:r>
            <w:r w:rsidR="00B663E8" w:rsidRP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jasnog zakonskog okvira koji izričito uređuje starosnu granicu za penzionisanje sudija Ustavnog suda</w:t>
            </w:r>
            <w:r w:rsid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postigne pravna sigurnost u postupku utvrđivanja uslova za prestanak funkcije sudije Ustavnog suda zbog ispunjavanja uslova za staroisnu penziju;</w:t>
            </w:r>
          </w:p>
          <w:p w:rsidR="0010015A" w:rsidRDefault="00183A89" w:rsidP="00B663E8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- </w:t>
            </w:r>
            <w:r w:rsid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obezbjeđenje nesmetanog funkcionisanja Ustavnog suda</w:t>
            </w:r>
            <w:r w:rsidR="00A633D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;</w:t>
            </w:r>
            <w:r w:rsidR="00B663E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0015A" w:rsidRPr="0010015A" w:rsidRDefault="0010015A" w:rsidP="00B663E8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unaprjeđenje efikasnosti rada Ustavnog suda</w:t>
            </w:r>
            <w:r w:rsidR="00A633D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B663E8" w:rsidRPr="00B663E8" w:rsidRDefault="00B663E8" w:rsidP="003035B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241D4" w:rsidRDefault="00411AFA" w:rsidP="003035B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9241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Navedene izmjene zakona mogu imati značajan uticaj na građane </w:t>
            </w:r>
            <w:r w:rsidR="00A341AA" w:rsidRPr="009241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na način što će</w:t>
            </w:r>
            <w:r w:rsidR="0010015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341AA" w:rsidRPr="009241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omogućiti brže rješavanje predmeta</w:t>
            </w:r>
            <w:r w:rsidR="0010015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pred Ustavnim sudom</w:t>
            </w:r>
            <w:bookmarkStart w:id="0" w:name="_GoBack"/>
            <w:bookmarkEnd w:id="0"/>
            <w:r w:rsidR="0010015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9241D4" w:rsidRPr="009241D4" w:rsidRDefault="009241D4" w:rsidP="008A728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83A89" w:rsidRPr="00434199" w:rsidRDefault="00183A89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183A89" w:rsidRPr="00434199" w:rsidRDefault="00183A89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</w:t>
            </w:r>
            <w:r w:rsidR="00EC5A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podržava se stvaranje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novih privrednih subjekata na tržištu i tržišna konkurencija.</w:t>
            </w:r>
          </w:p>
          <w:p w:rsidR="00ED7461" w:rsidRDefault="00183A89" w:rsidP="00183A8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  <w:p w:rsidR="009241D4" w:rsidRPr="00434199" w:rsidRDefault="009241D4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Dbrazložiti metodologiju koja je korišćenja prilikom obračuna finansijskih izdataka/prihoda.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Da li su postojale sugestije Ministarstva finansija na nacrt/predlog propisa?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EC5A79" w:rsidRDefault="00BC0BCC" w:rsidP="00BC0B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Za implementaciju ovog propisa </w:t>
            </w:r>
            <w:r w:rsidR="00EC5A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nije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potrebno obezbijediti dodatna sredstva iz budžeta Crne Gore</w:t>
            </w:r>
            <w:r w:rsidR="00EC5A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BC0BCC" w:rsidRPr="00434199" w:rsidRDefault="00BC0BCC" w:rsidP="00BC0BC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Implementacijom ovog propisa ne proizilaze međunarodne finansijske obaveze.</w:t>
            </w:r>
            <w:r w:rsidR="00653A74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E2343" w:rsidRDefault="005D23A5" w:rsidP="000B44C8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</w:t>
            </w:r>
            <w:r w:rsidR="006E2343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predviđeno donošenje podzakonskih akata iz kojih ć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 proisteći finansijske obaveze.</w:t>
            </w:r>
          </w:p>
          <w:p w:rsidR="0067538C" w:rsidRPr="00434199" w:rsidRDefault="005D23A5" w:rsidP="000B44C8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ovog zakona neće se </w:t>
            </w:r>
            <w:r w:rsidR="006E2343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ostva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riti prihod za budžet Crne Gore.</w:t>
            </w:r>
            <w:r w:rsidR="00513664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E85B0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="00B66DE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</w:t>
            </w: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nsultacije zainteresovanih strana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B125A" w:rsidRDefault="004B125A" w:rsidP="004B12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 toku izrade ovog propis</w:t>
            </w:r>
            <w:r w:rsidR="000B6D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1110D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nije korišćena eksterna ekspertska podrška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. </w:t>
            </w:r>
          </w:p>
          <w:p w:rsidR="00E9356A" w:rsidRPr="00434199" w:rsidRDefault="00E9356A" w:rsidP="004B125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  <w:p w:rsidR="00164465" w:rsidRPr="00DA1B69" w:rsidRDefault="00D1156F" w:rsidP="004B6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115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Nacrt ovog zakona predstavlja rezultat rada radne grupe, koju su činili predstavnici Ministarstva pravde, Ustavnog suda, Skupštine Crne Gore (iz reda parlamentarne većine), Ministarstva socijalnog staranja, brige o porodici i demografije, kao i predstavnik civilnog sektora. Predstavnik civilnog sektora u rad radne grupe uključen je na poziv ministra pravde, budući da na Javni poziv za predlaganje predstavnika NVO u radnoj grupi nije bilo prijavljenih kandidata. I pored upućenog poziva, parlamentarna opozicija nije delegirala svog predstavnika u rad radne grupe. U svojstvu posmatrača rad radne grupe pratio je i predstavnik Delegacije Evropske unije u Crnoj Gori.  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  <w:p w:rsidR="0067538C" w:rsidRPr="00434199" w:rsidRDefault="0067538C" w:rsidP="00166974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F537D" w:rsidRDefault="0067538C" w:rsidP="0016697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Nema poten</w:t>
            </w:r>
            <w:r w:rsidR="001C2AC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cijalnih prepreka za sprovođenje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ovog zakona. </w:t>
            </w:r>
          </w:p>
          <w:p w:rsidR="00E9356A" w:rsidRPr="00434199" w:rsidRDefault="00E9356A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  <w:p w:rsidR="00AD098C" w:rsidRDefault="00E9356A" w:rsidP="00AD09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2009C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Glavni indikatori kojima će se mjeriti ispunjenje ciljeva su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rezultat</w:t>
            </w:r>
            <w:r w:rsidR="006C6DD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CA359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 radu </w:t>
            </w:r>
            <w:r w:rsidR="006C6DD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Ustavnog suda i njegovo efikasno funkcionisanje.</w:t>
            </w:r>
          </w:p>
          <w:p w:rsidR="00E9356A" w:rsidRPr="00434199" w:rsidRDefault="00E9356A" w:rsidP="00AD098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  <w:p w:rsidR="0067538C" w:rsidRPr="00434199" w:rsidRDefault="0067538C" w:rsidP="00AD098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monitoring 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evaluaciju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propisa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nadležn</w:t>
            </w:r>
            <w:r w:rsidR="006C6DD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 je Skupština Crne Gore.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:rsidR="0067538C" w:rsidRPr="00434199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ME"/>
        </w:rPr>
      </w:pPr>
    </w:p>
    <w:p w:rsidR="0067538C" w:rsidRPr="00434199" w:rsidRDefault="0067538C" w:rsidP="0067538C">
      <w:pPr>
        <w:rPr>
          <w:rFonts w:ascii="Arial" w:hAnsi="Arial" w:cs="Arial"/>
          <w:b/>
          <w:color w:val="000000" w:themeColor="text1"/>
          <w:lang w:val="sr-Latn-ME"/>
        </w:rPr>
      </w:pPr>
    </w:p>
    <w:p w:rsidR="0067538C" w:rsidRPr="00434199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ME"/>
        </w:rPr>
      </w:pPr>
      <w:r w:rsidRPr="00434199">
        <w:rPr>
          <w:rFonts w:ascii="Arial" w:hAnsi="Arial" w:cs="Arial"/>
          <w:b/>
          <w:color w:val="000000" w:themeColor="text1"/>
          <w:lang w:val="sr-Latn-ME"/>
        </w:rPr>
        <w:tab/>
      </w:r>
      <w:r w:rsidRPr="00434199">
        <w:rPr>
          <w:rFonts w:ascii="Arial" w:hAnsi="Arial" w:cs="Arial"/>
          <w:color w:val="000000" w:themeColor="text1"/>
          <w:lang w:val="sr-Latn-ME"/>
        </w:rPr>
        <w:t xml:space="preserve">Podgorica, </w:t>
      </w:r>
      <w:r w:rsidR="006C6DD8">
        <w:rPr>
          <w:rFonts w:ascii="Arial" w:hAnsi="Arial" w:cs="Arial"/>
          <w:color w:val="000000" w:themeColor="text1"/>
          <w:lang w:val="sr-Latn-ME"/>
        </w:rPr>
        <w:t>30</w:t>
      </w:r>
      <w:r w:rsidRPr="00434199">
        <w:rPr>
          <w:rFonts w:ascii="Arial" w:hAnsi="Arial" w:cs="Arial"/>
          <w:color w:val="000000" w:themeColor="text1"/>
          <w:lang w:val="sr-Latn-ME"/>
        </w:rPr>
        <w:t>.</w:t>
      </w:r>
      <w:r w:rsidR="006C6DD8">
        <w:rPr>
          <w:rFonts w:ascii="Arial" w:hAnsi="Arial" w:cs="Arial"/>
          <w:color w:val="000000" w:themeColor="text1"/>
          <w:lang w:val="sr-Latn-ME"/>
        </w:rPr>
        <w:t>12</w:t>
      </w:r>
      <w:r w:rsidRPr="00434199">
        <w:rPr>
          <w:rFonts w:ascii="Arial" w:hAnsi="Arial" w:cs="Arial"/>
          <w:color w:val="000000" w:themeColor="text1"/>
          <w:lang w:val="sr-Latn-ME"/>
        </w:rPr>
        <w:t>.20</w:t>
      </w:r>
      <w:r w:rsidR="00957E78" w:rsidRPr="00434199">
        <w:rPr>
          <w:rFonts w:ascii="Arial" w:hAnsi="Arial" w:cs="Arial"/>
          <w:color w:val="000000" w:themeColor="text1"/>
          <w:lang w:val="sr-Latn-ME"/>
        </w:rPr>
        <w:t>2</w:t>
      </w:r>
      <w:r w:rsidR="006C6DD8">
        <w:rPr>
          <w:rFonts w:ascii="Arial" w:hAnsi="Arial" w:cs="Arial"/>
          <w:color w:val="000000" w:themeColor="text1"/>
          <w:lang w:val="sr-Latn-ME"/>
        </w:rPr>
        <w:t>5</w:t>
      </w:r>
      <w:r w:rsidRPr="00434199">
        <w:rPr>
          <w:rFonts w:ascii="Arial" w:hAnsi="Arial" w:cs="Arial"/>
          <w:color w:val="000000" w:themeColor="text1"/>
          <w:lang w:val="sr-Latn-ME"/>
        </w:rPr>
        <w:t>. godine</w:t>
      </w:r>
      <w:r w:rsidR="00957E78" w:rsidRPr="00434199"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      </w:t>
      </w:r>
      <w:r w:rsidR="0067538C" w:rsidRPr="00434199">
        <w:rPr>
          <w:rFonts w:ascii="Arial" w:hAnsi="Arial" w:cs="Arial"/>
          <w:b/>
          <w:color w:val="000000" w:themeColor="text1"/>
          <w:lang w:val="sr-Latn-ME"/>
        </w:rPr>
        <w:t>MINISTAR</w:t>
      </w:r>
    </w:p>
    <w:p w:rsidR="0067538C" w:rsidRPr="002923B3" w:rsidRDefault="006C6DD8" w:rsidP="0063792F">
      <w:pPr>
        <w:jc w:val="right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>mr Bojan Božović</w:t>
      </w:r>
      <w:r w:rsidR="00A768D7">
        <w:rPr>
          <w:rFonts w:ascii="Arial" w:hAnsi="Arial" w:cs="Arial"/>
          <w:b/>
          <w:color w:val="000000" w:themeColor="text1"/>
          <w:lang w:val="sr-Latn-ME"/>
        </w:rPr>
        <w:t xml:space="preserve">   </w:t>
      </w:r>
    </w:p>
    <w:p w:rsidR="0067538C" w:rsidRPr="002923B3" w:rsidRDefault="0063792F" w:rsidP="0067538C">
      <w:pPr>
        <w:rPr>
          <w:rFonts w:ascii="Arial" w:hAnsi="Arial" w:cs="Arial"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p w:rsidR="007E5927" w:rsidRPr="002923B3" w:rsidRDefault="007E5927">
      <w:pPr>
        <w:rPr>
          <w:lang w:val="sr-Latn-ME"/>
        </w:rPr>
      </w:pPr>
    </w:p>
    <w:sectPr w:rsidR="007E5927" w:rsidRPr="002923B3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15344"/>
    <w:rsid w:val="0002112B"/>
    <w:rsid w:val="00033189"/>
    <w:rsid w:val="0004220C"/>
    <w:rsid w:val="00044738"/>
    <w:rsid w:val="00073BBD"/>
    <w:rsid w:val="0008021E"/>
    <w:rsid w:val="00095B05"/>
    <w:rsid w:val="00097668"/>
    <w:rsid w:val="000A4118"/>
    <w:rsid w:val="000B055A"/>
    <w:rsid w:val="000B44C8"/>
    <w:rsid w:val="000B4BA8"/>
    <w:rsid w:val="000B6D79"/>
    <w:rsid w:val="000D3037"/>
    <w:rsid w:val="000D7DD7"/>
    <w:rsid w:val="000E35BE"/>
    <w:rsid w:val="000F23E7"/>
    <w:rsid w:val="000F27D7"/>
    <w:rsid w:val="000F2B75"/>
    <w:rsid w:val="0010015A"/>
    <w:rsid w:val="001110DB"/>
    <w:rsid w:val="00116440"/>
    <w:rsid w:val="00126B90"/>
    <w:rsid w:val="0013190D"/>
    <w:rsid w:val="00143099"/>
    <w:rsid w:val="0015181C"/>
    <w:rsid w:val="00156DCA"/>
    <w:rsid w:val="0016005B"/>
    <w:rsid w:val="00164465"/>
    <w:rsid w:val="0016619A"/>
    <w:rsid w:val="00173158"/>
    <w:rsid w:val="00175476"/>
    <w:rsid w:val="00181882"/>
    <w:rsid w:val="00183A89"/>
    <w:rsid w:val="001878E2"/>
    <w:rsid w:val="001A5315"/>
    <w:rsid w:val="001B6090"/>
    <w:rsid w:val="001B6246"/>
    <w:rsid w:val="001C2ACC"/>
    <w:rsid w:val="001C7FB6"/>
    <w:rsid w:val="001D1C52"/>
    <w:rsid w:val="001D60D3"/>
    <w:rsid w:val="0020104D"/>
    <w:rsid w:val="002109C1"/>
    <w:rsid w:val="00216660"/>
    <w:rsid w:val="00221CD5"/>
    <w:rsid w:val="00222F7F"/>
    <w:rsid w:val="002403E4"/>
    <w:rsid w:val="002774E1"/>
    <w:rsid w:val="002923B3"/>
    <w:rsid w:val="002A7B9A"/>
    <w:rsid w:val="002B1F87"/>
    <w:rsid w:val="002D131D"/>
    <w:rsid w:val="003035BF"/>
    <w:rsid w:val="00330D6C"/>
    <w:rsid w:val="003329D6"/>
    <w:rsid w:val="00335ADA"/>
    <w:rsid w:val="00340004"/>
    <w:rsid w:val="0034509F"/>
    <w:rsid w:val="00352C6A"/>
    <w:rsid w:val="003541DB"/>
    <w:rsid w:val="00354576"/>
    <w:rsid w:val="00355D04"/>
    <w:rsid w:val="00367576"/>
    <w:rsid w:val="0037116B"/>
    <w:rsid w:val="003918D8"/>
    <w:rsid w:val="00391D53"/>
    <w:rsid w:val="003B28BE"/>
    <w:rsid w:val="003C0EE4"/>
    <w:rsid w:val="003D1A42"/>
    <w:rsid w:val="003D31DA"/>
    <w:rsid w:val="003D79A2"/>
    <w:rsid w:val="003E58BA"/>
    <w:rsid w:val="003E5EF7"/>
    <w:rsid w:val="00400D87"/>
    <w:rsid w:val="00411AFA"/>
    <w:rsid w:val="00434199"/>
    <w:rsid w:val="00437AAA"/>
    <w:rsid w:val="00460F44"/>
    <w:rsid w:val="0047681F"/>
    <w:rsid w:val="00481187"/>
    <w:rsid w:val="00481256"/>
    <w:rsid w:val="004910C6"/>
    <w:rsid w:val="00491378"/>
    <w:rsid w:val="004952AA"/>
    <w:rsid w:val="004B125A"/>
    <w:rsid w:val="004B523B"/>
    <w:rsid w:val="004B68B1"/>
    <w:rsid w:val="004D1C00"/>
    <w:rsid w:val="00511434"/>
    <w:rsid w:val="00512827"/>
    <w:rsid w:val="00513664"/>
    <w:rsid w:val="00522573"/>
    <w:rsid w:val="00541FAA"/>
    <w:rsid w:val="00545DB5"/>
    <w:rsid w:val="00547760"/>
    <w:rsid w:val="0055469E"/>
    <w:rsid w:val="0056092F"/>
    <w:rsid w:val="00563D0F"/>
    <w:rsid w:val="00572A55"/>
    <w:rsid w:val="005828C0"/>
    <w:rsid w:val="005A41B9"/>
    <w:rsid w:val="005A6A81"/>
    <w:rsid w:val="005A7FE9"/>
    <w:rsid w:val="005B0FE0"/>
    <w:rsid w:val="005D23A5"/>
    <w:rsid w:val="005E643C"/>
    <w:rsid w:val="00603F7A"/>
    <w:rsid w:val="00617546"/>
    <w:rsid w:val="00625B3E"/>
    <w:rsid w:val="00633706"/>
    <w:rsid w:val="00634F4E"/>
    <w:rsid w:val="00637209"/>
    <w:rsid w:val="0063792F"/>
    <w:rsid w:val="00637AAC"/>
    <w:rsid w:val="006472F9"/>
    <w:rsid w:val="00653A74"/>
    <w:rsid w:val="00655306"/>
    <w:rsid w:val="006571DD"/>
    <w:rsid w:val="00670274"/>
    <w:rsid w:val="0067538C"/>
    <w:rsid w:val="00694097"/>
    <w:rsid w:val="0069642B"/>
    <w:rsid w:val="0069764B"/>
    <w:rsid w:val="0069772D"/>
    <w:rsid w:val="006A2CBC"/>
    <w:rsid w:val="006B2BA6"/>
    <w:rsid w:val="006B50AB"/>
    <w:rsid w:val="006C120E"/>
    <w:rsid w:val="006C303F"/>
    <w:rsid w:val="006C3678"/>
    <w:rsid w:val="006C3E82"/>
    <w:rsid w:val="006C6DD8"/>
    <w:rsid w:val="006D6AAE"/>
    <w:rsid w:val="006E2343"/>
    <w:rsid w:val="006E70E7"/>
    <w:rsid w:val="006F0AFF"/>
    <w:rsid w:val="006F2A6C"/>
    <w:rsid w:val="00701048"/>
    <w:rsid w:val="00714395"/>
    <w:rsid w:val="00721480"/>
    <w:rsid w:val="00724B13"/>
    <w:rsid w:val="00742A01"/>
    <w:rsid w:val="00745FE5"/>
    <w:rsid w:val="007532CB"/>
    <w:rsid w:val="0075432F"/>
    <w:rsid w:val="0076249F"/>
    <w:rsid w:val="007647D1"/>
    <w:rsid w:val="00766965"/>
    <w:rsid w:val="00770BBE"/>
    <w:rsid w:val="00770E31"/>
    <w:rsid w:val="007A2A1B"/>
    <w:rsid w:val="007A6139"/>
    <w:rsid w:val="007C0F58"/>
    <w:rsid w:val="007C4BBD"/>
    <w:rsid w:val="007C79FD"/>
    <w:rsid w:val="007C7C62"/>
    <w:rsid w:val="007D50F6"/>
    <w:rsid w:val="007E5927"/>
    <w:rsid w:val="007F2D24"/>
    <w:rsid w:val="00805D59"/>
    <w:rsid w:val="00812371"/>
    <w:rsid w:val="0081564A"/>
    <w:rsid w:val="008201C4"/>
    <w:rsid w:val="00854E57"/>
    <w:rsid w:val="00864CC1"/>
    <w:rsid w:val="00874C7B"/>
    <w:rsid w:val="008823E7"/>
    <w:rsid w:val="008A065C"/>
    <w:rsid w:val="008A7287"/>
    <w:rsid w:val="008A7D92"/>
    <w:rsid w:val="008B24B7"/>
    <w:rsid w:val="008B44EA"/>
    <w:rsid w:val="008C2AC8"/>
    <w:rsid w:val="008D38AA"/>
    <w:rsid w:val="008E602D"/>
    <w:rsid w:val="008F5079"/>
    <w:rsid w:val="00901684"/>
    <w:rsid w:val="00902CD3"/>
    <w:rsid w:val="00911AC0"/>
    <w:rsid w:val="009241D4"/>
    <w:rsid w:val="00924C56"/>
    <w:rsid w:val="00943AD1"/>
    <w:rsid w:val="00944903"/>
    <w:rsid w:val="0094711B"/>
    <w:rsid w:val="00957E78"/>
    <w:rsid w:val="00966CF5"/>
    <w:rsid w:val="009856E5"/>
    <w:rsid w:val="009A30D4"/>
    <w:rsid w:val="009B4193"/>
    <w:rsid w:val="009C241D"/>
    <w:rsid w:val="009E0C07"/>
    <w:rsid w:val="009E1B36"/>
    <w:rsid w:val="009F025D"/>
    <w:rsid w:val="009F3261"/>
    <w:rsid w:val="00A1736D"/>
    <w:rsid w:val="00A20F81"/>
    <w:rsid w:val="00A22A0D"/>
    <w:rsid w:val="00A26635"/>
    <w:rsid w:val="00A2720E"/>
    <w:rsid w:val="00A341AA"/>
    <w:rsid w:val="00A374B0"/>
    <w:rsid w:val="00A41502"/>
    <w:rsid w:val="00A56A5E"/>
    <w:rsid w:val="00A56CDA"/>
    <w:rsid w:val="00A633DE"/>
    <w:rsid w:val="00A651A6"/>
    <w:rsid w:val="00A70683"/>
    <w:rsid w:val="00A74EEE"/>
    <w:rsid w:val="00A75CB5"/>
    <w:rsid w:val="00A768D7"/>
    <w:rsid w:val="00A82085"/>
    <w:rsid w:val="00A822C6"/>
    <w:rsid w:val="00A8266A"/>
    <w:rsid w:val="00A87F89"/>
    <w:rsid w:val="00AA4B92"/>
    <w:rsid w:val="00AA4BB5"/>
    <w:rsid w:val="00AB6C9B"/>
    <w:rsid w:val="00AC4198"/>
    <w:rsid w:val="00AD098C"/>
    <w:rsid w:val="00AE046F"/>
    <w:rsid w:val="00AE4C46"/>
    <w:rsid w:val="00AE79A5"/>
    <w:rsid w:val="00AF6A19"/>
    <w:rsid w:val="00AF6B4A"/>
    <w:rsid w:val="00B02A38"/>
    <w:rsid w:val="00B108EA"/>
    <w:rsid w:val="00B307EB"/>
    <w:rsid w:val="00B518CA"/>
    <w:rsid w:val="00B55FD8"/>
    <w:rsid w:val="00B60747"/>
    <w:rsid w:val="00B663E8"/>
    <w:rsid w:val="00B66DE3"/>
    <w:rsid w:val="00B928B4"/>
    <w:rsid w:val="00BA0ABC"/>
    <w:rsid w:val="00BA0C52"/>
    <w:rsid w:val="00BB0330"/>
    <w:rsid w:val="00BB31C8"/>
    <w:rsid w:val="00BC0BCC"/>
    <w:rsid w:val="00BD2745"/>
    <w:rsid w:val="00BE4954"/>
    <w:rsid w:val="00C33679"/>
    <w:rsid w:val="00C44928"/>
    <w:rsid w:val="00C45079"/>
    <w:rsid w:val="00C45F1D"/>
    <w:rsid w:val="00C4762A"/>
    <w:rsid w:val="00C56F59"/>
    <w:rsid w:val="00C61AEB"/>
    <w:rsid w:val="00C7409C"/>
    <w:rsid w:val="00CA2896"/>
    <w:rsid w:val="00CA326F"/>
    <w:rsid w:val="00CA3598"/>
    <w:rsid w:val="00CC130C"/>
    <w:rsid w:val="00CC20DA"/>
    <w:rsid w:val="00CF2E50"/>
    <w:rsid w:val="00D0737F"/>
    <w:rsid w:val="00D103EF"/>
    <w:rsid w:val="00D1156F"/>
    <w:rsid w:val="00D20B7C"/>
    <w:rsid w:val="00D273AB"/>
    <w:rsid w:val="00D4031A"/>
    <w:rsid w:val="00D62C1A"/>
    <w:rsid w:val="00D62D31"/>
    <w:rsid w:val="00D637C7"/>
    <w:rsid w:val="00D847EE"/>
    <w:rsid w:val="00D90715"/>
    <w:rsid w:val="00D92AC2"/>
    <w:rsid w:val="00DA1B69"/>
    <w:rsid w:val="00DC0AF2"/>
    <w:rsid w:val="00DD11DF"/>
    <w:rsid w:val="00DD1686"/>
    <w:rsid w:val="00DD715F"/>
    <w:rsid w:val="00DE0EF2"/>
    <w:rsid w:val="00DE2D63"/>
    <w:rsid w:val="00DF37AA"/>
    <w:rsid w:val="00DF537D"/>
    <w:rsid w:val="00E01367"/>
    <w:rsid w:val="00E04892"/>
    <w:rsid w:val="00E10DE0"/>
    <w:rsid w:val="00E13E17"/>
    <w:rsid w:val="00E17E0B"/>
    <w:rsid w:val="00E23AF5"/>
    <w:rsid w:val="00E267BC"/>
    <w:rsid w:val="00E312CD"/>
    <w:rsid w:val="00E43D7B"/>
    <w:rsid w:val="00E475AB"/>
    <w:rsid w:val="00E63F38"/>
    <w:rsid w:val="00E6675A"/>
    <w:rsid w:val="00E76205"/>
    <w:rsid w:val="00E85B0F"/>
    <w:rsid w:val="00E9356A"/>
    <w:rsid w:val="00EB3B9D"/>
    <w:rsid w:val="00EB5884"/>
    <w:rsid w:val="00EC5A79"/>
    <w:rsid w:val="00ED7461"/>
    <w:rsid w:val="00ED77E6"/>
    <w:rsid w:val="00ED7B0D"/>
    <w:rsid w:val="00EE203F"/>
    <w:rsid w:val="00F23014"/>
    <w:rsid w:val="00F34837"/>
    <w:rsid w:val="00F431FE"/>
    <w:rsid w:val="00F550EB"/>
    <w:rsid w:val="00F559DB"/>
    <w:rsid w:val="00F76F70"/>
    <w:rsid w:val="00F7700A"/>
    <w:rsid w:val="00F84BEF"/>
    <w:rsid w:val="00F869D2"/>
    <w:rsid w:val="00F86BD3"/>
    <w:rsid w:val="00FC1C41"/>
    <w:rsid w:val="00FC6E81"/>
    <w:rsid w:val="00FD200E"/>
    <w:rsid w:val="00FD4A10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8664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72A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AE44-2DC5-40E7-9B06-A420DD95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Miljan Kosovic</cp:lastModifiedBy>
  <cp:revision>19</cp:revision>
  <cp:lastPrinted>2025-12-30T10:23:00Z</cp:lastPrinted>
  <dcterms:created xsi:type="dcterms:W3CDTF">2025-12-29T13:38:00Z</dcterms:created>
  <dcterms:modified xsi:type="dcterms:W3CDTF">2025-12-30T10:28:00Z</dcterms:modified>
</cp:coreProperties>
</file>