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2263F" w14:textId="77777777" w:rsidR="00C50906" w:rsidRPr="00B77B54" w:rsidRDefault="003E0EF9" w:rsidP="00F218A8">
      <w:pPr>
        <w:pStyle w:val="Heading1"/>
      </w:pPr>
      <w:bookmarkStart w:id="0" w:name="_GoBack"/>
      <w:bookmarkEnd w:id="0"/>
      <w:r w:rsidRPr="00B77B54">
        <w:t>Evaluacija i monitoring</w:t>
      </w:r>
      <w:r w:rsidR="00F955FA" w:rsidRPr="00B77B54">
        <w:t xml:space="preserve"> strategije</w:t>
      </w:r>
    </w:p>
    <w:p w14:paraId="416209F7" w14:textId="77777777" w:rsidR="003E0EF9" w:rsidRPr="00B77B54" w:rsidRDefault="003E0EF9" w:rsidP="003E0EF9">
      <w:pPr>
        <w:pStyle w:val="Heading1"/>
      </w:pPr>
      <w:r w:rsidRPr="00B77B54">
        <w:t>Uvod</w:t>
      </w:r>
    </w:p>
    <w:p w14:paraId="5763EBD2" w14:textId="28A2F25F" w:rsidR="00C57A70" w:rsidRPr="00B77B54" w:rsidRDefault="00E54E63" w:rsidP="00E54E63">
      <w:pPr>
        <w:jc w:val="both"/>
        <w:rPr>
          <w:lang w:val="sr-Latn-ME"/>
        </w:rPr>
      </w:pPr>
      <w:r w:rsidRPr="00B77B54">
        <w:t xml:space="preserve">Sveobuhvatno praćenje procesa i aktivnosti koje se sprovode u cilju ostvarivanja velikog broja strateških ciljeva </w:t>
      </w:r>
      <w:r w:rsidR="00740975" w:rsidRPr="00B77B54">
        <w:t>i</w:t>
      </w:r>
      <w:r w:rsidRPr="00B77B54">
        <w:t xml:space="preserve"> javnih politika u </w:t>
      </w:r>
      <w:r w:rsidR="00740975" w:rsidRPr="00B77B54">
        <w:t xml:space="preserve">raznim oblastima </w:t>
      </w:r>
      <w:r w:rsidR="005178CC" w:rsidRPr="00B77B54">
        <w:t xml:space="preserve">funkcionisanja društva i dalje </w:t>
      </w:r>
      <w:r w:rsidR="00740975" w:rsidRPr="00B77B54">
        <w:t xml:space="preserve">u </w:t>
      </w:r>
      <w:r w:rsidRPr="00B77B54">
        <w:t xml:space="preserve">Crnoj Gori </w:t>
      </w:r>
      <w:r w:rsidR="00DD2E41" w:rsidRPr="00B77B54">
        <w:t xml:space="preserve">predstavlja </w:t>
      </w:r>
      <w:r w:rsidRPr="00B77B54">
        <w:t>izazov. Ovaj izazov ima svoj</w:t>
      </w:r>
      <w:r w:rsidR="005A7614" w:rsidRPr="00B77B54">
        <w:t>ih</w:t>
      </w:r>
      <w:r w:rsidRPr="00B77B54">
        <w:t xml:space="preserve"> osnovn</w:t>
      </w:r>
      <w:r w:rsidR="005A7614" w:rsidRPr="00B77B54">
        <w:t>ih</w:t>
      </w:r>
      <w:r w:rsidRPr="00B77B54">
        <w:t xml:space="preserve"> </w:t>
      </w:r>
      <w:r w:rsidR="005A7614" w:rsidRPr="00B77B54">
        <w:t>pet</w:t>
      </w:r>
      <w:r w:rsidRPr="00B77B54">
        <w:t xml:space="preserve"> dimenzij</w:t>
      </w:r>
      <w:r w:rsidR="005A7614" w:rsidRPr="00B77B54">
        <w:t>a</w:t>
      </w:r>
      <w:r w:rsidRPr="00B77B54">
        <w:t>: 1) uspostavljanje metodološki adekvatnog sistema praćenja koj</w:t>
      </w:r>
      <w:r w:rsidR="0004296B" w:rsidRPr="00B77B54">
        <w:t>i</w:t>
      </w:r>
      <w:r w:rsidRPr="00B77B54">
        <w:t xml:space="preserve"> će uključiti međunarodne, ali i nacionalne indikatore, 2) uspostavljanje efikasnog</w:t>
      </w:r>
      <w:r w:rsidR="00F6047C" w:rsidRPr="00B77B54">
        <w:t>, redovnog</w:t>
      </w:r>
      <w:r w:rsidR="005A7614" w:rsidRPr="00B77B54">
        <w:t xml:space="preserve"> i koordinisanog</w:t>
      </w:r>
      <w:r w:rsidRPr="00B77B54">
        <w:t xml:space="preserve"> institucionalnog sistema prikupljanja podataka i izvještavanja o istima, 3) kvalit</w:t>
      </w:r>
      <w:r w:rsidR="005A7614" w:rsidRPr="00B77B54">
        <w:t xml:space="preserve">etno prikupljanje i obrada samih podataka, 4) svrsishodna analiza dobijenih podataka i praćenje trendova, 5) definisanje javnih politika u odnosu na sprovedenu analizu. </w:t>
      </w:r>
      <w:r w:rsidR="00C57A70" w:rsidRPr="00B77B54">
        <w:t>Ne treba zaboraviti ni povremeno revidiranje mjera iz strate</w:t>
      </w:r>
      <w:r w:rsidR="00C57A70" w:rsidRPr="00B77B54">
        <w:rPr>
          <w:lang w:val="sr-Latn-ME"/>
        </w:rPr>
        <w:t xml:space="preserve">škoh dokumenata, kada se praćenjem indikatora pokaže da ne daju odgovarajuće rezultate. </w:t>
      </w:r>
    </w:p>
    <w:p w14:paraId="692522B8" w14:textId="2F5AC942" w:rsidR="00740975" w:rsidRPr="00B77B54" w:rsidRDefault="00975356" w:rsidP="00E54E63">
      <w:pPr>
        <w:jc w:val="both"/>
      </w:pPr>
      <w:r w:rsidRPr="00B77B54">
        <w:t xml:space="preserve">Sistem zvanične statistike u Crnoj Gori </w:t>
      </w:r>
      <w:r w:rsidR="00F52223" w:rsidRPr="00B77B54">
        <w:t xml:space="preserve">se trenutno nalazi </w:t>
      </w:r>
      <w:r w:rsidRPr="00B77B54">
        <w:t>u procesu opšte transformacije kako bi bio u stanju da odgovori na zahtjeve za međunarodno uporedivim i kvalitetnim podacima u praktično svi</w:t>
      </w:r>
      <w:r w:rsidR="0004296B" w:rsidRPr="00B77B54">
        <w:t>m</w:t>
      </w:r>
      <w:r w:rsidRPr="00B77B54">
        <w:t xml:space="preserve"> sferama života. </w:t>
      </w:r>
      <w:r w:rsidR="005178CC" w:rsidRPr="00B77B54">
        <w:t xml:space="preserve">Gore predstavljeni izazovi postoje i kada je u pitanju praćenje položaja mladih ljudi </w:t>
      </w:r>
      <w:r w:rsidR="0031245D" w:rsidRPr="00B77B54">
        <w:t xml:space="preserve">u Crnoj Gori. </w:t>
      </w:r>
      <w:r w:rsidR="005178CC" w:rsidRPr="00B77B54">
        <w:t xml:space="preserve">Sa jedne strane, </w:t>
      </w:r>
      <w:r w:rsidR="0031245D" w:rsidRPr="00B77B54">
        <w:t>u</w:t>
      </w:r>
      <w:r w:rsidR="00740975" w:rsidRPr="00B77B54">
        <w:t xml:space="preserve">spostavljanje sveobuhvatnog </w:t>
      </w:r>
      <w:r w:rsidR="0031245D" w:rsidRPr="00B77B54">
        <w:t xml:space="preserve">i efikasnog </w:t>
      </w:r>
      <w:r w:rsidR="00740975" w:rsidRPr="00B77B54">
        <w:t xml:space="preserve">sistema praćenja </w:t>
      </w:r>
      <w:r w:rsidR="00F52223" w:rsidRPr="00B77B54">
        <w:t>polo</w:t>
      </w:r>
      <w:r w:rsidR="00F52223" w:rsidRPr="00B77B54">
        <w:rPr>
          <w:lang w:val="hr-HR"/>
        </w:rPr>
        <w:t>žaja</w:t>
      </w:r>
      <w:r w:rsidR="00740975" w:rsidRPr="00B77B54">
        <w:t xml:space="preserve"> mladih ljudi u Crnoj Gori </w:t>
      </w:r>
      <w:r w:rsidR="0004296B" w:rsidRPr="00B77B54">
        <w:t>je od posebnog značaja za spro</w:t>
      </w:r>
      <w:r w:rsidR="00F52223" w:rsidRPr="00B77B54">
        <w:t>vo</w:t>
      </w:r>
      <w:r w:rsidR="0004296B" w:rsidRPr="00B77B54">
        <w:t xml:space="preserve">đenje Strategije </w:t>
      </w:r>
      <w:r w:rsidR="005178CC" w:rsidRPr="00B77B54">
        <w:t xml:space="preserve">za mlade. Sa druge, samo uspostavljanje ovog sistema predstavlja značajan napor i izazov. </w:t>
      </w:r>
      <w:r w:rsidR="00D44BAD" w:rsidRPr="00B77B54">
        <w:t xml:space="preserve">Stoga, poglavlje </w:t>
      </w:r>
      <w:r w:rsidR="00D44BAD" w:rsidRPr="00B77B54">
        <w:rPr>
          <w:i/>
        </w:rPr>
        <w:t>Evaluacija i monitoring</w:t>
      </w:r>
      <w:r w:rsidR="00D44BAD" w:rsidRPr="00B77B54">
        <w:t xml:space="preserve"> ove Strategije predstavlja i neku vrstu mape puta kako do krajnjeg cilja doći – uspostaviti funkcionalan i sevobuhvatan nacionalni sistem indikatora za praćenje položaja mladih u skladu sa najboljom međunarodnom praksom. </w:t>
      </w:r>
    </w:p>
    <w:p w14:paraId="50B1CC74" w14:textId="56E5F15D" w:rsidR="00CD1665" w:rsidRPr="00B77B54" w:rsidRDefault="00C57A70" w:rsidP="00CD1665">
      <w:pPr>
        <w:jc w:val="both"/>
      </w:pPr>
      <w:r w:rsidRPr="00B77B54">
        <w:rPr>
          <w:lang w:val="es-US"/>
        </w:rPr>
        <w:t>Kao i Strategija za mlade Evropske unije, i Strategija za mlade Crne Gore stavlja akcenat na pristup kreiranju politika za mlade zasnovan na podacima</w:t>
      </w:r>
      <w:r w:rsidR="00CD1665" w:rsidRPr="00B77B54">
        <w:t xml:space="preserve">. EU strategija za mlade to čini kroz osam pravaca akcije i u skladu sa njima definisanim indikatorima, dok Strategija za mlade Crne Gore ima nešto drugačiji pristup. Ono što je zajedničko objema strategijama je uključivanje tzv. kontekstualnih indikatora. To su oni koji daju kontekst za položaj mladih u Crnoj Gori bez obzira na to što nisu direktno vezani za aktivnosti iz samih strategija. </w:t>
      </w:r>
    </w:p>
    <w:p w14:paraId="4FFD4F4A" w14:textId="77777777" w:rsidR="00135681" w:rsidRPr="00B77B54" w:rsidRDefault="00135681" w:rsidP="00E54E63">
      <w:pPr>
        <w:jc w:val="both"/>
      </w:pPr>
      <w:r w:rsidRPr="00B77B54">
        <w:t>Strategija za mlade je u određenoj mjeri specifičan dokument čij</w:t>
      </w:r>
      <w:r w:rsidR="003E05DB" w:rsidRPr="00B77B54">
        <w:t>i</w:t>
      </w:r>
      <w:r w:rsidRPr="00B77B54">
        <w:t xml:space="preserve"> </w:t>
      </w:r>
      <w:r w:rsidR="003E05DB" w:rsidRPr="00B77B54">
        <w:t>opseg</w:t>
      </w:r>
      <w:r w:rsidRPr="00B77B54">
        <w:t xml:space="preserve"> prevazilaz</w:t>
      </w:r>
      <w:r w:rsidR="003E05DB" w:rsidRPr="00B77B54">
        <w:t>i</w:t>
      </w:r>
      <w:r w:rsidRPr="00B77B54">
        <w:t xml:space="preserve"> </w:t>
      </w:r>
      <w:r w:rsidR="00F52223" w:rsidRPr="00B77B54">
        <w:t xml:space="preserve">samom Strategijom </w:t>
      </w:r>
      <w:r w:rsidRPr="00B77B54">
        <w:t xml:space="preserve">definisane ciljne ishode i shodno </w:t>
      </w:r>
      <w:r w:rsidR="003E05DB" w:rsidRPr="00B77B54">
        <w:t>njima</w:t>
      </w:r>
      <w:r w:rsidRPr="00B77B54">
        <w:t xml:space="preserve"> aktivnosti. Naime, radi se o strateškom dokumentu koji </w:t>
      </w:r>
      <w:r w:rsidR="003E05DB" w:rsidRPr="00B77B54">
        <w:t xml:space="preserve">pokušava da </w:t>
      </w:r>
      <w:r w:rsidR="00F52223" w:rsidRPr="00B77B54">
        <w:t xml:space="preserve">sveobuhvatno </w:t>
      </w:r>
      <w:r w:rsidR="003E05DB" w:rsidRPr="00B77B54">
        <w:t xml:space="preserve">sagleda situaciju kada su mladi ljudi u pitanju u Crnoj Gori i da </w:t>
      </w:r>
      <w:r w:rsidRPr="00B77B54">
        <w:t>se na određeni način, postav</w:t>
      </w:r>
      <w:r w:rsidR="003E05DB" w:rsidRPr="00B77B54">
        <w:t>i</w:t>
      </w:r>
      <w:r w:rsidRPr="00B77B54">
        <w:t xml:space="preserve"> kao krovni kada je u pitanju </w:t>
      </w:r>
      <w:r w:rsidR="003E05DB" w:rsidRPr="00B77B54">
        <w:t>ova tema</w:t>
      </w:r>
      <w:r w:rsidRPr="00B77B54">
        <w:t xml:space="preserve">. Dobrim dijelom, problematika pozicije mladih u crnogorskom društvu definisana je drugim strateškim dokumentima u oblasti zdravlja, obrazovanja, zapošljavanja i sl. Strategija za mlade na operativnom nivou definiše prioritetne „nedostajuće“ djelove koji su neophodni za ukupno unapređenje situacije mladih u Crnoj Gori, a sa druge strane </w:t>
      </w:r>
      <w:r w:rsidR="003E05DB" w:rsidRPr="00B77B54">
        <w:t xml:space="preserve">na višem nivou </w:t>
      </w:r>
      <w:r w:rsidRPr="00B77B54">
        <w:t xml:space="preserve">radi na uspostavljanju </w:t>
      </w:r>
      <w:r w:rsidR="00D44BAD" w:rsidRPr="00B77B54">
        <w:t xml:space="preserve">sveobuhvatnog </w:t>
      </w:r>
      <w:r w:rsidRPr="00B77B54">
        <w:t xml:space="preserve">sistema praćenja i alarmiranja kada je </w:t>
      </w:r>
      <w:r w:rsidR="00D44BAD" w:rsidRPr="00B77B54">
        <w:t>položaj</w:t>
      </w:r>
      <w:r w:rsidRPr="00B77B54">
        <w:t xml:space="preserve"> mladih u pitanju. </w:t>
      </w:r>
    </w:p>
    <w:p w14:paraId="43D798DB" w14:textId="77777777" w:rsidR="004404A3" w:rsidRPr="00B77B54" w:rsidRDefault="00F52223" w:rsidP="00E54E63">
      <w:pPr>
        <w:jc w:val="both"/>
      </w:pPr>
      <w:r w:rsidRPr="00B77B54">
        <w:t>Indikatori koji su pre</w:t>
      </w:r>
      <w:r w:rsidR="00AD161F" w:rsidRPr="00B77B54">
        <w:t>d</w:t>
      </w:r>
      <w:r w:rsidRPr="00B77B54">
        <w:t>viđeni za praćenje su definisani u</w:t>
      </w:r>
      <w:r w:rsidR="00135681" w:rsidRPr="00B77B54">
        <w:t xml:space="preserve"> odnosu na ova</w:t>
      </w:r>
      <w:r w:rsidR="00D44BAD" w:rsidRPr="00B77B54">
        <w:t xml:space="preserve">ko postavljenu funkciju Strategije. </w:t>
      </w:r>
      <w:r w:rsidR="00135681" w:rsidRPr="00B77B54">
        <w:t xml:space="preserve">j pristup. </w:t>
      </w:r>
      <w:r w:rsidR="00D44BAD" w:rsidRPr="00B77B54">
        <w:t xml:space="preserve">Naime, iako je svaki predloženi indikator povezan sa odgovarajućom mjerom u okviru ključnih ciljnih ishoda, među njima ne postoji apsolutno poklapanje. </w:t>
      </w:r>
      <w:r w:rsidR="00135681" w:rsidRPr="00B77B54">
        <w:t>Po kriterijumu vezanosti za konkretne aktivnosti</w:t>
      </w:r>
      <w:r w:rsidR="00D44BAD" w:rsidRPr="00B77B54">
        <w:t xml:space="preserve"> u okviru mjera</w:t>
      </w:r>
      <w:r w:rsidR="00135681" w:rsidRPr="00B77B54">
        <w:t xml:space="preserve"> iz Strategije, </w:t>
      </w:r>
      <w:r w:rsidR="00D44BAD" w:rsidRPr="00B77B54">
        <w:t xml:space="preserve">predložene indikatore </w:t>
      </w:r>
      <w:r w:rsidR="00135681" w:rsidRPr="00B77B54">
        <w:t>možemo ih podijeliti na tri grupe: 1) oni koji su direktno vezani za konkretne ciljne ishode i posredno aktivnosti predviđene St</w:t>
      </w:r>
      <w:r w:rsidRPr="00B77B54">
        <w:t>r</w:t>
      </w:r>
      <w:r w:rsidR="00135681" w:rsidRPr="00B77B54">
        <w:t xml:space="preserve">ategijom, 2) oni koji su indirektno vezani za ciljne ishode, ali ne i konkretne aktivnosti, ali koji su važni sa stanovišta praćenja </w:t>
      </w:r>
      <w:r w:rsidR="00135681" w:rsidRPr="00B77B54">
        <w:lastRenderedPageBreak/>
        <w:t>opšte situacij</w:t>
      </w:r>
      <w:r w:rsidR="0004296B" w:rsidRPr="00B77B54">
        <w:t>e</w:t>
      </w:r>
      <w:r w:rsidR="00135681" w:rsidRPr="00B77B54">
        <w:t xml:space="preserve"> kada su mladi u pitanju i 3) oni koji su </w:t>
      </w:r>
      <w:r w:rsidR="00774567" w:rsidRPr="00B77B54">
        <w:t>indirektno vezani za ciljne ishode, ali za čije uvođenje u statistički sistem Crne Gore trenutno ne postoje uslovi.</w:t>
      </w:r>
      <w:r w:rsidR="00AD161F" w:rsidRPr="00B77B54">
        <w:t xml:space="preserve"> </w:t>
      </w:r>
      <w:r w:rsidR="004404A3" w:rsidRPr="00B77B54">
        <w:t>Treća grupa indikatora nije uključena u tekst Strategije već se predlaže da jedna od aktivnosti bude kreiranje sveobuhvatnog instrumenta za analizu položaja mladih koji će pored postojećih uključiti i ove indikatore.</w:t>
      </w:r>
    </w:p>
    <w:p w14:paraId="410FF4A2" w14:textId="77777777" w:rsidR="00357A3A" w:rsidRPr="00B77B54" w:rsidRDefault="004404A3" w:rsidP="00E54E63">
      <w:pPr>
        <w:jc w:val="both"/>
      </w:pPr>
      <w:r w:rsidRPr="00B77B54">
        <w:t>Kada su u pitanju indikatori koji su predviđeni za praćenje Strategijom, oni se takođe mogu</w:t>
      </w:r>
      <w:r w:rsidR="00AD161F" w:rsidRPr="00B77B54">
        <w:t xml:space="preserve"> podijeliti na dvije kategorije: 1) oni za koje postoji definisana metodologija praćenja (ovdje je najčešće riječ o međunarodnim indikatorima), 2) oni za koje je neophodn</w:t>
      </w:r>
      <w:r w:rsidR="00357A3A" w:rsidRPr="00B77B54">
        <w:t xml:space="preserve">o </w:t>
      </w:r>
      <w:r w:rsidR="00635F71" w:rsidRPr="00B77B54">
        <w:t xml:space="preserve">nacionalno </w:t>
      </w:r>
      <w:r w:rsidR="00357A3A" w:rsidRPr="00B77B54">
        <w:t>definisati metodologiju praćenja.</w:t>
      </w:r>
      <w:r w:rsidR="00774567" w:rsidRPr="00B77B54">
        <w:t xml:space="preserve"> </w:t>
      </w:r>
    </w:p>
    <w:p w14:paraId="1C28B3FC" w14:textId="40969009" w:rsidR="00135681" w:rsidRPr="00B77B54" w:rsidRDefault="004404A3" w:rsidP="00E54E63">
      <w:pPr>
        <w:jc w:val="both"/>
      </w:pPr>
      <w:r w:rsidRPr="00B77B54">
        <w:t xml:space="preserve">U tom smislu, </w:t>
      </w:r>
      <w:r w:rsidRPr="00B77B54">
        <w:rPr>
          <w:b/>
        </w:rPr>
        <w:t>jedna od prioritetnih aktivnosti</w:t>
      </w:r>
      <w:r w:rsidRPr="00B77B54">
        <w:t xml:space="preserve"> </w:t>
      </w:r>
      <w:r w:rsidRPr="00B77B54">
        <w:rPr>
          <w:b/>
        </w:rPr>
        <w:t>Strategije</w:t>
      </w:r>
      <w:r w:rsidRPr="00B77B54">
        <w:t xml:space="preserve"> bila bi definisanje metodologije za praćenje onih indikatora za koje </w:t>
      </w:r>
      <w:r w:rsidR="00F6047C" w:rsidRPr="00B77B54">
        <w:t>ne postoji metodologija praćenja</w:t>
      </w:r>
      <w:r w:rsidRPr="00B77B54">
        <w:t xml:space="preserve">, a koji su neophodni </w:t>
      </w:r>
      <w:r w:rsidR="00855CED" w:rsidRPr="00B77B54">
        <w:t>kako bi se pratio progres u implementaciji same Strategije.</w:t>
      </w:r>
      <w:r w:rsidR="003E05DB" w:rsidRPr="00B77B54">
        <w:t xml:space="preserve"> </w:t>
      </w:r>
    </w:p>
    <w:p w14:paraId="608D88D0" w14:textId="77777777" w:rsidR="000651C1" w:rsidRPr="00B77B54" w:rsidRDefault="000651C1" w:rsidP="000651C1">
      <w:pPr>
        <w:pStyle w:val="Heading1"/>
      </w:pPr>
      <w:r w:rsidRPr="00B77B54">
        <w:t>Tipovi indikatora</w:t>
      </w:r>
    </w:p>
    <w:p w14:paraId="30C66B3B" w14:textId="77777777" w:rsidR="003E05DB" w:rsidRPr="00B77B54" w:rsidRDefault="003E05DB" w:rsidP="003E05DB">
      <w:pPr>
        <w:jc w:val="both"/>
      </w:pPr>
      <w:r w:rsidRPr="00B77B54">
        <w:t xml:space="preserve">Ova Strategija u sistem praćenja uključuje niz međunarodnih i nacionalnih indikatora. Osnovna potreba za uvođenjem međunarodnih indikatora je uporedivost dobijenih rezultata sa </w:t>
      </w:r>
      <w:r w:rsidR="00CD1665" w:rsidRPr="00B77B54">
        <w:t xml:space="preserve">položajem </w:t>
      </w:r>
      <w:r w:rsidRPr="00B77B54">
        <w:t>mladih u drugim država</w:t>
      </w:r>
      <w:r w:rsidR="00CD1665" w:rsidRPr="00B77B54">
        <w:t>ma</w:t>
      </w:r>
      <w:r w:rsidRPr="00B77B54">
        <w:t xml:space="preserve"> u svijetu. Dobrim dijelom, predloženi međunarodni indikatori su definisani i praćeni od strane EUROSTAT-a, tako da njihovo uvođenje u statistički sistem Crne Gore predstavlja ispunjavanje obaveza koje nastaju u procesu pridruživanja Evropskoj uniji i usklađivanju sistema zvanične statistike sa statističkim sistemom Unije. </w:t>
      </w:r>
    </w:p>
    <w:p w14:paraId="470C7DD7" w14:textId="77777777" w:rsidR="003E05DB" w:rsidRPr="00B77B54" w:rsidRDefault="003E05DB" w:rsidP="003E05DB">
      <w:pPr>
        <w:jc w:val="both"/>
      </w:pPr>
      <w:r w:rsidRPr="00B77B54">
        <w:t xml:space="preserve">Pored međunarodnih indikatora postoje </w:t>
      </w:r>
      <w:r w:rsidRPr="00B77B54">
        <w:rPr>
          <w:i/>
        </w:rPr>
        <w:t xml:space="preserve">nacionalni indikatori. </w:t>
      </w:r>
      <w:r w:rsidRPr="00B77B54">
        <w:t xml:space="preserve">To su indikatori koji se predlažu na nivou Crne Gore kako bi se način praćenja uveo u nacionalni kontekst. Većina nacionalnih indikatora je inspirisana istraživanjima koja su već </w:t>
      </w:r>
      <w:r w:rsidR="00635F71" w:rsidRPr="00B77B54">
        <w:rPr>
          <w:i/>
        </w:rPr>
        <w:t>ad hoc</w:t>
      </w:r>
      <w:r w:rsidR="00635F71" w:rsidRPr="00B77B54">
        <w:t xml:space="preserve"> </w:t>
      </w:r>
      <w:r w:rsidRPr="00B77B54">
        <w:t>sprovedena od strane međunarodnih i nevlad</w:t>
      </w:r>
      <w:r w:rsidR="00635F71" w:rsidRPr="00B77B54">
        <w:t>inih organizacija u Crnoj Gori, a za koje se smatra da su dala važne uvide i dragocjene podatke o položaju mladih te bi ih trebalo ponoviti</w:t>
      </w:r>
      <w:r w:rsidR="00635F71" w:rsidRPr="00B77B54">
        <w:rPr>
          <w:rStyle w:val="FootnoteReference"/>
        </w:rPr>
        <w:footnoteReference w:id="1"/>
      </w:r>
      <w:r w:rsidR="00635F71" w:rsidRPr="00B77B54">
        <w:t>.</w:t>
      </w:r>
    </w:p>
    <w:p w14:paraId="45447EEA" w14:textId="77777777" w:rsidR="003E05DB" w:rsidRPr="00B77B54" w:rsidRDefault="003E05DB" w:rsidP="003E05DB">
      <w:pPr>
        <w:jc w:val="both"/>
      </w:pPr>
      <w:r w:rsidRPr="00B77B54">
        <w:t xml:space="preserve">Predlaže se da se osnovni indikatori koriste za praćenje implementacije Strategije, dok bi dodatni indikatori bili predmet obrade posebne aktivnosti koja bi bila definisana Strategijom, a koja bi za cilj imala kreiranje sveobuhvatne liste indikatora za praćenje </w:t>
      </w:r>
      <w:r w:rsidR="0004296B" w:rsidRPr="00B77B54">
        <w:t xml:space="preserve">položaja </w:t>
      </w:r>
      <w:r w:rsidRPr="00B77B54">
        <w:t xml:space="preserve">mladih u Crnoj Gori. Ova lista bi pored definisanja metodologije analize i istraživanja sadržala vremenski plan uvođenja indikatora u zvanični statistički sistem Crne Gore. </w:t>
      </w:r>
    </w:p>
    <w:p w14:paraId="6FC5C0BB" w14:textId="36D5F08B" w:rsidR="003E05DB" w:rsidRPr="00B77B54" w:rsidRDefault="00D224DB" w:rsidP="003E05DB">
      <w:pPr>
        <w:jc w:val="both"/>
      </w:pPr>
      <w:r w:rsidRPr="00B77B54">
        <w:t>Vrlo važno je napomenuti da i</w:t>
      </w:r>
      <w:r w:rsidR="003E05DB" w:rsidRPr="00B77B54">
        <w:t xml:space="preserve">ako dio međunarodnih indikatora ne podrazumijeva dalju disagregaciju podataka, </w:t>
      </w:r>
      <w:r w:rsidRPr="00B77B54">
        <w:t xml:space="preserve">Strategijom se </w:t>
      </w:r>
      <w:r w:rsidR="00CD1665" w:rsidRPr="00B77B54">
        <w:t xml:space="preserve">tamo gdje to nije međunarodno predviđeno na </w:t>
      </w:r>
      <w:r w:rsidRPr="00B77B54">
        <w:t>nacionalno</w:t>
      </w:r>
      <w:r w:rsidR="00CD1665" w:rsidRPr="00B77B54">
        <w:t>m nivou</w:t>
      </w:r>
      <w:r w:rsidRPr="00B77B54">
        <w:t xml:space="preserve"> </w:t>
      </w:r>
      <w:r w:rsidR="003E05DB" w:rsidRPr="00B77B54">
        <w:t>uv</w:t>
      </w:r>
      <w:r w:rsidRPr="00B77B54">
        <w:t>o</w:t>
      </w:r>
      <w:r w:rsidR="003E05DB" w:rsidRPr="00B77B54">
        <w:t>d</w:t>
      </w:r>
      <w:r w:rsidRPr="00B77B54">
        <w:t>i</w:t>
      </w:r>
      <w:r w:rsidR="003E05DB" w:rsidRPr="00B77B54">
        <w:t xml:space="preserve"> obaveza disagregacije u odnosu na: rod, region</w:t>
      </w:r>
      <w:r w:rsidRPr="00B77B54">
        <w:t xml:space="preserve"> (alternativno opština)</w:t>
      </w:r>
      <w:r w:rsidR="003E05DB" w:rsidRPr="00B77B54">
        <w:t xml:space="preserve"> i pripadnost posebnim ranjivim kategorijama</w:t>
      </w:r>
      <w:r w:rsidRPr="00B77B54">
        <w:t xml:space="preserve"> (npr. </w:t>
      </w:r>
      <w:r w:rsidR="0004296B" w:rsidRPr="00B77B54">
        <w:t>osobe sa smetanjama u razvoju</w:t>
      </w:r>
      <w:r w:rsidRPr="00B77B54">
        <w:t>, pripadnici romske populacije, izbjeglice)</w:t>
      </w:r>
      <w:r w:rsidR="003E05DB" w:rsidRPr="00B77B54">
        <w:t xml:space="preserve">. </w:t>
      </w:r>
      <w:r w:rsidRPr="00B77B54">
        <w:t xml:space="preserve">Tek ovako disagregirano praćenje trendova može dati osnov za evaluaciju efikasnosti mjera i politika koje se preduzimaju. </w:t>
      </w:r>
    </w:p>
    <w:p w14:paraId="107FAB17" w14:textId="77777777" w:rsidR="000651C1" w:rsidRPr="00B77B54" w:rsidRDefault="000651C1" w:rsidP="000651C1">
      <w:r w:rsidRPr="00B77B54">
        <w:t>Osnovni međunarodni izvori</w:t>
      </w:r>
      <w:r w:rsidR="00CD1665" w:rsidRPr="00B77B54">
        <w:t xml:space="preserve"> koji su korišteni</w:t>
      </w:r>
      <w:r w:rsidRPr="00B77B54">
        <w:t xml:space="preserve"> </w:t>
      </w:r>
      <w:r w:rsidR="00D224DB" w:rsidRPr="00B77B54">
        <w:t xml:space="preserve">za definisanje indikatora </w:t>
      </w:r>
      <w:r w:rsidRPr="00B77B54">
        <w:t>su:</w:t>
      </w:r>
    </w:p>
    <w:p w14:paraId="0CD34D3A" w14:textId="77777777" w:rsidR="00D309E3" w:rsidRPr="00B77B54" w:rsidRDefault="00D309E3" w:rsidP="00D309E3">
      <w:pPr>
        <w:pStyle w:val="ListParagraph"/>
        <w:numPr>
          <w:ilvl w:val="0"/>
          <w:numId w:val="1"/>
        </w:numPr>
      </w:pPr>
      <w:r w:rsidRPr="00B77B54">
        <w:t xml:space="preserve">EUROSTAT indikatori </w:t>
      </w:r>
    </w:p>
    <w:p w14:paraId="21466292" w14:textId="77777777" w:rsidR="00FA584D" w:rsidRPr="00B77B54" w:rsidRDefault="00FA584D" w:rsidP="00D309E3">
      <w:pPr>
        <w:pStyle w:val="ListParagraph"/>
        <w:numPr>
          <w:ilvl w:val="0"/>
          <w:numId w:val="1"/>
        </w:numPr>
      </w:pPr>
      <w:r w:rsidRPr="00B77B54">
        <w:t>Eurobarometar indikatori</w:t>
      </w:r>
    </w:p>
    <w:p w14:paraId="24402CDE" w14:textId="77777777" w:rsidR="00D309E3" w:rsidRPr="00B77B54" w:rsidRDefault="00D309E3" w:rsidP="00D309E3">
      <w:pPr>
        <w:pStyle w:val="ListParagraph"/>
        <w:numPr>
          <w:ilvl w:val="0"/>
          <w:numId w:val="1"/>
        </w:numPr>
      </w:pPr>
      <w:r w:rsidRPr="00B77B54">
        <w:lastRenderedPageBreak/>
        <w:t>Međunarodni kompozitni indeksi</w:t>
      </w:r>
    </w:p>
    <w:p w14:paraId="4D061278" w14:textId="77777777" w:rsidR="000651C1" w:rsidRPr="00B77B54" w:rsidRDefault="00FD3B65" w:rsidP="00E347D5">
      <w:pPr>
        <w:pStyle w:val="ListParagraph"/>
        <w:numPr>
          <w:ilvl w:val="1"/>
          <w:numId w:val="1"/>
        </w:numPr>
      </w:pPr>
      <w:r w:rsidRPr="00B77B54">
        <w:t>Indeks razvoja mladih (</w:t>
      </w:r>
      <w:r w:rsidR="000651C1" w:rsidRPr="00B77B54">
        <w:t xml:space="preserve">Youth Development Index </w:t>
      </w:r>
      <w:r w:rsidRPr="00B77B54">
        <w:t xml:space="preserve">– </w:t>
      </w:r>
      <w:r w:rsidR="000651C1" w:rsidRPr="00B77B54">
        <w:t>YDI</w:t>
      </w:r>
      <w:r w:rsidRPr="00B77B54">
        <w:t>)</w:t>
      </w:r>
    </w:p>
    <w:p w14:paraId="7CFF6CEB" w14:textId="77777777" w:rsidR="000651C1" w:rsidRPr="00B77B54" w:rsidRDefault="00FD3B65" w:rsidP="000651C1">
      <w:pPr>
        <w:pStyle w:val="ListParagraph"/>
        <w:numPr>
          <w:ilvl w:val="1"/>
          <w:numId w:val="1"/>
        </w:numPr>
      </w:pPr>
      <w:r w:rsidRPr="00B77B54">
        <w:t>Indeks blagostanja mladih (</w:t>
      </w:r>
      <w:r w:rsidR="000651C1" w:rsidRPr="00B77B54">
        <w:t xml:space="preserve">Youth </w:t>
      </w:r>
      <w:r w:rsidRPr="00B77B54">
        <w:t xml:space="preserve">Wellbeing </w:t>
      </w:r>
      <w:r w:rsidR="000651C1" w:rsidRPr="00B77B54">
        <w:t>Index YWI</w:t>
      </w:r>
      <w:r w:rsidRPr="00B77B54">
        <w:t>)</w:t>
      </w:r>
    </w:p>
    <w:p w14:paraId="6E025FB7" w14:textId="77777777" w:rsidR="000651C1" w:rsidRPr="00B77B54" w:rsidRDefault="00FD3B65" w:rsidP="000651C1">
      <w:pPr>
        <w:pStyle w:val="ListParagraph"/>
        <w:numPr>
          <w:ilvl w:val="0"/>
          <w:numId w:val="1"/>
        </w:numPr>
      </w:pPr>
      <w:r w:rsidRPr="00B77B54">
        <w:t>I</w:t>
      </w:r>
      <w:r w:rsidR="000651C1" w:rsidRPr="00B77B54">
        <w:t xml:space="preserve">ndikatori održivog razvoja </w:t>
      </w:r>
      <w:r w:rsidRPr="00B77B54">
        <w:t xml:space="preserve">Ujedinjenih nacija </w:t>
      </w:r>
      <w:r w:rsidR="000651C1" w:rsidRPr="00B77B54">
        <w:t>koji su integrisani u Nacionalnu strategiju održivog razvoja</w:t>
      </w:r>
      <w:r w:rsidRPr="00B77B54">
        <w:t xml:space="preserve"> Crne Gore do 2030. godine</w:t>
      </w:r>
    </w:p>
    <w:p w14:paraId="6C1EE27E" w14:textId="77777777" w:rsidR="000651C1" w:rsidRPr="00B77B54" w:rsidRDefault="00FD3B65" w:rsidP="000651C1">
      <w:pPr>
        <w:pStyle w:val="ListParagraph"/>
        <w:numPr>
          <w:ilvl w:val="0"/>
          <w:numId w:val="1"/>
        </w:numPr>
      </w:pPr>
      <w:r w:rsidRPr="00B77B54">
        <w:t xml:space="preserve">Indikatori </w:t>
      </w:r>
      <w:r w:rsidR="00F955FA" w:rsidRPr="00B77B54">
        <w:t>M</w:t>
      </w:r>
      <w:r w:rsidRPr="00B77B54">
        <w:t>ilenijumskih razvojnih ciljeva</w:t>
      </w:r>
    </w:p>
    <w:p w14:paraId="77E3F514" w14:textId="36EBC771" w:rsidR="000651C1" w:rsidRPr="00B77B54" w:rsidRDefault="000B26FF" w:rsidP="000651C1">
      <w:pPr>
        <w:pStyle w:val="ListParagraph"/>
        <w:numPr>
          <w:ilvl w:val="0"/>
          <w:numId w:val="1"/>
        </w:numPr>
      </w:pPr>
      <w:r>
        <w:t>Nacrt instrumen</w:t>
      </w:r>
      <w:r w:rsidR="00F6047C" w:rsidRPr="00B77B54">
        <w:t xml:space="preserve">ta </w:t>
      </w:r>
      <w:r w:rsidR="00FD3B65" w:rsidRPr="00B77B54">
        <w:t xml:space="preserve">procjene </w:t>
      </w:r>
      <w:r w:rsidR="00C16A23" w:rsidRPr="00B77B54">
        <w:t xml:space="preserve">položaja </w:t>
      </w:r>
      <w:r w:rsidR="00FD3B65" w:rsidRPr="00B77B54">
        <w:t>adolescenata</w:t>
      </w:r>
      <w:r w:rsidR="00C16A23" w:rsidRPr="00B77B54">
        <w:t>/kinja</w:t>
      </w:r>
      <w:r w:rsidR="00FD3B65" w:rsidRPr="00B77B54">
        <w:t xml:space="preserve"> i odabrani indikatori Instrumenta za ocjenu participacije djece Savjeta Evrope (</w:t>
      </w:r>
      <w:r w:rsidR="000651C1" w:rsidRPr="00B77B54">
        <w:t xml:space="preserve">UNICEF </w:t>
      </w:r>
      <w:r w:rsidR="000651C1" w:rsidRPr="00B77B54">
        <w:rPr>
          <w:rFonts w:ascii="Calibri" w:hAnsi="Calibri"/>
          <w:i/>
        </w:rPr>
        <w:t>Adolescent Assessment Card &amp; selected indicators from the Council of Europe Child Participation Assessment Tool</w:t>
      </w:r>
      <w:r w:rsidR="00FD3B65" w:rsidRPr="00B77B54">
        <w:rPr>
          <w:rFonts w:ascii="Calibri" w:hAnsi="Calibri"/>
          <w:i/>
        </w:rPr>
        <w:t>)</w:t>
      </w:r>
    </w:p>
    <w:p w14:paraId="7F3E0376" w14:textId="77777777" w:rsidR="002B3EAE" w:rsidRPr="00B77B54" w:rsidRDefault="00C94ECE" w:rsidP="000651C1">
      <w:pPr>
        <w:pStyle w:val="ListParagraph"/>
        <w:numPr>
          <w:ilvl w:val="0"/>
          <w:numId w:val="1"/>
        </w:numPr>
      </w:pPr>
      <w:r w:rsidRPr="00B77B54">
        <w:rPr>
          <w:rFonts w:ascii="Calibri" w:hAnsi="Calibri"/>
        </w:rPr>
        <w:t>11 i</w:t>
      </w:r>
      <w:r w:rsidR="002B3EAE" w:rsidRPr="00B77B54">
        <w:rPr>
          <w:rFonts w:ascii="Calibri" w:hAnsi="Calibri"/>
        </w:rPr>
        <w:t>ndikator</w:t>
      </w:r>
      <w:r w:rsidRPr="00B77B54">
        <w:rPr>
          <w:rFonts w:ascii="Calibri" w:hAnsi="Calibri"/>
        </w:rPr>
        <w:t>a</w:t>
      </w:r>
      <w:r w:rsidR="002B3EAE" w:rsidRPr="00B77B54">
        <w:rPr>
          <w:rFonts w:ascii="Calibri" w:hAnsi="Calibri"/>
        </w:rPr>
        <w:t xml:space="preserve"> za praćenje </w:t>
      </w:r>
      <w:r w:rsidR="00C16A23" w:rsidRPr="00B77B54">
        <w:rPr>
          <w:rFonts w:ascii="Calibri" w:hAnsi="Calibri"/>
        </w:rPr>
        <w:t>omladinske politike</w:t>
      </w:r>
      <w:r w:rsidR="002B3EAE" w:rsidRPr="00B77B54">
        <w:rPr>
          <w:rStyle w:val="FootnoteReference"/>
          <w:rFonts w:ascii="Calibri" w:hAnsi="Calibri"/>
          <w:i/>
        </w:rPr>
        <w:footnoteReference w:id="2"/>
      </w:r>
    </w:p>
    <w:p w14:paraId="0917C82C" w14:textId="77777777" w:rsidR="00D224DB" w:rsidRPr="00B77B54" w:rsidRDefault="00D224DB" w:rsidP="000651C1">
      <w:pPr>
        <w:pStyle w:val="ListParagraph"/>
        <w:numPr>
          <w:ilvl w:val="0"/>
          <w:numId w:val="1"/>
        </w:numPr>
      </w:pPr>
      <w:r w:rsidRPr="00B77B54">
        <w:t>Resursni centri kao što je</w:t>
      </w:r>
      <w:r w:rsidR="00C16A23" w:rsidRPr="00B77B54">
        <w:t>portal za pra</w:t>
      </w:r>
      <w:r w:rsidR="00C16A23" w:rsidRPr="00B77B54">
        <w:rPr>
          <w:lang w:val="sr-Latn-RS"/>
        </w:rPr>
        <w:t>ć</w:t>
      </w:r>
      <w:r w:rsidR="00C16A23" w:rsidRPr="00B77B54">
        <w:t>enje situacije u oblasti omladinske politike</w:t>
      </w:r>
      <w:r w:rsidRPr="00B77B54">
        <w:t xml:space="preserve"> </w:t>
      </w:r>
      <w:hyperlink r:id="rId9" w:history="1">
        <w:r w:rsidR="00170657" w:rsidRPr="00B77B54">
          <w:rPr>
            <w:rStyle w:val="Hyperlink"/>
          </w:rPr>
          <w:t>www.youthpolicy.org</w:t>
        </w:r>
      </w:hyperlink>
      <w:r w:rsidR="00170657" w:rsidRPr="00B77B54">
        <w:t xml:space="preserve"> i </w:t>
      </w:r>
      <w:r w:rsidR="00170657" w:rsidRPr="00B77B54">
        <w:rPr>
          <w:i/>
        </w:rPr>
        <w:t>Priručni</w:t>
      </w:r>
      <w:r w:rsidR="00C16A23" w:rsidRPr="00B77B54">
        <w:rPr>
          <w:i/>
        </w:rPr>
        <w:t>k</w:t>
      </w:r>
      <w:r w:rsidR="00170657" w:rsidRPr="00B77B54">
        <w:rPr>
          <w:i/>
        </w:rPr>
        <w:t xml:space="preserve"> za istraživanj</w:t>
      </w:r>
      <w:r w:rsidR="00C16A23" w:rsidRPr="00B77B54">
        <w:rPr>
          <w:i/>
        </w:rPr>
        <w:t>a u oblasti omladinske politike</w:t>
      </w:r>
      <w:r w:rsidR="00170657" w:rsidRPr="00B77B54">
        <w:rPr>
          <w:rStyle w:val="FootnoteReference"/>
          <w:i/>
        </w:rPr>
        <w:footnoteReference w:id="3"/>
      </w:r>
    </w:p>
    <w:p w14:paraId="7066EEA9" w14:textId="77777777" w:rsidR="00D224DB" w:rsidRPr="00B77B54" w:rsidRDefault="00CD1665" w:rsidP="00D224DB">
      <w:pPr>
        <w:jc w:val="both"/>
      </w:pPr>
      <w:r w:rsidRPr="00B77B54">
        <w:t>U</w:t>
      </w:r>
      <w:r w:rsidR="00D224DB" w:rsidRPr="00B77B54">
        <w:t xml:space="preserve"> prvoj fazi, tokom implementacije ove Strategije, daje se primat nacionalnim indikatorima, međunarodnim koji se već nalaze u nacionalnom sistemu praćenja i indikatorima koji su definisani od strane EUROSTAT-a. Za ostale se preporučuje da se tokom trajanja ove Strategije pripremi plan njihovog uvođenja u zvanični statistički sistem Crne Gore. </w:t>
      </w:r>
    </w:p>
    <w:p w14:paraId="37DECFD1" w14:textId="77777777" w:rsidR="00D309E3" w:rsidRPr="00B77B54" w:rsidRDefault="00D309E3" w:rsidP="00301A1A">
      <w:pPr>
        <w:pStyle w:val="Heading3"/>
      </w:pPr>
      <w:r w:rsidRPr="00B77B54">
        <w:t>EUROSTAT indikatori</w:t>
      </w:r>
    </w:p>
    <w:p w14:paraId="79D759AB" w14:textId="77777777" w:rsidR="00D309E3" w:rsidRPr="00B77B54" w:rsidRDefault="00D309E3" w:rsidP="00D224DB">
      <w:pPr>
        <w:jc w:val="both"/>
      </w:pPr>
      <w:r w:rsidRPr="00B77B54">
        <w:t>U matricu praćenja uključen</w:t>
      </w:r>
      <w:r w:rsidR="00FA584D" w:rsidRPr="00B77B54">
        <w:t>i</w:t>
      </w:r>
      <w:r w:rsidRPr="00B77B54">
        <w:t xml:space="preserve"> su EUROSTAT indikator</w:t>
      </w:r>
      <w:r w:rsidR="00FA584D" w:rsidRPr="00B77B54">
        <w:t xml:space="preserve">i </w:t>
      </w:r>
      <w:r w:rsidRPr="00B77B54">
        <w:t>koji su definisani kroz Strategiju za mlade Evropske unije</w:t>
      </w:r>
      <w:r w:rsidRPr="00B77B54">
        <w:rPr>
          <w:rStyle w:val="FootnoteReference"/>
        </w:rPr>
        <w:footnoteReference w:id="4"/>
      </w:r>
      <w:r w:rsidR="00D308FA" w:rsidRPr="00B77B54">
        <w:t>. Ova strategija je donijeta s ciljem da podrži i ojača politike Evropske unije koje se direktno i indirektno odnose na mlade ljude. Ona obuhvata indikatore kojima se prati opšti nivo i standard života i rada mladih ljudi i u potpunosti je komplementarna sa ciljevima koji su definisani Strategijom 2020 i inicijativom „</w:t>
      </w:r>
      <w:r w:rsidR="00FD3B65" w:rsidRPr="00B77B54">
        <w:t>Mladi u pokretu</w:t>
      </w:r>
      <w:r w:rsidR="00FD3B65" w:rsidRPr="00B77B54">
        <w:rPr>
          <w:rStyle w:val="FootnoteReference"/>
        </w:rPr>
        <w:footnoteReference w:id="5"/>
      </w:r>
      <w:r w:rsidR="00D308FA" w:rsidRPr="00B77B54">
        <w:t xml:space="preserve">“. </w:t>
      </w:r>
    </w:p>
    <w:p w14:paraId="5597DFAB" w14:textId="77777777" w:rsidR="004920D7" w:rsidRPr="00B77B54" w:rsidRDefault="004920D7" w:rsidP="00D224DB">
      <w:pPr>
        <w:jc w:val="both"/>
      </w:pPr>
      <w:r w:rsidRPr="00B77B54">
        <w:t xml:space="preserve">Osnovna prednost ovih indikatora je obaveza usklađivanja nacionalnih statističkih sistema </w:t>
      </w:r>
      <w:r w:rsidR="00CD1665" w:rsidRPr="00B77B54">
        <w:t xml:space="preserve">sa </w:t>
      </w:r>
      <w:r w:rsidRPr="00B77B54">
        <w:t>EUROSTAT-</w:t>
      </w:r>
      <w:r w:rsidR="00CD1665" w:rsidRPr="00B77B54">
        <w:t>om</w:t>
      </w:r>
      <w:r w:rsidRPr="00B77B54">
        <w:t xml:space="preserve"> kroz koji prolaze sve države kandidati za članstvo, pa i Crna Gora. To znači da Crna Gora preuzima obavezu proizvodnje podataka po osnovu ovih indikatora u od</w:t>
      </w:r>
      <w:r w:rsidR="004C4DFA" w:rsidRPr="00B77B54">
        <w:t xml:space="preserve">ređenom roku. </w:t>
      </w:r>
      <w:r w:rsidR="00CD1665" w:rsidRPr="00B77B54">
        <w:t xml:space="preserve">Fleksibilnost rokova je, pak, njihov osnovni nedostatak. </w:t>
      </w:r>
    </w:p>
    <w:p w14:paraId="3E6C885A" w14:textId="77777777" w:rsidR="00FA584D" w:rsidRPr="00B77B54" w:rsidRDefault="00B64B33" w:rsidP="00FA584D">
      <w:pPr>
        <w:pStyle w:val="Heading3"/>
      </w:pPr>
      <w:r w:rsidRPr="00B77B54">
        <w:t>Eurobarometar o mladima Evropske unije</w:t>
      </w:r>
      <w:r w:rsidRPr="00B77B54" w:rsidDel="00B64B33">
        <w:t xml:space="preserve"> </w:t>
      </w:r>
    </w:p>
    <w:p w14:paraId="64B7A761" w14:textId="77777777" w:rsidR="003E130D" w:rsidRPr="00B77B54" w:rsidRDefault="003E130D" w:rsidP="00D224DB">
      <w:pPr>
        <w:jc w:val="both"/>
      </w:pPr>
      <w:r w:rsidRPr="00B77B54">
        <w:t>Drugi dio indikatora je definisan</w:t>
      </w:r>
      <w:r w:rsidR="00CD1665" w:rsidRPr="00B77B54">
        <w:t xml:space="preserve"> istraživanjem Eurobarometar o mladima Evropske unije</w:t>
      </w:r>
      <w:r w:rsidR="00CD1665" w:rsidRPr="00B77B54">
        <w:rPr>
          <w:rStyle w:val="FootnoteReference"/>
        </w:rPr>
        <w:footnoteReference w:id="6"/>
      </w:r>
      <w:r w:rsidR="00CD1665" w:rsidRPr="00B77B54">
        <w:t xml:space="preserve"> </w:t>
      </w:r>
      <w:r w:rsidRPr="00B77B54">
        <w:t xml:space="preserve">. </w:t>
      </w:r>
      <w:r w:rsidR="00FA584D" w:rsidRPr="00B77B54">
        <w:t xml:space="preserve">U pitanju je ad hoc telefonska anketa koji na zahtjev Evropske komisije sprovodi za to specijalizovana organizaciona jedinica Komisije. </w:t>
      </w:r>
      <w:r w:rsidR="00CD1665" w:rsidRPr="00B77B54">
        <w:t xml:space="preserve">Brzi („flash“) eurobarometri </w:t>
      </w:r>
      <w:r w:rsidR="00FA584D" w:rsidRPr="00B77B54">
        <w:t xml:space="preserve">za cilj imaju da u kratkom vremenu obezbijede validne podatke na osnovu kojih bi specijalizovani direktorati u okviru Komisije mogli da donose informisane odluke. Konkretan Eurobarometar o mladima sproveden je u decembru 2014. godine na zahtjev Generalnog direktorata za obrazovanje i kulturu. </w:t>
      </w:r>
    </w:p>
    <w:p w14:paraId="749D2766" w14:textId="77777777" w:rsidR="004C4DFA" w:rsidRPr="00B77B54" w:rsidRDefault="004C4DFA" w:rsidP="00D224DB">
      <w:pPr>
        <w:jc w:val="both"/>
      </w:pPr>
      <w:r w:rsidRPr="00B77B54">
        <w:lastRenderedPageBreak/>
        <w:t xml:space="preserve">Osnovna slabost ovih indiktora je njihova ad hoc priroda, tj. što se </w:t>
      </w:r>
      <w:r w:rsidR="00A60769" w:rsidRPr="00B77B54">
        <w:t xml:space="preserve">podaci u odnosu na njih </w:t>
      </w:r>
      <w:r w:rsidRPr="00B77B54">
        <w:t xml:space="preserve">ne prikupljaju sistematično </w:t>
      </w:r>
      <w:r w:rsidR="00A60769" w:rsidRPr="00B77B54">
        <w:t xml:space="preserve">i </w:t>
      </w:r>
      <w:r w:rsidRPr="00B77B54">
        <w:t xml:space="preserve">longitudinalno. Ipak, zbog svoje specijalizovanosti nude niz korisnih instrumenata za praćenje manje pokrivenih djelova Strategije kao što je pristup </w:t>
      </w:r>
      <w:r w:rsidR="00A60769" w:rsidRPr="00B77B54">
        <w:t xml:space="preserve">mladih </w:t>
      </w:r>
      <w:r w:rsidRPr="00B77B54">
        <w:t xml:space="preserve">kulturnim sadržajima. </w:t>
      </w:r>
    </w:p>
    <w:p w14:paraId="4BFD7B3A" w14:textId="77777777" w:rsidR="00C16A23" w:rsidRPr="00B77B54" w:rsidRDefault="00B64B33" w:rsidP="00C16A23">
      <w:pPr>
        <w:pStyle w:val="Heading3"/>
      </w:pPr>
      <w:r w:rsidRPr="00B77B54">
        <w:t xml:space="preserve">Međunarodni kompozitni indeksi </w:t>
      </w:r>
    </w:p>
    <w:p w14:paraId="566D2D9F" w14:textId="77777777" w:rsidR="00B64B33" w:rsidRPr="00B77B54" w:rsidRDefault="00B64B33" w:rsidP="00444319">
      <w:pPr>
        <w:jc w:val="both"/>
      </w:pPr>
      <w:r w:rsidRPr="00B77B54">
        <w:t xml:space="preserve">Ovi indeksi služe sveobuhvatnoj analizi praćenju položaja mladih u velikom broj zemalja i njihova glavna prednost je mogućnost uporedivosti, kako između država tako i kroz vrijeme. Pored toga, oni su sublimati velikog broja dimenzija koje su relevantne za sveobuhvatno sagledavanje položaja mladih. </w:t>
      </w:r>
    </w:p>
    <w:p w14:paraId="357C0687" w14:textId="77777777" w:rsidR="00B64B33" w:rsidRPr="00B77B54" w:rsidRDefault="00B64B33" w:rsidP="00444319">
      <w:pPr>
        <w:jc w:val="both"/>
      </w:pPr>
      <w:r w:rsidRPr="00B77B54">
        <w:t xml:space="preserve">Indeks razvoja mladih YDI obuhvata 170 država i mjeri položaj mladih u odnosu na pet dimenzija: obrazovanje, zdravlje i blagostanje, zapošljavanje, građanska i politička participacija. </w:t>
      </w:r>
      <w:r w:rsidR="008736FA" w:rsidRPr="00B77B54">
        <w:t xml:space="preserve">U okviru ovih pet dimenzija prikupljaju se podaci kroz 15 konkretnih indikatora i računa skor koji ima vrijednost između 0 i 1. Na osnovu skora, sve države se rangiraju u države sa visokom, srednjim i niskim nivoom razvoja mladih. </w:t>
      </w:r>
    </w:p>
    <w:p w14:paraId="721333BE" w14:textId="77777777" w:rsidR="004C4DFA" w:rsidRPr="00B77B54" w:rsidRDefault="008736FA" w:rsidP="00444319">
      <w:pPr>
        <w:jc w:val="both"/>
      </w:pPr>
      <w:r w:rsidRPr="00B77B54">
        <w:t xml:space="preserve">Indeks blagostanja mladih YWI rangira trideset država širom svijeta u odnosu na položaj mladih u sedam dimenzija: generalno blagostanje, građanska participacija, ekonomske prilike, obrazovanje, zdravlje, informacije i tehnologija, sigurnost i bezbjednost. I ovaj indeks je kompozitni skor od 40 pojedinačnih indikatora i ima vrijednost od 0 do 1. </w:t>
      </w:r>
    </w:p>
    <w:p w14:paraId="65B503E5" w14:textId="77777777" w:rsidR="00276938" w:rsidRPr="00B77B54" w:rsidRDefault="00276938" w:rsidP="00444319">
      <w:pPr>
        <w:jc w:val="both"/>
      </w:pPr>
      <w:r w:rsidRPr="00B77B54">
        <w:t xml:space="preserve">Dok je sa jedne strane uporedivost prednost međunarodnih kompozitnih indeksa, njihova kompleksnost i činjenica da su da bi mogli biti međunarodna relevantni morali napraviti kompromise kada su u pitanju nacionalni konteksti, njihove su mane. Naime, da bi se dobio finalni skor koji ce državu na pravi način rangirati neophodno je prikupiti ogroman broj podataka po velikom broju indikatora, od kojih svi nisu nacionalno relevantni. </w:t>
      </w:r>
    </w:p>
    <w:p w14:paraId="6C635C67" w14:textId="77777777" w:rsidR="00473A6B" w:rsidRPr="00B77B54" w:rsidRDefault="00D51E14" w:rsidP="00473A6B">
      <w:pPr>
        <w:pStyle w:val="Heading3"/>
      </w:pPr>
      <w:r w:rsidRPr="00B77B54">
        <w:t>I</w:t>
      </w:r>
      <w:r w:rsidR="004C4DFA" w:rsidRPr="00B77B54">
        <w:t xml:space="preserve">ndikatori održivog razvoja </w:t>
      </w:r>
    </w:p>
    <w:p w14:paraId="3ADCD10E" w14:textId="77777777" w:rsidR="00C844BE" w:rsidRPr="00B77B54" w:rsidRDefault="00C844BE" w:rsidP="00444319">
      <w:pPr>
        <w:jc w:val="both"/>
        <w:rPr>
          <w:lang w:val="hr-HR"/>
        </w:rPr>
      </w:pPr>
      <w:r w:rsidRPr="00B77B54">
        <w:rPr>
          <w:lang w:val="it-IT"/>
        </w:rPr>
        <w:t>Statistička komisija Ujedinjenih nacija</w:t>
      </w:r>
      <w:r w:rsidRPr="00B77B54" w:rsidDel="00D91370">
        <w:rPr>
          <w:noProof/>
          <w:lang w:val="it-IT"/>
        </w:rPr>
        <w:t xml:space="preserve"> </w:t>
      </w:r>
      <w:r w:rsidRPr="00B77B54">
        <w:rPr>
          <w:noProof/>
          <w:lang w:val="it-IT"/>
        </w:rPr>
        <w:t xml:space="preserve">je na 47. zasijedanju koje je održano od 8-11. marta 2016. godine utvrdila 241 indikator održivog razvoja. Nacionalna strategija održivog razvoja Crne Gore do 2030. godine kojom su globalni ciljevi održivog razvoja uvedeni u nacionalni politički sistem podrazumijevala je u pripremnoj fazi i analizu </w:t>
      </w:r>
      <w:r w:rsidR="0091367F" w:rsidRPr="00B77B54">
        <w:rPr>
          <w:noProof/>
          <w:lang w:val="it-IT"/>
        </w:rPr>
        <w:t xml:space="preserve">kompetencija zvaničnog sistema statistike Crne Gore da nacionalno prati ove indikatore. Analiza je pokazala da se trenutno prati 27, da se dodatno prati 34 koji imaju alternativu i da se do 2018. godine u zvanični statistički sistem Crne Gore planira uvesti jos 38 indikatora. To znači da će se u Crnoj Gori do </w:t>
      </w:r>
      <w:r w:rsidRPr="00B77B54">
        <w:rPr>
          <w:noProof/>
          <w:lang w:val="it-IT"/>
        </w:rPr>
        <w:t xml:space="preserve">2018. godine pratiti 99 </w:t>
      </w:r>
      <w:r w:rsidR="0091367F" w:rsidRPr="00B77B54">
        <w:rPr>
          <w:noProof/>
          <w:lang w:val="it-IT"/>
        </w:rPr>
        <w:t xml:space="preserve">od 241 </w:t>
      </w:r>
      <w:r w:rsidRPr="00B77B54">
        <w:rPr>
          <w:noProof/>
          <w:lang w:val="it-IT"/>
        </w:rPr>
        <w:t>indikatora</w:t>
      </w:r>
      <w:r w:rsidR="0091367F" w:rsidRPr="00B77B54">
        <w:rPr>
          <w:noProof/>
          <w:lang w:val="it-IT"/>
        </w:rPr>
        <w:t xml:space="preserve"> održivog razvoja. </w:t>
      </w:r>
      <w:r w:rsidR="000966E0" w:rsidRPr="00B77B54">
        <w:rPr>
          <w:noProof/>
          <w:lang w:val="it-IT"/>
        </w:rPr>
        <w:t xml:space="preserve">Ova analiza ukazala je na brojna ograničenja koja postoje u kada je u pitanju zvanični sistem praćenja statističkih podataka u Crnoj Gori, a koja su relevantna i kada je Strategija za mlade u pitanju. </w:t>
      </w:r>
    </w:p>
    <w:p w14:paraId="444CE6D2" w14:textId="77777777" w:rsidR="004C4DFA" w:rsidRPr="00B77B54" w:rsidRDefault="00FF3BCB" w:rsidP="00473A6B">
      <w:pPr>
        <w:pStyle w:val="Heading3"/>
      </w:pPr>
      <w:r w:rsidRPr="00B77B54">
        <w:t>I</w:t>
      </w:r>
      <w:r w:rsidR="004C4DFA" w:rsidRPr="00B77B54">
        <w:t>ndikatori</w:t>
      </w:r>
      <w:r w:rsidRPr="00B77B54">
        <w:t xml:space="preserve"> za praćenje ostvarivanja </w:t>
      </w:r>
      <w:r w:rsidR="00C16A23" w:rsidRPr="00B77B54">
        <w:t>M</w:t>
      </w:r>
      <w:r w:rsidRPr="00B77B54">
        <w:t>ilenijumskih razvojnih ciljeva (millenium development goals indicators - MDG indikatori)</w:t>
      </w:r>
    </w:p>
    <w:p w14:paraId="553FCCDF" w14:textId="77777777" w:rsidR="00FF3BCB" w:rsidRPr="00B77B54" w:rsidRDefault="00FF3BCB" w:rsidP="00FF3BCB">
      <w:pPr>
        <w:jc w:val="both"/>
      </w:pPr>
      <w:r w:rsidRPr="00B77B54">
        <w:t xml:space="preserve">Iako ih nema previše koji su relevantni za praćenje položaja mladih u Crnoj Gori, MDG indikatori imaju jednu važnu prednost – već su integrisani u statistički sistem Crne Gore i kontinuirano se prate od 2000. godine kada su </w:t>
      </w:r>
      <w:r w:rsidRPr="00B77B54">
        <w:rPr>
          <w:rFonts w:cstheme="minorHAnsi"/>
          <w:bCs/>
          <w:color w:val="000000" w:themeColor="text1"/>
        </w:rPr>
        <w:t xml:space="preserve">na samitu Ujedinjenih nacija (UN) svjetski lideri usvojili </w:t>
      </w:r>
      <w:r w:rsidRPr="00B77B54">
        <w:rPr>
          <w:rFonts w:cstheme="minorHAnsi"/>
          <w:i/>
          <w:iCs/>
          <w:color w:val="000000" w:themeColor="text1"/>
        </w:rPr>
        <w:t xml:space="preserve">Milenijumsku deklaraciju </w:t>
      </w:r>
      <w:r w:rsidRPr="00B77B54">
        <w:rPr>
          <w:rFonts w:cstheme="minorHAnsi"/>
          <w:iCs/>
          <w:color w:val="000000" w:themeColor="text1"/>
        </w:rPr>
        <w:t xml:space="preserve">koja je ustanovila obavezu da zemlje članice UN-a rade na postizanju seta kvantifikovanih i vremenski oročenih razvojnih ciljeva poznatih kao </w:t>
      </w:r>
      <w:r w:rsidRPr="00B77B54">
        <w:rPr>
          <w:rFonts w:cstheme="minorHAnsi"/>
          <w:color w:val="000000" w:themeColor="text1"/>
          <w:shd w:val="clear" w:color="auto" w:fill="FFFFFF"/>
        </w:rPr>
        <w:t xml:space="preserve">Milenijumski razvojni ciljevi. Tada je i </w:t>
      </w:r>
      <w:r w:rsidRPr="00B77B54">
        <w:t xml:space="preserve">Crna Gora preuzela obavezu da sprovodi MRC te da prati ostvareni napredak i izvještava o njemu. </w:t>
      </w:r>
      <w:r w:rsidR="002958E8" w:rsidRPr="00B77B54">
        <w:t>Činjenica da je</w:t>
      </w:r>
      <w:r w:rsidRPr="00B77B54">
        <w:t xml:space="preserve"> proces izvještavanja ukazao na postojanje određenih sistemskih problema u sistemu zvanične statistike, </w:t>
      </w:r>
      <w:r w:rsidR="002958E8" w:rsidRPr="00B77B54">
        <w:t xml:space="preserve">po sebi nije samo loša jer je skrenula pažnju na neophodnost određenih reformi kako bi se u budućnosti moglo efikasnije </w:t>
      </w:r>
      <w:r w:rsidR="002958E8" w:rsidRPr="00B77B54">
        <w:lastRenderedPageBreak/>
        <w:t xml:space="preserve">odgovoriti na nacionalne i međunarodne obaveze izvještavanja. </w:t>
      </w:r>
      <w:r w:rsidR="0042490D" w:rsidRPr="00B77B54">
        <w:t xml:space="preserve">Relevantni indikatori za praćenje ostvarivanja milenijumskih ciljeva koji su se posredno ili neposredno odnosili na mlade uključeni su u matricu indikatora za praćenje Strategije za mlade. </w:t>
      </w:r>
    </w:p>
    <w:p w14:paraId="0BA364E6" w14:textId="77777777" w:rsidR="004C4DFA" w:rsidRPr="00B77B54" w:rsidRDefault="0042490D" w:rsidP="0042490D">
      <w:pPr>
        <w:pStyle w:val="Heading3"/>
        <w:jc w:val="both"/>
      </w:pPr>
      <w:r w:rsidRPr="00B77B54">
        <w:t xml:space="preserve">Karta procjene </w:t>
      </w:r>
      <w:r w:rsidR="00C16A23" w:rsidRPr="00B77B54">
        <w:t xml:space="preserve">položaja </w:t>
      </w:r>
      <w:r w:rsidRPr="00B77B54">
        <w:t>adolescenata</w:t>
      </w:r>
      <w:r w:rsidR="00C16A23" w:rsidRPr="00B77B54">
        <w:t>/kinja</w:t>
      </w:r>
      <w:r w:rsidRPr="00B77B54">
        <w:t xml:space="preserve"> i odabrani indikatori Instrumenta za ocjenu participacije djece Savjeta Evrope</w:t>
      </w:r>
    </w:p>
    <w:p w14:paraId="166295E3" w14:textId="77777777" w:rsidR="00DB1579" w:rsidRPr="00B77B54" w:rsidRDefault="00DB1579" w:rsidP="002B4CAE">
      <w:pPr>
        <w:jc w:val="both"/>
      </w:pPr>
      <w:r w:rsidRPr="00B77B54">
        <w:t xml:space="preserve">Još jedan izvor predloženih indikatora bila je matrica 5x5 indikatora za praćenje u okviru nacrta Strategije i teorije promjene adolescenata </w:t>
      </w:r>
      <w:r w:rsidR="002B4CAE" w:rsidRPr="00B77B54">
        <w:t>u regio</w:t>
      </w:r>
      <w:r w:rsidR="00C16A23" w:rsidRPr="00B77B54">
        <w:t>n</w:t>
      </w:r>
      <w:r w:rsidR="002B4CAE" w:rsidRPr="00B77B54">
        <w:t xml:space="preserve">u Centralne i istočne Evrope na kojoj radi UNICEF. Iako je u pitanju </w:t>
      </w:r>
      <w:r w:rsidR="00C16A23" w:rsidRPr="00B77B54">
        <w:t>nacrt</w:t>
      </w:r>
      <w:r w:rsidR="002B4CAE" w:rsidRPr="00B77B54">
        <w:t>dokument</w:t>
      </w:r>
      <w:r w:rsidR="00C16A23" w:rsidRPr="00B77B54">
        <w:t>a</w:t>
      </w:r>
      <w:r w:rsidR="002B4CAE" w:rsidRPr="00B77B54">
        <w:t xml:space="preserve">, uključuje niz alatki i instrumenata za sveobuhvatno praćenje položaja adolescenata što ga čini izuzetno koristnim. Indikatori su definisani u pet dimenzija (po pet za svaku dimenziju): zdravlje i blagostanje, obrazovanje i učenje, zaštita, ekonomske prilike, participacija i angažovanje. </w:t>
      </w:r>
    </w:p>
    <w:p w14:paraId="5F1CE022" w14:textId="77777777" w:rsidR="002B4CAE" w:rsidRPr="00B77B54" w:rsidRDefault="002B3EAE" w:rsidP="002B3EAE">
      <w:pPr>
        <w:pStyle w:val="Heading3"/>
      </w:pPr>
      <w:r w:rsidRPr="00B77B54">
        <w:t>11 indikatora za praćenje nacionalni</w:t>
      </w:r>
      <w:r w:rsidR="00C16A23" w:rsidRPr="00B77B54">
        <w:t>h omladinskih politika</w:t>
      </w:r>
    </w:p>
    <w:p w14:paraId="71CF5ACE" w14:textId="77777777" w:rsidR="00473A6B" w:rsidRPr="00B77B54" w:rsidRDefault="002B3EAE" w:rsidP="002B3EAE">
      <w:pPr>
        <w:jc w:val="both"/>
      </w:pPr>
      <w:r w:rsidRPr="00B77B54">
        <w:t xml:space="preserve">U pitanju je dokument koji je kreirao </w:t>
      </w:r>
      <w:r w:rsidR="00C16A23" w:rsidRPr="00B77B54">
        <w:t>Evropski omladinski forum</w:t>
      </w:r>
      <w:r w:rsidRPr="00B77B54">
        <w:t xml:space="preserve">, platforma 91 omladinske nevladine organizacije koja blisko sarađuje sa Savjetom Evrope. U dokumentu je opisano jedanaest deskriptivnih indikatora koje bi svaka </w:t>
      </w:r>
      <w:r w:rsidR="00C16A23" w:rsidRPr="00B77B54">
        <w:t xml:space="preserve">omladinska politika </w:t>
      </w:r>
      <w:r w:rsidRPr="00B77B54">
        <w:t xml:space="preserve">trebalo </w:t>
      </w:r>
      <w:r w:rsidR="00C16A23" w:rsidRPr="00B77B54">
        <w:t>d</w:t>
      </w:r>
      <w:r w:rsidRPr="00B77B54">
        <w:t xml:space="preserve">a uzme u obzirom prilikom organizacije praćenja svoje implementacije. Kao što je već istaknuto, ovi indikatori nisu kvantitativni već su opisnog, tj. deskriptivnog karaktera što znači da ih je u osnovnom obliku nemoguće integrisati u efikasnu matricu za praćenje već je neophodno razviti niz </w:t>
      </w:r>
      <w:r w:rsidR="00C9212E" w:rsidRPr="00B77B54">
        <w:t xml:space="preserve">nacionalnih indikatora za njihovu operacionalizaciju. </w:t>
      </w:r>
    </w:p>
    <w:p w14:paraId="3ADB849A" w14:textId="77777777" w:rsidR="004C4DFA" w:rsidRPr="00B77B54" w:rsidRDefault="00694FBF" w:rsidP="000C4E1F">
      <w:pPr>
        <w:jc w:val="both"/>
      </w:pPr>
      <w:r w:rsidRPr="00B77B54">
        <w:t xml:space="preserve">Na kraju, dio predloženih indikatora </w:t>
      </w:r>
      <w:r w:rsidR="000C4E1F" w:rsidRPr="00B77B54">
        <w:t xml:space="preserve">izvor ima u resursnim centrima i literaturi o praćenju politika za mlade, kao što je </w:t>
      </w:r>
      <w:hyperlink r:id="rId10" w:history="1">
        <w:r w:rsidR="004C4DFA" w:rsidRPr="00B77B54">
          <w:rPr>
            <w:rStyle w:val="Hyperlink"/>
          </w:rPr>
          <w:t>www.youthpolicy.org</w:t>
        </w:r>
      </w:hyperlink>
      <w:r w:rsidR="000C4E1F" w:rsidRPr="00B77B54">
        <w:t xml:space="preserve"> ili Priručnik o istraživanju </w:t>
      </w:r>
      <w:r w:rsidR="00C94ECE" w:rsidRPr="00B77B54">
        <w:t>u oblasti omladinske politike</w:t>
      </w:r>
      <w:r w:rsidR="000C4E1F" w:rsidRPr="00B77B54">
        <w:rPr>
          <w:rStyle w:val="FootnoteReference"/>
        </w:rPr>
        <w:footnoteReference w:id="7"/>
      </w:r>
      <w:r w:rsidR="000C4E1F" w:rsidRPr="00B77B54">
        <w:t>.</w:t>
      </w:r>
    </w:p>
    <w:p w14:paraId="127AD3DA" w14:textId="77777777" w:rsidR="000C4E1F" w:rsidRPr="00B77B54" w:rsidRDefault="000C4E1F" w:rsidP="000C4E1F">
      <w:pPr>
        <w:pStyle w:val="Heading3"/>
      </w:pPr>
      <w:r w:rsidRPr="00B77B54">
        <w:t>Domaći izvori</w:t>
      </w:r>
    </w:p>
    <w:p w14:paraId="0D1E05C0" w14:textId="77777777" w:rsidR="003E0EF9" w:rsidRPr="00B77B54" w:rsidRDefault="000C4E1F" w:rsidP="00635F71">
      <w:pPr>
        <w:jc w:val="both"/>
      </w:pPr>
      <w:r w:rsidRPr="00B77B54">
        <w:t xml:space="preserve">Kako je u prethodnom periodu sproveden niz kvalitetnih istraživanja koja targetiraju određene oblasti života mladih, neki od indikatora su preuzeti iz ovih istraživanja. </w:t>
      </w:r>
    </w:p>
    <w:p w14:paraId="53CF4907" w14:textId="77777777" w:rsidR="000C4E1F" w:rsidRPr="00B77B54" w:rsidRDefault="000C4E1F" w:rsidP="000C4E1F">
      <w:pPr>
        <w:pStyle w:val="Heading1"/>
      </w:pPr>
      <w:r w:rsidRPr="00B77B54">
        <w:t>Pregled indikatora po ključnim ciljnim ishodima</w:t>
      </w:r>
    </w:p>
    <w:p w14:paraId="523166D0" w14:textId="77777777" w:rsidR="00A3189A" w:rsidRPr="00B77B54" w:rsidRDefault="000C4E1F" w:rsidP="00A3189A">
      <w:pPr>
        <w:jc w:val="both"/>
      </w:pPr>
      <w:r w:rsidRPr="00B77B54">
        <w:t xml:space="preserve">U tabeli koja slijedi dat je pregled predloženih indikatora u odnosu na šest Strategijom definisanih ključnih ciljnih ishoda. Za svaki indikator </w:t>
      </w:r>
      <w:r w:rsidR="00227F94" w:rsidRPr="00B77B54">
        <w:t>za koji je to mogu</w:t>
      </w:r>
      <w:r w:rsidR="00227F94" w:rsidRPr="00B77B54">
        <w:rPr>
          <w:lang w:val="bs-Latn-BA"/>
        </w:rPr>
        <w:t xml:space="preserve">će </w:t>
      </w:r>
      <w:r w:rsidRPr="00B77B54">
        <w:t xml:space="preserve">dat je opis i izvor. Pored toga, u posljednjoj koloni date su napomene </w:t>
      </w:r>
      <w:r w:rsidRPr="00B77B54">
        <w:rPr>
          <w:lang w:val="de-DE"/>
        </w:rPr>
        <w:t>o tome da li originalni indikator kako se on ve</w:t>
      </w:r>
      <w:r w:rsidRPr="00B77B54">
        <w:rPr>
          <w:lang w:val="bs-Latn-BA"/>
        </w:rPr>
        <w:t>ć vodi nacionalno ili međunarodno treba dopuniti kako bi više odgovarao crnogorskom kontekstu</w:t>
      </w:r>
      <w:r w:rsidR="00227F94" w:rsidRPr="00B77B54">
        <w:rPr>
          <w:lang w:val="bs-Latn-BA"/>
        </w:rPr>
        <w:t>. Takođe, u napomenama je istaknuto za koje indikatore ne postoji metodologija praćenja pa je treba u</w:t>
      </w:r>
      <w:r w:rsidRPr="00B77B54">
        <w:rPr>
          <w:lang w:val="bs-Latn-BA"/>
        </w:rPr>
        <w:t xml:space="preserve"> najkraćem roku definisati. Gdje god je bilo moguće, indikatori su povezani sa relevantnim mjerama iz Strategije. </w:t>
      </w:r>
    </w:p>
    <w:p w14:paraId="4C420829" w14:textId="77777777" w:rsidR="00F218A8" w:rsidRPr="00B77B54" w:rsidRDefault="00F218A8" w:rsidP="00F218A8">
      <w:pPr>
        <w:pStyle w:val="Heading2"/>
      </w:pPr>
      <w:r w:rsidRPr="00B77B54">
        <w:t>A Mladi ostvaruju ekonomsku i socijalnu sigurnost kroz olakšan pristup tržištu rada i sticanje zaposlenja</w:t>
      </w:r>
    </w:p>
    <w:tbl>
      <w:tblPr>
        <w:tblStyle w:val="TableGrid"/>
        <w:tblW w:w="0" w:type="auto"/>
        <w:tblLook w:val="04A0" w:firstRow="1" w:lastRow="0" w:firstColumn="1" w:lastColumn="0" w:noHBand="0" w:noVBand="1"/>
      </w:tblPr>
      <w:tblGrid>
        <w:gridCol w:w="464"/>
        <w:gridCol w:w="1752"/>
        <w:gridCol w:w="2279"/>
        <w:gridCol w:w="2070"/>
        <w:gridCol w:w="2785"/>
      </w:tblGrid>
      <w:tr w:rsidR="00F218A8" w:rsidRPr="00B77B54" w14:paraId="55CE1632" w14:textId="77777777" w:rsidTr="00925F61">
        <w:tc>
          <w:tcPr>
            <w:tcW w:w="464" w:type="dxa"/>
            <w:shd w:val="clear" w:color="auto" w:fill="00B0F0"/>
          </w:tcPr>
          <w:p w14:paraId="1C3FFB7E" w14:textId="77777777" w:rsidR="00F218A8" w:rsidRPr="00B77B54" w:rsidRDefault="00F218A8" w:rsidP="00925F61">
            <w:pPr>
              <w:jc w:val="both"/>
              <w:rPr>
                <w:rFonts w:asciiTheme="majorHAnsi" w:eastAsiaTheme="minorEastAsia" w:hAnsiTheme="majorHAnsi"/>
                <w:b/>
                <w:i/>
                <w:iCs/>
                <w:color w:val="FFFFFF" w:themeColor="background1"/>
              </w:rPr>
            </w:pPr>
            <w:r w:rsidRPr="00B77B54">
              <w:rPr>
                <w:rFonts w:asciiTheme="majorHAnsi" w:eastAsiaTheme="minorEastAsia" w:hAnsiTheme="majorHAnsi"/>
                <w:b/>
                <w:i/>
                <w:iCs/>
                <w:color w:val="FFFFFF" w:themeColor="background1"/>
              </w:rPr>
              <w:t>A</w:t>
            </w:r>
          </w:p>
        </w:tc>
        <w:tc>
          <w:tcPr>
            <w:tcW w:w="8886" w:type="dxa"/>
            <w:gridSpan w:val="4"/>
            <w:shd w:val="clear" w:color="auto" w:fill="00B0F0"/>
          </w:tcPr>
          <w:p w14:paraId="5D9FC825" w14:textId="77777777" w:rsidR="00F218A8" w:rsidRPr="00B77B54" w:rsidRDefault="00F218A8" w:rsidP="00925F61">
            <w:pPr>
              <w:jc w:val="both"/>
              <w:rPr>
                <w:rFonts w:asciiTheme="majorHAnsi" w:eastAsiaTheme="minorEastAsia" w:hAnsiTheme="majorHAnsi"/>
                <w:b/>
                <w:i/>
                <w:iCs/>
                <w:color w:val="FFFFFF" w:themeColor="background1"/>
              </w:rPr>
            </w:pPr>
            <w:r w:rsidRPr="00B77B54">
              <w:rPr>
                <w:rFonts w:asciiTheme="majorHAnsi" w:eastAsiaTheme="minorEastAsia" w:hAnsiTheme="majorHAnsi"/>
                <w:b/>
                <w:i/>
                <w:iCs/>
                <w:color w:val="FFFFFF" w:themeColor="background1"/>
              </w:rPr>
              <w:t>Mladi ostvaruju ekonomsku i socijalnu sigurnost kroz olakšan pristup tržištu rada i sticanje zaposlenja</w:t>
            </w:r>
          </w:p>
        </w:tc>
      </w:tr>
      <w:tr w:rsidR="00444319" w:rsidRPr="00B77B54" w14:paraId="0A39DE2A" w14:textId="77777777" w:rsidTr="00444319">
        <w:tc>
          <w:tcPr>
            <w:tcW w:w="464" w:type="dxa"/>
          </w:tcPr>
          <w:p w14:paraId="5E366570" w14:textId="77777777" w:rsidR="00444319" w:rsidRPr="00B77B54" w:rsidRDefault="00444319" w:rsidP="00BC72C2">
            <w:pPr>
              <w:rPr>
                <w:rFonts w:asciiTheme="majorHAnsi" w:hAnsiTheme="majorHAnsi"/>
              </w:rPr>
            </w:pPr>
            <w:r w:rsidRPr="00B77B54">
              <w:rPr>
                <w:rFonts w:asciiTheme="majorHAnsi" w:hAnsiTheme="majorHAnsi"/>
              </w:rPr>
              <w:t>Br.</w:t>
            </w:r>
          </w:p>
        </w:tc>
        <w:tc>
          <w:tcPr>
            <w:tcW w:w="1752" w:type="dxa"/>
          </w:tcPr>
          <w:p w14:paraId="67DE5B64" w14:textId="77777777" w:rsidR="00444319" w:rsidRPr="00B77B54" w:rsidRDefault="00444319" w:rsidP="00BC72C2">
            <w:pPr>
              <w:rPr>
                <w:rFonts w:asciiTheme="majorHAnsi" w:hAnsiTheme="majorHAnsi"/>
              </w:rPr>
            </w:pPr>
            <w:r w:rsidRPr="00B77B54">
              <w:rPr>
                <w:rFonts w:asciiTheme="majorHAnsi" w:hAnsiTheme="majorHAnsi"/>
              </w:rPr>
              <w:t>Mjera</w:t>
            </w:r>
          </w:p>
        </w:tc>
        <w:tc>
          <w:tcPr>
            <w:tcW w:w="2279" w:type="dxa"/>
          </w:tcPr>
          <w:p w14:paraId="58650622" w14:textId="77777777" w:rsidR="00444319" w:rsidRPr="00B77B54" w:rsidRDefault="00444319" w:rsidP="00BC72C2">
            <w:pPr>
              <w:rPr>
                <w:rFonts w:asciiTheme="majorHAnsi" w:hAnsiTheme="majorHAnsi"/>
              </w:rPr>
            </w:pPr>
            <w:r w:rsidRPr="00B77B54">
              <w:rPr>
                <w:rFonts w:asciiTheme="majorHAnsi" w:hAnsiTheme="majorHAnsi"/>
              </w:rPr>
              <w:t>Opis indikatora</w:t>
            </w:r>
          </w:p>
        </w:tc>
        <w:tc>
          <w:tcPr>
            <w:tcW w:w="2070" w:type="dxa"/>
          </w:tcPr>
          <w:p w14:paraId="36A93B64" w14:textId="77777777" w:rsidR="00444319" w:rsidRPr="00B77B54" w:rsidRDefault="00444319" w:rsidP="00437580">
            <w:pPr>
              <w:rPr>
                <w:rFonts w:asciiTheme="majorHAnsi" w:hAnsiTheme="majorHAnsi"/>
              </w:rPr>
            </w:pPr>
            <w:r w:rsidRPr="00B77B54">
              <w:rPr>
                <w:rFonts w:asciiTheme="majorHAnsi" w:hAnsiTheme="majorHAnsi"/>
              </w:rPr>
              <w:t>Veza sa međunarodnim indikatorima</w:t>
            </w:r>
            <w:r w:rsidR="00437580" w:rsidRPr="00B77B54">
              <w:rPr>
                <w:rFonts w:asciiTheme="majorHAnsi" w:hAnsiTheme="majorHAnsi"/>
              </w:rPr>
              <w:t>/</w:t>
            </w:r>
            <w:r w:rsidRPr="00B77B54">
              <w:rPr>
                <w:rFonts w:asciiTheme="majorHAnsi" w:hAnsiTheme="majorHAnsi"/>
              </w:rPr>
              <w:t>izvor</w:t>
            </w:r>
          </w:p>
        </w:tc>
        <w:tc>
          <w:tcPr>
            <w:tcW w:w="2785" w:type="dxa"/>
          </w:tcPr>
          <w:p w14:paraId="15583A88" w14:textId="77777777" w:rsidR="00444319" w:rsidRPr="00B77B54" w:rsidRDefault="00444319" w:rsidP="00BC72C2">
            <w:pPr>
              <w:rPr>
                <w:rFonts w:asciiTheme="majorHAnsi" w:hAnsiTheme="majorHAnsi"/>
              </w:rPr>
            </w:pPr>
            <w:r w:rsidRPr="00B77B54">
              <w:rPr>
                <w:rFonts w:asciiTheme="majorHAnsi" w:hAnsiTheme="majorHAnsi"/>
              </w:rPr>
              <w:t>Napomene</w:t>
            </w:r>
          </w:p>
          <w:p w14:paraId="74CA26A8" w14:textId="77777777" w:rsidR="00444319" w:rsidRPr="00B77B54" w:rsidRDefault="00444319" w:rsidP="00444319">
            <w:pPr>
              <w:rPr>
                <w:rFonts w:asciiTheme="majorHAnsi" w:hAnsiTheme="majorHAnsi"/>
              </w:rPr>
            </w:pPr>
          </w:p>
        </w:tc>
      </w:tr>
      <w:tr w:rsidR="00A3189A" w:rsidRPr="00B77B54" w14:paraId="30E2326B" w14:textId="77777777" w:rsidTr="00444319">
        <w:tc>
          <w:tcPr>
            <w:tcW w:w="464" w:type="dxa"/>
            <w:vMerge w:val="restart"/>
          </w:tcPr>
          <w:p w14:paraId="690CB0B8" w14:textId="77777777" w:rsidR="00A3189A" w:rsidRPr="00B77B54" w:rsidRDefault="00A3189A" w:rsidP="00BC72C2">
            <w:pPr>
              <w:rPr>
                <w:rFonts w:asciiTheme="majorHAnsi" w:hAnsiTheme="majorHAnsi"/>
              </w:rPr>
            </w:pPr>
            <w:r w:rsidRPr="00B77B54">
              <w:rPr>
                <w:rFonts w:asciiTheme="majorHAnsi" w:hAnsiTheme="majorHAnsi"/>
              </w:rPr>
              <w:lastRenderedPageBreak/>
              <w:t>1</w:t>
            </w:r>
          </w:p>
        </w:tc>
        <w:tc>
          <w:tcPr>
            <w:tcW w:w="1752" w:type="dxa"/>
            <w:vMerge w:val="restart"/>
          </w:tcPr>
          <w:p w14:paraId="26E47D47" w14:textId="77777777" w:rsidR="00A3189A" w:rsidRPr="00B77B54" w:rsidRDefault="00A3189A" w:rsidP="00BC72C2">
            <w:pPr>
              <w:tabs>
                <w:tab w:val="left" w:pos="4253"/>
              </w:tabs>
              <w:rPr>
                <w:rFonts w:asciiTheme="majorHAnsi" w:hAnsiTheme="majorHAnsi"/>
                <w:b/>
                <w:i/>
              </w:rPr>
            </w:pPr>
            <w:r w:rsidRPr="00B77B54">
              <w:rPr>
                <w:rFonts w:asciiTheme="majorHAnsi" w:hAnsiTheme="majorHAnsi"/>
              </w:rPr>
              <w:t xml:space="preserve">Otklanjanje barijera za pristup tržištu rada svim mladima </w:t>
            </w:r>
          </w:p>
        </w:tc>
        <w:tc>
          <w:tcPr>
            <w:tcW w:w="2279" w:type="dxa"/>
          </w:tcPr>
          <w:p w14:paraId="26A6DEFE" w14:textId="77777777" w:rsidR="00A3189A" w:rsidRPr="00B77B54" w:rsidRDefault="00A3189A" w:rsidP="00D224DB">
            <w:pPr>
              <w:rPr>
                <w:rFonts w:asciiTheme="majorHAnsi" w:hAnsiTheme="majorHAnsi" w:cs="Times New Roman"/>
                <w:sz w:val="16"/>
                <w:szCs w:val="16"/>
              </w:rPr>
            </w:pPr>
            <w:r w:rsidRPr="00B77B54">
              <w:rPr>
                <w:rFonts w:asciiTheme="majorHAnsi" w:hAnsiTheme="majorHAnsi" w:cs="Times New Roman"/>
                <w:sz w:val="16"/>
                <w:szCs w:val="16"/>
              </w:rPr>
              <w:t>Samozapošljavanje mladih</w:t>
            </w:r>
          </w:p>
          <w:p w14:paraId="6AC573B6" w14:textId="77777777" w:rsidR="00A3189A" w:rsidRPr="00B77B54" w:rsidRDefault="00A3189A" w:rsidP="00D224DB">
            <w:pPr>
              <w:rPr>
                <w:rFonts w:asciiTheme="majorHAnsi" w:hAnsiTheme="majorHAnsi" w:cs="Times New Roman"/>
                <w:sz w:val="16"/>
                <w:szCs w:val="16"/>
              </w:rPr>
            </w:pPr>
          </w:p>
          <w:p w14:paraId="33F50B39" w14:textId="77777777" w:rsidR="00A3189A" w:rsidRPr="00B77B54" w:rsidRDefault="00A3189A" w:rsidP="00F002AB">
            <w:pPr>
              <w:rPr>
                <w:rFonts w:asciiTheme="majorHAnsi" w:hAnsiTheme="majorHAnsi"/>
                <w:sz w:val="16"/>
                <w:szCs w:val="16"/>
              </w:rPr>
            </w:pPr>
            <w:r w:rsidRPr="00B77B54">
              <w:rPr>
                <w:rFonts w:asciiTheme="majorHAnsi" w:hAnsiTheme="majorHAnsi" w:cs="Times New Roman"/>
                <w:sz w:val="16"/>
                <w:szCs w:val="16"/>
              </w:rPr>
              <w:t>Procenat samozapošljenih u odnosu na sve zapošljene koji imaju između 20-24 i 25-29 godina</w:t>
            </w:r>
          </w:p>
        </w:tc>
        <w:tc>
          <w:tcPr>
            <w:tcW w:w="2070" w:type="dxa"/>
          </w:tcPr>
          <w:p w14:paraId="5ABC5828" w14:textId="77777777" w:rsidR="00A3189A" w:rsidRPr="00B77B54" w:rsidRDefault="00A3189A" w:rsidP="00BC72C2">
            <w:pPr>
              <w:rPr>
                <w:rFonts w:asciiTheme="majorHAnsi" w:hAnsiTheme="majorHAnsi"/>
                <w:sz w:val="16"/>
                <w:szCs w:val="16"/>
              </w:rPr>
            </w:pPr>
            <w:r w:rsidRPr="00B77B54">
              <w:rPr>
                <w:rFonts w:asciiTheme="majorHAnsi" w:hAnsiTheme="majorHAnsi"/>
                <w:sz w:val="16"/>
                <w:szCs w:val="16"/>
              </w:rPr>
              <w:t>EUROSTAT</w:t>
            </w:r>
          </w:p>
        </w:tc>
        <w:tc>
          <w:tcPr>
            <w:tcW w:w="2785" w:type="dxa"/>
          </w:tcPr>
          <w:p w14:paraId="068ED731" w14:textId="77777777" w:rsidR="00A3189A" w:rsidRPr="00B77B54" w:rsidRDefault="00A3189A" w:rsidP="00F002AB">
            <w:pPr>
              <w:rPr>
                <w:rFonts w:asciiTheme="majorHAnsi" w:hAnsiTheme="majorHAnsi"/>
                <w:sz w:val="16"/>
                <w:szCs w:val="16"/>
              </w:rPr>
            </w:pPr>
            <w:r w:rsidRPr="00B77B54">
              <w:rPr>
                <w:rFonts w:asciiTheme="majorHAnsi" w:hAnsiTheme="majorHAnsi"/>
                <w:i/>
                <w:sz w:val="16"/>
                <w:szCs w:val="16"/>
              </w:rPr>
              <w:t>Eurostat propisuje disagregaciju u odnosu na pol, godine i obrazovni nivo. Dodati nacionalnu disagregaciju po regionu i pripadnosti ranjivim kategorijama</w:t>
            </w:r>
          </w:p>
        </w:tc>
      </w:tr>
      <w:tr w:rsidR="00A3189A" w:rsidRPr="00B77B54" w14:paraId="6F50F27D" w14:textId="77777777" w:rsidTr="00444319">
        <w:tc>
          <w:tcPr>
            <w:tcW w:w="464" w:type="dxa"/>
            <w:vMerge/>
          </w:tcPr>
          <w:p w14:paraId="70B4EE83" w14:textId="77777777" w:rsidR="00A3189A" w:rsidRPr="00B77B54" w:rsidRDefault="00A3189A" w:rsidP="00BC72C2">
            <w:pPr>
              <w:rPr>
                <w:rFonts w:asciiTheme="majorHAnsi" w:hAnsiTheme="majorHAnsi"/>
              </w:rPr>
            </w:pPr>
          </w:p>
        </w:tc>
        <w:tc>
          <w:tcPr>
            <w:tcW w:w="1752" w:type="dxa"/>
            <w:vMerge/>
          </w:tcPr>
          <w:p w14:paraId="682F07E8" w14:textId="77777777" w:rsidR="00A3189A" w:rsidRPr="00B77B54" w:rsidRDefault="00A3189A" w:rsidP="00BC72C2">
            <w:pPr>
              <w:tabs>
                <w:tab w:val="left" w:pos="4253"/>
              </w:tabs>
              <w:rPr>
                <w:rFonts w:asciiTheme="majorHAnsi" w:hAnsiTheme="majorHAnsi"/>
              </w:rPr>
            </w:pPr>
          </w:p>
        </w:tc>
        <w:tc>
          <w:tcPr>
            <w:tcW w:w="2279" w:type="dxa"/>
          </w:tcPr>
          <w:p w14:paraId="6F4F33E8" w14:textId="77777777" w:rsidR="00A3189A" w:rsidRPr="00B77B54" w:rsidRDefault="00A3189A" w:rsidP="00F002AB">
            <w:pPr>
              <w:rPr>
                <w:rFonts w:asciiTheme="majorHAnsi" w:hAnsiTheme="majorHAnsi" w:cs="Times New Roman"/>
                <w:sz w:val="16"/>
                <w:szCs w:val="16"/>
              </w:rPr>
            </w:pPr>
            <w:r w:rsidRPr="00B77B54">
              <w:rPr>
                <w:rFonts w:asciiTheme="majorHAnsi" w:hAnsiTheme="majorHAnsi" w:cs="Times New Roman"/>
                <w:sz w:val="16"/>
                <w:szCs w:val="16"/>
              </w:rPr>
              <w:t>Stopa nezaposlenosti mladih</w:t>
            </w:r>
          </w:p>
          <w:p w14:paraId="4C87494F" w14:textId="77777777" w:rsidR="00873565" w:rsidRPr="00B77B54" w:rsidRDefault="00873565" w:rsidP="00F002AB">
            <w:pPr>
              <w:rPr>
                <w:rFonts w:asciiTheme="majorHAnsi" w:hAnsiTheme="majorHAnsi" w:cs="Times New Roman"/>
                <w:sz w:val="16"/>
                <w:szCs w:val="16"/>
              </w:rPr>
            </w:pPr>
          </w:p>
          <w:p w14:paraId="7D14499E" w14:textId="77777777" w:rsidR="00873565" w:rsidRPr="00B77B54" w:rsidRDefault="00873565" w:rsidP="00F002AB">
            <w:pPr>
              <w:rPr>
                <w:rFonts w:asciiTheme="majorHAnsi" w:hAnsiTheme="majorHAnsi" w:cs="Times New Roman"/>
                <w:sz w:val="16"/>
                <w:szCs w:val="16"/>
              </w:rPr>
            </w:pPr>
            <w:r w:rsidRPr="00B77B54">
              <w:rPr>
                <w:rFonts w:asciiTheme="majorHAnsi" w:hAnsiTheme="majorHAnsi" w:cs="Times New Roman"/>
                <w:sz w:val="16"/>
                <w:szCs w:val="16"/>
              </w:rPr>
              <w:t>Bazna vrijednost: 37,6 %</w:t>
            </w:r>
          </w:p>
          <w:p w14:paraId="0E591E26" w14:textId="77777777" w:rsidR="00A3189A" w:rsidRPr="00B77B54" w:rsidRDefault="00A3189A" w:rsidP="00F002AB">
            <w:pPr>
              <w:rPr>
                <w:rFonts w:asciiTheme="majorHAnsi" w:hAnsiTheme="majorHAnsi" w:cs="Times New Roman"/>
                <w:sz w:val="16"/>
                <w:szCs w:val="16"/>
              </w:rPr>
            </w:pPr>
          </w:p>
          <w:p w14:paraId="0BE65314" w14:textId="77777777" w:rsidR="00A3189A" w:rsidRPr="00B77B54" w:rsidRDefault="00A3189A" w:rsidP="00F002AB">
            <w:pPr>
              <w:autoSpaceDE w:val="0"/>
              <w:autoSpaceDN w:val="0"/>
              <w:adjustRightInd w:val="0"/>
              <w:rPr>
                <w:rFonts w:asciiTheme="majorHAnsi" w:hAnsiTheme="majorHAnsi"/>
                <w:sz w:val="16"/>
                <w:szCs w:val="16"/>
              </w:rPr>
            </w:pPr>
            <w:r w:rsidRPr="00B77B54">
              <w:rPr>
                <w:rFonts w:asciiTheme="majorHAnsi" w:hAnsiTheme="majorHAnsi" w:cs="Times New Roman"/>
                <w:sz w:val="16"/>
                <w:szCs w:val="16"/>
              </w:rPr>
              <w:t>Udio nezaposlenih među aktivnom populacijom (zaposlenom i nezaposlenom) godina 15-24.</w:t>
            </w:r>
          </w:p>
        </w:tc>
        <w:tc>
          <w:tcPr>
            <w:tcW w:w="2070" w:type="dxa"/>
          </w:tcPr>
          <w:p w14:paraId="1E0DCD61" w14:textId="6E3DED09" w:rsidR="00A3189A" w:rsidRPr="00B77B54" w:rsidRDefault="00C77F5C" w:rsidP="00F002AB">
            <w:pPr>
              <w:rPr>
                <w:rFonts w:asciiTheme="majorHAnsi" w:hAnsiTheme="majorHAnsi"/>
                <w:sz w:val="16"/>
                <w:szCs w:val="16"/>
              </w:rPr>
            </w:pPr>
            <w:r>
              <w:rPr>
                <w:rFonts w:asciiTheme="majorHAnsi" w:hAnsiTheme="majorHAnsi"/>
                <w:sz w:val="16"/>
                <w:szCs w:val="16"/>
              </w:rPr>
              <w:t xml:space="preserve">Zavod za statistiku </w:t>
            </w:r>
            <w:r w:rsidR="001B6272" w:rsidRPr="00B77B54">
              <w:rPr>
                <w:rFonts w:asciiTheme="majorHAnsi" w:hAnsiTheme="majorHAnsi"/>
                <w:sz w:val="16"/>
                <w:szCs w:val="16"/>
              </w:rPr>
              <w:t>MONSTAT</w:t>
            </w:r>
          </w:p>
          <w:p w14:paraId="128CD50A" w14:textId="77777777" w:rsidR="00A3189A" w:rsidRPr="00B77B54" w:rsidRDefault="00A3189A" w:rsidP="00F002AB">
            <w:pPr>
              <w:rPr>
                <w:rFonts w:asciiTheme="majorHAnsi" w:hAnsiTheme="majorHAnsi"/>
                <w:sz w:val="16"/>
                <w:szCs w:val="16"/>
              </w:rPr>
            </w:pPr>
            <w:r w:rsidRPr="00B77B54">
              <w:rPr>
                <w:rFonts w:asciiTheme="majorHAnsi" w:hAnsiTheme="majorHAnsi"/>
                <w:sz w:val="16"/>
                <w:szCs w:val="16"/>
              </w:rPr>
              <w:t>EUROSTAT</w:t>
            </w:r>
          </w:p>
          <w:p w14:paraId="7DF93ADA" w14:textId="4879E6D7" w:rsidR="00A3189A" w:rsidRPr="00B77B54" w:rsidRDefault="00A3189A" w:rsidP="00F002AB">
            <w:pPr>
              <w:rPr>
                <w:rFonts w:asciiTheme="majorHAnsi" w:hAnsiTheme="majorHAnsi"/>
                <w:sz w:val="16"/>
                <w:szCs w:val="16"/>
              </w:rPr>
            </w:pPr>
            <w:r w:rsidRPr="00B77B54">
              <w:rPr>
                <w:rFonts w:asciiTheme="majorHAnsi" w:hAnsiTheme="majorHAnsi"/>
                <w:sz w:val="16"/>
                <w:szCs w:val="16"/>
              </w:rPr>
              <w:t xml:space="preserve"> </w:t>
            </w:r>
          </w:p>
        </w:tc>
        <w:tc>
          <w:tcPr>
            <w:tcW w:w="2785" w:type="dxa"/>
          </w:tcPr>
          <w:p w14:paraId="5D53B4EE" w14:textId="77777777" w:rsidR="00A3189A" w:rsidRPr="00B77B54" w:rsidRDefault="00A3189A" w:rsidP="00F002AB">
            <w:pPr>
              <w:rPr>
                <w:rFonts w:asciiTheme="majorHAnsi" w:hAnsiTheme="majorHAnsi"/>
                <w:sz w:val="16"/>
                <w:szCs w:val="16"/>
              </w:rPr>
            </w:pPr>
            <w:r w:rsidRPr="00B77B54">
              <w:rPr>
                <w:rFonts w:asciiTheme="majorHAnsi" w:hAnsiTheme="majorHAnsi"/>
                <w:i/>
                <w:sz w:val="16"/>
                <w:szCs w:val="16"/>
              </w:rPr>
              <w:t>Eurostat propisuje disagregaciju u odnosu na pol, godine i obrazovni nivo. Dodati nacionalnu disagregaciju po regionu i pripadnosti ranjivim kategorijama</w:t>
            </w:r>
          </w:p>
        </w:tc>
      </w:tr>
      <w:tr w:rsidR="00873565" w:rsidRPr="00B77B54" w14:paraId="4E0CBDD9" w14:textId="77777777" w:rsidTr="00B51ACF">
        <w:tc>
          <w:tcPr>
            <w:tcW w:w="464" w:type="dxa"/>
            <w:vMerge/>
          </w:tcPr>
          <w:p w14:paraId="0F73920F" w14:textId="77777777" w:rsidR="00873565" w:rsidRPr="00B77B54" w:rsidRDefault="00873565" w:rsidP="00BC72C2">
            <w:pPr>
              <w:rPr>
                <w:rFonts w:asciiTheme="majorHAnsi" w:hAnsiTheme="majorHAnsi"/>
              </w:rPr>
            </w:pPr>
          </w:p>
        </w:tc>
        <w:tc>
          <w:tcPr>
            <w:tcW w:w="1752" w:type="dxa"/>
            <w:vMerge/>
          </w:tcPr>
          <w:p w14:paraId="5FB70B9C" w14:textId="77777777" w:rsidR="00873565" w:rsidRPr="00B77B54" w:rsidRDefault="00873565" w:rsidP="00BC72C2">
            <w:pPr>
              <w:tabs>
                <w:tab w:val="left" w:pos="4253"/>
              </w:tabs>
              <w:rPr>
                <w:rFonts w:asciiTheme="majorHAnsi" w:hAnsiTheme="majorHAnsi"/>
              </w:rPr>
            </w:pPr>
          </w:p>
        </w:tc>
        <w:tc>
          <w:tcPr>
            <w:tcW w:w="2279" w:type="dxa"/>
            <w:shd w:val="clear" w:color="auto" w:fill="auto"/>
          </w:tcPr>
          <w:p w14:paraId="0C45486D" w14:textId="77777777" w:rsidR="00873565" w:rsidRPr="00B77B54" w:rsidRDefault="00873565" w:rsidP="00F002AB">
            <w:pPr>
              <w:rPr>
                <w:rFonts w:asciiTheme="majorHAnsi" w:hAnsiTheme="majorHAnsi" w:cs="Times New Roman"/>
                <w:sz w:val="16"/>
                <w:szCs w:val="16"/>
              </w:rPr>
            </w:pPr>
            <w:r w:rsidRPr="00B77B54">
              <w:rPr>
                <w:rFonts w:asciiTheme="majorHAnsi" w:hAnsiTheme="majorHAnsi" w:cs="Times New Roman"/>
                <w:sz w:val="16"/>
                <w:szCs w:val="16"/>
              </w:rPr>
              <w:t>Mladi ljudi (godišta 15-24 i 15-29) koji nisu zapošljeni, u sistemu obrazovanja ili obuke</w:t>
            </w:r>
            <w:r w:rsidRPr="00B77B54">
              <w:rPr>
                <w:rStyle w:val="FootnoteReference"/>
                <w:rFonts w:asciiTheme="majorHAnsi" w:hAnsiTheme="majorHAnsi" w:cs="Times New Roman"/>
                <w:sz w:val="16"/>
                <w:szCs w:val="16"/>
              </w:rPr>
              <w:footnoteReference w:id="8"/>
            </w:r>
          </w:p>
          <w:p w14:paraId="58F82E86" w14:textId="77777777" w:rsidR="001B6272" w:rsidRPr="00B77B54" w:rsidRDefault="001B6272" w:rsidP="00F002AB">
            <w:pPr>
              <w:rPr>
                <w:rFonts w:asciiTheme="majorHAnsi" w:hAnsiTheme="majorHAnsi" w:cs="Times New Roman"/>
                <w:sz w:val="16"/>
                <w:szCs w:val="16"/>
              </w:rPr>
            </w:pPr>
          </w:p>
          <w:p w14:paraId="441DBBF9" w14:textId="77777777" w:rsidR="001B6272" w:rsidRPr="00B77B54" w:rsidRDefault="001B6272" w:rsidP="00F002AB">
            <w:pPr>
              <w:rPr>
                <w:rFonts w:asciiTheme="majorHAnsi" w:hAnsiTheme="majorHAnsi" w:cs="Times New Roman"/>
                <w:sz w:val="16"/>
                <w:szCs w:val="16"/>
              </w:rPr>
            </w:pPr>
            <w:r w:rsidRPr="00B77B54">
              <w:rPr>
                <w:rFonts w:asciiTheme="majorHAnsi" w:hAnsiTheme="majorHAnsi" w:cs="Times New Roman"/>
                <w:sz w:val="16"/>
                <w:szCs w:val="16"/>
              </w:rPr>
              <w:t>Bazna vrijednost: 28%</w:t>
            </w:r>
            <w:r w:rsidRPr="00B77B54">
              <w:rPr>
                <w:rStyle w:val="FootnoteReference"/>
                <w:rFonts w:asciiTheme="majorHAnsi" w:hAnsiTheme="majorHAnsi" w:cs="Times New Roman"/>
                <w:sz w:val="16"/>
                <w:szCs w:val="16"/>
              </w:rPr>
              <w:footnoteReference w:id="9"/>
            </w:r>
          </w:p>
        </w:tc>
        <w:tc>
          <w:tcPr>
            <w:tcW w:w="2070" w:type="dxa"/>
            <w:shd w:val="clear" w:color="auto" w:fill="auto"/>
          </w:tcPr>
          <w:p w14:paraId="43C10B82" w14:textId="77777777" w:rsidR="00873565" w:rsidRPr="00B77B54" w:rsidRDefault="00873565" w:rsidP="00873565">
            <w:pPr>
              <w:rPr>
                <w:rFonts w:asciiTheme="majorHAnsi" w:hAnsiTheme="majorHAnsi"/>
                <w:sz w:val="16"/>
                <w:szCs w:val="16"/>
              </w:rPr>
            </w:pPr>
            <w:r w:rsidRPr="00B77B54">
              <w:rPr>
                <w:rFonts w:asciiTheme="majorHAnsi" w:hAnsiTheme="majorHAnsi"/>
                <w:sz w:val="16"/>
                <w:szCs w:val="16"/>
              </w:rPr>
              <w:t>EUROSTAT</w:t>
            </w:r>
          </w:p>
          <w:p w14:paraId="5FE36213" w14:textId="77777777" w:rsidR="001B6272" w:rsidRPr="00B77B54" w:rsidRDefault="001B6272" w:rsidP="00873565">
            <w:pPr>
              <w:rPr>
                <w:rFonts w:asciiTheme="majorHAnsi" w:hAnsiTheme="majorHAnsi"/>
                <w:sz w:val="16"/>
                <w:szCs w:val="16"/>
              </w:rPr>
            </w:pPr>
          </w:p>
          <w:p w14:paraId="313669AA" w14:textId="275A7DC7" w:rsidR="00873565" w:rsidRPr="00B77B54" w:rsidRDefault="001B6272" w:rsidP="00F002AB">
            <w:pPr>
              <w:rPr>
                <w:rFonts w:asciiTheme="majorHAnsi" w:hAnsiTheme="majorHAnsi"/>
                <w:sz w:val="16"/>
                <w:szCs w:val="16"/>
              </w:rPr>
            </w:pPr>
            <w:r w:rsidRPr="00B77B54">
              <w:rPr>
                <w:rFonts w:asciiTheme="majorHAnsi" w:hAnsiTheme="majorHAnsi"/>
                <w:sz w:val="16"/>
                <w:szCs w:val="16"/>
              </w:rPr>
              <w:t>Međunarodna organizacija rada/</w:t>
            </w:r>
            <w:r w:rsidR="00C77F5C">
              <w:rPr>
                <w:rFonts w:asciiTheme="majorHAnsi" w:hAnsiTheme="majorHAnsi"/>
                <w:sz w:val="16"/>
                <w:szCs w:val="16"/>
              </w:rPr>
              <w:t xml:space="preserve"> Zavod za statistiku</w:t>
            </w:r>
            <w:r w:rsidRPr="00B77B54">
              <w:rPr>
                <w:rFonts w:asciiTheme="majorHAnsi" w:hAnsiTheme="majorHAnsi"/>
                <w:sz w:val="16"/>
                <w:szCs w:val="16"/>
              </w:rPr>
              <w:t xml:space="preserve"> MONSTAT </w:t>
            </w:r>
          </w:p>
        </w:tc>
        <w:tc>
          <w:tcPr>
            <w:tcW w:w="2785" w:type="dxa"/>
            <w:shd w:val="clear" w:color="auto" w:fill="auto"/>
          </w:tcPr>
          <w:p w14:paraId="0F8074C7" w14:textId="77777777" w:rsidR="00873565" w:rsidRPr="00B77B54" w:rsidRDefault="00873565" w:rsidP="00F002AB">
            <w:pPr>
              <w:rPr>
                <w:rFonts w:asciiTheme="majorHAnsi" w:hAnsiTheme="majorHAnsi"/>
                <w:i/>
                <w:sz w:val="16"/>
                <w:szCs w:val="16"/>
              </w:rPr>
            </w:pPr>
          </w:p>
        </w:tc>
      </w:tr>
      <w:tr w:rsidR="00873565" w:rsidRPr="00B77B54" w14:paraId="718A26EA" w14:textId="77777777" w:rsidTr="00444319">
        <w:tc>
          <w:tcPr>
            <w:tcW w:w="464" w:type="dxa"/>
            <w:vMerge/>
          </w:tcPr>
          <w:p w14:paraId="59DC1994" w14:textId="77777777" w:rsidR="00873565" w:rsidRPr="00B77B54" w:rsidRDefault="00873565" w:rsidP="00BC72C2">
            <w:pPr>
              <w:rPr>
                <w:rFonts w:asciiTheme="majorHAnsi" w:hAnsiTheme="majorHAnsi"/>
              </w:rPr>
            </w:pPr>
          </w:p>
        </w:tc>
        <w:tc>
          <w:tcPr>
            <w:tcW w:w="1752" w:type="dxa"/>
            <w:vMerge/>
          </w:tcPr>
          <w:p w14:paraId="6BCE243F" w14:textId="77777777" w:rsidR="00873565" w:rsidRPr="00B77B54" w:rsidRDefault="00873565" w:rsidP="00BC72C2">
            <w:pPr>
              <w:tabs>
                <w:tab w:val="left" w:pos="4253"/>
              </w:tabs>
              <w:rPr>
                <w:rFonts w:asciiTheme="majorHAnsi" w:hAnsiTheme="majorHAnsi"/>
              </w:rPr>
            </w:pPr>
          </w:p>
        </w:tc>
        <w:tc>
          <w:tcPr>
            <w:tcW w:w="2279" w:type="dxa"/>
          </w:tcPr>
          <w:p w14:paraId="5E516ACA" w14:textId="77777777" w:rsidR="00873565" w:rsidRPr="00B77B54" w:rsidRDefault="00873565" w:rsidP="00F002AB">
            <w:pPr>
              <w:rPr>
                <w:rFonts w:asciiTheme="majorHAnsi" w:hAnsiTheme="majorHAnsi" w:cs="Times New Roman"/>
                <w:sz w:val="16"/>
                <w:szCs w:val="16"/>
              </w:rPr>
            </w:pPr>
            <w:r w:rsidRPr="00B77B54">
              <w:rPr>
                <w:rFonts w:asciiTheme="majorHAnsi" w:hAnsiTheme="majorHAnsi" w:cs="Times New Roman"/>
                <w:sz w:val="16"/>
                <w:szCs w:val="16"/>
              </w:rPr>
              <w:t xml:space="preserve">Neformalna zaposlenost među mladima (15-29) </w:t>
            </w:r>
          </w:p>
          <w:p w14:paraId="747AA26B" w14:textId="77777777" w:rsidR="00873565" w:rsidRPr="00B77B54" w:rsidRDefault="00873565" w:rsidP="00F002AB">
            <w:pPr>
              <w:rPr>
                <w:rFonts w:asciiTheme="majorHAnsi" w:hAnsiTheme="majorHAnsi" w:cs="Times New Roman"/>
                <w:sz w:val="16"/>
                <w:szCs w:val="16"/>
              </w:rPr>
            </w:pPr>
          </w:p>
          <w:p w14:paraId="1FB5D750" w14:textId="77777777" w:rsidR="00873565" w:rsidRPr="00B77B54" w:rsidRDefault="00873565" w:rsidP="00873565">
            <w:pPr>
              <w:rPr>
                <w:rFonts w:asciiTheme="majorHAnsi" w:hAnsiTheme="majorHAnsi" w:cs="Times New Roman"/>
                <w:sz w:val="16"/>
                <w:szCs w:val="16"/>
              </w:rPr>
            </w:pPr>
            <w:r w:rsidRPr="00B77B54">
              <w:rPr>
                <w:rFonts w:asciiTheme="majorHAnsi" w:hAnsiTheme="majorHAnsi" w:cs="Times New Roman"/>
                <w:sz w:val="16"/>
                <w:szCs w:val="16"/>
              </w:rPr>
              <w:t>Bazna vrijednost: 59,5%</w:t>
            </w:r>
            <w:r w:rsidRPr="00B77B54">
              <w:rPr>
                <w:rStyle w:val="FootnoteReference"/>
                <w:rFonts w:asciiTheme="majorHAnsi" w:hAnsiTheme="majorHAnsi" w:cs="Times New Roman"/>
                <w:sz w:val="16"/>
                <w:szCs w:val="16"/>
              </w:rPr>
              <w:footnoteReference w:id="10"/>
            </w:r>
            <w:r w:rsidRPr="00B77B54">
              <w:rPr>
                <w:rFonts w:asciiTheme="majorHAnsi" w:hAnsiTheme="majorHAnsi" w:cs="Times New Roman"/>
                <w:sz w:val="16"/>
                <w:szCs w:val="16"/>
              </w:rPr>
              <w:t xml:space="preserve"> </w:t>
            </w:r>
          </w:p>
        </w:tc>
        <w:tc>
          <w:tcPr>
            <w:tcW w:w="2070" w:type="dxa"/>
          </w:tcPr>
          <w:p w14:paraId="1E11D608" w14:textId="77777777" w:rsidR="00873565" w:rsidRPr="00B77B54" w:rsidRDefault="001B6272" w:rsidP="00873565">
            <w:pPr>
              <w:rPr>
                <w:rFonts w:asciiTheme="majorHAnsi" w:hAnsiTheme="majorHAnsi"/>
                <w:sz w:val="16"/>
                <w:szCs w:val="16"/>
              </w:rPr>
            </w:pPr>
            <w:r w:rsidRPr="00B77B54">
              <w:rPr>
                <w:rFonts w:asciiTheme="majorHAnsi" w:hAnsiTheme="majorHAnsi"/>
                <w:sz w:val="16"/>
                <w:szCs w:val="16"/>
              </w:rPr>
              <w:t>Međunarodna organizacija rada/ MONSTAT</w:t>
            </w:r>
          </w:p>
        </w:tc>
        <w:tc>
          <w:tcPr>
            <w:tcW w:w="2785" w:type="dxa"/>
          </w:tcPr>
          <w:p w14:paraId="2D4CACB3" w14:textId="77777777" w:rsidR="00873565" w:rsidRPr="00B77B54" w:rsidRDefault="00873565" w:rsidP="00F002AB">
            <w:pPr>
              <w:rPr>
                <w:rFonts w:asciiTheme="majorHAnsi" w:hAnsiTheme="majorHAnsi"/>
                <w:i/>
                <w:sz w:val="16"/>
                <w:szCs w:val="16"/>
              </w:rPr>
            </w:pPr>
          </w:p>
        </w:tc>
      </w:tr>
      <w:tr w:rsidR="00A3189A" w:rsidRPr="00B77B54" w14:paraId="588F54B6" w14:textId="77777777" w:rsidTr="00444319">
        <w:tc>
          <w:tcPr>
            <w:tcW w:w="464" w:type="dxa"/>
            <w:vMerge/>
          </w:tcPr>
          <w:p w14:paraId="5C03E1AE" w14:textId="77777777" w:rsidR="00A3189A" w:rsidRPr="00B77B54" w:rsidRDefault="00A3189A" w:rsidP="00BC72C2">
            <w:pPr>
              <w:rPr>
                <w:rFonts w:asciiTheme="majorHAnsi" w:hAnsiTheme="majorHAnsi"/>
              </w:rPr>
            </w:pPr>
          </w:p>
        </w:tc>
        <w:tc>
          <w:tcPr>
            <w:tcW w:w="1752" w:type="dxa"/>
            <w:vMerge/>
          </w:tcPr>
          <w:p w14:paraId="1BF5C806" w14:textId="77777777" w:rsidR="00A3189A" w:rsidRPr="00B77B54" w:rsidRDefault="00A3189A" w:rsidP="00BC72C2">
            <w:pPr>
              <w:tabs>
                <w:tab w:val="left" w:pos="4253"/>
              </w:tabs>
              <w:rPr>
                <w:rFonts w:asciiTheme="majorHAnsi" w:hAnsiTheme="majorHAnsi"/>
              </w:rPr>
            </w:pPr>
          </w:p>
        </w:tc>
        <w:tc>
          <w:tcPr>
            <w:tcW w:w="2279" w:type="dxa"/>
          </w:tcPr>
          <w:p w14:paraId="3F0752AA" w14:textId="77777777" w:rsidR="00A3189A" w:rsidRPr="00B77B54" w:rsidRDefault="00A3189A" w:rsidP="00F002AB">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Stopa lica u riziku od siromaštva ili socijalne isključenosti među mladima</w:t>
            </w:r>
          </w:p>
          <w:p w14:paraId="16FB1E59" w14:textId="77777777" w:rsidR="00A3189A" w:rsidRPr="00B77B54" w:rsidRDefault="00A3189A" w:rsidP="00F002AB">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 (18-24) </w:t>
            </w:r>
          </w:p>
          <w:p w14:paraId="3AC806F6" w14:textId="77777777" w:rsidR="00A3189A" w:rsidRPr="00B77B54" w:rsidRDefault="00A3189A" w:rsidP="00F002AB">
            <w:pPr>
              <w:autoSpaceDE w:val="0"/>
              <w:autoSpaceDN w:val="0"/>
              <w:adjustRightInd w:val="0"/>
              <w:rPr>
                <w:rFonts w:asciiTheme="majorHAnsi" w:hAnsiTheme="majorHAnsi" w:cs="Times New Roman"/>
                <w:sz w:val="16"/>
                <w:szCs w:val="16"/>
              </w:rPr>
            </w:pPr>
          </w:p>
          <w:p w14:paraId="26BFE1E9" w14:textId="77777777" w:rsidR="00A3189A" w:rsidRPr="00B77B54" w:rsidRDefault="00A3189A" w:rsidP="00F002AB">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Udio mladih koji su u riziku od siromaštva i/ili ozbiljno materijaln uskraćeni i/ili</w:t>
            </w:r>
            <w:r w:rsidR="00C94ECE" w:rsidRPr="00B77B54">
              <w:rPr>
                <w:rFonts w:asciiTheme="majorHAnsi" w:hAnsiTheme="majorHAnsi" w:cs="Times New Roman"/>
                <w:sz w:val="16"/>
                <w:szCs w:val="16"/>
              </w:rPr>
              <w:t xml:space="preserve"> ž</w:t>
            </w:r>
            <w:r w:rsidRPr="00B77B54">
              <w:rPr>
                <w:rFonts w:asciiTheme="majorHAnsi" w:hAnsiTheme="majorHAnsi" w:cs="Times New Roman"/>
                <w:sz w:val="16"/>
                <w:szCs w:val="16"/>
              </w:rPr>
              <w:t>ive u domaćinstvu veoma niskog radnog intenziteta</w:t>
            </w:r>
          </w:p>
        </w:tc>
        <w:tc>
          <w:tcPr>
            <w:tcW w:w="2070" w:type="dxa"/>
          </w:tcPr>
          <w:p w14:paraId="2A4A799E" w14:textId="77777777" w:rsidR="00A3189A" w:rsidRPr="00B77B54" w:rsidRDefault="00A3189A" w:rsidP="00F002AB">
            <w:pPr>
              <w:rPr>
                <w:rFonts w:asciiTheme="majorHAnsi" w:hAnsiTheme="majorHAnsi"/>
                <w:sz w:val="16"/>
                <w:szCs w:val="16"/>
              </w:rPr>
            </w:pPr>
            <w:r w:rsidRPr="00B77B54">
              <w:rPr>
                <w:rFonts w:asciiTheme="majorHAnsi" w:hAnsiTheme="majorHAnsi"/>
                <w:sz w:val="16"/>
                <w:szCs w:val="16"/>
              </w:rPr>
              <w:t>EUROSTAT, SILC</w:t>
            </w:r>
          </w:p>
        </w:tc>
        <w:tc>
          <w:tcPr>
            <w:tcW w:w="2785" w:type="dxa"/>
          </w:tcPr>
          <w:p w14:paraId="0628714D" w14:textId="77777777" w:rsidR="00A3189A" w:rsidRPr="00B77B54" w:rsidRDefault="00A3189A" w:rsidP="00F002AB">
            <w:pPr>
              <w:rPr>
                <w:rFonts w:asciiTheme="majorHAnsi" w:hAnsiTheme="majorHAnsi"/>
                <w:sz w:val="16"/>
                <w:szCs w:val="16"/>
              </w:rPr>
            </w:pPr>
            <w:r w:rsidRPr="00B77B54">
              <w:rPr>
                <w:rFonts w:asciiTheme="majorHAnsi" w:hAnsiTheme="majorHAnsi"/>
                <w:i/>
                <w:sz w:val="16"/>
                <w:szCs w:val="16"/>
              </w:rPr>
              <w:t>Eurostat propisuje disagregaciju u odnosu na pol i godine. Dodati nacionalnu disagregaciju po regionu i pripadnost drugim ranjivim kategorijama</w:t>
            </w:r>
          </w:p>
        </w:tc>
      </w:tr>
      <w:tr w:rsidR="00A3189A" w:rsidRPr="00B77B54" w14:paraId="11EB5F01" w14:textId="77777777" w:rsidTr="00444319">
        <w:tc>
          <w:tcPr>
            <w:tcW w:w="464" w:type="dxa"/>
            <w:vMerge/>
          </w:tcPr>
          <w:p w14:paraId="0DB1BDBC" w14:textId="77777777" w:rsidR="00A3189A" w:rsidRPr="00B77B54" w:rsidRDefault="00A3189A" w:rsidP="00BC72C2">
            <w:pPr>
              <w:rPr>
                <w:rFonts w:asciiTheme="majorHAnsi" w:hAnsiTheme="majorHAnsi"/>
              </w:rPr>
            </w:pPr>
          </w:p>
        </w:tc>
        <w:tc>
          <w:tcPr>
            <w:tcW w:w="1752" w:type="dxa"/>
            <w:vMerge/>
          </w:tcPr>
          <w:p w14:paraId="76C8932F" w14:textId="77777777" w:rsidR="00A3189A" w:rsidRPr="00B77B54" w:rsidRDefault="00A3189A" w:rsidP="00BC72C2">
            <w:pPr>
              <w:tabs>
                <w:tab w:val="left" w:pos="4253"/>
              </w:tabs>
              <w:rPr>
                <w:rFonts w:asciiTheme="majorHAnsi" w:hAnsiTheme="majorHAnsi"/>
              </w:rPr>
            </w:pPr>
          </w:p>
        </w:tc>
        <w:tc>
          <w:tcPr>
            <w:tcW w:w="2279" w:type="dxa"/>
          </w:tcPr>
          <w:p w14:paraId="07C373A1" w14:textId="77777777" w:rsidR="00A3189A" w:rsidRPr="00B77B54" w:rsidRDefault="00A3189A" w:rsidP="00F002AB">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Stopa lica u riziku od siromaštva ili socijalne isključenosti među mladima</w:t>
            </w:r>
          </w:p>
          <w:p w14:paraId="70379D36" w14:textId="77777777" w:rsidR="00A3189A" w:rsidRPr="00B77B54" w:rsidRDefault="00A3189A" w:rsidP="00F002AB">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Jaz između mladih </w:t>
            </w:r>
          </w:p>
          <w:p w14:paraId="20970386" w14:textId="77777777" w:rsidR="00A3189A" w:rsidRPr="00B77B54" w:rsidRDefault="00A3189A" w:rsidP="00F002AB">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(18-24) i cjelokupne populacije</w:t>
            </w:r>
          </w:p>
          <w:p w14:paraId="5C6EFC87" w14:textId="77777777" w:rsidR="00A3189A" w:rsidRPr="00B77B54" w:rsidRDefault="00A3189A" w:rsidP="00F002AB">
            <w:pPr>
              <w:autoSpaceDE w:val="0"/>
              <w:autoSpaceDN w:val="0"/>
              <w:adjustRightInd w:val="0"/>
              <w:rPr>
                <w:rFonts w:asciiTheme="majorHAnsi" w:hAnsiTheme="majorHAnsi" w:cs="Times New Roman"/>
                <w:sz w:val="16"/>
                <w:szCs w:val="16"/>
              </w:rPr>
            </w:pPr>
          </w:p>
          <w:p w14:paraId="28DAA082" w14:textId="77777777" w:rsidR="00A3189A" w:rsidRPr="00B77B54" w:rsidRDefault="00A3189A" w:rsidP="00873565">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Jaz između mladih i cjelokupne populacije (u procentim poenima) koji su u riziku od siromaštva i/ili ozbiljno materijaln</w:t>
            </w:r>
            <w:r w:rsidR="00C94ECE" w:rsidRPr="00B77B54">
              <w:rPr>
                <w:rFonts w:asciiTheme="majorHAnsi" w:hAnsiTheme="majorHAnsi" w:cs="Times New Roman"/>
                <w:sz w:val="16"/>
                <w:szCs w:val="16"/>
              </w:rPr>
              <w:t>o</w:t>
            </w:r>
            <w:r w:rsidRPr="00B77B54">
              <w:rPr>
                <w:rFonts w:asciiTheme="majorHAnsi" w:hAnsiTheme="majorHAnsi" w:cs="Times New Roman"/>
                <w:sz w:val="16"/>
                <w:szCs w:val="16"/>
              </w:rPr>
              <w:t xml:space="preserve"> uskraćeni i/ili</w:t>
            </w:r>
            <w:r w:rsidR="00C94ECE" w:rsidRPr="00B77B54">
              <w:rPr>
                <w:rFonts w:asciiTheme="majorHAnsi" w:hAnsiTheme="majorHAnsi" w:cs="Times New Roman"/>
                <w:sz w:val="16"/>
                <w:szCs w:val="16"/>
              </w:rPr>
              <w:t xml:space="preserve"> ž</w:t>
            </w:r>
            <w:r w:rsidRPr="00B77B54">
              <w:rPr>
                <w:rFonts w:asciiTheme="majorHAnsi" w:hAnsiTheme="majorHAnsi" w:cs="Times New Roman"/>
                <w:sz w:val="16"/>
                <w:szCs w:val="16"/>
              </w:rPr>
              <w:t>ive u domaćinstvu veoma niskog radnog intenziteta</w:t>
            </w:r>
          </w:p>
        </w:tc>
        <w:tc>
          <w:tcPr>
            <w:tcW w:w="2070" w:type="dxa"/>
          </w:tcPr>
          <w:p w14:paraId="664C706B" w14:textId="77777777" w:rsidR="00A3189A" w:rsidRPr="00B77B54" w:rsidRDefault="00A3189A" w:rsidP="00F002AB">
            <w:pPr>
              <w:rPr>
                <w:rFonts w:asciiTheme="majorHAnsi" w:hAnsiTheme="majorHAnsi"/>
                <w:sz w:val="16"/>
                <w:szCs w:val="16"/>
              </w:rPr>
            </w:pPr>
            <w:r w:rsidRPr="00B77B54">
              <w:rPr>
                <w:rFonts w:asciiTheme="majorHAnsi" w:hAnsiTheme="majorHAnsi"/>
                <w:sz w:val="16"/>
                <w:szCs w:val="16"/>
              </w:rPr>
              <w:t>EUROSTAT, SILC</w:t>
            </w:r>
          </w:p>
        </w:tc>
        <w:tc>
          <w:tcPr>
            <w:tcW w:w="2785" w:type="dxa"/>
          </w:tcPr>
          <w:p w14:paraId="1D81A6DE" w14:textId="77777777" w:rsidR="00A3189A" w:rsidRPr="00B77B54" w:rsidRDefault="00A3189A" w:rsidP="00F002AB">
            <w:pPr>
              <w:rPr>
                <w:rFonts w:asciiTheme="majorHAnsi" w:hAnsiTheme="majorHAnsi"/>
                <w:sz w:val="16"/>
                <w:szCs w:val="16"/>
              </w:rPr>
            </w:pPr>
            <w:r w:rsidRPr="00B77B54">
              <w:rPr>
                <w:rFonts w:asciiTheme="majorHAnsi" w:hAnsiTheme="majorHAnsi"/>
                <w:i/>
                <w:sz w:val="16"/>
                <w:szCs w:val="16"/>
              </w:rPr>
              <w:t>Eurostat propisuje disagregaciju u odnosu na pol i godine. Dodati nacionalnu disagregaciju po regionu i pripadnosti ranjivim kategorijama</w:t>
            </w:r>
          </w:p>
        </w:tc>
      </w:tr>
      <w:tr w:rsidR="00B51ACF" w:rsidRPr="00B77B54" w14:paraId="382D3533" w14:textId="77777777" w:rsidTr="00444319">
        <w:trPr>
          <w:trHeight w:val="1817"/>
        </w:trPr>
        <w:tc>
          <w:tcPr>
            <w:tcW w:w="464" w:type="dxa"/>
            <w:vMerge w:val="restart"/>
          </w:tcPr>
          <w:p w14:paraId="0DA8605D" w14:textId="77777777" w:rsidR="00B51ACF" w:rsidRPr="00B77B54" w:rsidRDefault="00B51ACF" w:rsidP="00BC72C2">
            <w:pPr>
              <w:rPr>
                <w:rFonts w:asciiTheme="majorHAnsi" w:hAnsiTheme="majorHAnsi"/>
              </w:rPr>
            </w:pPr>
            <w:r w:rsidRPr="00B77B54">
              <w:rPr>
                <w:rFonts w:asciiTheme="majorHAnsi" w:hAnsiTheme="majorHAnsi"/>
              </w:rPr>
              <w:t>2</w:t>
            </w:r>
          </w:p>
        </w:tc>
        <w:tc>
          <w:tcPr>
            <w:tcW w:w="1752" w:type="dxa"/>
            <w:vMerge w:val="restart"/>
          </w:tcPr>
          <w:p w14:paraId="0F858FB4" w14:textId="77777777" w:rsidR="00B51ACF" w:rsidRPr="00B77B54" w:rsidRDefault="00B51ACF" w:rsidP="00BC72C2">
            <w:pPr>
              <w:rPr>
                <w:rFonts w:asciiTheme="majorHAnsi" w:hAnsiTheme="majorHAnsi"/>
              </w:rPr>
            </w:pPr>
            <w:r w:rsidRPr="00B77B54">
              <w:rPr>
                <w:rFonts w:asciiTheme="majorHAnsi" w:hAnsiTheme="majorHAnsi"/>
              </w:rPr>
              <w:t>Podrška razvoju preduzetništva mladih</w:t>
            </w:r>
          </w:p>
        </w:tc>
        <w:tc>
          <w:tcPr>
            <w:tcW w:w="2279" w:type="dxa"/>
          </w:tcPr>
          <w:p w14:paraId="11E69D8C" w14:textId="77777777" w:rsidR="00B51ACF" w:rsidRPr="00B77B54" w:rsidRDefault="00B51ACF" w:rsidP="00F002AB">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Mladi ljudi koji bi htjeli da započnu sopstveni biznis</w:t>
            </w:r>
          </w:p>
          <w:p w14:paraId="5736BD54" w14:textId="77777777" w:rsidR="00B51ACF" w:rsidRPr="00B77B54" w:rsidRDefault="00B51ACF" w:rsidP="00BC72C2">
            <w:pPr>
              <w:rPr>
                <w:rFonts w:asciiTheme="majorHAnsi" w:hAnsiTheme="majorHAnsi" w:cs="Times New Roman"/>
                <w:sz w:val="16"/>
                <w:szCs w:val="16"/>
              </w:rPr>
            </w:pPr>
          </w:p>
          <w:p w14:paraId="6A0A2591" w14:textId="77777777" w:rsidR="00B51ACF" w:rsidRPr="00B77B54" w:rsidRDefault="00B51ACF" w:rsidP="009A30CA">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Udio mladih ljudi godina 15-30 koji su dali odgovor „DA“ na pitanje „Da li biste željeli da započnete sopstveni biznis u budućnosti?“ </w:t>
            </w:r>
          </w:p>
        </w:tc>
        <w:tc>
          <w:tcPr>
            <w:tcW w:w="2070" w:type="dxa"/>
          </w:tcPr>
          <w:p w14:paraId="225014A7" w14:textId="77777777" w:rsidR="00B51ACF" w:rsidRPr="00B77B54" w:rsidRDefault="00B51ACF" w:rsidP="00BC72C2">
            <w:pPr>
              <w:rPr>
                <w:rFonts w:asciiTheme="majorHAnsi" w:hAnsiTheme="majorHAnsi"/>
                <w:sz w:val="16"/>
                <w:szCs w:val="16"/>
              </w:rPr>
            </w:pPr>
            <w:r w:rsidRPr="00B77B54">
              <w:rPr>
                <w:rFonts w:asciiTheme="majorHAnsi" w:hAnsiTheme="majorHAnsi" w:cs="Times New Roman"/>
                <w:sz w:val="16"/>
                <w:szCs w:val="16"/>
              </w:rPr>
              <w:t>Kratki eurobarometar o mladima</w:t>
            </w:r>
          </w:p>
          <w:p w14:paraId="75351080" w14:textId="77777777" w:rsidR="00B51ACF" w:rsidRPr="00B77B54" w:rsidRDefault="00B51ACF" w:rsidP="00BC72C2">
            <w:pPr>
              <w:rPr>
                <w:rFonts w:asciiTheme="majorHAnsi" w:hAnsiTheme="majorHAnsi"/>
                <w:sz w:val="16"/>
                <w:szCs w:val="16"/>
              </w:rPr>
            </w:pPr>
          </w:p>
          <w:p w14:paraId="0FC6E36F" w14:textId="77777777" w:rsidR="00B51ACF" w:rsidRPr="00B77B54" w:rsidRDefault="00B51ACF" w:rsidP="00227F94">
            <w:pPr>
              <w:autoSpaceDE w:val="0"/>
              <w:autoSpaceDN w:val="0"/>
              <w:adjustRightInd w:val="0"/>
              <w:rPr>
                <w:rFonts w:asciiTheme="majorHAnsi" w:hAnsiTheme="majorHAnsi" w:cs="Times New Roman"/>
                <w:sz w:val="16"/>
                <w:szCs w:val="16"/>
              </w:rPr>
            </w:pPr>
          </w:p>
        </w:tc>
        <w:tc>
          <w:tcPr>
            <w:tcW w:w="2785" w:type="dxa"/>
          </w:tcPr>
          <w:p w14:paraId="5C0FC036" w14:textId="77777777" w:rsidR="00B51ACF" w:rsidRPr="00B77B54" w:rsidRDefault="00B51ACF" w:rsidP="00BC72C2">
            <w:pPr>
              <w:rPr>
                <w:rFonts w:asciiTheme="majorHAnsi" w:hAnsiTheme="majorHAnsi"/>
                <w:b/>
                <w:i/>
                <w:sz w:val="16"/>
                <w:szCs w:val="16"/>
              </w:rPr>
            </w:pPr>
            <w:r w:rsidRPr="00B77B54">
              <w:rPr>
                <w:rFonts w:asciiTheme="majorHAnsi" w:hAnsiTheme="majorHAnsi"/>
                <w:b/>
                <w:i/>
                <w:sz w:val="16"/>
                <w:szCs w:val="16"/>
              </w:rPr>
              <w:t xml:space="preserve">Crna Gora nije bila uključena. Sprovesti istraživanje na nacionalnom nivou. </w:t>
            </w:r>
          </w:p>
          <w:p w14:paraId="634DBBDF" w14:textId="77777777" w:rsidR="00B51ACF" w:rsidRPr="00B77B54" w:rsidRDefault="00B51ACF" w:rsidP="00BC72C2">
            <w:pPr>
              <w:rPr>
                <w:rFonts w:asciiTheme="majorHAnsi" w:hAnsiTheme="majorHAnsi"/>
                <w:sz w:val="16"/>
                <w:szCs w:val="16"/>
              </w:rPr>
            </w:pPr>
            <w:r w:rsidRPr="00B77B54">
              <w:rPr>
                <w:rFonts w:asciiTheme="majorHAnsi" w:hAnsiTheme="majorHAnsi"/>
                <w:i/>
                <w:sz w:val="16"/>
                <w:szCs w:val="16"/>
              </w:rPr>
              <w:t>Dodati nacionalnu disagregaciju po regionu, rodu, u odnosu na invaliditet i pripadnost drugim ranjivim kategorijama</w:t>
            </w:r>
          </w:p>
        </w:tc>
      </w:tr>
      <w:tr w:rsidR="00B51ACF" w:rsidRPr="00B77B54" w14:paraId="698FF57A" w14:textId="77777777" w:rsidTr="00444319">
        <w:trPr>
          <w:trHeight w:val="1817"/>
        </w:trPr>
        <w:tc>
          <w:tcPr>
            <w:tcW w:w="464" w:type="dxa"/>
            <w:vMerge/>
          </w:tcPr>
          <w:p w14:paraId="2D557519" w14:textId="77777777" w:rsidR="00B51ACF" w:rsidRPr="00B77B54" w:rsidRDefault="00B51ACF" w:rsidP="00B51ACF">
            <w:pPr>
              <w:rPr>
                <w:rFonts w:asciiTheme="majorHAnsi" w:hAnsiTheme="majorHAnsi"/>
              </w:rPr>
            </w:pPr>
          </w:p>
        </w:tc>
        <w:tc>
          <w:tcPr>
            <w:tcW w:w="1752" w:type="dxa"/>
            <w:vMerge/>
          </w:tcPr>
          <w:p w14:paraId="427A05D7" w14:textId="77777777" w:rsidR="00B51ACF" w:rsidRPr="00B77B54" w:rsidRDefault="00B51ACF" w:rsidP="00B51ACF">
            <w:pPr>
              <w:rPr>
                <w:rFonts w:asciiTheme="majorHAnsi" w:hAnsiTheme="majorHAnsi"/>
              </w:rPr>
            </w:pPr>
          </w:p>
        </w:tc>
        <w:tc>
          <w:tcPr>
            <w:tcW w:w="2279" w:type="dxa"/>
          </w:tcPr>
          <w:p w14:paraId="60F512D2" w14:textId="77777777" w:rsidR="00B51ACF" w:rsidRPr="00B77B54" w:rsidRDefault="00B51ACF" w:rsidP="00B51ACF">
            <w:pPr>
              <w:rPr>
                <w:rFonts w:asciiTheme="majorHAnsi" w:hAnsiTheme="majorHAnsi" w:cs="Times New Roman"/>
                <w:sz w:val="16"/>
                <w:szCs w:val="16"/>
              </w:rPr>
            </w:pPr>
            <w:r w:rsidRPr="00B77B54">
              <w:rPr>
                <w:rFonts w:asciiTheme="majorHAnsi" w:hAnsiTheme="majorHAnsi" w:cs="Times New Roman"/>
                <w:sz w:val="16"/>
                <w:szCs w:val="16"/>
              </w:rPr>
              <w:t>Samozapošljavanje mladih</w:t>
            </w:r>
          </w:p>
          <w:p w14:paraId="34DFF48E" w14:textId="77777777" w:rsidR="00B51ACF" w:rsidRPr="00B77B54" w:rsidRDefault="00B51ACF" w:rsidP="00B51ACF">
            <w:pPr>
              <w:rPr>
                <w:rFonts w:asciiTheme="majorHAnsi" w:hAnsiTheme="majorHAnsi" w:cs="Times New Roman"/>
                <w:sz w:val="16"/>
                <w:szCs w:val="16"/>
              </w:rPr>
            </w:pPr>
          </w:p>
          <w:p w14:paraId="5E3EE710" w14:textId="0EB5C581" w:rsidR="00B51ACF" w:rsidRPr="00B77B54" w:rsidRDefault="00B51ACF" w:rsidP="00B51ACF">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Procenat samozapošljenih u odnosu na sve zapošljene koji imaju između 20-24 i 25-29 godina</w:t>
            </w:r>
          </w:p>
        </w:tc>
        <w:tc>
          <w:tcPr>
            <w:tcW w:w="2070" w:type="dxa"/>
          </w:tcPr>
          <w:p w14:paraId="2E334879" w14:textId="6E669823" w:rsidR="00B51ACF" w:rsidRPr="00B77B54" w:rsidRDefault="00B51ACF" w:rsidP="00B51ACF">
            <w:pPr>
              <w:rPr>
                <w:rFonts w:asciiTheme="majorHAnsi" w:hAnsiTheme="majorHAnsi" w:cs="Times New Roman"/>
                <w:sz w:val="16"/>
                <w:szCs w:val="16"/>
              </w:rPr>
            </w:pPr>
            <w:r w:rsidRPr="00B77B54">
              <w:rPr>
                <w:rFonts w:asciiTheme="majorHAnsi" w:hAnsiTheme="majorHAnsi"/>
                <w:sz w:val="16"/>
                <w:szCs w:val="16"/>
              </w:rPr>
              <w:t>EUROSTAT</w:t>
            </w:r>
          </w:p>
        </w:tc>
        <w:tc>
          <w:tcPr>
            <w:tcW w:w="2785" w:type="dxa"/>
          </w:tcPr>
          <w:p w14:paraId="007026DF" w14:textId="70E77258" w:rsidR="00B51ACF" w:rsidRPr="00B77B54" w:rsidRDefault="00B51ACF" w:rsidP="00B51ACF">
            <w:pPr>
              <w:rPr>
                <w:rFonts w:asciiTheme="majorHAnsi" w:hAnsiTheme="majorHAnsi"/>
                <w:b/>
                <w:i/>
                <w:sz w:val="16"/>
                <w:szCs w:val="16"/>
              </w:rPr>
            </w:pPr>
            <w:r w:rsidRPr="00B77B54">
              <w:rPr>
                <w:rFonts w:asciiTheme="majorHAnsi" w:hAnsiTheme="majorHAnsi"/>
                <w:i/>
                <w:sz w:val="16"/>
                <w:szCs w:val="16"/>
              </w:rPr>
              <w:t>Eurostat propisuje disagregaciju u odnosu na pol, godine i obrazovni nivo. Dodati nacionalnu disagregaciju po regionu i pripadnosti ranjivim kategorijama</w:t>
            </w:r>
          </w:p>
        </w:tc>
      </w:tr>
      <w:tr w:rsidR="00B51ACF" w:rsidRPr="00B77B54" w14:paraId="09B4D303" w14:textId="77777777" w:rsidTr="00444319">
        <w:tc>
          <w:tcPr>
            <w:tcW w:w="464" w:type="dxa"/>
          </w:tcPr>
          <w:p w14:paraId="395EC18A" w14:textId="77777777" w:rsidR="00B51ACF" w:rsidRPr="00B77B54" w:rsidRDefault="00B51ACF" w:rsidP="00B51ACF">
            <w:pPr>
              <w:rPr>
                <w:rFonts w:asciiTheme="majorHAnsi" w:hAnsiTheme="majorHAnsi"/>
              </w:rPr>
            </w:pPr>
            <w:r w:rsidRPr="00B77B54">
              <w:rPr>
                <w:rFonts w:asciiTheme="majorHAnsi" w:hAnsiTheme="majorHAnsi"/>
              </w:rPr>
              <w:t>3</w:t>
            </w:r>
          </w:p>
        </w:tc>
        <w:tc>
          <w:tcPr>
            <w:tcW w:w="1752" w:type="dxa"/>
          </w:tcPr>
          <w:p w14:paraId="0333A713" w14:textId="77777777" w:rsidR="00B51ACF" w:rsidRPr="00B77B54" w:rsidRDefault="00B51ACF" w:rsidP="00B51ACF">
            <w:pPr>
              <w:rPr>
                <w:rFonts w:asciiTheme="majorHAnsi" w:hAnsiTheme="majorHAnsi"/>
                <w:b/>
                <w:i/>
              </w:rPr>
            </w:pPr>
            <w:r w:rsidRPr="00B77B54">
              <w:rPr>
                <w:rFonts w:asciiTheme="majorHAnsi" w:hAnsiTheme="majorHAnsi"/>
              </w:rPr>
              <w:t>Uspostavljen integrisani i holistički sistem podrške mladima za tranziciju ka dostojanstvenom zaposlenju</w:t>
            </w:r>
          </w:p>
        </w:tc>
        <w:tc>
          <w:tcPr>
            <w:tcW w:w="2279" w:type="dxa"/>
          </w:tcPr>
          <w:p w14:paraId="6F9D3281" w14:textId="77777777" w:rsidR="00B51ACF" w:rsidRPr="00B77B54" w:rsidRDefault="00B51ACF" w:rsidP="00B51ACF">
            <w:pPr>
              <w:rPr>
                <w:rFonts w:asciiTheme="majorHAnsi" w:hAnsiTheme="majorHAnsi"/>
                <w:sz w:val="16"/>
                <w:szCs w:val="16"/>
              </w:rPr>
            </w:pPr>
            <w:r w:rsidRPr="00B77B54">
              <w:rPr>
                <w:rFonts w:asciiTheme="majorHAnsi" w:hAnsiTheme="majorHAnsi"/>
                <w:sz w:val="16"/>
                <w:szCs w:val="16"/>
              </w:rPr>
              <w:t>Mladi koji su završili tranziciju po potkategorijama (pol, mjesto prebivališta, finansijsko stanje domaćinstva, nivo završenog obrazovanja)</w:t>
            </w:r>
          </w:p>
          <w:p w14:paraId="7CA77E51" w14:textId="77777777" w:rsidR="00B51ACF" w:rsidRPr="00B77B54" w:rsidRDefault="00B51ACF" w:rsidP="00B51ACF">
            <w:pPr>
              <w:rPr>
                <w:rFonts w:asciiTheme="majorHAnsi" w:hAnsiTheme="majorHAnsi"/>
                <w:sz w:val="16"/>
                <w:szCs w:val="16"/>
              </w:rPr>
            </w:pPr>
          </w:p>
          <w:p w14:paraId="40A5D925" w14:textId="77777777" w:rsidR="00B51ACF" w:rsidRPr="00B77B54" w:rsidRDefault="00B51ACF" w:rsidP="00B51ACF">
            <w:pPr>
              <w:rPr>
                <w:rFonts w:asciiTheme="majorHAnsi" w:hAnsiTheme="majorHAnsi"/>
                <w:sz w:val="16"/>
                <w:szCs w:val="16"/>
              </w:rPr>
            </w:pPr>
            <w:r w:rsidRPr="00B77B54">
              <w:rPr>
                <w:rFonts w:asciiTheme="majorHAnsi" w:hAnsiTheme="majorHAnsi"/>
                <w:sz w:val="16"/>
                <w:szCs w:val="16"/>
              </w:rPr>
              <w:t>Bazna vrijednost: 15.5%</w:t>
            </w:r>
            <w:r w:rsidRPr="00B77B54">
              <w:rPr>
                <w:rStyle w:val="FootnoteReference"/>
                <w:rFonts w:asciiTheme="majorHAnsi" w:hAnsiTheme="majorHAnsi"/>
                <w:sz w:val="16"/>
                <w:szCs w:val="16"/>
              </w:rPr>
              <w:footnoteReference w:id="11"/>
            </w:r>
            <w:r w:rsidRPr="00B77B54">
              <w:rPr>
                <w:rFonts w:asciiTheme="majorHAnsi" w:hAnsiTheme="majorHAnsi"/>
                <w:sz w:val="16"/>
                <w:szCs w:val="16"/>
              </w:rPr>
              <w:t xml:space="preserve"> </w:t>
            </w:r>
          </w:p>
        </w:tc>
        <w:tc>
          <w:tcPr>
            <w:tcW w:w="2070" w:type="dxa"/>
          </w:tcPr>
          <w:p w14:paraId="358833B0" w14:textId="77777777" w:rsidR="00B51ACF" w:rsidRPr="00B77B54" w:rsidRDefault="00B51ACF" w:rsidP="00B51ACF">
            <w:pPr>
              <w:rPr>
                <w:rFonts w:asciiTheme="majorHAnsi" w:hAnsiTheme="majorHAnsi"/>
                <w:sz w:val="16"/>
                <w:szCs w:val="16"/>
              </w:rPr>
            </w:pPr>
            <w:r w:rsidRPr="00B77B54">
              <w:rPr>
                <w:rFonts w:asciiTheme="majorHAnsi" w:hAnsiTheme="majorHAnsi"/>
                <w:sz w:val="16"/>
                <w:szCs w:val="16"/>
              </w:rPr>
              <w:t>Međunarodna organizacija rada/ MONSTAT</w:t>
            </w:r>
          </w:p>
        </w:tc>
        <w:tc>
          <w:tcPr>
            <w:tcW w:w="2785" w:type="dxa"/>
          </w:tcPr>
          <w:p w14:paraId="4533B935" w14:textId="77777777" w:rsidR="00B51ACF" w:rsidRPr="00B77B54" w:rsidRDefault="00B51ACF" w:rsidP="00B51ACF">
            <w:pPr>
              <w:rPr>
                <w:rFonts w:asciiTheme="majorHAnsi" w:hAnsiTheme="majorHAnsi"/>
                <w:b/>
                <w:sz w:val="16"/>
                <w:szCs w:val="16"/>
              </w:rPr>
            </w:pPr>
            <w:r w:rsidRPr="00B77B54">
              <w:rPr>
                <w:rFonts w:asciiTheme="majorHAnsi" w:hAnsiTheme="majorHAnsi"/>
                <w:b/>
                <w:sz w:val="16"/>
                <w:szCs w:val="16"/>
              </w:rPr>
              <w:t>NACIONALNI INDIKATOR</w:t>
            </w:r>
          </w:p>
          <w:p w14:paraId="6C551106" w14:textId="77777777" w:rsidR="00B51ACF" w:rsidRPr="00B77B54" w:rsidRDefault="00B51ACF" w:rsidP="00B51ACF">
            <w:pPr>
              <w:rPr>
                <w:rFonts w:asciiTheme="majorHAnsi" w:hAnsiTheme="majorHAnsi"/>
                <w:b/>
                <w:sz w:val="16"/>
                <w:szCs w:val="16"/>
              </w:rPr>
            </w:pPr>
          </w:p>
          <w:p w14:paraId="167B0D2A" w14:textId="77777777" w:rsidR="00B51ACF" w:rsidRPr="00B77B54" w:rsidRDefault="00B51ACF" w:rsidP="00B51ACF">
            <w:pPr>
              <w:rPr>
                <w:rFonts w:asciiTheme="majorHAnsi" w:hAnsiTheme="majorHAnsi"/>
                <w:sz w:val="16"/>
                <w:szCs w:val="16"/>
              </w:rPr>
            </w:pPr>
            <w:r w:rsidRPr="00B77B54">
              <w:rPr>
                <w:rFonts w:asciiTheme="majorHAnsi" w:hAnsiTheme="majorHAnsi"/>
                <w:sz w:val="16"/>
                <w:szCs w:val="16"/>
              </w:rPr>
              <w:t>Istraživanje nije u redovnom programu zvanične statistike pa ga treba uvesti</w:t>
            </w:r>
          </w:p>
        </w:tc>
      </w:tr>
      <w:tr w:rsidR="00B51ACF" w:rsidRPr="00B77B54" w14:paraId="7C237F12" w14:textId="77777777" w:rsidTr="00444319">
        <w:tc>
          <w:tcPr>
            <w:tcW w:w="464" w:type="dxa"/>
            <w:shd w:val="clear" w:color="auto" w:fill="auto"/>
          </w:tcPr>
          <w:p w14:paraId="790FC9E4" w14:textId="77777777" w:rsidR="00B51ACF" w:rsidRPr="00B77B54" w:rsidRDefault="00B51ACF" w:rsidP="00B51ACF">
            <w:pPr>
              <w:rPr>
                <w:rFonts w:asciiTheme="majorHAnsi" w:hAnsiTheme="majorHAnsi"/>
              </w:rPr>
            </w:pPr>
            <w:r w:rsidRPr="00B77B54">
              <w:rPr>
                <w:rFonts w:asciiTheme="majorHAnsi" w:hAnsiTheme="majorHAnsi"/>
              </w:rPr>
              <w:t>4</w:t>
            </w:r>
          </w:p>
        </w:tc>
        <w:tc>
          <w:tcPr>
            <w:tcW w:w="1752" w:type="dxa"/>
            <w:shd w:val="clear" w:color="auto" w:fill="auto"/>
          </w:tcPr>
          <w:p w14:paraId="6DC12BAF" w14:textId="77777777" w:rsidR="00B51ACF" w:rsidRPr="00B77B54" w:rsidRDefault="00B51ACF" w:rsidP="00B51ACF">
            <w:pPr>
              <w:rPr>
                <w:rFonts w:asciiTheme="majorHAnsi" w:hAnsiTheme="majorHAnsi"/>
              </w:rPr>
            </w:pPr>
            <w:r w:rsidRPr="00B77B54">
              <w:rPr>
                <w:rFonts w:asciiTheme="majorHAnsi" w:hAnsiTheme="majorHAnsi"/>
              </w:rPr>
              <w:t>Smanjenje neaktivnosti mladih</w:t>
            </w:r>
          </w:p>
        </w:tc>
        <w:tc>
          <w:tcPr>
            <w:tcW w:w="2279" w:type="dxa"/>
            <w:shd w:val="clear" w:color="auto" w:fill="auto"/>
          </w:tcPr>
          <w:p w14:paraId="26B5BC28" w14:textId="77777777" w:rsidR="00B51ACF" w:rsidRPr="00B77B54" w:rsidRDefault="00B51ACF" w:rsidP="00B51ACF">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Mladi ljudi (godišta 15-24 i 15-29) koji nisu zapošljeni, u sistemu obrazovanja ili obuke</w:t>
            </w:r>
          </w:p>
          <w:p w14:paraId="25000D72" w14:textId="77777777" w:rsidR="00B51ACF" w:rsidRPr="00B77B54" w:rsidRDefault="00B51ACF" w:rsidP="00B51ACF">
            <w:pPr>
              <w:autoSpaceDE w:val="0"/>
              <w:autoSpaceDN w:val="0"/>
              <w:adjustRightInd w:val="0"/>
              <w:rPr>
                <w:rFonts w:asciiTheme="majorHAnsi" w:hAnsiTheme="majorHAnsi" w:cs="Times New Roman"/>
                <w:sz w:val="16"/>
                <w:szCs w:val="16"/>
              </w:rPr>
            </w:pPr>
          </w:p>
          <w:p w14:paraId="0E1089C3" w14:textId="77777777" w:rsidR="00B51ACF" w:rsidRPr="00B77B54" w:rsidRDefault="00B51ACF" w:rsidP="00B51ACF">
            <w:pPr>
              <w:autoSpaceDE w:val="0"/>
              <w:autoSpaceDN w:val="0"/>
              <w:adjustRightInd w:val="0"/>
              <w:rPr>
                <w:rFonts w:asciiTheme="majorHAnsi" w:hAnsiTheme="majorHAnsi"/>
                <w:sz w:val="16"/>
                <w:szCs w:val="16"/>
              </w:rPr>
            </w:pPr>
            <w:r w:rsidRPr="00B77B54">
              <w:rPr>
                <w:rFonts w:asciiTheme="majorHAnsi" w:hAnsiTheme="majorHAnsi" w:cs="Times New Roman"/>
                <w:sz w:val="16"/>
                <w:szCs w:val="16"/>
              </w:rPr>
              <w:t>Bazna vrijednost: 28%</w:t>
            </w:r>
          </w:p>
        </w:tc>
        <w:tc>
          <w:tcPr>
            <w:tcW w:w="2070" w:type="dxa"/>
            <w:shd w:val="clear" w:color="auto" w:fill="auto"/>
          </w:tcPr>
          <w:p w14:paraId="2B81ABEC" w14:textId="77777777" w:rsidR="00B51ACF" w:rsidRPr="00B77B54" w:rsidRDefault="00B51ACF" w:rsidP="00B51ACF">
            <w:pPr>
              <w:rPr>
                <w:rFonts w:asciiTheme="majorHAnsi" w:hAnsiTheme="majorHAnsi"/>
                <w:sz w:val="16"/>
                <w:szCs w:val="16"/>
              </w:rPr>
            </w:pPr>
            <w:r w:rsidRPr="00B77B54">
              <w:rPr>
                <w:rFonts w:asciiTheme="majorHAnsi" w:hAnsiTheme="majorHAnsi"/>
                <w:sz w:val="16"/>
                <w:szCs w:val="16"/>
              </w:rPr>
              <w:t>EUROSTAT</w:t>
            </w:r>
          </w:p>
          <w:p w14:paraId="28AD4B69" w14:textId="77777777" w:rsidR="00B51ACF" w:rsidRPr="00B77B54" w:rsidRDefault="00B51ACF" w:rsidP="00B51ACF">
            <w:pPr>
              <w:rPr>
                <w:rFonts w:asciiTheme="majorHAnsi" w:hAnsiTheme="majorHAnsi"/>
                <w:sz w:val="16"/>
                <w:szCs w:val="16"/>
              </w:rPr>
            </w:pPr>
            <w:r w:rsidRPr="00B77B54">
              <w:rPr>
                <w:rFonts w:asciiTheme="majorHAnsi" w:hAnsiTheme="majorHAnsi"/>
                <w:sz w:val="16"/>
                <w:szCs w:val="16"/>
              </w:rPr>
              <w:t>Monstat/ILO</w:t>
            </w:r>
          </w:p>
          <w:p w14:paraId="06896B96" w14:textId="07999C47" w:rsidR="00B51ACF" w:rsidRPr="00B77B54" w:rsidRDefault="00B51ACF" w:rsidP="00B51ACF">
            <w:pPr>
              <w:rPr>
                <w:rFonts w:asciiTheme="majorHAnsi" w:hAnsiTheme="majorHAnsi"/>
                <w:sz w:val="16"/>
                <w:szCs w:val="16"/>
              </w:rPr>
            </w:pPr>
          </w:p>
        </w:tc>
        <w:tc>
          <w:tcPr>
            <w:tcW w:w="2785" w:type="dxa"/>
            <w:shd w:val="clear" w:color="auto" w:fill="auto"/>
          </w:tcPr>
          <w:p w14:paraId="60F11642" w14:textId="77777777" w:rsidR="00B51ACF" w:rsidRPr="00B77B54" w:rsidRDefault="00B51ACF" w:rsidP="00B51ACF">
            <w:pPr>
              <w:rPr>
                <w:rFonts w:asciiTheme="majorHAnsi" w:hAnsiTheme="majorHAnsi"/>
                <w:sz w:val="16"/>
                <w:szCs w:val="16"/>
              </w:rPr>
            </w:pPr>
            <w:r w:rsidRPr="00B77B54">
              <w:rPr>
                <w:rFonts w:asciiTheme="majorHAnsi" w:hAnsiTheme="majorHAnsi"/>
                <w:sz w:val="16"/>
                <w:szCs w:val="16"/>
              </w:rPr>
              <w:t>Istovremeno SDG</w:t>
            </w:r>
          </w:p>
          <w:p w14:paraId="1BEFC7BB" w14:textId="77777777" w:rsidR="00B51ACF" w:rsidRPr="00B77B54" w:rsidRDefault="00B51ACF" w:rsidP="00B51ACF">
            <w:pPr>
              <w:pStyle w:val="Default"/>
              <w:rPr>
                <w:rFonts w:asciiTheme="majorHAnsi" w:hAnsiTheme="majorHAnsi"/>
                <w:sz w:val="16"/>
                <w:szCs w:val="16"/>
              </w:rPr>
            </w:pPr>
            <w:r w:rsidRPr="00B77B54">
              <w:rPr>
                <w:rFonts w:asciiTheme="majorHAnsi" w:hAnsiTheme="majorHAnsi"/>
                <w:sz w:val="16"/>
                <w:szCs w:val="16"/>
              </w:rPr>
              <w:t>8.6: Do 2020, značajno smanjiti procenat populacije koja nije zapošljena, u sistemu obrazovanja ili obuke</w:t>
            </w:r>
          </w:p>
          <w:p w14:paraId="58CE1E09" w14:textId="77777777" w:rsidR="00B51ACF" w:rsidRPr="00B77B54" w:rsidRDefault="00B51ACF" w:rsidP="00B51ACF">
            <w:pPr>
              <w:pStyle w:val="Default"/>
              <w:rPr>
                <w:rFonts w:asciiTheme="majorHAnsi" w:hAnsiTheme="majorHAnsi"/>
                <w:sz w:val="16"/>
                <w:szCs w:val="16"/>
              </w:rPr>
            </w:pPr>
          </w:p>
          <w:p w14:paraId="76631595" w14:textId="77777777" w:rsidR="00B51ACF" w:rsidRPr="00B77B54" w:rsidRDefault="00B51ACF" w:rsidP="00B51ACF">
            <w:pPr>
              <w:pStyle w:val="Default"/>
              <w:rPr>
                <w:rFonts w:asciiTheme="majorHAnsi" w:hAnsiTheme="majorHAnsi"/>
                <w:i/>
                <w:sz w:val="16"/>
                <w:szCs w:val="16"/>
              </w:rPr>
            </w:pPr>
            <w:r w:rsidRPr="00B77B54">
              <w:rPr>
                <w:rFonts w:asciiTheme="majorHAnsi" w:hAnsiTheme="majorHAnsi"/>
                <w:i/>
                <w:sz w:val="16"/>
                <w:szCs w:val="16"/>
              </w:rPr>
              <w:t xml:space="preserve">Eurostat propisuje disagregaciju u odnosu na pol, godine i radni status. </w:t>
            </w:r>
          </w:p>
          <w:p w14:paraId="523FFEEC" w14:textId="77777777" w:rsidR="00B51ACF" w:rsidRPr="00B77B54" w:rsidRDefault="00B51ACF" w:rsidP="00B51ACF">
            <w:pPr>
              <w:rPr>
                <w:rFonts w:asciiTheme="majorHAnsi" w:hAnsiTheme="majorHAnsi"/>
                <w:sz w:val="16"/>
                <w:szCs w:val="16"/>
              </w:rPr>
            </w:pPr>
            <w:r w:rsidRPr="00B77B54">
              <w:rPr>
                <w:rFonts w:asciiTheme="majorHAnsi" w:hAnsiTheme="majorHAnsi"/>
                <w:i/>
                <w:sz w:val="16"/>
                <w:szCs w:val="16"/>
              </w:rPr>
              <w:t>Dodati nacionalnu disagregaciju po regionu i pripadnosti ranjivim kategorijama</w:t>
            </w:r>
            <w:r w:rsidRPr="00B77B54">
              <w:rPr>
                <w:rFonts w:asciiTheme="majorHAnsi" w:hAnsiTheme="majorHAnsi"/>
                <w:sz w:val="16"/>
                <w:szCs w:val="16"/>
              </w:rPr>
              <w:t xml:space="preserve"> </w:t>
            </w:r>
          </w:p>
        </w:tc>
      </w:tr>
    </w:tbl>
    <w:p w14:paraId="78CEBF7C" w14:textId="77777777" w:rsidR="00F218A8" w:rsidRPr="00B77B54" w:rsidRDefault="00F218A8"/>
    <w:p w14:paraId="2E94F242" w14:textId="77777777" w:rsidR="0074603B" w:rsidRPr="00B77B54" w:rsidRDefault="0074603B" w:rsidP="00487714">
      <w:pPr>
        <w:pStyle w:val="Heading2"/>
      </w:pPr>
      <w:r w:rsidRPr="00B77B54">
        <w:t>B Mladi imaju pristup kvalitetnom obrazovanju</w:t>
      </w:r>
    </w:p>
    <w:tbl>
      <w:tblPr>
        <w:tblStyle w:val="TableGrid"/>
        <w:tblW w:w="0" w:type="auto"/>
        <w:tblLook w:val="04A0" w:firstRow="1" w:lastRow="0" w:firstColumn="1" w:lastColumn="0" w:noHBand="0" w:noVBand="1"/>
      </w:tblPr>
      <w:tblGrid>
        <w:gridCol w:w="464"/>
        <w:gridCol w:w="1752"/>
        <w:gridCol w:w="2287"/>
        <w:gridCol w:w="2126"/>
        <w:gridCol w:w="2721"/>
      </w:tblGrid>
      <w:tr w:rsidR="0074603B" w:rsidRPr="00B77B54" w14:paraId="30DDBDA2" w14:textId="77777777" w:rsidTr="00925F61">
        <w:tc>
          <w:tcPr>
            <w:tcW w:w="464" w:type="dxa"/>
            <w:shd w:val="clear" w:color="auto" w:fill="92D050"/>
          </w:tcPr>
          <w:p w14:paraId="231E8B58" w14:textId="77777777" w:rsidR="0074603B" w:rsidRPr="00B77B54" w:rsidRDefault="0074603B" w:rsidP="00BC72C2">
            <w:pPr>
              <w:rPr>
                <w:rFonts w:asciiTheme="majorHAnsi" w:hAnsiTheme="majorHAnsi"/>
                <w:b/>
                <w:color w:val="FFFFFF" w:themeColor="background1"/>
              </w:rPr>
            </w:pPr>
            <w:r w:rsidRPr="00B77B54">
              <w:rPr>
                <w:rFonts w:asciiTheme="majorHAnsi" w:hAnsiTheme="majorHAnsi"/>
                <w:b/>
                <w:color w:val="FFFFFF" w:themeColor="background1"/>
              </w:rPr>
              <w:t>B</w:t>
            </w:r>
          </w:p>
        </w:tc>
        <w:tc>
          <w:tcPr>
            <w:tcW w:w="8886" w:type="dxa"/>
            <w:gridSpan w:val="4"/>
            <w:shd w:val="clear" w:color="auto" w:fill="92D050"/>
          </w:tcPr>
          <w:p w14:paraId="65D47FBD" w14:textId="77777777" w:rsidR="0074603B" w:rsidRPr="00B77B54" w:rsidRDefault="0074603B" w:rsidP="00BC72C2">
            <w:pPr>
              <w:rPr>
                <w:rFonts w:asciiTheme="majorHAnsi" w:hAnsiTheme="majorHAnsi"/>
                <w:b/>
                <w:color w:val="FFFFFF" w:themeColor="background1"/>
              </w:rPr>
            </w:pPr>
            <w:r w:rsidRPr="00B77B54">
              <w:rPr>
                <w:rFonts w:asciiTheme="majorHAnsi" w:hAnsiTheme="majorHAnsi"/>
                <w:b/>
                <w:color w:val="FFFFFF" w:themeColor="background1"/>
              </w:rPr>
              <w:t>Mladi imaju pristup kvalitetnom obrazovanju</w:t>
            </w:r>
          </w:p>
          <w:p w14:paraId="24356E86" w14:textId="77777777" w:rsidR="00925F61" w:rsidRPr="00B77B54" w:rsidRDefault="00925F61" w:rsidP="00BC72C2">
            <w:pPr>
              <w:rPr>
                <w:rFonts w:asciiTheme="majorHAnsi" w:hAnsiTheme="majorHAnsi"/>
                <w:b/>
                <w:color w:val="FFFFFF" w:themeColor="background1"/>
              </w:rPr>
            </w:pPr>
          </w:p>
        </w:tc>
      </w:tr>
      <w:tr w:rsidR="00E061A5" w:rsidRPr="00B77B54" w14:paraId="3861643A" w14:textId="77777777" w:rsidTr="00E061A5">
        <w:tc>
          <w:tcPr>
            <w:tcW w:w="464" w:type="dxa"/>
          </w:tcPr>
          <w:p w14:paraId="45C0B71C" w14:textId="77777777" w:rsidR="00E061A5" w:rsidRPr="00B77B54" w:rsidRDefault="00E061A5" w:rsidP="00836D98">
            <w:pPr>
              <w:rPr>
                <w:rFonts w:asciiTheme="majorHAnsi" w:hAnsiTheme="majorHAnsi"/>
              </w:rPr>
            </w:pPr>
            <w:r w:rsidRPr="00B77B54">
              <w:rPr>
                <w:rFonts w:asciiTheme="majorHAnsi" w:hAnsiTheme="majorHAnsi"/>
              </w:rPr>
              <w:t>Br.</w:t>
            </w:r>
          </w:p>
        </w:tc>
        <w:tc>
          <w:tcPr>
            <w:tcW w:w="1752" w:type="dxa"/>
          </w:tcPr>
          <w:p w14:paraId="0D3D7D0D" w14:textId="77777777" w:rsidR="00E061A5" w:rsidRPr="00B77B54" w:rsidRDefault="00E061A5" w:rsidP="00836D98">
            <w:pPr>
              <w:rPr>
                <w:rFonts w:asciiTheme="majorHAnsi" w:hAnsiTheme="majorHAnsi"/>
              </w:rPr>
            </w:pPr>
            <w:r w:rsidRPr="00B77B54">
              <w:rPr>
                <w:rFonts w:asciiTheme="majorHAnsi" w:hAnsiTheme="majorHAnsi"/>
              </w:rPr>
              <w:t>Mjera</w:t>
            </w:r>
          </w:p>
        </w:tc>
        <w:tc>
          <w:tcPr>
            <w:tcW w:w="2287" w:type="dxa"/>
          </w:tcPr>
          <w:p w14:paraId="0AF300F7" w14:textId="2B0CFEED" w:rsidR="00E061A5" w:rsidRPr="00B77B54" w:rsidRDefault="009F302E" w:rsidP="00836D98">
            <w:pPr>
              <w:rPr>
                <w:rFonts w:asciiTheme="majorHAnsi" w:hAnsiTheme="majorHAnsi"/>
              </w:rPr>
            </w:pPr>
            <w:r w:rsidRPr="00B77B54">
              <w:t>Indikator</w:t>
            </w:r>
          </w:p>
        </w:tc>
        <w:tc>
          <w:tcPr>
            <w:tcW w:w="2126" w:type="dxa"/>
          </w:tcPr>
          <w:p w14:paraId="2778C1C6" w14:textId="2C9C873E" w:rsidR="00E061A5" w:rsidRPr="00B77B54" w:rsidRDefault="00E061A5" w:rsidP="00BA3681">
            <w:pPr>
              <w:rPr>
                <w:rFonts w:asciiTheme="majorHAnsi" w:hAnsiTheme="majorHAnsi"/>
              </w:rPr>
            </w:pPr>
            <w:r w:rsidRPr="00B77B54">
              <w:rPr>
                <w:rFonts w:asciiTheme="majorHAnsi" w:hAnsiTheme="majorHAnsi"/>
              </w:rPr>
              <w:t>Veza sa međunarodnim indikatorima</w:t>
            </w:r>
            <w:r w:rsidR="00BA3681" w:rsidRPr="00B77B54">
              <w:rPr>
                <w:rFonts w:asciiTheme="majorHAnsi" w:hAnsiTheme="majorHAnsi"/>
              </w:rPr>
              <w:t>/</w:t>
            </w:r>
            <w:r w:rsidRPr="00B77B54">
              <w:rPr>
                <w:rFonts w:asciiTheme="majorHAnsi" w:hAnsiTheme="majorHAnsi"/>
              </w:rPr>
              <w:t>izvor</w:t>
            </w:r>
          </w:p>
        </w:tc>
        <w:tc>
          <w:tcPr>
            <w:tcW w:w="2721" w:type="dxa"/>
          </w:tcPr>
          <w:p w14:paraId="5EAE8BB0" w14:textId="77777777" w:rsidR="00E061A5" w:rsidRPr="00B77B54" w:rsidRDefault="00E061A5" w:rsidP="00836D98">
            <w:pPr>
              <w:rPr>
                <w:rFonts w:asciiTheme="majorHAnsi" w:hAnsiTheme="majorHAnsi"/>
              </w:rPr>
            </w:pPr>
            <w:r w:rsidRPr="00B77B54">
              <w:rPr>
                <w:rFonts w:asciiTheme="majorHAnsi" w:hAnsiTheme="majorHAnsi"/>
              </w:rPr>
              <w:t>Napomene</w:t>
            </w:r>
          </w:p>
          <w:p w14:paraId="6931D912" w14:textId="77777777" w:rsidR="00E061A5" w:rsidRPr="00B77B54" w:rsidRDefault="00E061A5" w:rsidP="00836D98">
            <w:pPr>
              <w:rPr>
                <w:rFonts w:asciiTheme="majorHAnsi" w:hAnsiTheme="majorHAnsi"/>
              </w:rPr>
            </w:pPr>
          </w:p>
        </w:tc>
      </w:tr>
      <w:tr w:rsidR="00E061A5" w:rsidRPr="00B77B54" w14:paraId="42C758A3" w14:textId="77777777" w:rsidTr="00E061A5">
        <w:tc>
          <w:tcPr>
            <w:tcW w:w="464" w:type="dxa"/>
          </w:tcPr>
          <w:p w14:paraId="0B4ED300" w14:textId="77777777" w:rsidR="00E061A5" w:rsidRPr="00B77B54" w:rsidRDefault="00E061A5" w:rsidP="00BC72C2">
            <w:pPr>
              <w:rPr>
                <w:rFonts w:asciiTheme="majorHAnsi" w:hAnsiTheme="majorHAnsi"/>
              </w:rPr>
            </w:pPr>
            <w:r w:rsidRPr="00B77B54">
              <w:rPr>
                <w:rFonts w:asciiTheme="majorHAnsi" w:hAnsiTheme="majorHAnsi"/>
              </w:rPr>
              <w:t>1</w:t>
            </w:r>
          </w:p>
        </w:tc>
        <w:tc>
          <w:tcPr>
            <w:tcW w:w="1752" w:type="dxa"/>
          </w:tcPr>
          <w:p w14:paraId="6A0156E0" w14:textId="77777777" w:rsidR="00E061A5" w:rsidRPr="00B77B54" w:rsidRDefault="00E061A5" w:rsidP="00BC72C2">
            <w:pPr>
              <w:rPr>
                <w:rFonts w:asciiTheme="majorHAnsi" w:hAnsiTheme="majorHAnsi"/>
              </w:rPr>
            </w:pPr>
            <w:r w:rsidRPr="00B77B54">
              <w:rPr>
                <w:rFonts w:asciiTheme="majorHAnsi" w:hAnsiTheme="majorHAnsi"/>
                <w:bCs/>
              </w:rPr>
              <w:t>Podrška razvoju neformalnog učenja i unapređenje mehanizama verifikovanja neformalno i informalno stečenih znanja</w:t>
            </w:r>
          </w:p>
        </w:tc>
        <w:tc>
          <w:tcPr>
            <w:tcW w:w="2287" w:type="dxa"/>
          </w:tcPr>
          <w:p w14:paraId="506ED233" w14:textId="77777777" w:rsidR="00E061A5" w:rsidRPr="00B77B54" w:rsidRDefault="00E061A5" w:rsidP="00E061A5">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Formalno priznanje učešća u volonterskim aktivnostima</w:t>
            </w:r>
          </w:p>
          <w:p w14:paraId="4682CDE9" w14:textId="77777777" w:rsidR="00E061A5" w:rsidRPr="00B77B54" w:rsidRDefault="00E061A5" w:rsidP="00BC72C2">
            <w:pPr>
              <w:rPr>
                <w:rFonts w:asciiTheme="majorHAnsi" w:hAnsiTheme="majorHAnsi" w:cs="Times New Roman"/>
                <w:sz w:val="16"/>
                <w:szCs w:val="16"/>
              </w:rPr>
            </w:pPr>
          </w:p>
          <w:p w14:paraId="23224641" w14:textId="77777777" w:rsidR="00E061A5" w:rsidRPr="00B77B54" w:rsidRDefault="00E061A5" w:rsidP="00E061A5">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Procenat mladih (15-30 godina) koji su izjavili da su uzeli učešća u volonterskim aktivnostima koji su dobili sertifikat, diplomu ili neki drugi formalni vid priznanja za svoje učešće</w:t>
            </w:r>
          </w:p>
        </w:tc>
        <w:tc>
          <w:tcPr>
            <w:tcW w:w="2126" w:type="dxa"/>
          </w:tcPr>
          <w:p w14:paraId="74EDE096" w14:textId="77777777" w:rsidR="00E061A5" w:rsidRPr="00B77B54" w:rsidRDefault="00E061A5" w:rsidP="00E061A5">
            <w:pPr>
              <w:rPr>
                <w:rFonts w:asciiTheme="majorHAnsi" w:hAnsiTheme="majorHAnsi"/>
                <w:sz w:val="16"/>
                <w:szCs w:val="16"/>
              </w:rPr>
            </w:pPr>
            <w:r w:rsidRPr="00B77B54">
              <w:rPr>
                <w:rFonts w:asciiTheme="majorHAnsi" w:hAnsiTheme="majorHAnsi" w:cs="Times New Roman"/>
                <w:sz w:val="16"/>
                <w:szCs w:val="16"/>
              </w:rPr>
              <w:t>Kratki eurobarometar o mladima</w:t>
            </w:r>
          </w:p>
          <w:p w14:paraId="64CDC470" w14:textId="77777777" w:rsidR="00E061A5" w:rsidRPr="00B77B54" w:rsidRDefault="00E061A5" w:rsidP="00BC72C2">
            <w:pPr>
              <w:rPr>
                <w:rFonts w:asciiTheme="majorHAnsi" w:hAnsiTheme="majorHAnsi"/>
                <w:sz w:val="16"/>
                <w:szCs w:val="16"/>
              </w:rPr>
            </w:pPr>
          </w:p>
        </w:tc>
        <w:tc>
          <w:tcPr>
            <w:tcW w:w="2721" w:type="dxa"/>
          </w:tcPr>
          <w:p w14:paraId="44F5F6E5" w14:textId="77777777" w:rsidR="00E061A5" w:rsidRPr="00B77B54" w:rsidRDefault="00E061A5" w:rsidP="00AD688C">
            <w:pPr>
              <w:rPr>
                <w:rFonts w:asciiTheme="majorHAnsi" w:hAnsiTheme="majorHAnsi"/>
                <w:b/>
                <w:i/>
                <w:sz w:val="16"/>
                <w:szCs w:val="16"/>
              </w:rPr>
            </w:pPr>
            <w:r w:rsidRPr="00B77B54">
              <w:rPr>
                <w:rFonts w:asciiTheme="majorHAnsi" w:hAnsiTheme="majorHAnsi"/>
                <w:b/>
                <w:i/>
                <w:sz w:val="16"/>
                <w:szCs w:val="16"/>
              </w:rPr>
              <w:t xml:space="preserve">Crna Gora nije bila uključena. Sprovesti istraživanje na nacionalnom nivou. </w:t>
            </w:r>
          </w:p>
          <w:p w14:paraId="2B0D92D9" w14:textId="77777777" w:rsidR="00E061A5" w:rsidRPr="00B77B54" w:rsidRDefault="00E061A5" w:rsidP="00E061A5">
            <w:pPr>
              <w:rPr>
                <w:rFonts w:asciiTheme="majorHAnsi" w:hAnsiTheme="majorHAnsi"/>
              </w:rPr>
            </w:pPr>
            <w:r w:rsidRPr="00B77B54">
              <w:rPr>
                <w:rFonts w:asciiTheme="majorHAnsi" w:hAnsiTheme="majorHAnsi"/>
                <w:i/>
                <w:sz w:val="16"/>
                <w:szCs w:val="16"/>
              </w:rPr>
              <w:t>Dodati nacionalnu disagregaciju po regionu, rodu, u odnosu na pripadnost ranjivim kategorijama</w:t>
            </w:r>
          </w:p>
        </w:tc>
      </w:tr>
      <w:tr w:rsidR="00E061A5" w:rsidRPr="00B77B54" w14:paraId="0A9199A4" w14:textId="77777777" w:rsidTr="00E061A5">
        <w:tc>
          <w:tcPr>
            <w:tcW w:w="464" w:type="dxa"/>
          </w:tcPr>
          <w:p w14:paraId="74A03BD4" w14:textId="77777777" w:rsidR="00E061A5" w:rsidRPr="00B77B54" w:rsidRDefault="00E061A5" w:rsidP="00BC72C2">
            <w:pPr>
              <w:rPr>
                <w:rFonts w:asciiTheme="majorHAnsi" w:hAnsiTheme="majorHAnsi"/>
              </w:rPr>
            </w:pPr>
            <w:r w:rsidRPr="00B77B54">
              <w:rPr>
                <w:rFonts w:asciiTheme="majorHAnsi" w:hAnsiTheme="majorHAnsi"/>
              </w:rPr>
              <w:t>2</w:t>
            </w:r>
          </w:p>
        </w:tc>
        <w:tc>
          <w:tcPr>
            <w:tcW w:w="1752" w:type="dxa"/>
          </w:tcPr>
          <w:p w14:paraId="42243352" w14:textId="77777777" w:rsidR="00E061A5" w:rsidRPr="00B77B54" w:rsidRDefault="00E061A5" w:rsidP="00BC72C2">
            <w:pPr>
              <w:rPr>
                <w:rFonts w:asciiTheme="majorHAnsi" w:hAnsiTheme="majorHAnsi"/>
                <w:bCs/>
              </w:rPr>
            </w:pPr>
            <w:r w:rsidRPr="00B77B54">
              <w:rPr>
                <w:rFonts w:asciiTheme="majorHAnsi" w:hAnsiTheme="majorHAnsi"/>
                <w:bCs/>
              </w:rPr>
              <w:t xml:space="preserve">Unapređenje  kvaliteta organizacije, realizacije i vrednovanja  praktičnog  obrazovanja  u </w:t>
            </w:r>
            <w:r w:rsidRPr="00B77B54">
              <w:rPr>
                <w:rFonts w:asciiTheme="majorHAnsi" w:hAnsiTheme="majorHAnsi"/>
                <w:bCs/>
              </w:rPr>
              <w:lastRenderedPageBreak/>
              <w:t>stručnim školama</w:t>
            </w:r>
          </w:p>
        </w:tc>
        <w:tc>
          <w:tcPr>
            <w:tcW w:w="2287" w:type="dxa"/>
          </w:tcPr>
          <w:p w14:paraId="01D19BA6" w14:textId="77777777" w:rsidR="00E061A5" w:rsidRPr="00B77B54" w:rsidRDefault="00E061A5" w:rsidP="00BC72C2">
            <w:pPr>
              <w:rPr>
                <w:rFonts w:asciiTheme="majorHAnsi" w:hAnsiTheme="majorHAnsi"/>
                <w:sz w:val="16"/>
                <w:szCs w:val="16"/>
              </w:rPr>
            </w:pPr>
            <w:r w:rsidRPr="00B77B54">
              <w:rPr>
                <w:rFonts w:asciiTheme="majorHAnsi" w:hAnsiTheme="majorHAnsi"/>
                <w:sz w:val="16"/>
                <w:szCs w:val="16"/>
              </w:rPr>
              <w:lastRenderedPageBreak/>
              <w:t>Procenat praktične nastave u institucijama stručnog i visokog obrazovanja</w:t>
            </w:r>
          </w:p>
        </w:tc>
        <w:tc>
          <w:tcPr>
            <w:tcW w:w="2126" w:type="dxa"/>
          </w:tcPr>
          <w:p w14:paraId="614CCE06" w14:textId="77777777" w:rsidR="00E061A5" w:rsidRPr="00B77B54" w:rsidRDefault="00E061A5" w:rsidP="00BC72C2">
            <w:pPr>
              <w:rPr>
                <w:rFonts w:asciiTheme="majorHAnsi" w:hAnsiTheme="majorHAnsi"/>
                <w:sz w:val="16"/>
                <w:szCs w:val="16"/>
              </w:rPr>
            </w:pPr>
          </w:p>
        </w:tc>
        <w:tc>
          <w:tcPr>
            <w:tcW w:w="2721" w:type="dxa"/>
          </w:tcPr>
          <w:p w14:paraId="5A88A827" w14:textId="77777777" w:rsidR="00E061A5" w:rsidRPr="00B77B54" w:rsidRDefault="00E061A5" w:rsidP="00BC72C2">
            <w:pPr>
              <w:rPr>
                <w:rFonts w:asciiTheme="majorHAnsi" w:hAnsiTheme="majorHAnsi"/>
                <w:b/>
                <w:sz w:val="16"/>
                <w:szCs w:val="16"/>
              </w:rPr>
            </w:pPr>
            <w:r w:rsidRPr="00B77B54">
              <w:rPr>
                <w:rFonts w:asciiTheme="majorHAnsi" w:hAnsiTheme="majorHAnsi"/>
                <w:b/>
                <w:sz w:val="16"/>
                <w:szCs w:val="16"/>
              </w:rPr>
              <w:t>NACIONALNI INDIKATOR</w:t>
            </w:r>
          </w:p>
          <w:p w14:paraId="47A7C732" w14:textId="77777777" w:rsidR="00E061A5" w:rsidRPr="00B77B54" w:rsidRDefault="00E061A5" w:rsidP="00BC72C2">
            <w:pPr>
              <w:rPr>
                <w:rFonts w:asciiTheme="majorHAnsi" w:hAnsiTheme="majorHAnsi"/>
              </w:rPr>
            </w:pPr>
            <w:r w:rsidRPr="00B77B54">
              <w:rPr>
                <w:rFonts w:asciiTheme="majorHAnsi" w:hAnsiTheme="majorHAnsi"/>
                <w:sz w:val="16"/>
                <w:szCs w:val="16"/>
              </w:rPr>
              <w:t xml:space="preserve">Do sada nije praćen. Definisati metodologiju i otpočeti </w:t>
            </w:r>
            <w:r w:rsidR="00227F94" w:rsidRPr="00B77B54">
              <w:rPr>
                <w:rFonts w:asciiTheme="majorHAnsi" w:hAnsiTheme="majorHAnsi"/>
                <w:sz w:val="16"/>
                <w:szCs w:val="16"/>
              </w:rPr>
              <w:t>sa praćenjem u saradnji sa usta</w:t>
            </w:r>
            <w:r w:rsidRPr="00B77B54">
              <w:rPr>
                <w:rFonts w:asciiTheme="majorHAnsi" w:hAnsiTheme="majorHAnsi"/>
                <w:sz w:val="16"/>
                <w:szCs w:val="16"/>
              </w:rPr>
              <w:t>novama stručnog i visokog obrazovanja.</w:t>
            </w:r>
          </w:p>
        </w:tc>
      </w:tr>
      <w:tr w:rsidR="00E061A5" w:rsidRPr="00B77B54" w14:paraId="10E1EFA6" w14:textId="77777777" w:rsidTr="00E061A5">
        <w:tc>
          <w:tcPr>
            <w:tcW w:w="464" w:type="dxa"/>
          </w:tcPr>
          <w:p w14:paraId="0EBFDF34" w14:textId="77777777" w:rsidR="00E061A5" w:rsidRPr="00B77B54" w:rsidRDefault="00E061A5" w:rsidP="00BC72C2">
            <w:pPr>
              <w:rPr>
                <w:rFonts w:asciiTheme="majorHAnsi" w:hAnsiTheme="majorHAnsi"/>
              </w:rPr>
            </w:pPr>
            <w:r w:rsidRPr="00B77B54">
              <w:rPr>
                <w:rFonts w:asciiTheme="majorHAnsi" w:hAnsiTheme="majorHAnsi"/>
              </w:rPr>
              <w:lastRenderedPageBreak/>
              <w:t>3</w:t>
            </w:r>
          </w:p>
        </w:tc>
        <w:tc>
          <w:tcPr>
            <w:tcW w:w="1752" w:type="dxa"/>
          </w:tcPr>
          <w:p w14:paraId="71E29153" w14:textId="77777777" w:rsidR="00E061A5" w:rsidRPr="00B77B54" w:rsidRDefault="00E061A5" w:rsidP="00BC72C2">
            <w:pPr>
              <w:rPr>
                <w:rFonts w:asciiTheme="majorHAnsi" w:hAnsiTheme="majorHAnsi"/>
                <w:bCs/>
              </w:rPr>
            </w:pPr>
            <w:r w:rsidRPr="00B77B54">
              <w:rPr>
                <w:rFonts w:asciiTheme="majorHAnsi" w:hAnsiTheme="majorHAnsi"/>
              </w:rPr>
              <w:t xml:space="preserve">Razvoj socio-emocionalnih vještina mladih      </w:t>
            </w:r>
          </w:p>
        </w:tc>
        <w:tc>
          <w:tcPr>
            <w:tcW w:w="2287" w:type="dxa"/>
            <w:shd w:val="clear" w:color="auto" w:fill="auto"/>
          </w:tcPr>
          <w:p w14:paraId="1BEE0947" w14:textId="77777777" w:rsidR="00E061A5" w:rsidRPr="00B77B54" w:rsidRDefault="00E061A5" w:rsidP="00BC72C2">
            <w:pPr>
              <w:rPr>
                <w:rFonts w:asciiTheme="majorHAnsi" w:hAnsiTheme="majorHAnsi"/>
                <w:sz w:val="16"/>
                <w:szCs w:val="16"/>
              </w:rPr>
            </w:pPr>
            <w:r w:rsidRPr="00B77B54">
              <w:rPr>
                <w:rFonts w:asciiTheme="majorHAnsi" w:hAnsiTheme="majorHAnsi"/>
                <w:sz w:val="16"/>
                <w:szCs w:val="16"/>
              </w:rPr>
              <w:t>Procenat mladih koji su prošli programe razvoja socio-emocionalnih vještina</w:t>
            </w:r>
          </w:p>
          <w:p w14:paraId="15E6A078" w14:textId="77777777" w:rsidR="00E061A5" w:rsidRPr="00B77B54" w:rsidRDefault="00E061A5" w:rsidP="00BC72C2">
            <w:pPr>
              <w:rPr>
                <w:rFonts w:asciiTheme="majorHAnsi" w:hAnsiTheme="majorHAnsi"/>
                <w:sz w:val="16"/>
                <w:szCs w:val="16"/>
              </w:rPr>
            </w:pPr>
          </w:p>
          <w:p w14:paraId="4BA6CD7F" w14:textId="63C315E2" w:rsidR="00E061A5" w:rsidRPr="00B77B54" w:rsidRDefault="00E061A5" w:rsidP="00E061A5">
            <w:pPr>
              <w:rPr>
                <w:rFonts w:asciiTheme="majorHAnsi" w:hAnsiTheme="majorHAnsi"/>
                <w:sz w:val="16"/>
                <w:szCs w:val="16"/>
              </w:rPr>
            </w:pPr>
            <w:r w:rsidRPr="00B77B54">
              <w:rPr>
                <w:rFonts w:asciiTheme="majorHAnsi" w:hAnsiTheme="majorHAnsi"/>
                <w:sz w:val="16"/>
                <w:szCs w:val="16"/>
              </w:rPr>
              <w:t xml:space="preserve">Procenat ustanova osnovnog </w:t>
            </w:r>
            <w:r w:rsidR="00F8633D" w:rsidRPr="00B77B54">
              <w:rPr>
                <w:rFonts w:asciiTheme="majorHAnsi" w:hAnsiTheme="majorHAnsi"/>
                <w:sz w:val="16"/>
                <w:szCs w:val="16"/>
              </w:rPr>
              <w:t xml:space="preserve">i srednjeg </w:t>
            </w:r>
            <w:r w:rsidRPr="00B77B54">
              <w:rPr>
                <w:rFonts w:asciiTheme="majorHAnsi" w:hAnsiTheme="majorHAnsi"/>
                <w:sz w:val="16"/>
                <w:szCs w:val="16"/>
              </w:rPr>
              <w:t>obrazovanja koje sprovode programe razvoja socio-emocionalnin vještina kod mladih</w:t>
            </w:r>
          </w:p>
        </w:tc>
        <w:tc>
          <w:tcPr>
            <w:tcW w:w="2126" w:type="dxa"/>
          </w:tcPr>
          <w:p w14:paraId="592659ED" w14:textId="77777777" w:rsidR="00E061A5" w:rsidRPr="00B77B54" w:rsidRDefault="00E061A5" w:rsidP="00BC72C2">
            <w:pPr>
              <w:rPr>
                <w:rFonts w:asciiTheme="majorHAnsi" w:hAnsiTheme="majorHAnsi"/>
              </w:rPr>
            </w:pPr>
          </w:p>
        </w:tc>
        <w:tc>
          <w:tcPr>
            <w:tcW w:w="2721" w:type="dxa"/>
          </w:tcPr>
          <w:p w14:paraId="2F54BC4E" w14:textId="77777777" w:rsidR="00E061A5" w:rsidRPr="00B77B54" w:rsidRDefault="00E061A5" w:rsidP="00E061A5">
            <w:pPr>
              <w:rPr>
                <w:rFonts w:asciiTheme="majorHAnsi" w:hAnsiTheme="majorHAnsi"/>
                <w:b/>
                <w:sz w:val="16"/>
                <w:szCs w:val="16"/>
              </w:rPr>
            </w:pPr>
            <w:r w:rsidRPr="00B77B54">
              <w:rPr>
                <w:rFonts w:asciiTheme="majorHAnsi" w:hAnsiTheme="majorHAnsi"/>
                <w:b/>
                <w:sz w:val="16"/>
                <w:szCs w:val="16"/>
              </w:rPr>
              <w:t>NACIONALNI INDIKATOR</w:t>
            </w:r>
          </w:p>
          <w:p w14:paraId="60C8C2B1" w14:textId="77777777" w:rsidR="00E061A5" w:rsidRPr="00B77B54" w:rsidRDefault="00E061A5" w:rsidP="00E061A5">
            <w:pPr>
              <w:rPr>
                <w:rFonts w:asciiTheme="majorHAnsi" w:hAnsiTheme="majorHAnsi"/>
              </w:rPr>
            </w:pPr>
            <w:r w:rsidRPr="00B77B54">
              <w:rPr>
                <w:rFonts w:asciiTheme="majorHAnsi" w:hAnsiTheme="majorHAnsi"/>
                <w:sz w:val="16"/>
                <w:szCs w:val="16"/>
              </w:rPr>
              <w:t>Do sada nije praćen. Definisati metodologiju i otpočeti sa praćenjem u saradnji sa ustavnovama stručnog i visokog obrazovanja.</w:t>
            </w:r>
          </w:p>
        </w:tc>
      </w:tr>
      <w:tr w:rsidR="00E8742D" w:rsidRPr="00B77B54" w14:paraId="7526C20C" w14:textId="77777777" w:rsidTr="00E061A5">
        <w:tc>
          <w:tcPr>
            <w:tcW w:w="464" w:type="dxa"/>
          </w:tcPr>
          <w:p w14:paraId="46B363A2" w14:textId="77777777" w:rsidR="00E8742D" w:rsidRPr="00B77B54" w:rsidRDefault="00E8742D" w:rsidP="00BC72C2">
            <w:pPr>
              <w:rPr>
                <w:rFonts w:asciiTheme="majorHAnsi" w:hAnsiTheme="majorHAnsi"/>
              </w:rPr>
            </w:pPr>
            <w:r w:rsidRPr="00B77B54">
              <w:rPr>
                <w:rFonts w:asciiTheme="majorHAnsi" w:hAnsiTheme="majorHAnsi"/>
              </w:rPr>
              <w:t>4</w:t>
            </w:r>
          </w:p>
        </w:tc>
        <w:tc>
          <w:tcPr>
            <w:tcW w:w="1752" w:type="dxa"/>
          </w:tcPr>
          <w:p w14:paraId="6B021DC2" w14:textId="77777777" w:rsidR="00E8742D" w:rsidRPr="00B77B54" w:rsidRDefault="00E8742D" w:rsidP="00BC72C2">
            <w:pPr>
              <w:rPr>
                <w:rFonts w:asciiTheme="majorHAnsi" w:hAnsiTheme="majorHAnsi"/>
                <w:bCs/>
              </w:rPr>
            </w:pPr>
            <w:r w:rsidRPr="00B77B54">
              <w:rPr>
                <w:rFonts w:asciiTheme="majorHAnsi" w:hAnsiTheme="majorHAnsi"/>
                <w:bCs/>
              </w:rPr>
              <w:t>Unapređenje i integrisanje sistema informisanja i karijernog savjetovanja mladih</w:t>
            </w:r>
          </w:p>
        </w:tc>
        <w:tc>
          <w:tcPr>
            <w:tcW w:w="2287" w:type="dxa"/>
          </w:tcPr>
          <w:p w14:paraId="4B3C887F" w14:textId="77777777" w:rsidR="00E8742D" w:rsidRPr="00B77B54" w:rsidRDefault="00E8742D" w:rsidP="00377EB4">
            <w:pPr>
              <w:rPr>
                <w:rFonts w:asciiTheme="majorHAnsi" w:hAnsiTheme="majorHAnsi"/>
                <w:sz w:val="16"/>
                <w:szCs w:val="16"/>
              </w:rPr>
            </w:pPr>
            <w:r w:rsidRPr="00B77B54">
              <w:rPr>
                <w:rFonts w:asciiTheme="majorHAnsi" w:hAnsiTheme="majorHAnsi"/>
                <w:sz w:val="16"/>
                <w:szCs w:val="16"/>
              </w:rPr>
              <w:t>Procenat mladih koji su informisani o servisima za informisanje i karijerno savjetovanje</w:t>
            </w:r>
          </w:p>
          <w:p w14:paraId="6C4D5510" w14:textId="77777777" w:rsidR="00E8742D" w:rsidRPr="00B77B54" w:rsidRDefault="00E8742D" w:rsidP="00377EB4">
            <w:pPr>
              <w:rPr>
                <w:rFonts w:asciiTheme="majorHAnsi" w:hAnsiTheme="majorHAnsi"/>
                <w:sz w:val="16"/>
                <w:szCs w:val="16"/>
              </w:rPr>
            </w:pPr>
          </w:p>
          <w:p w14:paraId="6DC53A59" w14:textId="77777777" w:rsidR="00E8742D" w:rsidRPr="00B77B54" w:rsidRDefault="00E8742D" w:rsidP="00377EB4">
            <w:pPr>
              <w:rPr>
                <w:rFonts w:asciiTheme="majorHAnsi" w:hAnsiTheme="majorHAnsi"/>
                <w:sz w:val="16"/>
                <w:szCs w:val="16"/>
              </w:rPr>
            </w:pPr>
            <w:r w:rsidRPr="00B77B54">
              <w:rPr>
                <w:rFonts w:asciiTheme="majorHAnsi" w:hAnsiTheme="majorHAnsi"/>
                <w:sz w:val="16"/>
                <w:szCs w:val="16"/>
              </w:rPr>
              <w:t>Procenat mladih koji su kroz obrazovni sistem prošli obuku za karijernu orijentaciju</w:t>
            </w:r>
          </w:p>
        </w:tc>
        <w:tc>
          <w:tcPr>
            <w:tcW w:w="2126" w:type="dxa"/>
          </w:tcPr>
          <w:p w14:paraId="425C6C22" w14:textId="77777777" w:rsidR="00E8742D" w:rsidRPr="00B77B54" w:rsidRDefault="00E8742D" w:rsidP="00BC72C2">
            <w:pPr>
              <w:rPr>
                <w:rFonts w:asciiTheme="majorHAnsi" w:hAnsiTheme="majorHAnsi"/>
                <w:sz w:val="16"/>
                <w:szCs w:val="16"/>
              </w:rPr>
            </w:pPr>
          </w:p>
        </w:tc>
        <w:tc>
          <w:tcPr>
            <w:tcW w:w="2721" w:type="dxa"/>
          </w:tcPr>
          <w:p w14:paraId="6EAD1B4E" w14:textId="77777777" w:rsidR="00E8742D" w:rsidRPr="00B77B54" w:rsidRDefault="00E8742D" w:rsidP="00836D98">
            <w:pPr>
              <w:rPr>
                <w:rFonts w:asciiTheme="majorHAnsi" w:hAnsiTheme="majorHAnsi"/>
                <w:b/>
                <w:sz w:val="16"/>
                <w:szCs w:val="16"/>
              </w:rPr>
            </w:pPr>
            <w:r w:rsidRPr="00B77B54">
              <w:rPr>
                <w:rFonts w:asciiTheme="majorHAnsi" w:hAnsiTheme="majorHAnsi"/>
                <w:b/>
                <w:sz w:val="16"/>
                <w:szCs w:val="16"/>
              </w:rPr>
              <w:t>NACIONALNI INDIKATOR</w:t>
            </w:r>
          </w:p>
          <w:p w14:paraId="01FD8011" w14:textId="77777777" w:rsidR="00E8742D" w:rsidRPr="00B77B54" w:rsidRDefault="00E8742D" w:rsidP="00227F94">
            <w:pPr>
              <w:rPr>
                <w:rFonts w:asciiTheme="majorHAnsi" w:hAnsiTheme="majorHAnsi"/>
              </w:rPr>
            </w:pPr>
            <w:r w:rsidRPr="00B77B54">
              <w:rPr>
                <w:rFonts w:asciiTheme="majorHAnsi" w:hAnsiTheme="majorHAnsi"/>
                <w:sz w:val="16"/>
                <w:szCs w:val="16"/>
              </w:rPr>
              <w:t>Do sada nije praćen. Definisati metodologiju i otpočeti sa praćenjem</w:t>
            </w:r>
            <w:r w:rsidR="00227F94" w:rsidRPr="00B77B54">
              <w:rPr>
                <w:rFonts w:asciiTheme="majorHAnsi" w:hAnsiTheme="majorHAnsi"/>
                <w:sz w:val="16"/>
                <w:szCs w:val="16"/>
              </w:rPr>
              <w:t>.</w:t>
            </w:r>
          </w:p>
        </w:tc>
      </w:tr>
      <w:tr w:rsidR="00BA3681" w:rsidRPr="00B77B54" w14:paraId="3A96204A" w14:textId="77777777" w:rsidTr="00227F94">
        <w:trPr>
          <w:trHeight w:val="1343"/>
        </w:trPr>
        <w:tc>
          <w:tcPr>
            <w:tcW w:w="464" w:type="dxa"/>
            <w:vMerge w:val="restart"/>
          </w:tcPr>
          <w:p w14:paraId="6AEF3734" w14:textId="77777777" w:rsidR="00BA3681" w:rsidRPr="00B77B54" w:rsidRDefault="00BA3681" w:rsidP="00BC72C2">
            <w:pPr>
              <w:rPr>
                <w:rFonts w:asciiTheme="majorHAnsi" w:hAnsiTheme="majorHAnsi"/>
              </w:rPr>
            </w:pPr>
            <w:r w:rsidRPr="00B77B54">
              <w:rPr>
                <w:rFonts w:asciiTheme="majorHAnsi" w:hAnsiTheme="majorHAnsi"/>
              </w:rPr>
              <w:t>5</w:t>
            </w:r>
          </w:p>
        </w:tc>
        <w:tc>
          <w:tcPr>
            <w:tcW w:w="1752" w:type="dxa"/>
            <w:vMerge w:val="restart"/>
          </w:tcPr>
          <w:p w14:paraId="7625A592" w14:textId="77777777" w:rsidR="00BA3681" w:rsidRPr="00B77B54" w:rsidRDefault="00BA3681" w:rsidP="00BC72C2">
            <w:pPr>
              <w:rPr>
                <w:rFonts w:asciiTheme="majorHAnsi" w:hAnsiTheme="majorHAnsi"/>
                <w:bCs/>
              </w:rPr>
            </w:pPr>
            <w:r w:rsidRPr="00B77B54">
              <w:rPr>
                <w:rFonts w:asciiTheme="majorHAnsi" w:hAnsiTheme="majorHAnsi"/>
                <w:bCs/>
              </w:rPr>
              <w:t>Prevencija i smanjenje  napuštanja škole</w:t>
            </w:r>
          </w:p>
        </w:tc>
        <w:tc>
          <w:tcPr>
            <w:tcW w:w="2287" w:type="dxa"/>
          </w:tcPr>
          <w:p w14:paraId="1D4DD098" w14:textId="77777777" w:rsidR="00BA3681" w:rsidRPr="00B77B54" w:rsidRDefault="00BA3681" w:rsidP="00BC72C2">
            <w:pPr>
              <w:rPr>
                <w:rFonts w:asciiTheme="majorHAnsi" w:hAnsiTheme="majorHAnsi" w:cs="Times New Roman"/>
                <w:sz w:val="16"/>
                <w:szCs w:val="16"/>
              </w:rPr>
            </w:pPr>
            <w:r w:rsidRPr="00B77B54">
              <w:rPr>
                <w:rFonts w:asciiTheme="majorHAnsi" w:hAnsiTheme="majorHAnsi" w:cs="Times New Roman"/>
                <w:sz w:val="16"/>
                <w:szCs w:val="16"/>
              </w:rPr>
              <w:t>Rano napuštanje sistema obrazovanja i obuke</w:t>
            </w:r>
          </w:p>
          <w:p w14:paraId="4D48291D" w14:textId="77777777" w:rsidR="00BA3681" w:rsidRPr="00B77B54" w:rsidRDefault="00BA3681" w:rsidP="00BC72C2">
            <w:pPr>
              <w:rPr>
                <w:rFonts w:asciiTheme="majorHAnsi" w:hAnsiTheme="majorHAnsi" w:cs="Times New Roman"/>
                <w:sz w:val="16"/>
                <w:szCs w:val="16"/>
              </w:rPr>
            </w:pPr>
          </w:p>
          <w:p w14:paraId="645E2BD4" w14:textId="77777777" w:rsidR="00BA3681" w:rsidRPr="00B77B54" w:rsidRDefault="00BA3681" w:rsidP="00227F94">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populacije između 18-24 godine sa najnižim srednjim obrazovanjem i koja nije više u procesu obrazovanja i obuke</w:t>
            </w:r>
          </w:p>
          <w:p w14:paraId="0BC44C3F" w14:textId="77777777" w:rsidR="00BA3681" w:rsidRPr="00B77B54" w:rsidRDefault="00BA3681" w:rsidP="00227F94">
            <w:pPr>
              <w:autoSpaceDE w:val="0"/>
              <w:autoSpaceDN w:val="0"/>
              <w:adjustRightInd w:val="0"/>
              <w:rPr>
                <w:rFonts w:asciiTheme="majorHAnsi" w:hAnsiTheme="majorHAnsi" w:cs="Times New Roman"/>
                <w:sz w:val="16"/>
                <w:szCs w:val="16"/>
              </w:rPr>
            </w:pPr>
          </w:p>
          <w:p w14:paraId="04ADB367" w14:textId="77777777" w:rsidR="00BA3681" w:rsidRPr="00B77B54" w:rsidRDefault="00BA3681" w:rsidP="00227F94">
            <w:pPr>
              <w:autoSpaceDE w:val="0"/>
              <w:autoSpaceDN w:val="0"/>
              <w:adjustRightInd w:val="0"/>
              <w:rPr>
                <w:rFonts w:asciiTheme="majorHAnsi" w:hAnsiTheme="majorHAnsi"/>
                <w:sz w:val="16"/>
                <w:szCs w:val="16"/>
              </w:rPr>
            </w:pPr>
          </w:p>
        </w:tc>
        <w:tc>
          <w:tcPr>
            <w:tcW w:w="2126" w:type="dxa"/>
          </w:tcPr>
          <w:p w14:paraId="16C837D5" w14:textId="77777777" w:rsidR="00BA3681" w:rsidRPr="00B77B54" w:rsidRDefault="00BA3681" w:rsidP="00BC72C2">
            <w:pPr>
              <w:rPr>
                <w:rFonts w:asciiTheme="majorHAnsi" w:hAnsiTheme="majorHAnsi"/>
                <w:sz w:val="16"/>
                <w:szCs w:val="16"/>
              </w:rPr>
            </w:pPr>
            <w:r w:rsidRPr="00B77B54">
              <w:rPr>
                <w:rFonts w:asciiTheme="majorHAnsi" w:hAnsiTheme="majorHAnsi"/>
                <w:sz w:val="16"/>
                <w:szCs w:val="16"/>
              </w:rPr>
              <w:t>EUROSTAT</w:t>
            </w:r>
          </w:p>
        </w:tc>
        <w:tc>
          <w:tcPr>
            <w:tcW w:w="2721" w:type="dxa"/>
          </w:tcPr>
          <w:p w14:paraId="1A12AFD0" w14:textId="77777777" w:rsidR="00BA3681" w:rsidRPr="00B77B54" w:rsidRDefault="00BA3681" w:rsidP="00AD688C">
            <w:pPr>
              <w:rPr>
                <w:rFonts w:asciiTheme="majorHAnsi" w:hAnsiTheme="majorHAnsi"/>
                <w:i/>
                <w:sz w:val="16"/>
                <w:szCs w:val="16"/>
              </w:rPr>
            </w:pPr>
            <w:r w:rsidRPr="00B77B54">
              <w:rPr>
                <w:rFonts w:asciiTheme="majorHAnsi" w:hAnsiTheme="majorHAnsi"/>
                <w:i/>
                <w:sz w:val="16"/>
                <w:szCs w:val="16"/>
              </w:rPr>
              <w:t xml:space="preserve">Eurostat propisuje disagregaciju u odnosu na pol i status zaposlenja. Dodati nacionalnu disagregaciju po regionu i pripadnost drugim ranjivim kategorijama </w:t>
            </w:r>
          </w:p>
          <w:p w14:paraId="59EF7256" w14:textId="77777777" w:rsidR="00BA3681" w:rsidRPr="00B77B54" w:rsidRDefault="00BA3681" w:rsidP="00AD688C">
            <w:pPr>
              <w:rPr>
                <w:rFonts w:asciiTheme="majorHAnsi" w:hAnsiTheme="majorHAnsi"/>
                <w:sz w:val="16"/>
                <w:szCs w:val="16"/>
              </w:rPr>
            </w:pPr>
          </w:p>
          <w:p w14:paraId="52023AC9" w14:textId="77777777" w:rsidR="00BA3681" w:rsidRPr="00B77B54" w:rsidRDefault="00BA3681" w:rsidP="00BC72C2">
            <w:pPr>
              <w:rPr>
                <w:rFonts w:asciiTheme="majorHAnsi" w:hAnsiTheme="majorHAnsi"/>
                <w:sz w:val="16"/>
                <w:szCs w:val="16"/>
              </w:rPr>
            </w:pPr>
            <w:r w:rsidRPr="00B77B54">
              <w:rPr>
                <w:rFonts w:asciiTheme="majorHAnsi" w:hAnsiTheme="majorHAnsi"/>
                <w:sz w:val="16"/>
                <w:szCs w:val="16"/>
              </w:rPr>
              <w:t xml:space="preserve"> </w:t>
            </w:r>
          </w:p>
        </w:tc>
      </w:tr>
      <w:tr w:rsidR="00BA3681" w:rsidRPr="00B77B54" w14:paraId="01D5F2F7" w14:textId="77777777" w:rsidTr="00227F94">
        <w:trPr>
          <w:trHeight w:val="1343"/>
        </w:trPr>
        <w:tc>
          <w:tcPr>
            <w:tcW w:w="464" w:type="dxa"/>
            <w:vMerge/>
          </w:tcPr>
          <w:p w14:paraId="2C61869C" w14:textId="77777777" w:rsidR="00BA3681" w:rsidRPr="00B77B54" w:rsidRDefault="00BA3681" w:rsidP="00BC72C2">
            <w:pPr>
              <w:rPr>
                <w:rFonts w:asciiTheme="majorHAnsi" w:hAnsiTheme="majorHAnsi"/>
              </w:rPr>
            </w:pPr>
          </w:p>
        </w:tc>
        <w:tc>
          <w:tcPr>
            <w:tcW w:w="1752" w:type="dxa"/>
            <w:vMerge/>
          </w:tcPr>
          <w:p w14:paraId="3475CC57" w14:textId="77777777" w:rsidR="00BA3681" w:rsidRPr="00B77B54" w:rsidRDefault="00BA3681" w:rsidP="00BC72C2">
            <w:pPr>
              <w:rPr>
                <w:rFonts w:asciiTheme="majorHAnsi" w:hAnsiTheme="majorHAnsi"/>
                <w:bCs/>
              </w:rPr>
            </w:pPr>
          </w:p>
        </w:tc>
        <w:tc>
          <w:tcPr>
            <w:tcW w:w="2287" w:type="dxa"/>
          </w:tcPr>
          <w:p w14:paraId="262CEBE4"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 xml:space="preserve">Procenat mladih Roma </w:t>
            </w:r>
            <w:r w:rsidR="007E3052" w:rsidRPr="00B77B54">
              <w:rPr>
                <w:rFonts w:asciiTheme="majorHAnsi" w:hAnsiTheme="majorHAnsi"/>
                <w:sz w:val="16"/>
                <w:szCs w:val="16"/>
              </w:rPr>
              <w:t>i</w:t>
            </w:r>
            <w:r w:rsidRPr="00B77B54">
              <w:rPr>
                <w:rFonts w:asciiTheme="majorHAnsi" w:hAnsiTheme="majorHAnsi"/>
                <w:sz w:val="16"/>
                <w:szCs w:val="16"/>
              </w:rPr>
              <w:t xml:space="preserve"> Egipćana koji su završili srednju školu</w:t>
            </w:r>
          </w:p>
          <w:p w14:paraId="24624BD8" w14:textId="77777777" w:rsidR="00BA3681" w:rsidRPr="00B77B54" w:rsidRDefault="00BA3681" w:rsidP="00BA3681">
            <w:pPr>
              <w:rPr>
                <w:rFonts w:asciiTheme="majorHAnsi" w:hAnsiTheme="majorHAnsi"/>
                <w:sz w:val="16"/>
                <w:szCs w:val="16"/>
              </w:rPr>
            </w:pPr>
          </w:p>
          <w:p w14:paraId="6A0451EB"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sz w:val="16"/>
                <w:szCs w:val="16"/>
              </w:rPr>
              <w:t>Bazna vrijednost: 7% mladih Roma i Egipćana završilo je srednju školu, u poređenju sa 86%  opšte populacije</w:t>
            </w:r>
          </w:p>
        </w:tc>
        <w:tc>
          <w:tcPr>
            <w:tcW w:w="2126" w:type="dxa"/>
          </w:tcPr>
          <w:p w14:paraId="42C783E8" w14:textId="77777777" w:rsidR="00BA3681" w:rsidRPr="00B77B54" w:rsidRDefault="00BA3681" w:rsidP="00BC72C2">
            <w:pPr>
              <w:rPr>
                <w:rFonts w:asciiTheme="majorHAnsi" w:hAnsiTheme="majorHAnsi"/>
                <w:sz w:val="16"/>
                <w:szCs w:val="16"/>
              </w:rPr>
            </w:pPr>
            <w:r w:rsidRPr="00B77B54">
              <w:rPr>
                <w:rFonts w:asciiTheme="majorHAnsi" w:hAnsiTheme="majorHAnsi"/>
                <w:sz w:val="16"/>
                <w:szCs w:val="16"/>
              </w:rPr>
              <w:t>Ministarstvo prosvjete</w:t>
            </w:r>
          </w:p>
        </w:tc>
        <w:tc>
          <w:tcPr>
            <w:tcW w:w="2721" w:type="dxa"/>
          </w:tcPr>
          <w:p w14:paraId="7B1C2575" w14:textId="77777777" w:rsidR="00BA3681" w:rsidRPr="00B77B54" w:rsidRDefault="00BA3681" w:rsidP="00AD688C">
            <w:pPr>
              <w:rPr>
                <w:rFonts w:asciiTheme="majorHAnsi" w:hAnsiTheme="majorHAnsi"/>
                <w:i/>
                <w:sz w:val="16"/>
                <w:szCs w:val="16"/>
              </w:rPr>
            </w:pPr>
          </w:p>
        </w:tc>
      </w:tr>
      <w:tr w:rsidR="00E8742D" w:rsidRPr="00B77B54" w14:paraId="1870069E" w14:textId="77777777" w:rsidTr="00E061A5">
        <w:tc>
          <w:tcPr>
            <w:tcW w:w="464" w:type="dxa"/>
          </w:tcPr>
          <w:p w14:paraId="07D6B225" w14:textId="77777777" w:rsidR="00E8742D" w:rsidRPr="00B77B54" w:rsidRDefault="00E8742D" w:rsidP="00BC72C2">
            <w:pPr>
              <w:rPr>
                <w:rFonts w:asciiTheme="majorHAnsi" w:hAnsiTheme="majorHAnsi"/>
              </w:rPr>
            </w:pPr>
            <w:r w:rsidRPr="00B77B54">
              <w:rPr>
                <w:rFonts w:asciiTheme="majorHAnsi" w:hAnsiTheme="majorHAnsi"/>
              </w:rPr>
              <w:t>6</w:t>
            </w:r>
          </w:p>
        </w:tc>
        <w:tc>
          <w:tcPr>
            <w:tcW w:w="1752" w:type="dxa"/>
          </w:tcPr>
          <w:p w14:paraId="527CE2B3" w14:textId="77777777" w:rsidR="00E8742D" w:rsidRPr="00B77B54" w:rsidRDefault="00E8742D" w:rsidP="00BC72C2">
            <w:pPr>
              <w:rPr>
                <w:rFonts w:asciiTheme="majorHAnsi" w:hAnsiTheme="majorHAnsi"/>
                <w:bCs/>
              </w:rPr>
            </w:pPr>
            <w:r w:rsidRPr="00B77B54">
              <w:rPr>
                <w:rFonts w:asciiTheme="majorHAnsi" w:hAnsiTheme="majorHAnsi"/>
                <w:bCs/>
              </w:rPr>
              <w:t>Promocija obrazovne mobilnosti mladih</w:t>
            </w:r>
          </w:p>
        </w:tc>
        <w:tc>
          <w:tcPr>
            <w:tcW w:w="2287" w:type="dxa"/>
          </w:tcPr>
          <w:p w14:paraId="1C11D2C6" w14:textId="77777777" w:rsidR="00E8742D" w:rsidRPr="00B77B54" w:rsidRDefault="00E8742D" w:rsidP="00BC72C2">
            <w:pPr>
              <w:rPr>
                <w:rFonts w:asciiTheme="majorHAnsi" w:hAnsiTheme="majorHAnsi"/>
              </w:rPr>
            </w:pPr>
            <w:r w:rsidRPr="00B77B54">
              <w:rPr>
                <w:rFonts w:asciiTheme="majorHAnsi" w:hAnsiTheme="majorHAnsi"/>
                <w:sz w:val="16"/>
                <w:szCs w:val="16"/>
              </w:rPr>
              <w:t>% učešća mladih iz CG u programima mobilnosti (e.g. Erasmus+, RYCO)</w:t>
            </w:r>
          </w:p>
        </w:tc>
        <w:tc>
          <w:tcPr>
            <w:tcW w:w="2126" w:type="dxa"/>
          </w:tcPr>
          <w:p w14:paraId="72CFB3BE" w14:textId="77777777" w:rsidR="00E8742D" w:rsidRPr="00B77B54" w:rsidRDefault="00E8742D" w:rsidP="00BC72C2">
            <w:pPr>
              <w:rPr>
                <w:rFonts w:asciiTheme="majorHAnsi" w:hAnsiTheme="majorHAnsi"/>
              </w:rPr>
            </w:pPr>
          </w:p>
        </w:tc>
        <w:tc>
          <w:tcPr>
            <w:tcW w:w="2721" w:type="dxa"/>
          </w:tcPr>
          <w:p w14:paraId="252F7A9C" w14:textId="77777777" w:rsidR="00E8742D" w:rsidRPr="00B77B54" w:rsidRDefault="00E8742D" w:rsidP="00AD688C">
            <w:pPr>
              <w:rPr>
                <w:rFonts w:asciiTheme="majorHAnsi" w:hAnsiTheme="majorHAnsi"/>
                <w:b/>
                <w:sz w:val="16"/>
                <w:szCs w:val="16"/>
              </w:rPr>
            </w:pPr>
            <w:r w:rsidRPr="00B77B54">
              <w:rPr>
                <w:rFonts w:asciiTheme="majorHAnsi" w:hAnsiTheme="majorHAnsi"/>
                <w:b/>
                <w:sz w:val="16"/>
                <w:szCs w:val="16"/>
              </w:rPr>
              <w:t>NACIONALNI INDIKATOR</w:t>
            </w:r>
          </w:p>
          <w:p w14:paraId="297F6C71" w14:textId="77777777" w:rsidR="00E8742D" w:rsidRPr="00B77B54" w:rsidRDefault="00E8742D" w:rsidP="00BC72C2">
            <w:pPr>
              <w:rPr>
                <w:rFonts w:asciiTheme="majorHAnsi" w:hAnsiTheme="majorHAnsi"/>
              </w:rPr>
            </w:pPr>
            <w:r w:rsidRPr="00B77B54">
              <w:rPr>
                <w:rFonts w:asciiTheme="majorHAnsi" w:hAnsiTheme="majorHAnsi"/>
                <w:sz w:val="16"/>
                <w:szCs w:val="16"/>
              </w:rPr>
              <w:t>Do sada nije praćen. Definisati metodologiju i otpočeti sa praćenjem.</w:t>
            </w:r>
          </w:p>
        </w:tc>
      </w:tr>
      <w:tr w:rsidR="00E8742D" w:rsidRPr="00B77B54" w14:paraId="7D4376EF" w14:textId="77777777" w:rsidTr="00E061A5">
        <w:tc>
          <w:tcPr>
            <w:tcW w:w="464" w:type="dxa"/>
          </w:tcPr>
          <w:p w14:paraId="1CBA8D87" w14:textId="77777777" w:rsidR="00E8742D" w:rsidRPr="00B77B54" w:rsidRDefault="00E8742D" w:rsidP="00BC72C2">
            <w:pPr>
              <w:rPr>
                <w:rFonts w:asciiTheme="majorHAnsi" w:hAnsiTheme="majorHAnsi"/>
              </w:rPr>
            </w:pPr>
          </w:p>
        </w:tc>
        <w:tc>
          <w:tcPr>
            <w:tcW w:w="1752" w:type="dxa"/>
          </w:tcPr>
          <w:p w14:paraId="3BD43B60" w14:textId="77777777" w:rsidR="00E8742D" w:rsidRPr="00B77B54" w:rsidRDefault="00E8742D" w:rsidP="00BC72C2">
            <w:pPr>
              <w:rPr>
                <w:rFonts w:asciiTheme="majorHAnsi" w:hAnsiTheme="majorHAnsi"/>
                <w:bCs/>
              </w:rPr>
            </w:pPr>
            <w:r w:rsidRPr="00B77B54">
              <w:rPr>
                <w:rFonts w:asciiTheme="majorHAnsi" w:hAnsiTheme="majorHAnsi"/>
                <w:bCs/>
              </w:rPr>
              <w:t>Dodatni indikatori</w:t>
            </w:r>
          </w:p>
        </w:tc>
        <w:tc>
          <w:tcPr>
            <w:tcW w:w="2287" w:type="dxa"/>
          </w:tcPr>
          <w:p w14:paraId="57F6A8B7" w14:textId="77777777" w:rsidR="00E8742D" w:rsidRPr="00B77B54" w:rsidRDefault="00E8742D" w:rsidP="00BC72C2">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GDP koji se troši na obrazovanje</w:t>
            </w:r>
          </w:p>
        </w:tc>
        <w:tc>
          <w:tcPr>
            <w:tcW w:w="2126" w:type="dxa"/>
          </w:tcPr>
          <w:p w14:paraId="2CB36254" w14:textId="77777777" w:rsidR="00E8742D" w:rsidRPr="00B77B54" w:rsidRDefault="00E8742D" w:rsidP="00BC72C2">
            <w:pPr>
              <w:rPr>
                <w:rFonts w:asciiTheme="majorHAnsi" w:hAnsiTheme="majorHAnsi"/>
                <w:sz w:val="16"/>
                <w:szCs w:val="16"/>
              </w:rPr>
            </w:pPr>
            <w:r w:rsidRPr="00B77B54">
              <w:rPr>
                <w:rFonts w:asciiTheme="majorHAnsi" w:hAnsiTheme="majorHAnsi"/>
                <w:sz w:val="16"/>
                <w:szCs w:val="16"/>
              </w:rPr>
              <w:t>YDI</w:t>
            </w:r>
          </w:p>
          <w:p w14:paraId="78CFEEEE" w14:textId="77777777" w:rsidR="00E8742D" w:rsidRPr="00B77B54" w:rsidRDefault="00E8742D" w:rsidP="00BC72C2">
            <w:pPr>
              <w:rPr>
                <w:rFonts w:asciiTheme="majorHAnsi" w:hAnsiTheme="majorHAnsi"/>
                <w:sz w:val="16"/>
                <w:szCs w:val="16"/>
              </w:rPr>
            </w:pPr>
            <w:r w:rsidRPr="00B77B54">
              <w:rPr>
                <w:rFonts w:asciiTheme="majorHAnsi" w:hAnsiTheme="majorHAnsi"/>
                <w:sz w:val="16"/>
                <w:szCs w:val="16"/>
              </w:rPr>
              <w:t>YWI</w:t>
            </w:r>
          </w:p>
          <w:p w14:paraId="5C0E0610" w14:textId="77777777" w:rsidR="00E8742D" w:rsidRPr="00B77B54" w:rsidRDefault="00E8742D" w:rsidP="00BC72C2">
            <w:pPr>
              <w:rPr>
                <w:rFonts w:asciiTheme="majorHAnsi" w:hAnsiTheme="majorHAnsi"/>
                <w:sz w:val="16"/>
                <w:szCs w:val="16"/>
              </w:rPr>
            </w:pPr>
            <w:r w:rsidRPr="00B77B54">
              <w:rPr>
                <w:rFonts w:asciiTheme="majorHAnsi" w:hAnsiTheme="majorHAnsi"/>
                <w:sz w:val="16"/>
                <w:szCs w:val="16"/>
              </w:rPr>
              <w:t>WB</w:t>
            </w:r>
          </w:p>
        </w:tc>
        <w:tc>
          <w:tcPr>
            <w:tcW w:w="2721" w:type="dxa"/>
          </w:tcPr>
          <w:p w14:paraId="503ADD2A" w14:textId="4E2B624E" w:rsidR="00E8742D" w:rsidRPr="00B77B54" w:rsidRDefault="00E8742D" w:rsidP="00F8633D">
            <w:pPr>
              <w:rPr>
                <w:rFonts w:asciiTheme="majorHAnsi" w:hAnsiTheme="majorHAnsi"/>
                <w:sz w:val="16"/>
                <w:szCs w:val="16"/>
              </w:rPr>
            </w:pPr>
            <w:r w:rsidRPr="00B77B54">
              <w:rPr>
                <w:rFonts w:asciiTheme="majorHAnsi" w:hAnsiTheme="majorHAnsi"/>
                <w:b/>
                <w:sz w:val="16"/>
                <w:szCs w:val="16"/>
              </w:rPr>
              <w:t>NACIONALNI INDIKATOR</w:t>
            </w:r>
          </w:p>
        </w:tc>
      </w:tr>
      <w:tr w:rsidR="00E8742D" w:rsidRPr="00B77B54" w14:paraId="4C265D3F" w14:textId="77777777" w:rsidTr="00E061A5">
        <w:tc>
          <w:tcPr>
            <w:tcW w:w="464" w:type="dxa"/>
          </w:tcPr>
          <w:p w14:paraId="2036B77F" w14:textId="77777777" w:rsidR="00E8742D" w:rsidRPr="00B77B54" w:rsidRDefault="00E8742D" w:rsidP="00FF3BCB">
            <w:pPr>
              <w:rPr>
                <w:rFonts w:asciiTheme="majorHAnsi" w:hAnsiTheme="majorHAnsi"/>
              </w:rPr>
            </w:pPr>
          </w:p>
        </w:tc>
        <w:tc>
          <w:tcPr>
            <w:tcW w:w="1752" w:type="dxa"/>
          </w:tcPr>
          <w:p w14:paraId="6E2A4299" w14:textId="77777777" w:rsidR="00E8742D" w:rsidRPr="00B77B54" w:rsidRDefault="00E8742D" w:rsidP="00FF3BCB">
            <w:pPr>
              <w:rPr>
                <w:rFonts w:asciiTheme="majorHAnsi" w:hAnsiTheme="majorHAnsi"/>
                <w:bCs/>
              </w:rPr>
            </w:pPr>
            <w:r w:rsidRPr="00B77B54">
              <w:rPr>
                <w:rFonts w:asciiTheme="majorHAnsi" w:hAnsiTheme="majorHAnsi"/>
                <w:bCs/>
              </w:rPr>
              <w:t>Dodatni indikatori</w:t>
            </w:r>
          </w:p>
        </w:tc>
        <w:tc>
          <w:tcPr>
            <w:tcW w:w="2287" w:type="dxa"/>
          </w:tcPr>
          <w:p w14:paraId="6649E203" w14:textId="06910831" w:rsidR="00E8742D" w:rsidRPr="00B77B54" w:rsidRDefault="00873565" w:rsidP="00FF3BCB">
            <w:pPr>
              <w:rPr>
                <w:rFonts w:asciiTheme="majorHAnsi" w:hAnsiTheme="majorHAnsi"/>
                <w:sz w:val="16"/>
                <w:szCs w:val="16"/>
              </w:rPr>
            </w:pPr>
            <w:r w:rsidRPr="00B77B54">
              <w:rPr>
                <w:rFonts w:asciiTheme="majorHAnsi" w:hAnsiTheme="majorHAnsi"/>
                <w:sz w:val="16"/>
                <w:szCs w:val="16"/>
              </w:rPr>
              <w:t>U</w:t>
            </w:r>
            <w:r w:rsidRPr="00B77B54">
              <w:rPr>
                <w:rFonts w:asciiTheme="majorHAnsi" w:hAnsiTheme="majorHAnsi"/>
                <w:sz w:val="16"/>
                <w:szCs w:val="16"/>
                <w:lang w:val="sr-Latn-ME"/>
              </w:rPr>
              <w:t>čenici/ce</w:t>
            </w:r>
            <w:r w:rsidR="00E8742D" w:rsidRPr="00B77B54">
              <w:rPr>
                <w:rFonts w:asciiTheme="majorHAnsi" w:hAnsiTheme="majorHAnsi"/>
                <w:sz w:val="16"/>
                <w:szCs w:val="16"/>
              </w:rPr>
              <w:t>koji postižu slabe rezultate iz čitanja, matematike i nauke</w:t>
            </w:r>
          </w:p>
          <w:p w14:paraId="3B7085CD" w14:textId="77777777" w:rsidR="00E8742D" w:rsidRPr="00B77B54" w:rsidRDefault="00E8742D" w:rsidP="00FF3BCB">
            <w:pPr>
              <w:rPr>
                <w:rFonts w:asciiTheme="majorHAnsi" w:hAnsiTheme="majorHAnsi"/>
                <w:sz w:val="16"/>
                <w:szCs w:val="16"/>
              </w:rPr>
            </w:pPr>
          </w:p>
          <w:p w14:paraId="66C9D4D9" w14:textId="51CC86A8" w:rsidR="00E8742D" w:rsidRPr="00B77B54" w:rsidRDefault="00E8742D" w:rsidP="00E8742D">
            <w:pPr>
              <w:autoSpaceDE w:val="0"/>
              <w:autoSpaceDN w:val="0"/>
              <w:adjustRightInd w:val="0"/>
              <w:rPr>
                <w:rFonts w:asciiTheme="majorHAnsi" w:hAnsiTheme="majorHAnsi"/>
                <w:sz w:val="16"/>
                <w:szCs w:val="16"/>
              </w:rPr>
            </w:pPr>
            <w:r w:rsidRPr="00B77B54">
              <w:rPr>
                <w:rFonts w:asciiTheme="majorHAnsi" w:hAnsiTheme="majorHAnsi" w:cs="Times New Roman"/>
                <w:sz w:val="16"/>
                <w:szCs w:val="16"/>
              </w:rPr>
              <w:t>Procenat petnaestogodišnjaka</w:t>
            </w:r>
            <w:r w:rsidR="00873565" w:rsidRPr="00B77B54">
              <w:rPr>
                <w:rFonts w:asciiTheme="majorHAnsi" w:hAnsiTheme="majorHAnsi" w:cs="Times New Roman"/>
                <w:sz w:val="16"/>
                <w:szCs w:val="16"/>
              </w:rPr>
              <w:t>/kinja</w:t>
            </w:r>
            <w:r w:rsidRPr="00B77B54">
              <w:rPr>
                <w:rFonts w:asciiTheme="majorHAnsi" w:hAnsiTheme="majorHAnsi" w:cs="Times New Roman"/>
                <w:sz w:val="16"/>
                <w:szCs w:val="16"/>
              </w:rPr>
              <w:t>koji imaju skor 1 ili m</w:t>
            </w:r>
            <w:r w:rsidR="0090791B" w:rsidRPr="00B77B54">
              <w:rPr>
                <w:rFonts w:asciiTheme="majorHAnsi" w:hAnsiTheme="majorHAnsi" w:cs="Times New Roman"/>
                <w:sz w:val="16"/>
                <w:szCs w:val="16"/>
              </w:rPr>
              <w:t>f</w:t>
            </w:r>
            <w:r w:rsidRPr="00B77B54">
              <w:rPr>
                <w:rFonts w:asciiTheme="majorHAnsi" w:hAnsiTheme="majorHAnsi" w:cs="Times New Roman"/>
                <w:sz w:val="16"/>
                <w:szCs w:val="16"/>
              </w:rPr>
              <w:t>anje na PISA testiranju</w:t>
            </w:r>
          </w:p>
          <w:p w14:paraId="67F77EB1" w14:textId="77777777" w:rsidR="00E8742D" w:rsidRPr="00B77B54" w:rsidRDefault="00E8742D" w:rsidP="00FF3BCB">
            <w:pPr>
              <w:rPr>
                <w:rFonts w:asciiTheme="majorHAnsi" w:hAnsiTheme="majorHAnsi"/>
                <w:sz w:val="16"/>
                <w:szCs w:val="16"/>
              </w:rPr>
            </w:pPr>
          </w:p>
        </w:tc>
        <w:tc>
          <w:tcPr>
            <w:tcW w:w="2126" w:type="dxa"/>
          </w:tcPr>
          <w:p w14:paraId="1CC441CA" w14:textId="77777777" w:rsidR="00E8742D" w:rsidRPr="00B77B54" w:rsidRDefault="00E8742D" w:rsidP="00FF3BCB">
            <w:pPr>
              <w:rPr>
                <w:rFonts w:asciiTheme="majorHAnsi" w:hAnsiTheme="majorHAnsi"/>
                <w:sz w:val="16"/>
                <w:szCs w:val="16"/>
              </w:rPr>
            </w:pPr>
            <w:r w:rsidRPr="00B77B54">
              <w:rPr>
                <w:rFonts w:asciiTheme="majorHAnsi" w:hAnsiTheme="majorHAnsi"/>
                <w:sz w:val="16"/>
                <w:szCs w:val="16"/>
              </w:rPr>
              <w:t>OECD – PISA</w:t>
            </w:r>
          </w:p>
          <w:p w14:paraId="301CB508" w14:textId="77777777" w:rsidR="00E8742D" w:rsidRPr="00B77B54" w:rsidRDefault="00E8742D" w:rsidP="00FF3BCB">
            <w:pPr>
              <w:rPr>
                <w:rFonts w:asciiTheme="majorHAnsi" w:hAnsiTheme="majorHAnsi"/>
                <w:sz w:val="16"/>
                <w:szCs w:val="16"/>
              </w:rPr>
            </w:pPr>
          </w:p>
          <w:p w14:paraId="5859B4CB" w14:textId="608C8A98" w:rsidR="00E8742D" w:rsidRPr="00B77B54" w:rsidRDefault="00E8742D" w:rsidP="00E8742D">
            <w:pPr>
              <w:rPr>
                <w:rFonts w:asciiTheme="majorHAnsi" w:hAnsiTheme="majorHAnsi"/>
                <w:sz w:val="16"/>
                <w:szCs w:val="16"/>
              </w:rPr>
            </w:pPr>
          </w:p>
        </w:tc>
        <w:tc>
          <w:tcPr>
            <w:tcW w:w="2721" w:type="dxa"/>
          </w:tcPr>
          <w:p w14:paraId="0479B521" w14:textId="77777777" w:rsidR="00E8742D" w:rsidRPr="00B77B54" w:rsidRDefault="00E8742D" w:rsidP="00FF3BCB">
            <w:pPr>
              <w:rPr>
                <w:rFonts w:asciiTheme="majorHAnsi" w:hAnsiTheme="majorHAnsi"/>
                <w:sz w:val="16"/>
                <w:szCs w:val="16"/>
              </w:rPr>
            </w:pPr>
          </w:p>
        </w:tc>
      </w:tr>
    </w:tbl>
    <w:p w14:paraId="76D424CE" w14:textId="77777777" w:rsidR="0074603B" w:rsidRPr="00B77B54" w:rsidRDefault="0074603B" w:rsidP="00F218A8"/>
    <w:p w14:paraId="4394FAC2" w14:textId="77777777" w:rsidR="00301201" w:rsidRPr="00B77B54" w:rsidRDefault="00301201" w:rsidP="00F218A8"/>
    <w:p w14:paraId="4564AB22" w14:textId="77777777" w:rsidR="00301201" w:rsidRPr="00B77B54" w:rsidRDefault="00301201" w:rsidP="00487714">
      <w:pPr>
        <w:pStyle w:val="Heading2"/>
      </w:pPr>
      <w:r w:rsidRPr="00B77B54">
        <w:t>C Mladi su aktivni građani, uključeni, motivisani, proaktivni i učestvuju u procesima donošenja odluka, razvoja zajednice, u kreiranju politika i njihovom sprovođenju</w:t>
      </w:r>
    </w:p>
    <w:tbl>
      <w:tblPr>
        <w:tblStyle w:val="TableGrid"/>
        <w:tblW w:w="0" w:type="auto"/>
        <w:tblLook w:val="04A0" w:firstRow="1" w:lastRow="0" w:firstColumn="1" w:lastColumn="0" w:noHBand="0" w:noVBand="1"/>
      </w:tblPr>
      <w:tblGrid>
        <w:gridCol w:w="468"/>
        <w:gridCol w:w="1748"/>
        <w:gridCol w:w="2611"/>
        <w:gridCol w:w="1866"/>
        <w:gridCol w:w="2883"/>
      </w:tblGrid>
      <w:tr w:rsidR="00301201" w:rsidRPr="00B77B54" w14:paraId="42470746" w14:textId="77777777" w:rsidTr="00925F61">
        <w:tc>
          <w:tcPr>
            <w:tcW w:w="464" w:type="dxa"/>
            <w:shd w:val="clear" w:color="auto" w:fill="7030A0"/>
          </w:tcPr>
          <w:p w14:paraId="42061C35" w14:textId="77777777" w:rsidR="00301201" w:rsidRPr="00B77B54" w:rsidRDefault="00301201" w:rsidP="00BC72C2">
            <w:pPr>
              <w:rPr>
                <w:rFonts w:asciiTheme="majorHAnsi" w:hAnsiTheme="majorHAnsi"/>
                <w:b/>
                <w:color w:val="FFFFFF" w:themeColor="background1"/>
              </w:rPr>
            </w:pPr>
            <w:r w:rsidRPr="00B77B54">
              <w:rPr>
                <w:rFonts w:asciiTheme="majorHAnsi" w:hAnsiTheme="majorHAnsi"/>
                <w:b/>
                <w:color w:val="FFFFFF" w:themeColor="background1"/>
              </w:rPr>
              <w:t>C</w:t>
            </w:r>
          </w:p>
        </w:tc>
        <w:tc>
          <w:tcPr>
            <w:tcW w:w="8886" w:type="dxa"/>
            <w:gridSpan w:val="4"/>
            <w:shd w:val="clear" w:color="auto" w:fill="7030A0"/>
          </w:tcPr>
          <w:p w14:paraId="7F74E375" w14:textId="77777777" w:rsidR="00301201" w:rsidRPr="00B77B54" w:rsidRDefault="00301201" w:rsidP="00BC72C2">
            <w:pPr>
              <w:rPr>
                <w:rFonts w:asciiTheme="majorHAnsi" w:hAnsiTheme="majorHAnsi"/>
                <w:b/>
                <w:color w:val="FFFFFF" w:themeColor="background1"/>
              </w:rPr>
            </w:pPr>
            <w:r w:rsidRPr="00B77B54">
              <w:rPr>
                <w:rFonts w:asciiTheme="majorHAnsi" w:hAnsiTheme="majorHAnsi"/>
                <w:b/>
                <w:color w:val="FFFFFF" w:themeColor="background1"/>
              </w:rPr>
              <w:t xml:space="preserve">Mladi su aktivni građani, uključeni, motivisani, proaktivni i učestvuju u procesima donošenja odluka, </w:t>
            </w:r>
            <w:r w:rsidRPr="00B77B54">
              <w:rPr>
                <w:rFonts w:asciiTheme="majorHAnsi" w:hAnsiTheme="majorHAnsi"/>
                <w:b/>
                <w:color w:val="FFFFFF" w:themeColor="background1"/>
              </w:rPr>
              <w:lastRenderedPageBreak/>
              <w:t>razvoja zajednice, u kreiranju politika i njihovom sprovođenju</w:t>
            </w:r>
          </w:p>
        </w:tc>
      </w:tr>
      <w:tr w:rsidR="00BA3681" w:rsidRPr="00B77B54" w14:paraId="78BDE085" w14:textId="77777777" w:rsidTr="000B26FF">
        <w:tc>
          <w:tcPr>
            <w:tcW w:w="464" w:type="dxa"/>
            <w:shd w:val="clear" w:color="auto" w:fill="auto"/>
          </w:tcPr>
          <w:p w14:paraId="39EEE75D" w14:textId="77777777" w:rsidR="00BA3681" w:rsidRPr="00B77B54" w:rsidRDefault="00BA3681" w:rsidP="00BA3681">
            <w:pPr>
              <w:rPr>
                <w:rFonts w:asciiTheme="majorHAnsi" w:hAnsiTheme="majorHAnsi"/>
                <w:b/>
              </w:rPr>
            </w:pPr>
            <w:r w:rsidRPr="00B77B54">
              <w:lastRenderedPageBreak/>
              <w:t>Br.</w:t>
            </w:r>
          </w:p>
        </w:tc>
        <w:tc>
          <w:tcPr>
            <w:tcW w:w="1752" w:type="dxa"/>
            <w:shd w:val="clear" w:color="auto" w:fill="auto"/>
          </w:tcPr>
          <w:p w14:paraId="1D2EB9F2" w14:textId="77777777" w:rsidR="00BA3681" w:rsidRPr="00B77B54" w:rsidRDefault="00BA3681" w:rsidP="00BA3681">
            <w:pPr>
              <w:rPr>
                <w:rFonts w:asciiTheme="majorHAnsi" w:hAnsiTheme="majorHAnsi"/>
                <w:b/>
              </w:rPr>
            </w:pPr>
            <w:r w:rsidRPr="00B77B54">
              <w:t>Mjera</w:t>
            </w:r>
          </w:p>
        </w:tc>
        <w:tc>
          <w:tcPr>
            <w:tcW w:w="2639" w:type="dxa"/>
            <w:shd w:val="clear" w:color="auto" w:fill="auto"/>
          </w:tcPr>
          <w:p w14:paraId="24A0469E" w14:textId="77777777" w:rsidR="00BA3681" w:rsidRPr="00B77B54" w:rsidRDefault="009F302E" w:rsidP="00BA3681">
            <w:pPr>
              <w:rPr>
                <w:rFonts w:asciiTheme="majorHAnsi" w:hAnsiTheme="majorHAnsi"/>
                <w:b/>
              </w:rPr>
            </w:pPr>
            <w:r w:rsidRPr="00B77B54">
              <w:t>Indikator</w:t>
            </w:r>
          </w:p>
        </w:tc>
        <w:tc>
          <w:tcPr>
            <w:tcW w:w="1569" w:type="dxa"/>
            <w:shd w:val="clear" w:color="auto" w:fill="auto"/>
          </w:tcPr>
          <w:p w14:paraId="33C1DCBD" w14:textId="77777777" w:rsidR="00BA3681" w:rsidRPr="00B77B54" w:rsidRDefault="00BA3681" w:rsidP="00BA3681">
            <w:pPr>
              <w:rPr>
                <w:rFonts w:asciiTheme="majorHAnsi" w:hAnsiTheme="majorHAnsi"/>
                <w:b/>
              </w:rPr>
            </w:pPr>
            <w:r w:rsidRPr="00B77B54">
              <w:t>Veza sa međunarodnim indikatorima/izvor</w:t>
            </w:r>
          </w:p>
        </w:tc>
        <w:tc>
          <w:tcPr>
            <w:tcW w:w="2926" w:type="dxa"/>
            <w:shd w:val="clear" w:color="auto" w:fill="auto"/>
          </w:tcPr>
          <w:p w14:paraId="2F3E011F" w14:textId="77777777" w:rsidR="00BA3681" w:rsidRPr="00B77B54" w:rsidRDefault="00BA3681" w:rsidP="00BA3681">
            <w:pPr>
              <w:rPr>
                <w:rFonts w:asciiTheme="majorHAnsi" w:hAnsiTheme="majorHAnsi"/>
                <w:b/>
              </w:rPr>
            </w:pPr>
            <w:r w:rsidRPr="00B77B54">
              <w:t>Napomene</w:t>
            </w:r>
          </w:p>
        </w:tc>
      </w:tr>
      <w:tr w:rsidR="00444319" w:rsidRPr="00B77B54" w14:paraId="69EBE647" w14:textId="77777777" w:rsidTr="00836D98">
        <w:trPr>
          <w:trHeight w:val="2162"/>
        </w:trPr>
        <w:tc>
          <w:tcPr>
            <w:tcW w:w="464" w:type="dxa"/>
            <w:vMerge w:val="restart"/>
          </w:tcPr>
          <w:p w14:paraId="275B3B7D" w14:textId="77777777" w:rsidR="00444319" w:rsidRPr="00B77B54" w:rsidRDefault="00444319" w:rsidP="00BC72C2">
            <w:pPr>
              <w:rPr>
                <w:rFonts w:asciiTheme="majorHAnsi" w:hAnsiTheme="majorHAnsi"/>
              </w:rPr>
            </w:pPr>
            <w:r w:rsidRPr="00B77B54">
              <w:rPr>
                <w:rFonts w:asciiTheme="majorHAnsi" w:hAnsiTheme="majorHAnsi"/>
              </w:rPr>
              <w:t>1</w:t>
            </w:r>
          </w:p>
        </w:tc>
        <w:tc>
          <w:tcPr>
            <w:tcW w:w="1752" w:type="dxa"/>
            <w:vMerge w:val="restart"/>
          </w:tcPr>
          <w:p w14:paraId="7205F6E9" w14:textId="77777777" w:rsidR="00444319" w:rsidRPr="00B77B54" w:rsidRDefault="00444319" w:rsidP="00BC72C2">
            <w:pPr>
              <w:rPr>
                <w:rFonts w:asciiTheme="majorHAnsi" w:hAnsiTheme="majorHAnsi"/>
                <w:bCs/>
              </w:rPr>
            </w:pPr>
            <w:r w:rsidRPr="00B77B54">
              <w:rPr>
                <w:rFonts w:asciiTheme="majorHAnsi" w:hAnsiTheme="majorHAnsi"/>
              </w:rPr>
              <w:t>Razvoj kulture učešća mladih</w:t>
            </w:r>
          </w:p>
        </w:tc>
        <w:tc>
          <w:tcPr>
            <w:tcW w:w="2639" w:type="dxa"/>
          </w:tcPr>
          <w:p w14:paraId="69DE33F1" w14:textId="77777777" w:rsidR="00444319" w:rsidRPr="00B77B54" w:rsidRDefault="00836D98" w:rsidP="00836D98">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Učešće mladih ljudi na lokalnim, regionalnim, nacionalnim i evropskim parlamentarnim izborima</w:t>
            </w:r>
          </w:p>
          <w:p w14:paraId="0C7B8297" w14:textId="77777777" w:rsidR="00444319" w:rsidRPr="00B77B54" w:rsidRDefault="00444319" w:rsidP="00BC72C2">
            <w:pPr>
              <w:rPr>
                <w:rFonts w:asciiTheme="majorHAnsi" w:hAnsiTheme="majorHAnsi" w:cs="Times New Roman"/>
                <w:sz w:val="16"/>
                <w:szCs w:val="16"/>
              </w:rPr>
            </w:pPr>
          </w:p>
          <w:p w14:paraId="794D8CC1" w14:textId="77777777" w:rsidR="00444319" w:rsidRPr="00B77B54" w:rsidRDefault="00836D98" w:rsidP="00836D98">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Procenat mladih ljudi od </w:t>
            </w:r>
            <w:r w:rsidR="00444319" w:rsidRPr="00B77B54">
              <w:rPr>
                <w:rFonts w:asciiTheme="majorHAnsi" w:hAnsiTheme="majorHAnsi" w:cs="Times New Roman"/>
                <w:sz w:val="16"/>
                <w:szCs w:val="16"/>
              </w:rPr>
              <w:t xml:space="preserve">18-30 </w:t>
            </w:r>
            <w:r w:rsidRPr="00B77B54">
              <w:rPr>
                <w:rFonts w:asciiTheme="majorHAnsi" w:hAnsiTheme="majorHAnsi" w:cs="Times New Roman"/>
                <w:sz w:val="16"/>
                <w:szCs w:val="16"/>
              </w:rPr>
              <w:t>godina koji kažu da su učestvovali na lokalnim, regionalnim, nacionalnim i evropskim parlamentarnim izborima u posljednje tri godine</w:t>
            </w:r>
          </w:p>
          <w:p w14:paraId="2F1DC745" w14:textId="77777777" w:rsidR="00444319" w:rsidRPr="00B77B54" w:rsidRDefault="00444319" w:rsidP="00BC72C2">
            <w:pPr>
              <w:rPr>
                <w:rFonts w:asciiTheme="majorHAnsi" w:hAnsiTheme="majorHAnsi"/>
                <w:sz w:val="16"/>
                <w:szCs w:val="16"/>
              </w:rPr>
            </w:pPr>
          </w:p>
        </w:tc>
        <w:tc>
          <w:tcPr>
            <w:tcW w:w="1569" w:type="dxa"/>
          </w:tcPr>
          <w:p w14:paraId="24725EFC" w14:textId="77777777" w:rsidR="00444319" w:rsidRPr="00B77B54" w:rsidRDefault="00836D98" w:rsidP="00BC72C2">
            <w:pPr>
              <w:rPr>
                <w:rFonts w:asciiTheme="majorHAnsi" w:hAnsiTheme="majorHAnsi"/>
                <w:sz w:val="16"/>
                <w:szCs w:val="16"/>
              </w:rPr>
            </w:pPr>
            <w:r w:rsidRPr="00B77B54">
              <w:rPr>
                <w:rFonts w:asciiTheme="majorHAnsi" w:hAnsiTheme="majorHAnsi" w:cs="Times New Roman"/>
                <w:sz w:val="16"/>
                <w:szCs w:val="16"/>
              </w:rPr>
              <w:t>Kratki eurobarometar o mladima</w:t>
            </w:r>
          </w:p>
        </w:tc>
        <w:tc>
          <w:tcPr>
            <w:tcW w:w="2926" w:type="dxa"/>
          </w:tcPr>
          <w:p w14:paraId="52B2B6DF" w14:textId="77777777" w:rsidR="00444319" w:rsidRPr="00B77B54" w:rsidRDefault="00444319" w:rsidP="00AD688C">
            <w:pPr>
              <w:rPr>
                <w:rFonts w:asciiTheme="majorHAnsi" w:hAnsiTheme="majorHAnsi"/>
                <w:b/>
                <w:i/>
                <w:sz w:val="16"/>
                <w:szCs w:val="16"/>
              </w:rPr>
            </w:pPr>
            <w:r w:rsidRPr="00B77B54">
              <w:rPr>
                <w:rFonts w:asciiTheme="majorHAnsi" w:hAnsiTheme="majorHAnsi"/>
                <w:b/>
                <w:i/>
                <w:sz w:val="16"/>
                <w:szCs w:val="16"/>
              </w:rPr>
              <w:t xml:space="preserve">Crna Gora nije </w:t>
            </w:r>
            <w:r w:rsidR="00836D98" w:rsidRPr="00B77B54">
              <w:rPr>
                <w:rFonts w:asciiTheme="majorHAnsi" w:hAnsiTheme="majorHAnsi"/>
                <w:b/>
                <w:i/>
                <w:sz w:val="16"/>
                <w:szCs w:val="16"/>
              </w:rPr>
              <w:t xml:space="preserve">bila </w:t>
            </w:r>
            <w:r w:rsidRPr="00B77B54">
              <w:rPr>
                <w:rFonts w:asciiTheme="majorHAnsi" w:hAnsiTheme="majorHAnsi"/>
                <w:b/>
                <w:i/>
                <w:sz w:val="16"/>
                <w:szCs w:val="16"/>
              </w:rPr>
              <w:t xml:space="preserve">uključena. Sprovesti istraživanje na nacionalnom nivou. </w:t>
            </w:r>
          </w:p>
          <w:p w14:paraId="2D1E743C" w14:textId="77777777" w:rsidR="00836D98" w:rsidRPr="00B77B54" w:rsidRDefault="00444319" w:rsidP="00AD688C">
            <w:pPr>
              <w:rPr>
                <w:rFonts w:asciiTheme="majorHAnsi" w:hAnsiTheme="majorHAnsi"/>
                <w:sz w:val="16"/>
                <w:szCs w:val="16"/>
              </w:rPr>
            </w:pPr>
            <w:r w:rsidRPr="00B77B54">
              <w:rPr>
                <w:rFonts w:asciiTheme="majorHAnsi" w:hAnsiTheme="majorHAnsi"/>
                <w:i/>
                <w:sz w:val="16"/>
                <w:szCs w:val="16"/>
              </w:rPr>
              <w:t>Dodati nacionalnu disagregaciju po regionu, rodu, u odnosu na pripadnost ranjivim kategorijama</w:t>
            </w:r>
            <w:r w:rsidRPr="00B77B54">
              <w:rPr>
                <w:rFonts w:asciiTheme="majorHAnsi" w:hAnsiTheme="majorHAnsi"/>
                <w:sz w:val="16"/>
                <w:szCs w:val="16"/>
              </w:rPr>
              <w:t xml:space="preserve"> </w:t>
            </w:r>
          </w:p>
          <w:p w14:paraId="045DF8DE" w14:textId="77777777" w:rsidR="00836D98" w:rsidRPr="00B77B54" w:rsidRDefault="00836D98" w:rsidP="00AD688C">
            <w:pPr>
              <w:rPr>
                <w:rFonts w:asciiTheme="majorHAnsi" w:hAnsiTheme="majorHAnsi"/>
                <w:sz w:val="16"/>
                <w:szCs w:val="16"/>
              </w:rPr>
            </w:pPr>
            <w:r w:rsidRPr="00B77B54">
              <w:rPr>
                <w:rFonts w:asciiTheme="majorHAnsi" w:hAnsiTheme="majorHAnsi"/>
                <w:sz w:val="16"/>
                <w:szCs w:val="16"/>
              </w:rPr>
              <w:t>Eliminisati iz pitanja regionalne i evropske izbore.</w:t>
            </w:r>
          </w:p>
          <w:p w14:paraId="242112AC" w14:textId="77777777" w:rsidR="00836D98" w:rsidRPr="00B77B54" w:rsidRDefault="00836D98" w:rsidP="00AD688C">
            <w:pPr>
              <w:rPr>
                <w:rFonts w:asciiTheme="majorHAnsi" w:hAnsiTheme="majorHAnsi"/>
                <w:sz w:val="16"/>
                <w:szCs w:val="16"/>
              </w:rPr>
            </w:pPr>
          </w:p>
          <w:p w14:paraId="23D628E7" w14:textId="77777777" w:rsidR="00444319" w:rsidRPr="00B77B54" w:rsidRDefault="00444319" w:rsidP="00BC72C2">
            <w:pPr>
              <w:rPr>
                <w:rFonts w:asciiTheme="majorHAnsi" w:hAnsiTheme="majorHAnsi"/>
                <w:sz w:val="16"/>
                <w:szCs w:val="16"/>
              </w:rPr>
            </w:pPr>
            <w:r w:rsidRPr="00B77B54">
              <w:rPr>
                <w:rFonts w:asciiTheme="majorHAnsi" w:hAnsiTheme="majorHAnsi"/>
                <w:sz w:val="16"/>
                <w:szCs w:val="16"/>
              </w:rPr>
              <w:t>Dodatno ovdje se može koristiti postizborna studija CSES (</w:t>
            </w:r>
            <w:hyperlink r:id="rId11" w:history="1">
              <w:r w:rsidRPr="00B77B54">
                <w:rPr>
                  <w:rStyle w:val="Hyperlink"/>
                  <w:rFonts w:asciiTheme="majorHAnsi" w:hAnsiTheme="majorHAnsi"/>
                  <w:sz w:val="16"/>
                  <w:szCs w:val="16"/>
                </w:rPr>
                <w:t>www.cses.org</w:t>
              </w:r>
            </w:hyperlink>
            <w:r w:rsidRPr="00B77B54">
              <w:rPr>
                <w:rFonts w:asciiTheme="majorHAnsi" w:hAnsiTheme="majorHAnsi"/>
                <w:sz w:val="16"/>
                <w:szCs w:val="16"/>
              </w:rPr>
              <w:t>) koja se sprovodi u C</w:t>
            </w:r>
            <w:r w:rsidR="00836D98" w:rsidRPr="00B77B54">
              <w:rPr>
                <w:rFonts w:asciiTheme="majorHAnsi" w:hAnsiTheme="majorHAnsi"/>
                <w:sz w:val="16"/>
                <w:szCs w:val="16"/>
              </w:rPr>
              <w:t>rnoj Gori posle parlamentarnih izbora</w:t>
            </w:r>
          </w:p>
        </w:tc>
      </w:tr>
      <w:tr w:rsidR="00444319" w:rsidRPr="00B77B54" w14:paraId="43E76DAD" w14:textId="77777777" w:rsidTr="00836D98">
        <w:trPr>
          <w:trHeight w:val="806"/>
        </w:trPr>
        <w:tc>
          <w:tcPr>
            <w:tcW w:w="464" w:type="dxa"/>
            <w:vMerge/>
          </w:tcPr>
          <w:p w14:paraId="19EE331F" w14:textId="77777777" w:rsidR="00444319" w:rsidRPr="00B77B54" w:rsidRDefault="00444319" w:rsidP="00BC72C2">
            <w:pPr>
              <w:rPr>
                <w:rFonts w:asciiTheme="majorHAnsi" w:hAnsiTheme="majorHAnsi"/>
              </w:rPr>
            </w:pPr>
          </w:p>
        </w:tc>
        <w:tc>
          <w:tcPr>
            <w:tcW w:w="1752" w:type="dxa"/>
            <w:vMerge/>
          </w:tcPr>
          <w:p w14:paraId="622BF35E" w14:textId="77777777" w:rsidR="00444319" w:rsidRPr="00B77B54" w:rsidRDefault="00444319" w:rsidP="00BC72C2">
            <w:pPr>
              <w:rPr>
                <w:rFonts w:asciiTheme="majorHAnsi" w:hAnsiTheme="majorHAnsi"/>
              </w:rPr>
            </w:pPr>
          </w:p>
        </w:tc>
        <w:tc>
          <w:tcPr>
            <w:tcW w:w="2639" w:type="dxa"/>
          </w:tcPr>
          <w:p w14:paraId="4B244573" w14:textId="77777777" w:rsidR="00444319" w:rsidRPr="00B77B54" w:rsidRDefault="00444319" w:rsidP="00BC72C2">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 </w:t>
            </w:r>
            <w:r w:rsidR="00836D98" w:rsidRPr="00B77B54">
              <w:rPr>
                <w:rFonts w:asciiTheme="majorHAnsi" w:hAnsiTheme="majorHAnsi" w:cs="Times New Roman"/>
                <w:sz w:val="16"/>
                <w:szCs w:val="16"/>
              </w:rPr>
              <w:t>adolescenata koji smatra da su njihovi stavovi uzeti u obzir ozbiljno prilikom donošenja odluka kod kuće, u školi ili u zajednici</w:t>
            </w:r>
          </w:p>
        </w:tc>
        <w:tc>
          <w:tcPr>
            <w:tcW w:w="1569" w:type="dxa"/>
          </w:tcPr>
          <w:p w14:paraId="4989209F" w14:textId="2D799C9D" w:rsidR="00444319" w:rsidRPr="00B77B54" w:rsidRDefault="001A203F" w:rsidP="00BC72C2">
            <w:pPr>
              <w:rPr>
                <w:rFonts w:asciiTheme="majorHAnsi" w:hAnsiTheme="majorHAnsi" w:cs="Times New Roman"/>
                <w:sz w:val="16"/>
                <w:szCs w:val="16"/>
              </w:rPr>
            </w:pPr>
            <w:r w:rsidRPr="00B77B54">
              <w:rPr>
                <w:rFonts w:asciiTheme="majorHAnsi" w:hAnsiTheme="majorHAnsi"/>
                <w:sz w:val="16"/>
                <w:szCs w:val="16"/>
              </w:rPr>
              <w:t>Prijedlog</w:t>
            </w:r>
            <w:r w:rsidRPr="00B77B54">
              <w:rPr>
                <w:rFonts w:asciiTheme="majorHAnsi" w:hAnsiTheme="majorHAnsi" w:cs="Times New Roman"/>
                <w:sz w:val="16"/>
                <w:szCs w:val="16"/>
              </w:rPr>
              <w:t xml:space="preserve"> </w:t>
            </w:r>
            <w:r w:rsidR="00444319" w:rsidRPr="00B77B54">
              <w:rPr>
                <w:rFonts w:asciiTheme="majorHAnsi" w:hAnsiTheme="majorHAnsi" w:cs="Times New Roman"/>
                <w:sz w:val="16"/>
                <w:szCs w:val="16"/>
              </w:rPr>
              <w:t>UNICEF</w:t>
            </w:r>
          </w:p>
        </w:tc>
        <w:tc>
          <w:tcPr>
            <w:tcW w:w="2926" w:type="dxa"/>
          </w:tcPr>
          <w:p w14:paraId="2CB5576B" w14:textId="77777777" w:rsidR="00444319" w:rsidRPr="00B77B54" w:rsidRDefault="00444319" w:rsidP="00BC72C2">
            <w:pPr>
              <w:rPr>
                <w:rFonts w:asciiTheme="majorHAnsi" w:hAnsiTheme="majorHAnsi"/>
                <w:sz w:val="16"/>
                <w:szCs w:val="16"/>
              </w:rPr>
            </w:pPr>
          </w:p>
        </w:tc>
      </w:tr>
      <w:tr w:rsidR="00444319" w:rsidRPr="00B77B54" w14:paraId="6C0D352B" w14:textId="77777777" w:rsidTr="00444319">
        <w:trPr>
          <w:trHeight w:val="1088"/>
        </w:trPr>
        <w:tc>
          <w:tcPr>
            <w:tcW w:w="464" w:type="dxa"/>
            <w:vMerge/>
          </w:tcPr>
          <w:p w14:paraId="20675C78" w14:textId="77777777" w:rsidR="00444319" w:rsidRPr="00B77B54" w:rsidRDefault="00444319" w:rsidP="00BC72C2">
            <w:pPr>
              <w:rPr>
                <w:rFonts w:asciiTheme="majorHAnsi" w:hAnsiTheme="majorHAnsi"/>
              </w:rPr>
            </w:pPr>
          </w:p>
        </w:tc>
        <w:tc>
          <w:tcPr>
            <w:tcW w:w="1752" w:type="dxa"/>
            <w:vMerge/>
          </w:tcPr>
          <w:p w14:paraId="38531A2C" w14:textId="77777777" w:rsidR="00444319" w:rsidRPr="00B77B54" w:rsidRDefault="00444319" w:rsidP="00BC72C2">
            <w:pPr>
              <w:rPr>
                <w:rFonts w:asciiTheme="majorHAnsi" w:hAnsiTheme="majorHAnsi"/>
              </w:rPr>
            </w:pPr>
          </w:p>
        </w:tc>
        <w:tc>
          <w:tcPr>
            <w:tcW w:w="2639" w:type="dxa"/>
            <w:shd w:val="clear" w:color="auto" w:fill="auto"/>
          </w:tcPr>
          <w:p w14:paraId="671FD4C3" w14:textId="77777777" w:rsidR="00444319" w:rsidRPr="00B77B54" w:rsidRDefault="00836D98" w:rsidP="00836D98">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Učešće mladih u radu nevladinih organizacija u oblasti globalnih klimatskih promjena</w:t>
            </w:r>
            <w:r w:rsidR="00444319" w:rsidRPr="00B77B54">
              <w:rPr>
                <w:rFonts w:asciiTheme="majorHAnsi" w:hAnsiTheme="majorHAnsi" w:cs="Times New Roman"/>
                <w:sz w:val="16"/>
                <w:szCs w:val="16"/>
              </w:rPr>
              <w:t>/global</w:t>
            </w:r>
            <w:r w:rsidRPr="00B77B54">
              <w:rPr>
                <w:rFonts w:asciiTheme="majorHAnsi" w:hAnsiTheme="majorHAnsi" w:cs="Times New Roman"/>
                <w:sz w:val="16"/>
                <w:szCs w:val="16"/>
              </w:rPr>
              <w:t>nog zagrijavanja, razvojne pomoći ili ljudskim pravima</w:t>
            </w:r>
          </w:p>
        </w:tc>
        <w:tc>
          <w:tcPr>
            <w:tcW w:w="1569" w:type="dxa"/>
            <w:shd w:val="clear" w:color="auto" w:fill="auto"/>
          </w:tcPr>
          <w:p w14:paraId="4B322151" w14:textId="77777777" w:rsidR="00444319" w:rsidRPr="00B77B54" w:rsidRDefault="00836D98" w:rsidP="00BC72C2">
            <w:pPr>
              <w:rPr>
                <w:rFonts w:asciiTheme="majorHAnsi" w:hAnsiTheme="majorHAnsi" w:cs="Times New Roman"/>
                <w:sz w:val="16"/>
                <w:szCs w:val="16"/>
              </w:rPr>
            </w:pPr>
            <w:r w:rsidRPr="00B77B54">
              <w:rPr>
                <w:rFonts w:asciiTheme="majorHAnsi" w:hAnsiTheme="majorHAnsi" w:cs="Times New Roman"/>
                <w:sz w:val="16"/>
                <w:szCs w:val="16"/>
              </w:rPr>
              <w:t>Kratki eurobarometar o mladima</w:t>
            </w:r>
          </w:p>
          <w:p w14:paraId="5D351084" w14:textId="77777777" w:rsidR="00444319" w:rsidRPr="00B77B54" w:rsidRDefault="00444319" w:rsidP="00BC72C2">
            <w:pPr>
              <w:rPr>
                <w:rFonts w:asciiTheme="majorHAnsi" w:hAnsiTheme="majorHAnsi" w:cs="Times New Roman"/>
                <w:sz w:val="16"/>
                <w:szCs w:val="16"/>
              </w:rPr>
            </w:pPr>
          </w:p>
          <w:p w14:paraId="57C78DF7" w14:textId="4DB0B457" w:rsidR="00444319" w:rsidRPr="00B77B54" w:rsidRDefault="0090791B" w:rsidP="00BC72C2">
            <w:pPr>
              <w:rPr>
                <w:rFonts w:asciiTheme="majorHAnsi" w:hAnsiTheme="majorHAnsi" w:cs="Times New Roman"/>
                <w:sz w:val="16"/>
                <w:szCs w:val="16"/>
              </w:rPr>
            </w:pPr>
            <w:r w:rsidRPr="00B77B54">
              <w:rPr>
                <w:rFonts w:asciiTheme="majorHAnsi" w:hAnsiTheme="majorHAnsi" w:cs="Times New Roman"/>
                <w:sz w:val="16"/>
                <w:szCs w:val="16"/>
              </w:rPr>
              <w:t xml:space="preserve">Prijedlog </w:t>
            </w:r>
            <w:r w:rsidR="00444319" w:rsidRPr="00B77B54">
              <w:rPr>
                <w:rFonts w:asciiTheme="majorHAnsi" w:hAnsiTheme="majorHAnsi" w:cs="Times New Roman"/>
                <w:sz w:val="16"/>
                <w:szCs w:val="16"/>
              </w:rPr>
              <w:t>UNICEF:</w:t>
            </w:r>
          </w:p>
          <w:p w14:paraId="1D9E19CB" w14:textId="77777777" w:rsidR="00444319" w:rsidRPr="00B77B54" w:rsidRDefault="00732764" w:rsidP="00732764">
            <w:pPr>
              <w:rPr>
                <w:rFonts w:asciiTheme="majorHAnsi" w:hAnsiTheme="majorHAnsi" w:cs="Times New Roman"/>
                <w:sz w:val="16"/>
                <w:szCs w:val="16"/>
              </w:rPr>
            </w:pPr>
            <w:r w:rsidRPr="00B77B54">
              <w:rPr>
                <w:rFonts w:asciiTheme="majorHAnsi" w:hAnsiTheme="majorHAnsi" w:cs="Times New Roman"/>
                <w:sz w:val="16"/>
                <w:szCs w:val="16"/>
              </w:rPr>
              <w:t>Učešće mladih u sindikatima i udruženjima građana</w:t>
            </w:r>
            <w:r w:rsidR="00444319" w:rsidRPr="00B77B54">
              <w:rPr>
                <w:rFonts w:asciiTheme="majorHAnsi" w:hAnsiTheme="majorHAnsi" w:cs="Times New Roman"/>
                <w:sz w:val="16"/>
                <w:szCs w:val="16"/>
              </w:rPr>
              <w:t xml:space="preserve"> (15-19)</w:t>
            </w:r>
          </w:p>
        </w:tc>
        <w:tc>
          <w:tcPr>
            <w:tcW w:w="2926" w:type="dxa"/>
            <w:shd w:val="clear" w:color="auto" w:fill="auto"/>
          </w:tcPr>
          <w:p w14:paraId="55504B26" w14:textId="77777777" w:rsidR="00444319" w:rsidRPr="00B77B54" w:rsidRDefault="00444319" w:rsidP="0028502C">
            <w:pPr>
              <w:rPr>
                <w:rFonts w:asciiTheme="majorHAnsi" w:hAnsiTheme="majorHAnsi"/>
                <w:b/>
                <w:i/>
                <w:sz w:val="16"/>
                <w:szCs w:val="16"/>
              </w:rPr>
            </w:pPr>
            <w:r w:rsidRPr="00B77B54">
              <w:rPr>
                <w:rFonts w:asciiTheme="majorHAnsi" w:hAnsiTheme="majorHAnsi"/>
                <w:b/>
                <w:i/>
                <w:sz w:val="16"/>
                <w:szCs w:val="16"/>
              </w:rPr>
              <w:t xml:space="preserve">Crna Gora nije </w:t>
            </w:r>
            <w:r w:rsidR="00732764" w:rsidRPr="00B77B54">
              <w:rPr>
                <w:rFonts w:asciiTheme="majorHAnsi" w:hAnsiTheme="majorHAnsi"/>
                <w:b/>
                <w:i/>
                <w:sz w:val="16"/>
                <w:szCs w:val="16"/>
              </w:rPr>
              <w:t xml:space="preserve">bila </w:t>
            </w:r>
            <w:r w:rsidRPr="00B77B54">
              <w:rPr>
                <w:rFonts w:asciiTheme="majorHAnsi" w:hAnsiTheme="majorHAnsi"/>
                <w:b/>
                <w:i/>
                <w:sz w:val="16"/>
                <w:szCs w:val="16"/>
              </w:rPr>
              <w:t xml:space="preserve">uključena. Sprovesti istraživanje na nacionalnom nivou. </w:t>
            </w:r>
          </w:p>
          <w:p w14:paraId="045FD8CF" w14:textId="77777777" w:rsidR="00444319" w:rsidRPr="00B77B54" w:rsidRDefault="00732764" w:rsidP="00BC72C2">
            <w:pPr>
              <w:rPr>
                <w:rFonts w:asciiTheme="majorHAnsi" w:hAnsiTheme="majorHAnsi"/>
                <w:sz w:val="16"/>
                <w:szCs w:val="16"/>
              </w:rPr>
            </w:pPr>
            <w:r w:rsidRPr="00B77B54">
              <w:rPr>
                <w:rFonts w:asciiTheme="majorHAnsi" w:hAnsiTheme="majorHAnsi"/>
                <w:i/>
                <w:sz w:val="16"/>
                <w:szCs w:val="16"/>
              </w:rPr>
              <w:t>Dodati nacionalnu disagregaciju po regionu, rodu, u odnosu na pripadnost ranjivim kategorijama</w:t>
            </w:r>
          </w:p>
        </w:tc>
      </w:tr>
      <w:tr w:rsidR="00444319" w:rsidRPr="00B77B54" w14:paraId="1BBE6425" w14:textId="77777777" w:rsidTr="00444319">
        <w:trPr>
          <w:trHeight w:val="1260"/>
        </w:trPr>
        <w:tc>
          <w:tcPr>
            <w:tcW w:w="464" w:type="dxa"/>
            <w:vMerge/>
          </w:tcPr>
          <w:p w14:paraId="51BDA6C2" w14:textId="77777777" w:rsidR="00444319" w:rsidRPr="00B77B54" w:rsidRDefault="00444319" w:rsidP="00BC72C2">
            <w:pPr>
              <w:rPr>
                <w:rFonts w:asciiTheme="majorHAnsi" w:hAnsiTheme="majorHAnsi"/>
              </w:rPr>
            </w:pPr>
          </w:p>
        </w:tc>
        <w:tc>
          <w:tcPr>
            <w:tcW w:w="1752" w:type="dxa"/>
            <w:vMerge/>
          </w:tcPr>
          <w:p w14:paraId="73B34F4B" w14:textId="77777777" w:rsidR="00444319" w:rsidRPr="00B77B54" w:rsidRDefault="00444319" w:rsidP="00BC72C2">
            <w:pPr>
              <w:rPr>
                <w:rFonts w:asciiTheme="majorHAnsi" w:hAnsiTheme="majorHAnsi"/>
              </w:rPr>
            </w:pPr>
          </w:p>
        </w:tc>
        <w:tc>
          <w:tcPr>
            <w:tcW w:w="2639" w:type="dxa"/>
          </w:tcPr>
          <w:p w14:paraId="40F5E2E3" w14:textId="77777777" w:rsidR="00444319" w:rsidRPr="00B77B54" w:rsidRDefault="00444319" w:rsidP="00BC72C2">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Iskazivanje političkih stavova </w:t>
            </w:r>
            <w:r w:rsidRPr="00B77B54">
              <w:rPr>
                <w:rStyle w:val="None"/>
                <w:sz w:val="16"/>
                <w:szCs w:val="16"/>
              </w:rPr>
              <w:t xml:space="preserve">(Da li ste učinili išta od navedenog u prethodnih mjesec dana? Da li ste izrazili svoj stav nosiocu javne funkcije? </w:t>
            </w:r>
            <w:r w:rsidR="00FD429D" w:rsidRPr="00B77B54">
              <w:rPr>
                <w:rStyle w:val="None"/>
                <w:sz w:val="16"/>
                <w:szCs w:val="16"/>
              </w:rPr>
              <w:t>(</w:t>
            </w:r>
            <w:r w:rsidRPr="00B77B54">
              <w:rPr>
                <w:rStyle w:val="None"/>
                <w:sz w:val="16"/>
                <w:szCs w:val="16"/>
              </w:rPr>
              <w:t>15-24)</w:t>
            </w:r>
          </w:p>
        </w:tc>
        <w:tc>
          <w:tcPr>
            <w:tcW w:w="1569" w:type="dxa"/>
          </w:tcPr>
          <w:p w14:paraId="340DF502" w14:textId="77777777" w:rsidR="00444319" w:rsidRPr="00B77B54" w:rsidRDefault="00444319" w:rsidP="00BC72C2">
            <w:pPr>
              <w:rPr>
                <w:rFonts w:asciiTheme="majorHAnsi" w:hAnsiTheme="majorHAnsi" w:cs="Times New Roman"/>
                <w:sz w:val="16"/>
                <w:szCs w:val="16"/>
              </w:rPr>
            </w:pPr>
            <w:r w:rsidRPr="00B77B54">
              <w:rPr>
                <w:rFonts w:asciiTheme="majorHAnsi" w:hAnsiTheme="majorHAnsi" w:cs="Times New Roman"/>
                <w:sz w:val="16"/>
                <w:szCs w:val="16"/>
              </w:rPr>
              <w:t>YDI</w:t>
            </w:r>
          </w:p>
          <w:p w14:paraId="167D1FB3" w14:textId="77777777" w:rsidR="00444319" w:rsidRPr="00B77B54" w:rsidRDefault="00444319" w:rsidP="00BC72C2">
            <w:pPr>
              <w:rPr>
                <w:rFonts w:asciiTheme="majorHAnsi" w:hAnsiTheme="majorHAnsi"/>
                <w:sz w:val="16"/>
                <w:szCs w:val="16"/>
              </w:rPr>
            </w:pPr>
            <w:r w:rsidRPr="00B77B54">
              <w:rPr>
                <w:rFonts w:asciiTheme="majorHAnsi" w:hAnsiTheme="majorHAnsi" w:cs="Times New Roman"/>
                <w:sz w:val="16"/>
                <w:szCs w:val="16"/>
              </w:rPr>
              <w:t>Gallup</w:t>
            </w:r>
          </w:p>
        </w:tc>
        <w:tc>
          <w:tcPr>
            <w:tcW w:w="2926" w:type="dxa"/>
          </w:tcPr>
          <w:p w14:paraId="5935E4ED" w14:textId="77777777" w:rsidR="00444319" w:rsidRPr="00B77B54" w:rsidRDefault="00444319" w:rsidP="0028502C">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039C3C35" w14:textId="77777777" w:rsidR="00444319" w:rsidRPr="00B77B54" w:rsidRDefault="00732764" w:rsidP="00BC72C2">
            <w:pPr>
              <w:rPr>
                <w:rFonts w:asciiTheme="majorHAnsi" w:hAnsiTheme="majorHAnsi"/>
                <w:sz w:val="16"/>
                <w:szCs w:val="16"/>
              </w:rPr>
            </w:pPr>
            <w:r w:rsidRPr="00B77B54">
              <w:rPr>
                <w:rFonts w:asciiTheme="majorHAnsi" w:hAnsiTheme="majorHAnsi"/>
                <w:i/>
                <w:sz w:val="16"/>
                <w:szCs w:val="16"/>
              </w:rPr>
              <w:t>Dodati nacionalnu disagregaciju po regionu, rodu, u odnosu na pripadnost ranjivim kategorijama</w:t>
            </w:r>
          </w:p>
        </w:tc>
      </w:tr>
      <w:tr w:rsidR="00444319" w:rsidRPr="00B77B54" w14:paraId="3165A6B8" w14:textId="77777777" w:rsidTr="00444319">
        <w:trPr>
          <w:trHeight w:val="1007"/>
        </w:trPr>
        <w:tc>
          <w:tcPr>
            <w:tcW w:w="464" w:type="dxa"/>
            <w:vMerge/>
          </w:tcPr>
          <w:p w14:paraId="72149D54" w14:textId="77777777" w:rsidR="00444319" w:rsidRPr="00B77B54" w:rsidRDefault="00444319" w:rsidP="00BC72C2">
            <w:pPr>
              <w:rPr>
                <w:rFonts w:asciiTheme="majorHAnsi" w:hAnsiTheme="majorHAnsi"/>
              </w:rPr>
            </w:pPr>
          </w:p>
        </w:tc>
        <w:tc>
          <w:tcPr>
            <w:tcW w:w="1752" w:type="dxa"/>
            <w:vMerge/>
          </w:tcPr>
          <w:p w14:paraId="1BE4A112" w14:textId="77777777" w:rsidR="00444319" w:rsidRPr="00B77B54" w:rsidRDefault="00444319" w:rsidP="00BC72C2">
            <w:pPr>
              <w:rPr>
                <w:rFonts w:asciiTheme="majorHAnsi" w:hAnsiTheme="majorHAnsi"/>
              </w:rPr>
            </w:pPr>
          </w:p>
        </w:tc>
        <w:tc>
          <w:tcPr>
            <w:tcW w:w="2639" w:type="dxa"/>
          </w:tcPr>
          <w:p w14:paraId="2D03E544" w14:textId="77777777" w:rsidR="00444319" w:rsidRPr="00B77B54" w:rsidRDefault="00444319" w:rsidP="00BC72C2">
            <w:pPr>
              <w:rPr>
                <w:rFonts w:asciiTheme="majorHAnsi" w:hAnsiTheme="majorHAnsi" w:cs="Times New Roman"/>
                <w:sz w:val="16"/>
                <w:szCs w:val="16"/>
              </w:rPr>
            </w:pPr>
            <w:r w:rsidRPr="00B77B54">
              <w:rPr>
                <w:rStyle w:val="None"/>
                <w:sz w:val="16"/>
                <w:szCs w:val="16"/>
              </w:rPr>
              <w:t>Volontiranje: (Da li ste učinili išta od navedenog u prethodnih mjesec dana? Da li ste volontirali svoje vrijeme nekoj organizaciji?)</w:t>
            </w:r>
          </w:p>
        </w:tc>
        <w:tc>
          <w:tcPr>
            <w:tcW w:w="1569" w:type="dxa"/>
          </w:tcPr>
          <w:p w14:paraId="097F1E40" w14:textId="77777777" w:rsidR="00444319" w:rsidRPr="00B77B54" w:rsidRDefault="00444319" w:rsidP="00BC72C2">
            <w:pPr>
              <w:rPr>
                <w:rFonts w:asciiTheme="majorHAnsi" w:hAnsiTheme="majorHAnsi" w:cs="Times New Roman"/>
                <w:sz w:val="16"/>
                <w:szCs w:val="16"/>
              </w:rPr>
            </w:pPr>
            <w:r w:rsidRPr="00B77B54">
              <w:rPr>
                <w:rFonts w:asciiTheme="majorHAnsi" w:hAnsiTheme="majorHAnsi" w:cs="Times New Roman"/>
                <w:sz w:val="16"/>
                <w:szCs w:val="16"/>
              </w:rPr>
              <w:t>YDI</w:t>
            </w:r>
          </w:p>
          <w:p w14:paraId="6CB827BB" w14:textId="77777777" w:rsidR="00444319" w:rsidRPr="00B77B54" w:rsidRDefault="00444319" w:rsidP="00BC72C2">
            <w:pPr>
              <w:rPr>
                <w:rFonts w:asciiTheme="majorHAnsi" w:hAnsiTheme="majorHAnsi" w:cs="Times New Roman"/>
                <w:sz w:val="16"/>
                <w:szCs w:val="16"/>
              </w:rPr>
            </w:pPr>
            <w:r w:rsidRPr="00B77B54">
              <w:rPr>
                <w:rFonts w:asciiTheme="majorHAnsi" w:hAnsiTheme="majorHAnsi" w:cs="Times New Roman"/>
                <w:sz w:val="16"/>
                <w:szCs w:val="16"/>
              </w:rPr>
              <w:t>Gallup</w:t>
            </w:r>
          </w:p>
        </w:tc>
        <w:tc>
          <w:tcPr>
            <w:tcW w:w="2926" w:type="dxa"/>
          </w:tcPr>
          <w:p w14:paraId="6FD930C2" w14:textId="77777777" w:rsidR="00444319" w:rsidRPr="00B77B54" w:rsidRDefault="00444319" w:rsidP="0028502C">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7A307E2E" w14:textId="77777777" w:rsidR="00444319" w:rsidRPr="00B77B54" w:rsidRDefault="00732764" w:rsidP="00BC72C2">
            <w:pPr>
              <w:rPr>
                <w:rFonts w:asciiTheme="majorHAnsi" w:hAnsiTheme="majorHAnsi"/>
                <w:sz w:val="16"/>
                <w:szCs w:val="16"/>
              </w:rPr>
            </w:pPr>
            <w:r w:rsidRPr="00B77B54">
              <w:rPr>
                <w:rFonts w:asciiTheme="majorHAnsi" w:hAnsiTheme="majorHAnsi"/>
                <w:i/>
                <w:sz w:val="16"/>
                <w:szCs w:val="16"/>
              </w:rPr>
              <w:t>Dodati nacionalnu disagregaciju po regionu, rodu, u odnosu na pripadnost ranjivim kategorijama</w:t>
            </w:r>
          </w:p>
        </w:tc>
      </w:tr>
      <w:tr w:rsidR="00444319" w:rsidRPr="00B77B54" w14:paraId="7F4819D4" w14:textId="77777777" w:rsidTr="00444319">
        <w:trPr>
          <w:trHeight w:val="1070"/>
        </w:trPr>
        <w:tc>
          <w:tcPr>
            <w:tcW w:w="464" w:type="dxa"/>
            <w:vMerge/>
          </w:tcPr>
          <w:p w14:paraId="23B9AC00" w14:textId="77777777" w:rsidR="00444319" w:rsidRPr="00B77B54" w:rsidRDefault="00444319" w:rsidP="00BC72C2">
            <w:pPr>
              <w:rPr>
                <w:rFonts w:asciiTheme="majorHAnsi" w:hAnsiTheme="majorHAnsi"/>
              </w:rPr>
            </w:pPr>
          </w:p>
        </w:tc>
        <w:tc>
          <w:tcPr>
            <w:tcW w:w="1752" w:type="dxa"/>
            <w:vMerge/>
          </w:tcPr>
          <w:p w14:paraId="25083699" w14:textId="77777777" w:rsidR="00444319" w:rsidRPr="00B77B54" w:rsidRDefault="00444319" w:rsidP="00BC72C2">
            <w:pPr>
              <w:rPr>
                <w:rFonts w:asciiTheme="majorHAnsi" w:hAnsiTheme="majorHAnsi"/>
              </w:rPr>
            </w:pPr>
          </w:p>
        </w:tc>
        <w:tc>
          <w:tcPr>
            <w:tcW w:w="2639" w:type="dxa"/>
          </w:tcPr>
          <w:p w14:paraId="472340B5" w14:textId="77777777" w:rsidR="00444319" w:rsidRPr="00B77B54" w:rsidRDefault="00444319" w:rsidP="00BC72C2">
            <w:pPr>
              <w:autoSpaceDE w:val="0"/>
              <w:autoSpaceDN w:val="0"/>
              <w:adjustRightInd w:val="0"/>
              <w:rPr>
                <w:rFonts w:asciiTheme="majorHAnsi" w:hAnsiTheme="majorHAnsi" w:cs="Times New Roman"/>
                <w:sz w:val="16"/>
                <w:szCs w:val="16"/>
              </w:rPr>
            </w:pPr>
            <w:r w:rsidRPr="00B77B54">
              <w:rPr>
                <w:rStyle w:val="None"/>
                <w:sz w:val="16"/>
                <w:szCs w:val="16"/>
              </w:rPr>
              <w:t>Pomoć nepoznatom licu (Da li ste učinili išta od navedenog u prethodnih mjesec dana? Da li ste pomogli nekome kome ne znate, a bila mu je potrebna pomoć) 15-24)</w:t>
            </w:r>
          </w:p>
        </w:tc>
        <w:tc>
          <w:tcPr>
            <w:tcW w:w="1569" w:type="dxa"/>
          </w:tcPr>
          <w:p w14:paraId="2E763147" w14:textId="77777777" w:rsidR="00444319" w:rsidRPr="00B77B54" w:rsidRDefault="00444319" w:rsidP="00BC72C2">
            <w:pPr>
              <w:rPr>
                <w:rFonts w:asciiTheme="majorHAnsi" w:hAnsiTheme="majorHAnsi" w:cs="Times New Roman"/>
                <w:sz w:val="16"/>
                <w:szCs w:val="16"/>
              </w:rPr>
            </w:pPr>
            <w:r w:rsidRPr="00B77B54">
              <w:rPr>
                <w:rFonts w:asciiTheme="majorHAnsi" w:hAnsiTheme="majorHAnsi" w:cs="Times New Roman"/>
                <w:sz w:val="16"/>
                <w:szCs w:val="16"/>
              </w:rPr>
              <w:t>YDI</w:t>
            </w:r>
          </w:p>
          <w:p w14:paraId="074D3C40" w14:textId="77777777" w:rsidR="00444319" w:rsidRPr="00B77B54" w:rsidRDefault="00444319" w:rsidP="00BC72C2">
            <w:pPr>
              <w:rPr>
                <w:rFonts w:asciiTheme="majorHAnsi" w:hAnsiTheme="majorHAnsi" w:cs="Times New Roman"/>
                <w:sz w:val="16"/>
                <w:szCs w:val="16"/>
              </w:rPr>
            </w:pPr>
            <w:r w:rsidRPr="00B77B54">
              <w:rPr>
                <w:rFonts w:asciiTheme="majorHAnsi" w:hAnsiTheme="majorHAnsi" w:cs="Times New Roman"/>
                <w:sz w:val="16"/>
                <w:szCs w:val="16"/>
              </w:rPr>
              <w:t>Gallup</w:t>
            </w:r>
          </w:p>
        </w:tc>
        <w:tc>
          <w:tcPr>
            <w:tcW w:w="2926" w:type="dxa"/>
          </w:tcPr>
          <w:p w14:paraId="390D135B" w14:textId="77777777" w:rsidR="00444319" w:rsidRPr="00B77B54" w:rsidRDefault="00444319" w:rsidP="0028502C">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45AC5510" w14:textId="77777777" w:rsidR="00444319" w:rsidRPr="00B77B54" w:rsidRDefault="00732764" w:rsidP="00BC72C2">
            <w:pPr>
              <w:rPr>
                <w:rFonts w:asciiTheme="majorHAnsi" w:hAnsiTheme="majorHAnsi"/>
                <w:sz w:val="16"/>
                <w:szCs w:val="16"/>
              </w:rPr>
            </w:pPr>
            <w:r w:rsidRPr="00B77B54">
              <w:rPr>
                <w:rFonts w:asciiTheme="majorHAnsi" w:hAnsiTheme="majorHAnsi"/>
                <w:i/>
                <w:sz w:val="16"/>
                <w:szCs w:val="16"/>
              </w:rPr>
              <w:t>Dodati nacionalnu disagregaciju po regionu, rodu, u odnosu na pripadnost ranjivim kategorijama</w:t>
            </w:r>
          </w:p>
        </w:tc>
      </w:tr>
      <w:tr w:rsidR="00444319" w:rsidRPr="00B77B54" w14:paraId="57E0F1B1" w14:textId="77777777" w:rsidTr="00732764">
        <w:trPr>
          <w:trHeight w:val="2068"/>
        </w:trPr>
        <w:tc>
          <w:tcPr>
            <w:tcW w:w="464" w:type="dxa"/>
            <w:vMerge w:val="restart"/>
          </w:tcPr>
          <w:p w14:paraId="0C13E41D" w14:textId="77777777" w:rsidR="00444319" w:rsidRPr="00B77B54" w:rsidRDefault="00444319" w:rsidP="0091132B">
            <w:pPr>
              <w:rPr>
                <w:rFonts w:asciiTheme="majorHAnsi" w:hAnsiTheme="majorHAnsi"/>
              </w:rPr>
            </w:pPr>
            <w:r w:rsidRPr="00B77B54">
              <w:rPr>
                <w:rFonts w:asciiTheme="majorHAnsi" w:hAnsiTheme="majorHAnsi"/>
              </w:rPr>
              <w:t>2</w:t>
            </w:r>
          </w:p>
        </w:tc>
        <w:tc>
          <w:tcPr>
            <w:tcW w:w="1752" w:type="dxa"/>
            <w:vMerge w:val="restart"/>
          </w:tcPr>
          <w:p w14:paraId="7222D704" w14:textId="77777777" w:rsidR="00444319" w:rsidRPr="00B77B54" w:rsidRDefault="00444319" w:rsidP="0091132B">
            <w:pPr>
              <w:rPr>
                <w:rFonts w:asciiTheme="majorHAnsi" w:hAnsiTheme="majorHAnsi"/>
                <w:bCs/>
              </w:rPr>
            </w:pPr>
            <w:r w:rsidRPr="00B77B54">
              <w:rPr>
                <w:rFonts w:asciiTheme="majorHAnsi" w:hAnsiTheme="majorHAnsi"/>
              </w:rPr>
              <w:t>Obezbjeđivanje mehanizama / sistema za njegovanje aktivizma</w:t>
            </w:r>
          </w:p>
        </w:tc>
        <w:tc>
          <w:tcPr>
            <w:tcW w:w="2639" w:type="dxa"/>
          </w:tcPr>
          <w:p w14:paraId="3D9FB448" w14:textId="77777777" w:rsidR="00444319" w:rsidRPr="00B77B54" w:rsidRDefault="00732764" w:rsidP="00732764">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Mladi ljudi koji koriste internet za interakciju sa javnim vlastima</w:t>
            </w:r>
          </w:p>
          <w:p w14:paraId="32D40380" w14:textId="77777777" w:rsidR="00444319" w:rsidRPr="00B77B54" w:rsidRDefault="00444319" w:rsidP="0091132B">
            <w:pPr>
              <w:rPr>
                <w:rFonts w:asciiTheme="majorHAnsi" w:hAnsiTheme="majorHAnsi" w:cs="Times New Roman"/>
                <w:sz w:val="16"/>
                <w:szCs w:val="16"/>
              </w:rPr>
            </w:pPr>
          </w:p>
          <w:p w14:paraId="0A971B12" w14:textId="77777777" w:rsidR="00444319" w:rsidRPr="00B77B54" w:rsidRDefault="00732764" w:rsidP="00732764">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Procenat osoba od </w:t>
            </w:r>
            <w:r w:rsidR="00444319" w:rsidRPr="00B77B54">
              <w:rPr>
                <w:rFonts w:asciiTheme="majorHAnsi" w:hAnsiTheme="majorHAnsi" w:cs="Times New Roman"/>
                <w:sz w:val="16"/>
                <w:szCs w:val="16"/>
              </w:rPr>
              <w:t>16-24</w:t>
            </w:r>
            <w:r w:rsidRPr="00B77B54">
              <w:rPr>
                <w:rFonts w:asciiTheme="majorHAnsi" w:hAnsiTheme="majorHAnsi" w:cs="Times New Roman"/>
                <w:sz w:val="16"/>
                <w:szCs w:val="16"/>
              </w:rPr>
              <w:t xml:space="preserve"> godine koji su koristili internet u posljednjih 12 mjeseci za interakciju sa javnim vlastima (npr. za dobijanje informacije od internet prezentacija javnih vlasti, preuzimanje obrazaca, slanje dokumenata)</w:t>
            </w:r>
          </w:p>
        </w:tc>
        <w:tc>
          <w:tcPr>
            <w:tcW w:w="1569" w:type="dxa"/>
          </w:tcPr>
          <w:p w14:paraId="61F645A6" w14:textId="77777777" w:rsidR="00444319" w:rsidRPr="00B77B54" w:rsidRDefault="00836D98" w:rsidP="0091132B">
            <w:pPr>
              <w:rPr>
                <w:rFonts w:asciiTheme="majorHAnsi" w:hAnsiTheme="majorHAnsi" w:cs="Times New Roman"/>
                <w:sz w:val="16"/>
                <w:szCs w:val="16"/>
              </w:rPr>
            </w:pPr>
            <w:r w:rsidRPr="00B77B54">
              <w:rPr>
                <w:rFonts w:asciiTheme="majorHAnsi" w:hAnsiTheme="majorHAnsi" w:cs="Times New Roman"/>
                <w:sz w:val="16"/>
                <w:szCs w:val="16"/>
              </w:rPr>
              <w:t>Kratki eurobarometar o mladima</w:t>
            </w:r>
          </w:p>
        </w:tc>
        <w:tc>
          <w:tcPr>
            <w:tcW w:w="2926" w:type="dxa"/>
          </w:tcPr>
          <w:p w14:paraId="3FDACF6A" w14:textId="77777777" w:rsidR="00444319" w:rsidRPr="00B77B54" w:rsidRDefault="00444319" w:rsidP="0028502C">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4853F4BE" w14:textId="77777777" w:rsidR="00444319" w:rsidRPr="00B77B54" w:rsidRDefault="00732764" w:rsidP="0091132B">
            <w:pPr>
              <w:rPr>
                <w:rFonts w:asciiTheme="majorHAnsi" w:hAnsiTheme="majorHAnsi"/>
                <w:sz w:val="16"/>
                <w:szCs w:val="16"/>
              </w:rPr>
            </w:pPr>
            <w:r w:rsidRPr="00B77B54">
              <w:rPr>
                <w:rFonts w:asciiTheme="majorHAnsi" w:hAnsiTheme="majorHAnsi"/>
                <w:i/>
                <w:sz w:val="16"/>
                <w:szCs w:val="16"/>
              </w:rPr>
              <w:t xml:space="preserve">Dodati nacionalnu disagregaciju po regionu, rodu, u odnosu na pripadnost ranjivim kategorijama </w:t>
            </w:r>
          </w:p>
        </w:tc>
      </w:tr>
      <w:tr w:rsidR="00444319" w:rsidRPr="00B77B54" w14:paraId="01D4ED68" w14:textId="77777777" w:rsidTr="00B41B02">
        <w:trPr>
          <w:trHeight w:val="3251"/>
        </w:trPr>
        <w:tc>
          <w:tcPr>
            <w:tcW w:w="464" w:type="dxa"/>
            <w:vMerge/>
          </w:tcPr>
          <w:p w14:paraId="6BA4F6E1" w14:textId="77777777" w:rsidR="00444319" w:rsidRPr="00B77B54" w:rsidRDefault="00444319" w:rsidP="0091132B">
            <w:pPr>
              <w:rPr>
                <w:rFonts w:asciiTheme="majorHAnsi" w:hAnsiTheme="majorHAnsi"/>
              </w:rPr>
            </w:pPr>
          </w:p>
        </w:tc>
        <w:tc>
          <w:tcPr>
            <w:tcW w:w="1752" w:type="dxa"/>
            <w:vMerge/>
          </w:tcPr>
          <w:p w14:paraId="329FFEF0" w14:textId="77777777" w:rsidR="00444319" w:rsidRPr="00B77B54" w:rsidRDefault="00444319" w:rsidP="0091132B">
            <w:pPr>
              <w:rPr>
                <w:rFonts w:asciiTheme="majorHAnsi" w:hAnsiTheme="majorHAnsi"/>
              </w:rPr>
            </w:pPr>
          </w:p>
        </w:tc>
        <w:tc>
          <w:tcPr>
            <w:tcW w:w="2639" w:type="dxa"/>
          </w:tcPr>
          <w:p w14:paraId="3F0417ED" w14:textId="77777777" w:rsidR="00732764" w:rsidRPr="00B77B54" w:rsidRDefault="00732764" w:rsidP="00732764">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Mladi ljudi koji koriste inter</w:t>
            </w:r>
            <w:r w:rsidR="00B41B02" w:rsidRPr="00B77B54">
              <w:rPr>
                <w:rFonts w:asciiTheme="majorHAnsi" w:hAnsiTheme="majorHAnsi" w:cs="Times New Roman"/>
                <w:sz w:val="16"/>
                <w:szCs w:val="16"/>
              </w:rPr>
              <w:t>n</w:t>
            </w:r>
            <w:r w:rsidRPr="00B77B54">
              <w:rPr>
                <w:rFonts w:asciiTheme="majorHAnsi" w:hAnsiTheme="majorHAnsi" w:cs="Times New Roman"/>
                <w:sz w:val="16"/>
                <w:szCs w:val="16"/>
              </w:rPr>
              <w:t>et kako bi pristupili ili postavili stavove i mišljenja na internet prezentacije</w:t>
            </w:r>
          </w:p>
          <w:p w14:paraId="1B16B7AA" w14:textId="77777777" w:rsidR="00444319" w:rsidRPr="00B77B54" w:rsidRDefault="00444319" w:rsidP="00732764">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w:t>
            </w:r>
            <w:r w:rsidR="00732764" w:rsidRPr="00B77B54">
              <w:rPr>
                <w:rFonts w:asciiTheme="majorHAnsi" w:hAnsiTheme="majorHAnsi" w:cs="Times New Roman"/>
                <w:sz w:val="16"/>
                <w:szCs w:val="16"/>
              </w:rPr>
              <w:t xml:space="preserve">npr. </w:t>
            </w:r>
            <w:r w:rsidRPr="00B77B54">
              <w:rPr>
                <w:rFonts w:asciiTheme="majorHAnsi" w:hAnsiTheme="majorHAnsi" w:cs="Times New Roman"/>
                <w:sz w:val="16"/>
                <w:szCs w:val="16"/>
              </w:rPr>
              <w:t>blog</w:t>
            </w:r>
            <w:r w:rsidR="00732764" w:rsidRPr="00B77B54">
              <w:rPr>
                <w:rFonts w:asciiTheme="majorHAnsi" w:hAnsiTheme="majorHAnsi" w:cs="Times New Roman"/>
                <w:sz w:val="16"/>
                <w:szCs w:val="16"/>
              </w:rPr>
              <w:t>ovi</w:t>
            </w:r>
            <w:r w:rsidRPr="00B77B54">
              <w:rPr>
                <w:rFonts w:asciiTheme="majorHAnsi" w:hAnsiTheme="majorHAnsi" w:cs="Times New Roman"/>
                <w:sz w:val="16"/>
                <w:szCs w:val="16"/>
              </w:rPr>
              <w:t>,</w:t>
            </w:r>
            <w:r w:rsidR="00732764" w:rsidRPr="00B77B54">
              <w:rPr>
                <w:rFonts w:asciiTheme="majorHAnsi" w:hAnsiTheme="majorHAnsi" w:cs="Times New Roman"/>
                <w:sz w:val="16"/>
                <w:szCs w:val="16"/>
              </w:rPr>
              <w:t xml:space="preserve"> društvene mreže i sl.</w:t>
            </w:r>
            <w:r w:rsidRPr="00B77B54">
              <w:rPr>
                <w:rFonts w:asciiTheme="majorHAnsi" w:hAnsiTheme="majorHAnsi" w:cs="Times New Roman"/>
                <w:sz w:val="16"/>
                <w:szCs w:val="16"/>
              </w:rPr>
              <w:t>)</w:t>
            </w:r>
            <w:r w:rsidR="00732764" w:rsidRPr="00B77B54">
              <w:rPr>
                <w:rFonts w:asciiTheme="majorHAnsi" w:hAnsiTheme="majorHAnsi" w:cs="Times New Roman"/>
                <w:sz w:val="16"/>
                <w:szCs w:val="16"/>
              </w:rPr>
              <w:t xml:space="preserve"> da bi diskutovali građanske ili političke teme (u posljednja tri mjeseca</w:t>
            </w:r>
            <w:r w:rsidRPr="00B77B54">
              <w:rPr>
                <w:rFonts w:asciiTheme="majorHAnsi" w:hAnsiTheme="majorHAnsi" w:cs="Times New Roman"/>
                <w:sz w:val="16"/>
                <w:szCs w:val="16"/>
              </w:rPr>
              <w:t>)</w:t>
            </w:r>
          </w:p>
          <w:p w14:paraId="5190C30F" w14:textId="77777777" w:rsidR="00444319" w:rsidRPr="00B77B54" w:rsidRDefault="00444319" w:rsidP="0091132B">
            <w:pPr>
              <w:rPr>
                <w:rFonts w:asciiTheme="majorHAnsi" w:hAnsiTheme="majorHAnsi" w:cs="Times New Roman"/>
                <w:sz w:val="16"/>
                <w:szCs w:val="16"/>
              </w:rPr>
            </w:pPr>
          </w:p>
          <w:p w14:paraId="3997E92C" w14:textId="77777777" w:rsidR="00B41B02" w:rsidRPr="00B77B54" w:rsidRDefault="00B41B02" w:rsidP="00B41B02">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Procenat lica koja imaju </w:t>
            </w:r>
            <w:r w:rsidR="00444319" w:rsidRPr="00B77B54">
              <w:rPr>
                <w:rFonts w:asciiTheme="majorHAnsi" w:hAnsiTheme="majorHAnsi" w:cs="Times New Roman"/>
                <w:sz w:val="16"/>
                <w:szCs w:val="16"/>
              </w:rPr>
              <w:t>16-24</w:t>
            </w:r>
            <w:r w:rsidRPr="00B77B54">
              <w:rPr>
                <w:rFonts w:asciiTheme="majorHAnsi" w:hAnsiTheme="majorHAnsi" w:cs="Times New Roman"/>
                <w:sz w:val="16"/>
                <w:szCs w:val="16"/>
              </w:rPr>
              <w:t xml:space="preserve"> godine koja izjavljuju da su koristili internet kako bi pristupili ili postavili stavove i mišljenja na internet prezentacije</w:t>
            </w:r>
          </w:p>
          <w:p w14:paraId="13D904D8" w14:textId="77777777" w:rsidR="00444319" w:rsidRPr="00B77B54" w:rsidRDefault="00B41B02" w:rsidP="00B41B02">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(npr. blogovi, društvene mreže i sl.) da bi diskutovali građanske ili političke teme (u posljednja tri mjeseca)</w:t>
            </w:r>
          </w:p>
        </w:tc>
        <w:tc>
          <w:tcPr>
            <w:tcW w:w="1569" w:type="dxa"/>
          </w:tcPr>
          <w:p w14:paraId="079B8D5E" w14:textId="77777777" w:rsidR="00444319" w:rsidRPr="00B77B54" w:rsidRDefault="00836D98" w:rsidP="0091132B">
            <w:pPr>
              <w:rPr>
                <w:rFonts w:asciiTheme="majorHAnsi" w:hAnsiTheme="majorHAnsi" w:cs="Times New Roman"/>
                <w:sz w:val="16"/>
                <w:szCs w:val="16"/>
              </w:rPr>
            </w:pPr>
            <w:r w:rsidRPr="00B77B54">
              <w:rPr>
                <w:rFonts w:asciiTheme="majorHAnsi" w:hAnsiTheme="majorHAnsi" w:cs="Times New Roman"/>
                <w:sz w:val="16"/>
                <w:szCs w:val="16"/>
              </w:rPr>
              <w:t>Kratki eurobarometar o mladima</w:t>
            </w:r>
          </w:p>
        </w:tc>
        <w:tc>
          <w:tcPr>
            <w:tcW w:w="2926" w:type="dxa"/>
          </w:tcPr>
          <w:p w14:paraId="758AF9C8" w14:textId="77777777" w:rsidR="00444319" w:rsidRPr="00B77B54" w:rsidRDefault="00444319" w:rsidP="0028502C">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6F9D550E" w14:textId="77777777" w:rsidR="00444319" w:rsidRPr="00B77B54" w:rsidRDefault="00B41B02" w:rsidP="0091132B">
            <w:pPr>
              <w:rPr>
                <w:rFonts w:asciiTheme="majorHAnsi" w:hAnsiTheme="majorHAnsi"/>
                <w:sz w:val="16"/>
                <w:szCs w:val="16"/>
              </w:rPr>
            </w:pPr>
            <w:r w:rsidRPr="00B77B54">
              <w:rPr>
                <w:rFonts w:asciiTheme="majorHAnsi" w:hAnsiTheme="majorHAnsi"/>
                <w:i/>
                <w:sz w:val="16"/>
                <w:szCs w:val="16"/>
              </w:rPr>
              <w:t>Dodati nacionalnu disagregaciju po regionu, rodu, u odnosu na pripadnost ranjivim kategorijama</w:t>
            </w:r>
          </w:p>
        </w:tc>
      </w:tr>
      <w:tr w:rsidR="00444319" w:rsidRPr="00B77B54" w14:paraId="38146337" w14:textId="77777777" w:rsidTr="00B41B02">
        <w:trPr>
          <w:trHeight w:val="703"/>
        </w:trPr>
        <w:tc>
          <w:tcPr>
            <w:tcW w:w="464" w:type="dxa"/>
            <w:vMerge/>
          </w:tcPr>
          <w:p w14:paraId="60A450DF" w14:textId="77777777" w:rsidR="00444319" w:rsidRPr="00B77B54" w:rsidRDefault="00444319" w:rsidP="0091132B">
            <w:pPr>
              <w:rPr>
                <w:rFonts w:asciiTheme="majorHAnsi" w:hAnsiTheme="majorHAnsi"/>
              </w:rPr>
            </w:pPr>
          </w:p>
        </w:tc>
        <w:tc>
          <w:tcPr>
            <w:tcW w:w="1752" w:type="dxa"/>
            <w:vMerge/>
          </w:tcPr>
          <w:p w14:paraId="1ABF6DA8" w14:textId="77777777" w:rsidR="00444319" w:rsidRPr="00B77B54" w:rsidRDefault="00444319" w:rsidP="0091132B">
            <w:pPr>
              <w:rPr>
                <w:rFonts w:asciiTheme="majorHAnsi" w:hAnsiTheme="majorHAnsi"/>
              </w:rPr>
            </w:pPr>
          </w:p>
        </w:tc>
        <w:tc>
          <w:tcPr>
            <w:tcW w:w="2639" w:type="dxa"/>
            <w:shd w:val="clear" w:color="auto" w:fill="auto"/>
          </w:tcPr>
          <w:p w14:paraId="3CDE8D10" w14:textId="77777777" w:rsidR="00444319" w:rsidRPr="00B77B54" w:rsidRDefault="00444319" w:rsidP="00AD688C">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 mladih koji uzimaju aktivno učešće u raznovrsnim akcijama i učestvuju u kreiranju politika </w:t>
            </w:r>
          </w:p>
        </w:tc>
        <w:tc>
          <w:tcPr>
            <w:tcW w:w="1569" w:type="dxa"/>
          </w:tcPr>
          <w:p w14:paraId="40D68025" w14:textId="77777777" w:rsidR="00444319" w:rsidRPr="00B77B54" w:rsidRDefault="00444319" w:rsidP="0091132B">
            <w:pPr>
              <w:rPr>
                <w:rFonts w:asciiTheme="majorHAnsi" w:hAnsiTheme="majorHAnsi" w:cs="Times New Roman"/>
                <w:sz w:val="16"/>
                <w:szCs w:val="16"/>
              </w:rPr>
            </w:pPr>
          </w:p>
        </w:tc>
        <w:tc>
          <w:tcPr>
            <w:tcW w:w="2926" w:type="dxa"/>
          </w:tcPr>
          <w:p w14:paraId="7FFEE367" w14:textId="77777777" w:rsidR="00444319" w:rsidRPr="00B77B54" w:rsidRDefault="00444319" w:rsidP="00AD688C">
            <w:pPr>
              <w:rPr>
                <w:rFonts w:asciiTheme="majorHAnsi" w:hAnsiTheme="majorHAnsi"/>
                <w:b/>
                <w:sz w:val="16"/>
                <w:szCs w:val="16"/>
              </w:rPr>
            </w:pPr>
            <w:r w:rsidRPr="00B77B54">
              <w:rPr>
                <w:rFonts w:asciiTheme="majorHAnsi" w:hAnsiTheme="majorHAnsi"/>
                <w:b/>
                <w:sz w:val="16"/>
                <w:szCs w:val="16"/>
              </w:rPr>
              <w:t>NACIONALNI INDIKATOR</w:t>
            </w:r>
          </w:p>
          <w:p w14:paraId="7066F00F" w14:textId="77777777" w:rsidR="00444319" w:rsidRPr="00B77B54" w:rsidRDefault="00444319" w:rsidP="0091132B">
            <w:pPr>
              <w:rPr>
                <w:rFonts w:asciiTheme="majorHAnsi" w:hAnsiTheme="majorHAnsi"/>
                <w:sz w:val="16"/>
                <w:szCs w:val="16"/>
              </w:rPr>
            </w:pPr>
            <w:r w:rsidRPr="00B77B54">
              <w:rPr>
                <w:rFonts w:asciiTheme="majorHAnsi" w:hAnsiTheme="majorHAnsi"/>
                <w:sz w:val="16"/>
                <w:szCs w:val="16"/>
              </w:rPr>
              <w:t>Do sada nije praćen. Definisati metodologiju i otpočeti sa praćenjem.</w:t>
            </w:r>
          </w:p>
        </w:tc>
      </w:tr>
      <w:tr w:rsidR="00444319" w:rsidRPr="00B77B54" w14:paraId="4508E9F7" w14:textId="77777777" w:rsidTr="00FF3BCB">
        <w:tc>
          <w:tcPr>
            <w:tcW w:w="464" w:type="dxa"/>
          </w:tcPr>
          <w:p w14:paraId="012F00E3" w14:textId="77777777" w:rsidR="00444319" w:rsidRPr="00B77B54" w:rsidRDefault="00444319" w:rsidP="0091132B">
            <w:pPr>
              <w:rPr>
                <w:rFonts w:asciiTheme="majorHAnsi" w:hAnsiTheme="majorHAnsi"/>
              </w:rPr>
            </w:pPr>
            <w:r w:rsidRPr="00B77B54">
              <w:rPr>
                <w:rFonts w:asciiTheme="majorHAnsi" w:hAnsiTheme="majorHAnsi"/>
              </w:rPr>
              <w:t>3</w:t>
            </w:r>
          </w:p>
        </w:tc>
        <w:tc>
          <w:tcPr>
            <w:tcW w:w="1752" w:type="dxa"/>
          </w:tcPr>
          <w:p w14:paraId="0341B805" w14:textId="77777777" w:rsidR="00444319" w:rsidRPr="00B77B54" w:rsidRDefault="00444319" w:rsidP="0091132B">
            <w:pPr>
              <w:rPr>
                <w:rFonts w:asciiTheme="majorHAnsi" w:hAnsiTheme="majorHAnsi"/>
                <w:bCs/>
              </w:rPr>
            </w:pPr>
            <w:r w:rsidRPr="00B77B54">
              <w:rPr>
                <w:rFonts w:asciiTheme="majorHAnsi" w:hAnsiTheme="majorHAnsi"/>
              </w:rPr>
              <w:t>Podrška omladinskom organizovanju i umrežavanju mladih</w:t>
            </w:r>
          </w:p>
        </w:tc>
        <w:tc>
          <w:tcPr>
            <w:tcW w:w="2639" w:type="dxa"/>
          </w:tcPr>
          <w:p w14:paraId="0B3D4A19" w14:textId="77777777" w:rsidR="00B41B02" w:rsidRPr="00B77B54" w:rsidRDefault="00B41B02" w:rsidP="00B41B02">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Učešće mladih ljudi u političkim, lokalnim i nevladinim organizacijama </w:t>
            </w:r>
          </w:p>
          <w:p w14:paraId="49505B7C" w14:textId="77777777" w:rsidR="00444319" w:rsidRPr="00B77B54" w:rsidRDefault="00444319" w:rsidP="0091132B">
            <w:pPr>
              <w:rPr>
                <w:rFonts w:asciiTheme="majorHAnsi" w:hAnsiTheme="majorHAnsi" w:cs="Times New Roman"/>
                <w:sz w:val="16"/>
                <w:szCs w:val="16"/>
              </w:rPr>
            </w:pPr>
          </w:p>
          <w:p w14:paraId="2AD290AB" w14:textId="77777777" w:rsidR="00444319" w:rsidRPr="00B77B54" w:rsidRDefault="00B41B02" w:rsidP="0091132B">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Samoizjavljeno učešće mladih (15-30 godina) u aktivnostima političkih organizacija, ili političkih partija ili lokalnih organizacija koje za cilj imaju unapređenje lokalne ili životne sredine u posljednjih 12 mjeseci</w:t>
            </w:r>
          </w:p>
        </w:tc>
        <w:tc>
          <w:tcPr>
            <w:tcW w:w="1569" w:type="dxa"/>
          </w:tcPr>
          <w:p w14:paraId="6B04AAB6" w14:textId="77777777" w:rsidR="00444319" w:rsidRPr="00B77B54" w:rsidRDefault="00836D98" w:rsidP="0091132B">
            <w:pPr>
              <w:rPr>
                <w:rFonts w:asciiTheme="majorHAnsi" w:hAnsiTheme="majorHAnsi" w:cs="Times New Roman"/>
                <w:sz w:val="16"/>
                <w:szCs w:val="16"/>
              </w:rPr>
            </w:pPr>
            <w:r w:rsidRPr="00B77B54">
              <w:rPr>
                <w:rFonts w:asciiTheme="majorHAnsi" w:hAnsiTheme="majorHAnsi" w:cs="Times New Roman"/>
                <w:sz w:val="16"/>
                <w:szCs w:val="16"/>
              </w:rPr>
              <w:t>Kratki eurobarometar o mladima</w:t>
            </w:r>
          </w:p>
        </w:tc>
        <w:tc>
          <w:tcPr>
            <w:tcW w:w="2926" w:type="dxa"/>
          </w:tcPr>
          <w:p w14:paraId="2D1609F8" w14:textId="77777777" w:rsidR="00444319" w:rsidRPr="00B77B54" w:rsidRDefault="00444319" w:rsidP="0028502C">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418940B1" w14:textId="77777777" w:rsidR="00444319" w:rsidRPr="00B77B54" w:rsidRDefault="00B41B02" w:rsidP="0091132B">
            <w:pPr>
              <w:rPr>
                <w:rFonts w:asciiTheme="majorHAnsi" w:hAnsiTheme="majorHAnsi"/>
                <w:i/>
                <w:sz w:val="16"/>
                <w:szCs w:val="16"/>
              </w:rPr>
            </w:pPr>
            <w:r w:rsidRPr="00B77B54">
              <w:rPr>
                <w:rFonts w:asciiTheme="majorHAnsi" w:hAnsiTheme="majorHAnsi"/>
                <w:i/>
                <w:sz w:val="16"/>
                <w:szCs w:val="16"/>
              </w:rPr>
              <w:t>Dodati nacionalnu disagregaciju po regionu, rodu, u odnosu na pripadnost ranjivim kategorijama</w:t>
            </w:r>
          </w:p>
          <w:p w14:paraId="498398B9" w14:textId="77777777" w:rsidR="00227F94" w:rsidRPr="00B77B54" w:rsidRDefault="00227F94" w:rsidP="0091132B">
            <w:pPr>
              <w:rPr>
                <w:rFonts w:asciiTheme="majorHAnsi" w:hAnsiTheme="majorHAnsi"/>
                <w:i/>
                <w:sz w:val="16"/>
                <w:szCs w:val="16"/>
              </w:rPr>
            </w:pPr>
          </w:p>
          <w:p w14:paraId="5886C38D" w14:textId="77777777" w:rsidR="00227F94" w:rsidRPr="00B77B54" w:rsidRDefault="00227F94" w:rsidP="00227F94">
            <w:pPr>
              <w:rPr>
                <w:rFonts w:asciiTheme="majorHAnsi" w:hAnsiTheme="majorHAnsi"/>
                <w:sz w:val="16"/>
                <w:szCs w:val="16"/>
              </w:rPr>
            </w:pPr>
          </w:p>
        </w:tc>
      </w:tr>
    </w:tbl>
    <w:p w14:paraId="0204783C" w14:textId="77777777" w:rsidR="0028502C" w:rsidRPr="00B77B54" w:rsidRDefault="0028502C" w:rsidP="0028502C"/>
    <w:p w14:paraId="00853E90" w14:textId="77777777" w:rsidR="000F4E10" w:rsidRPr="00B77B54" w:rsidRDefault="00625F7F" w:rsidP="00487714">
      <w:pPr>
        <w:pStyle w:val="Heading2"/>
      </w:pPr>
      <w:r w:rsidRPr="00B77B54">
        <w:t>D Mladi imaju pristup adekvatnom sistemu podrške za tranziciju u odraslo doba i samorealizaciju, samosvjesni su, inovativni, pokazuju inicijativu i prihvataju različitosti</w:t>
      </w:r>
    </w:p>
    <w:tbl>
      <w:tblPr>
        <w:tblStyle w:val="TableGrid"/>
        <w:tblW w:w="0" w:type="auto"/>
        <w:tblLook w:val="04A0" w:firstRow="1" w:lastRow="0" w:firstColumn="1" w:lastColumn="0" w:noHBand="0" w:noVBand="1"/>
      </w:tblPr>
      <w:tblGrid>
        <w:gridCol w:w="468"/>
        <w:gridCol w:w="1752"/>
        <w:gridCol w:w="2100"/>
        <w:gridCol w:w="2108"/>
        <w:gridCol w:w="2926"/>
      </w:tblGrid>
      <w:tr w:rsidR="0075139E" w:rsidRPr="00B77B54" w14:paraId="5289CBC7" w14:textId="77777777" w:rsidTr="00925F61">
        <w:tc>
          <w:tcPr>
            <w:tcW w:w="464" w:type="dxa"/>
            <w:shd w:val="clear" w:color="auto" w:fill="9CC2E5" w:themeFill="accent1" w:themeFillTint="99"/>
          </w:tcPr>
          <w:p w14:paraId="12BDC69A" w14:textId="77777777" w:rsidR="0075139E" w:rsidRPr="00B77B54" w:rsidRDefault="0075139E" w:rsidP="00BC72C2">
            <w:pPr>
              <w:rPr>
                <w:rFonts w:asciiTheme="majorHAnsi" w:hAnsiTheme="majorHAnsi"/>
                <w:b/>
                <w:color w:val="FFFFFF" w:themeColor="background1"/>
              </w:rPr>
            </w:pPr>
            <w:r w:rsidRPr="00B77B54">
              <w:rPr>
                <w:rFonts w:asciiTheme="majorHAnsi" w:hAnsiTheme="majorHAnsi"/>
                <w:b/>
                <w:color w:val="FFFFFF" w:themeColor="background1"/>
              </w:rPr>
              <w:t>D</w:t>
            </w:r>
          </w:p>
        </w:tc>
        <w:tc>
          <w:tcPr>
            <w:tcW w:w="8886" w:type="dxa"/>
            <w:gridSpan w:val="4"/>
            <w:shd w:val="clear" w:color="auto" w:fill="9CC2E5" w:themeFill="accent1" w:themeFillTint="99"/>
          </w:tcPr>
          <w:p w14:paraId="1578B378" w14:textId="77777777" w:rsidR="0075139E" w:rsidRPr="00B77B54" w:rsidRDefault="0075139E" w:rsidP="00BC72C2">
            <w:pPr>
              <w:rPr>
                <w:rFonts w:asciiTheme="majorHAnsi" w:hAnsiTheme="majorHAnsi"/>
                <w:b/>
                <w:color w:val="FFFFFF" w:themeColor="background1"/>
              </w:rPr>
            </w:pPr>
            <w:r w:rsidRPr="00B77B54">
              <w:rPr>
                <w:rFonts w:asciiTheme="majorHAnsi" w:hAnsiTheme="majorHAnsi"/>
                <w:b/>
                <w:color w:val="FFFFFF" w:themeColor="background1"/>
              </w:rPr>
              <w:t>Mladi imaju pristup adekvatnom sistemu podrške za tranziciju u odraslo doba i samorealizaciju, samosvjesni su, inovativni, pokazuju inicijativu i prihvataju različitosti</w:t>
            </w:r>
          </w:p>
        </w:tc>
      </w:tr>
      <w:tr w:rsidR="00BA3681" w:rsidRPr="00B77B54" w14:paraId="1EF3229A" w14:textId="77777777" w:rsidTr="00BA3681">
        <w:trPr>
          <w:trHeight w:val="1007"/>
        </w:trPr>
        <w:tc>
          <w:tcPr>
            <w:tcW w:w="464" w:type="dxa"/>
          </w:tcPr>
          <w:p w14:paraId="0B5B84BE" w14:textId="77777777" w:rsidR="00BA3681" w:rsidRPr="00B77B54" w:rsidRDefault="00BA3681" w:rsidP="00BA3681">
            <w:pPr>
              <w:rPr>
                <w:rFonts w:asciiTheme="majorHAnsi" w:hAnsiTheme="majorHAnsi"/>
              </w:rPr>
            </w:pPr>
            <w:r w:rsidRPr="00B77B54">
              <w:t>Br.</w:t>
            </w:r>
          </w:p>
        </w:tc>
        <w:tc>
          <w:tcPr>
            <w:tcW w:w="1752" w:type="dxa"/>
          </w:tcPr>
          <w:p w14:paraId="510024D8" w14:textId="77777777" w:rsidR="00BA3681" w:rsidRPr="00B77B54" w:rsidRDefault="00BA3681" w:rsidP="00BA3681">
            <w:pPr>
              <w:rPr>
                <w:rFonts w:asciiTheme="majorHAnsi" w:hAnsiTheme="majorHAnsi"/>
                <w:bCs/>
              </w:rPr>
            </w:pPr>
            <w:r w:rsidRPr="00B77B54">
              <w:t>Mjera</w:t>
            </w:r>
          </w:p>
        </w:tc>
        <w:tc>
          <w:tcPr>
            <w:tcW w:w="2100" w:type="dxa"/>
          </w:tcPr>
          <w:p w14:paraId="0D9258AD" w14:textId="77777777" w:rsidR="00BA3681" w:rsidRPr="00B77B54" w:rsidRDefault="009F302E" w:rsidP="00BA3681">
            <w:pPr>
              <w:rPr>
                <w:rFonts w:asciiTheme="majorHAnsi" w:hAnsiTheme="majorHAnsi"/>
                <w:sz w:val="16"/>
                <w:szCs w:val="16"/>
                <w:lang w:val="de-DE"/>
              </w:rPr>
            </w:pPr>
            <w:r w:rsidRPr="00B77B54">
              <w:t>Indikator</w:t>
            </w:r>
          </w:p>
        </w:tc>
        <w:tc>
          <w:tcPr>
            <w:tcW w:w="2108" w:type="dxa"/>
          </w:tcPr>
          <w:p w14:paraId="42608F08" w14:textId="77777777" w:rsidR="00BA3681" w:rsidRPr="00B77B54" w:rsidRDefault="00BA3681" w:rsidP="00BA3681">
            <w:pPr>
              <w:rPr>
                <w:rFonts w:asciiTheme="majorHAnsi" w:hAnsiTheme="majorHAnsi"/>
                <w:sz w:val="16"/>
                <w:szCs w:val="16"/>
              </w:rPr>
            </w:pPr>
            <w:r w:rsidRPr="00B77B54">
              <w:t>Veza sa međunarodnim indikatorima/izvor</w:t>
            </w:r>
          </w:p>
        </w:tc>
        <w:tc>
          <w:tcPr>
            <w:tcW w:w="2926" w:type="dxa"/>
          </w:tcPr>
          <w:p w14:paraId="0D5C09DD" w14:textId="77777777" w:rsidR="00BA3681" w:rsidRPr="00B77B54" w:rsidRDefault="00BA3681" w:rsidP="00BA3681">
            <w:pPr>
              <w:rPr>
                <w:rFonts w:asciiTheme="majorHAnsi" w:hAnsiTheme="majorHAnsi"/>
                <w:sz w:val="16"/>
                <w:szCs w:val="16"/>
              </w:rPr>
            </w:pPr>
            <w:r w:rsidRPr="00B77B54">
              <w:t>Napomene</w:t>
            </w:r>
          </w:p>
        </w:tc>
      </w:tr>
      <w:tr w:rsidR="00BA3681" w:rsidRPr="00B77B54" w14:paraId="7D187010" w14:textId="77777777" w:rsidTr="00FD5E4E">
        <w:trPr>
          <w:trHeight w:val="1910"/>
        </w:trPr>
        <w:tc>
          <w:tcPr>
            <w:tcW w:w="464" w:type="dxa"/>
          </w:tcPr>
          <w:p w14:paraId="70833413" w14:textId="77777777" w:rsidR="00BA3681" w:rsidRPr="00B77B54" w:rsidRDefault="00BA3681" w:rsidP="00BA3681">
            <w:pPr>
              <w:rPr>
                <w:rFonts w:asciiTheme="majorHAnsi" w:hAnsiTheme="majorHAnsi"/>
              </w:rPr>
            </w:pPr>
            <w:r w:rsidRPr="00B77B54">
              <w:rPr>
                <w:rFonts w:asciiTheme="majorHAnsi" w:hAnsiTheme="majorHAnsi"/>
              </w:rPr>
              <w:t>1</w:t>
            </w:r>
          </w:p>
        </w:tc>
        <w:tc>
          <w:tcPr>
            <w:tcW w:w="1752" w:type="dxa"/>
          </w:tcPr>
          <w:p w14:paraId="7471BDB4" w14:textId="77777777" w:rsidR="00BA3681" w:rsidRPr="00B77B54" w:rsidRDefault="00BA3681" w:rsidP="00BA3681">
            <w:pPr>
              <w:rPr>
                <w:rFonts w:asciiTheme="majorHAnsi" w:hAnsiTheme="majorHAnsi"/>
              </w:rPr>
            </w:pPr>
            <w:r w:rsidRPr="00B77B54">
              <w:rPr>
                <w:rFonts w:asciiTheme="majorHAnsi" w:hAnsiTheme="majorHAnsi"/>
              </w:rPr>
              <w:t>Uspostavljanje efikasnog međusektorskog informativno-savjetodavnog servisa za mlade i roditelje</w:t>
            </w:r>
          </w:p>
        </w:tc>
        <w:tc>
          <w:tcPr>
            <w:tcW w:w="2100" w:type="dxa"/>
          </w:tcPr>
          <w:p w14:paraId="4A878585" w14:textId="77777777" w:rsidR="00BA3681" w:rsidRPr="00B77B54" w:rsidRDefault="00BA3681" w:rsidP="00BA3681">
            <w:pPr>
              <w:rPr>
                <w:rFonts w:asciiTheme="majorHAnsi" w:hAnsiTheme="majorHAnsi"/>
                <w:sz w:val="16"/>
                <w:szCs w:val="16"/>
                <w:lang w:val="de-DE"/>
              </w:rPr>
            </w:pPr>
            <w:r w:rsidRPr="00B77B54">
              <w:rPr>
                <w:rFonts w:asciiTheme="majorHAnsi" w:hAnsiTheme="majorHAnsi"/>
                <w:sz w:val="16"/>
                <w:szCs w:val="16"/>
                <w:lang w:val="de-DE"/>
              </w:rPr>
              <w:t xml:space="preserve">% mladih koji znaju za servise i % mladih koji ih koriste </w:t>
            </w:r>
          </w:p>
          <w:p w14:paraId="4C1A2525" w14:textId="77777777" w:rsidR="00BA3681" w:rsidRPr="00B77B54" w:rsidRDefault="00BA3681" w:rsidP="00BA3681">
            <w:pPr>
              <w:rPr>
                <w:rFonts w:asciiTheme="majorHAnsi" w:hAnsiTheme="majorHAnsi"/>
                <w:sz w:val="16"/>
                <w:szCs w:val="16"/>
                <w:lang w:val="de-DE"/>
              </w:rPr>
            </w:pPr>
          </w:p>
          <w:p w14:paraId="220FD083" w14:textId="77777777" w:rsidR="00BA3681" w:rsidRPr="00B77B54" w:rsidRDefault="00BA3681" w:rsidP="00BA3681">
            <w:pPr>
              <w:rPr>
                <w:rFonts w:asciiTheme="majorHAnsi" w:hAnsiTheme="majorHAnsi"/>
                <w:sz w:val="16"/>
                <w:szCs w:val="16"/>
                <w:lang w:val="de-DE"/>
              </w:rPr>
            </w:pPr>
          </w:p>
        </w:tc>
        <w:tc>
          <w:tcPr>
            <w:tcW w:w="2108" w:type="dxa"/>
          </w:tcPr>
          <w:p w14:paraId="53BF03C9" w14:textId="77777777" w:rsidR="00BA3681" w:rsidRPr="00B77B54" w:rsidRDefault="00BA3681" w:rsidP="00BA3681">
            <w:pPr>
              <w:rPr>
                <w:rFonts w:asciiTheme="majorHAnsi" w:hAnsiTheme="majorHAnsi"/>
                <w:sz w:val="16"/>
                <w:szCs w:val="16"/>
              </w:rPr>
            </w:pPr>
          </w:p>
        </w:tc>
        <w:tc>
          <w:tcPr>
            <w:tcW w:w="2926" w:type="dxa"/>
          </w:tcPr>
          <w:p w14:paraId="620119D2" w14:textId="77777777" w:rsidR="00BA3681" w:rsidRPr="00B77B54" w:rsidRDefault="00BA3681" w:rsidP="00BA3681">
            <w:pPr>
              <w:rPr>
                <w:rFonts w:asciiTheme="majorHAnsi" w:hAnsiTheme="majorHAnsi"/>
                <w:b/>
                <w:sz w:val="16"/>
                <w:szCs w:val="16"/>
              </w:rPr>
            </w:pPr>
            <w:r w:rsidRPr="00B77B54">
              <w:rPr>
                <w:rFonts w:asciiTheme="majorHAnsi" w:hAnsiTheme="majorHAnsi"/>
                <w:b/>
                <w:sz w:val="16"/>
                <w:szCs w:val="16"/>
              </w:rPr>
              <w:t>NACIONALNI INDIKATOR</w:t>
            </w:r>
          </w:p>
          <w:p w14:paraId="5F488B64" w14:textId="77777777" w:rsidR="00BA3681" w:rsidRPr="00B77B54" w:rsidRDefault="00BA3681" w:rsidP="00BA3681">
            <w:pPr>
              <w:rPr>
                <w:rFonts w:asciiTheme="majorHAnsi" w:hAnsiTheme="majorHAnsi"/>
                <w:b/>
                <w:sz w:val="16"/>
                <w:szCs w:val="16"/>
              </w:rPr>
            </w:pPr>
            <w:r w:rsidRPr="00B77B54">
              <w:rPr>
                <w:rFonts w:asciiTheme="majorHAnsi" w:hAnsiTheme="majorHAnsi"/>
                <w:sz w:val="16"/>
                <w:szCs w:val="16"/>
              </w:rPr>
              <w:t>Do sada nije praćen. Definisati metodologiju i otpočeti sa praćenjem.</w:t>
            </w:r>
          </w:p>
        </w:tc>
      </w:tr>
      <w:tr w:rsidR="00BA3681" w:rsidRPr="00B77B54" w14:paraId="65F5DE44" w14:textId="77777777" w:rsidTr="00FF3BCB">
        <w:tc>
          <w:tcPr>
            <w:tcW w:w="464" w:type="dxa"/>
          </w:tcPr>
          <w:p w14:paraId="2D9015DE" w14:textId="77777777" w:rsidR="00BA3681" w:rsidRPr="00B77B54" w:rsidRDefault="00BA3681" w:rsidP="00BA3681">
            <w:pPr>
              <w:rPr>
                <w:rFonts w:asciiTheme="majorHAnsi" w:hAnsiTheme="majorHAnsi"/>
              </w:rPr>
            </w:pPr>
            <w:r w:rsidRPr="00B77B54">
              <w:rPr>
                <w:rFonts w:asciiTheme="majorHAnsi" w:hAnsiTheme="majorHAnsi"/>
              </w:rPr>
              <w:t>2.</w:t>
            </w:r>
          </w:p>
        </w:tc>
        <w:tc>
          <w:tcPr>
            <w:tcW w:w="1752" w:type="dxa"/>
          </w:tcPr>
          <w:p w14:paraId="0BA3A976" w14:textId="77777777" w:rsidR="00BA3681" w:rsidRPr="00B77B54" w:rsidRDefault="00BA3681" w:rsidP="00BA3681">
            <w:pPr>
              <w:rPr>
                <w:rFonts w:asciiTheme="majorHAnsi" w:hAnsiTheme="majorHAnsi"/>
                <w:bCs/>
              </w:rPr>
            </w:pPr>
            <w:r w:rsidRPr="00B77B54">
              <w:rPr>
                <w:rFonts w:asciiTheme="majorHAnsi" w:hAnsiTheme="majorHAnsi"/>
              </w:rPr>
              <w:t>Razvoj omladinskog rada kao podrške za tranziciju u odraslo doba</w:t>
            </w:r>
          </w:p>
        </w:tc>
        <w:tc>
          <w:tcPr>
            <w:tcW w:w="2100" w:type="dxa"/>
          </w:tcPr>
          <w:p w14:paraId="20A8D61B" w14:textId="77777777" w:rsidR="00BA3681" w:rsidRPr="00B77B54" w:rsidRDefault="00BA3681" w:rsidP="00BA3681">
            <w:pPr>
              <w:rPr>
                <w:rFonts w:asciiTheme="majorHAnsi" w:hAnsiTheme="majorHAnsi"/>
                <w:sz w:val="16"/>
                <w:szCs w:val="16"/>
                <w:lang w:val="de-DE"/>
              </w:rPr>
            </w:pPr>
            <w:r w:rsidRPr="00B77B54">
              <w:rPr>
                <w:rFonts w:asciiTheme="majorHAnsi" w:hAnsiTheme="majorHAnsi"/>
                <w:sz w:val="16"/>
                <w:szCs w:val="16"/>
                <w:lang w:val="de-DE"/>
              </w:rPr>
              <w:t>Broj standardizovanih i akreditovanih obuka za omladinske radnike i omladinske aktiviste čime se osposobljava potreban profesionalni kadar za rad u omladinskim klubovima, omladinskim centrima, školama, organizacijama civilnog društva, institucijama na lokalnom i nacionalnom nivou</w:t>
            </w:r>
          </w:p>
          <w:p w14:paraId="082A932B" w14:textId="77777777" w:rsidR="00BA3681" w:rsidRPr="00B77B54" w:rsidRDefault="00BA3681" w:rsidP="00BA3681">
            <w:pPr>
              <w:rPr>
                <w:rFonts w:asciiTheme="majorHAnsi" w:hAnsiTheme="majorHAnsi"/>
                <w:sz w:val="16"/>
                <w:szCs w:val="16"/>
                <w:lang w:val="de-DE"/>
              </w:rPr>
            </w:pPr>
          </w:p>
          <w:p w14:paraId="645C856D" w14:textId="77777777" w:rsidR="00BA3681" w:rsidRPr="00B77B54" w:rsidRDefault="00BA3681" w:rsidP="00BA3681">
            <w:pPr>
              <w:rPr>
                <w:rFonts w:asciiTheme="majorHAnsi" w:hAnsiTheme="majorHAnsi"/>
                <w:sz w:val="16"/>
                <w:szCs w:val="16"/>
                <w:lang w:val="de-DE"/>
              </w:rPr>
            </w:pPr>
            <w:r w:rsidRPr="00B77B54">
              <w:rPr>
                <w:rFonts w:asciiTheme="majorHAnsi" w:hAnsiTheme="majorHAnsi"/>
                <w:sz w:val="16"/>
                <w:szCs w:val="16"/>
                <w:lang w:val="de-DE"/>
              </w:rPr>
              <w:t>Broj omladinskih radnika i omladinskih aktivista koji su prošli adekvatne obuke</w:t>
            </w:r>
          </w:p>
        </w:tc>
        <w:tc>
          <w:tcPr>
            <w:tcW w:w="2108" w:type="dxa"/>
          </w:tcPr>
          <w:p w14:paraId="4C779843" w14:textId="77777777" w:rsidR="00BA3681" w:rsidRPr="00B77B54" w:rsidRDefault="00BA3681" w:rsidP="00BA3681">
            <w:pPr>
              <w:rPr>
                <w:rFonts w:asciiTheme="majorHAnsi" w:hAnsiTheme="majorHAnsi"/>
                <w:sz w:val="16"/>
                <w:szCs w:val="16"/>
              </w:rPr>
            </w:pPr>
          </w:p>
        </w:tc>
        <w:tc>
          <w:tcPr>
            <w:tcW w:w="2926" w:type="dxa"/>
          </w:tcPr>
          <w:p w14:paraId="2319313C" w14:textId="77777777" w:rsidR="00BA3681" w:rsidRPr="00B77B54" w:rsidRDefault="00BA3681" w:rsidP="00BA3681">
            <w:pPr>
              <w:rPr>
                <w:rFonts w:asciiTheme="majorHAnsi" w:hAnsiTheme="majorHAnsi"/>
                <w:b/>
                <w:sz w:val="16"/>
                <w:szCs w:val="16"/>
              </w:rPr>
            </w:pPr>
            <w:r w:rsidRPr="00B77B54">
              <w:rPr>
                <w:rFonts w:asciiTheme="majorHAnsi" w:hAnsiTheme="majorHAnsi"/>
                <w:b/>
                <w:sz w:val="16"/>
                <w:szCs w:val="16"/>
              </w:rPr>
              <w:t>NACIONALNI INDIKATOR</w:t>
            </w:r>
          </w:p>
          <w:p w14:paraId="7583EF72" w14:textId="64E9A313" w:rsidR="00ED43E9" w:rsidRPr="00ED43E9" w:rsidRDefault="00BA3681" w:rsidP="00ED43E9">
            <w:pPr>
              <w:pStyle w:val="CommentText"/>
              <w:rPr>
                <w:rFonts w:asciiTheme="majorHAnsi" w:hAnsiTheme="majorHAnsi"/>
                <w:sz w:val="16"/>
                <w:szCs w:val="16"/>
                <w:lang w:val="es-US"/>
              </w:rPr>
            </w:pPr>
            <w:r w:rsidRPr="00B77B54">
              <w:rPr>
                <w:rFonts w:asciiTheme="majorHAnsi" w:hAnsiTheme="majorHAnsi"/>
                <w:sz w:val="16"/>
                <w:szCs w:val="16"/>
              </w:rPr>
              <w:t>Do sada nije praćen. Definisati metodologiju i otpočeti sa praćenjem.</w:t>
            </w:r>
            <w:r w:rsidR="00ED43E9">
              <w:rPr>
                <w:rFonts w:asciiTheme="majorHAnsi" w:hAnsiTheme="majorHAnsi"/>
                <w:sz w:val="16"/>
                <w:szCs w:val="16"/>
              </w:rPr>
              <w:t xml:space="preserve"> Razmotriti da indicator uklju</w:t>
            </w:r>
            <w:r w:rsidR="00ED43E9">
              <w:rPr>
                <w:rFonts w:asciiTheme="majorHAnsi" w:hAnsiTheme="majorHAnsi"/>
                <w:sz w:val="16"/>
                <w:szCs w:val="16"/>
                <w:lang w:val="hr-HR"/>
              </w:rPr>
              <w:t xml:space="preserve">či </w:t>
            </w:r>
            <w:r w:rsidR="00ED43E9" w:rsidRPr="00ED43E9">
              <w:rPr>
                <w:rFonts w:asciiTheme="majorHAnsi" w:hAnsiTheme="majorHAnsi"/>
                <w:i/>
                <w:sz w:val="16"/>
                <w:szCs w:val="16"/>
                <w:lang w:val="es-US"/>
              </w:rPr>
              <w:t>broj omladinskih radnika koji su angažovani u servisima za mlade koje pruža država (ili nevladin sektor)</w:t>
            </w:r>
          </w:p>
          <w:p w14:paraId="18829E0C" w14:textId="7573C61B" w:rsidR="00BA3681" w:rsidRPr="00ED43E9" w:rsidRDefault="00BA3681" w:rsidP="00BA3681">
            <w:pPr>
              <w:rPr>
                <w:rFonts w:asciiTheme="majorHAnsi" w:hAnsiTheme="majorHAnsi"/>
                <w:sz w:val="16"/>
                <w:szCs w:val="16"/>
                <w:lang w:val="hr-HR"/>
              </w:rPr>
            </w:pPr>
          </w:p>
        </w:tc>
      </w:tr>
      <w:tr w:rsidR="00BA3681" w:rsidRPr="00B77B54" w14:paraId="38A0F227" w14:textId="77777777" w:rsidTr="00FF3BCB">
        <w:tc>
          <w:tcPr>
            <w:tcW w:w="464" w:type="dxa"/>
          </w:tcPr>
          <w:p w14:paraId="245CC17A" w14:textId="77777777" w:rsidR="00BA3681" w:rsidRPr="00B77B54" w:rsidRDefault="00BA3681" w:rsidP="00BA3681">
            <w:pPr>
              <w:rPr>
                <w:rFonts w:asciiTheme="majorHAnsi" w:hAnsiTheme="majorHAnsi"/>
              </w:rPr>
            </w:pPr>
            <w:r w:rsidRPr="00B77B54">
              <w:rPr>
                <w:rFonts w:asciiTheme="majorHAnsi" w:hAnsiTheme="majorHAnsi"/>
              </w:rPr>
              <w:lastRenderedPageBreak/>
              <w:t>3.</w:t>
            </w:r>
          </w:p>
        </w:tc>
        <w:tc>
          <w:tcPr>
            <w:tcW w:w="1752" w:type="dxa"/>
          </w:tcPr>
          <w:p w14:paraId="157738F1" w14:textId="77777777" w:rsidR="00BA3681" w:rsidRPr="00B77B54" w:rsidRDefault="00BA3681" w:rsidP="00BA3681">
            <w:pPr>
              <w:rPr>
                <w:rFonts w:asciiTheme="majorHAnsi" w:hAnsiTheme="majorHAnsi"/>
                <w:bCs/>
              </w:rPr>
            </w:pPr>
            <w:r w:rsidRPr="00B77B54">
              <w:rPr>
                <w:rFonts w:asciiTheme="majorHAnsi" w:hAnsiTheme="majorHAnsi"/>
              </w:rPr>
              <w:t>Razvoj servisa podrške za sticanje autonomije</w:t>
            </w:r>
          </w:p>
        </w:tc>
        <w:tc>
          <w:tcPr>
            <w:tcW w:w="2100" w:type="dxa"/>
          </w:tcPr>
          <w:p w14:paraId="19D0444E"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Broj i vrsta servisa podrške za sticanje autonomije mladih</w:t>
            </w:r>
          </w:p>
          <w:p w14:paraId="65D91423" w14:textId="77777777" w:rsidR="00BA3681" w:rsidRPr="00B77B54" w:rsidRDefault="00BA3681" w:rsidP="00BA3681">
            <w:pPr>
              <w:rPr>
                <w:rFonts w:asciiTheme="majorHAnsi" w:hAnsiTheme="majorHAnsi"/>
                <w:sz w:val="16"/>
                <w:szCs w:val="16"/>
              </w:rPr>
            </w:pPr>
          </w:p>
          <w:p w14:paraId="53E67E92"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Procenat mladih koji koriste i znaju za postojanje ovakvih servisa</w:t>
            </w:r>
          </w:p>
        </w:tc>
        <w:tc>
          <w:tcPr>
            <w:tcW w:w="2108" w:type="dxa"/>
          </w:tcPr>
          <w:p w14:paraId="4C928A8B" w14:textId="77777777" w:rsidR="00BA3681" w:rsidRPr="00B77B54" w:rsidRDefault="00BA3681" w:rsidP="00BA3681">
            <w:pPr>
              <w:rPr>
                <w:rFonts w:asciiTheme="majorHAnsi" w:hAnsiTheme="majorHAnsi"/>
                <w:sz w:val="16"/>
                <w:szCs w:val="16"/>
              </w:rPr>
            </w:pPr>
          </w:p>
        </w:tc>
        <w:tc>
          <w:tcPr>
            <w:tcW w:w="2926" w:type="dxa"/>
          </w:tcPr>
          <w:p w14:paraId="2CD9D8BB" w14:textId="77777777" w:rsidR="00BA3681" w:rsidRPr="00B77B54" w:rsidRDefault="00BA3681" w:rsidP="00BA3681">
            <w:pPr>
              <w:rPr>
                <w:rFonts w:asciiTheme="majorHAnsi" w:hAnsiTheme="majorHAnsi"/>
                <w:b/>
                <w:sz w:val="16"/>
                <w:szCs w:val="16"/>
              </w:rPr>
            </w:pPr>
            <w:r w:rsidRPr="00B77B54">
              <w:rPr>
                <w:rFonts w:asciiTheme="majorHAnsi" w:hAnsiTheme="majorHAnsi"/>
                <w:b/>
                <w:sz w:val="16"/>
                <w:szCs w:val="16"/>
              </w:rPr>
              <w:t>NACIONALNI INDIKATOR</w:t>
            </w:r>
          </w:p>
          <w:p w14:paraId="3C5C366E"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Do sada nije praćen. Definisati metodologiju i otpočeti sa praćenjem.</w:t>
            </w:r>
          </w:p>
        </w:tc>
      </w:tr>
      <w:tr w:rsidR="00BA3681" w:rsidRPr="00B77B54" w14:paraId="4FC63C8E" w14:textId="77777777" w:rsidTr="00FF3BCB">
        <w:trPr>
          <w:trHeight w:val="1052"/>
        </w:trPr>
        <w:tc>
          <w:tcPr>
            <w:tcW w:w="464" w:type="dxa"/>
            <w:vMerge w:val="restart"/>
            <w:shd w:val="clear" w:color="auto" w:fill="auto"/>
          </w:tcPr>
          <w:p w14:paraId="117693FE" w14:textId="77777777" w:rsidR="00BA3681" w:rsidRPr="00B77B54" w:rsidRDefault="00BA3681" w:rsidP="00BA3681">
            <w:pPr>
              <w:rPr>
                <w:rFonts w:asciiTheme="majorHAnsi" w:hAnsiTheme="majorHAnsi"/>
              </w:rPr>
            </w:pPr>
            <w:r w:rsidRPr="00B77B54">
              <w:rPr>
                <w:rFonts w:asciiTheme="majorHAnsi" w:hAnsiTheme="majorHAnsi"/>
              </w:rPr>
              <w:t>4.</w:t>
            </w:r>
          </w:p>
        </w:tc>
        <w:tc>
          <w:tcPr>
            <w:tcW w:w="1752" w:type="dxa"/>
            <w:vMerge w:val="restart"/>
            <w:shd w:val="clear" w:color="auto" w:fill="auto"/>
          </w:tcPr>
          <w:p w14:paraId="0D18383D" w14:textId="77777777" w:rsidR="00BA3681" w:rsidRPr="00B77B54" w:rsidRDefault="00BA3681" w:rsidP="00BA3681">
            <w:pPr>
              <w:rPr>
                <w:rFonts w:asciiTheme="majorHAnsi" w:hAnsiTheme="majorHAnsi"/>
                <w:bCs/>
              </w:rPr>
            </w:pPr>
            <w:r w:rsidRPr="00B77B54">
              <w:rPr>
                <w:rFonts w:asciiTheme="majorHAnsi" w:hAnsiTheme="majorHAnsi"/>
              </w:rPr>
              <w:t>Podrška razvoju psiho-fizičkog zdravlja mladih</w:t>
            </w:r>
          </w:p>
        </w:tc>
        <w:tc>
          <w:tcPr>
            <w:tcW w:w="2100" w:type="dxa"/>
            <w:shd w:val="clear" w:color="auto" w:fill="auto"/>
          </w:tcPr>
          <w:p w14:paraId="75324224"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Stalni pušači</w:t>
            </w:r>
          </w:p>
          <w:p w14:paraId="242051F2" w14:textId="77777777" w:rsidR="00BA3681" w:rsidRPr="00B77B54" w:rsidRDefault="00BA3681" w:rsidP="00BA3681">
            <w:pPr>
              <w:rPr>
                <w:rFonts w:asciiTheme="majorHAnsi" w:hAnsiTheme="majorHAnsi" w:cs="Times New Roman"/>
                <w:sz w:val="16"/>
                <w:szCs w:val="16"/>
              </w:rPr>
            </w:pPr>
          </w:p>
          <w:p w14:paraId="06F475ED"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Udio pušača koji to čine svakodnevno u populaciji od 15-24 godine.</w:t>
            </w:r>
          </w:p>
        </w:tc>
        <w:tc>
          <w:tcPr>
            <w:tcW w:w="2108" w:type="dxa"/>
            <w:shd w:val="clear" w:color="auto" w:fill="auto"/>
          </w:tcPr>
          <w:p w14:paraId="6B5CC3BC"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EUROSTAT</w:t>
            </w:r>
          </w:p>
          <w:p w14:paraId="60CDFDCE"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YDI</w:t>
            </w:r>
          </w:p>
        </w:tc>
        <w:tc>
          <w:tcPr>
            <w:tcW w:w="2926" w:type="dxa"/>
            <w:shd w:val="clear" w:color="auto" w:fill="auto"/>
          </w:tcPr>
          <w:p w14:paraId="598EA113" w14:textId="77777777" w:rsidR="00BA3681" w:rsidRPr="00B77B54" w:rsidRDefault="00BA3681" w:rsidP="00BA3681">
            <w:pPr>
              <w:rPr>
                <w:rFonts w:asciiTheme="majorHAnsi" w:hAnsiTheme="majorHAnsi"/>
                <w:sz w:val="16"/>
                <w:szCs w:val="16"/>
              </w:rPr>
            </w:pPr>
          </w:p>
        </w:tc>
      </w:tr>
      <w:tr w:rsidR="00BA3681" w:rsidRPr="00B77B54" w14:paraId="25F4E0A1" w14:textId="77777777" w:rsidTr="00FF3BCB">
        <w:trPr>
          <w:trHeight w:val="863"/>
        </w:trPr>
        <w:tc>
          <w:tcPr>
            <w:tcW w:w="464" w:type="dxa"/>
            <w:vMerge/>
            <w:shd w:val="clear" w:color="auto" w:fill="auto"/>
          </w:tcPr>
          <w:p w14:paraId="030DE796" w14:textId="77777777" w:rsidR="00BA3681" w:rsidRPr="00B77B54" w:rsidRDefault="00BA3681" w:rsidP="00BA3681">
            <w:pPr>
              <w:rPr>
                <w:rFonts w:asciiTheme="majorHAnsi" w:hAnsiTheme="majorHAnsi"/>
              </w:rPr>
            </w:pPr>
          </w:p>
        </w:tc>
        <w:tc>
          <w:tcPr>
            <w:tcW w:w="1752" w:type="dxa"/>
            <w:vMerge/>
            <w:shd w:val="clear" w:color="auto" w:fill="auto"/>
          </w:tcPr>
          <w:p w14:paraId="477A0A5B" w14:textId="77777777" w:rsidR="00BA3681" w:rsidRPr="00B77B54" w:rsidRDefault="00BA3681" w:rsidP="00BA3681">
            <w:pPr>
              <w:rPr>
                <w:rFonts w:asciiTheme="majorHAnsi" w:hAnsiTheme="majorHAnsi"/>
              </w:rPr>
            </w:pPr>
          </w:p>
        </w:tc>
        <w:tc>
          <w:tcPr>
            <w:tcW w:w="2100" w:type="dxa"/>
            <w:shd w:val="clear" w:color="auto" w:fill="auto"/>
          </w:tcPr>
          <w:p w14:paraId="2FEC2CFD"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Gojaznost</w:t>
            </w:r>
          </w:p>
          <w:p w14:paraId="1286ADEB" w14:textId="77777777" w:rsidR="00BA3681" w:rsidRPr="00B77B54" w:rsidRDefault="00BA3681" w:rsidP="00BA3681">
            <w:pPr>
              <w:rPr>
                <w:rFonts w:asciiTheme="majorHAnsi" w:hAnsiTheme="majorHAnsi" w:cs="Times New Roman"/>
                <w:sz w:val="16"/>
                <w:szCs w:val="16"/>
              </w:rPr>
            </w:pPr>
          </w:p>
          <w:p w14:paraId="53CAD933" w14:textId="77777777" w:rsidR="00BA3681" w:rsidRPr="00B77B54" w:rsidRDefault="00BA3681" w:rsidP="00BA3681">
            <w:pPr>
              <w:rPr>
                <w:rFonts w:asciiTheme="majorHAnsi" w:hAnsiTheme="majorHAnsi"/>
                <w:sz w:val="16"/>
                <w:szCs w:val="16"/>
              </w:rPr>
            </w:pPr>
            <w:r w:rsidRPr="00B77B54">
              <w:rPr>
                <w:rFonts w:asciiTheme="majorHAnsi" w:hAnsiTheme="majorHAnsi" w:cs="Times New Roman"/>
                <w:sz w:val="16"/>
                <w:szCs w:val="16"/>
              </w:rPr>
              <w:t>Mladi ljudi od 18-24 godine koji imaju indeks tjelesne mase 30 ili više</w:t>
            </w:r>
            <w:r w:rsidRPr="00B77B54">
              <w:rPr>
                <w:rFonts w:asciiTheme="majorHAnsi" w:hAnsiTheme="majorHAnsi"/>
                <w:sz w:val="16"/>
                <w:szCs w:val="16"/>
              </w:rPr>
              <w:t xml:space="preserve"> </w:t>
            </w:r>
          </w:p>
        </w:tc>
        <w:tc>
          <w:tcPr>
            <w:tcW w:w="2108" w:type="dxa"/>
            <w:shd w:val="clear" w:color="auto" w:fill="auto"/>
          </w:tcPr>
          <w:p w14:paraId="27FB68A6"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EUROSTAT</w:t>
            </w:r>
          </w:p>
        </w:tc>
        <w:tc>
          <w:tcPr>
            <w:tcW w:w="2926" w:type="dxa"/>
            <w:shd w:val="clear" w:color="auto" w:fill="auto"/>
          </w:tcPr>
          <w:p w14:paraId="72EA6A17" w14:textId="77777777" w:rsidR="00BA3681" w:rsidRPr="00B77B54" w:rsidRDefault="00BA3681" w:rsidP="00BA3681">
            <w:pPr>
              <w:rPr>
                <w:rFonts w:asciiTheme="majorHAnsi" w:hAnsiTheme="majorHAnsi"/>
                <w:sz w:val="16"/>
                <w:szCs w:val="16"/>
              </w:rPr>
            </w:pPr>
          </w:p>
        </w:tc>
      </w:tr>
      <w:tr w:rsidR="00BA3681" w:rsidRPr="00B77B54" w14:paraId="092833A3" w14:textId="77777777" w:rsidTr="00FF3BCB">
        <w:trPr>
          <w:trHeight w:val="1502"/>
        </w:trPr>
        <w:tc>
          <w:tcPr>
            <w:tcW w:w="464" w:type="dxa"/>
            <w:vMerge/>
            <w:shd w:val="clear" w:color="auto" w:fill="auto"/>
          </w:tcPr>
          <w:p w14:paraId="3E5A4619" w14:textId="77777777" w:rsidR="00BA3681" w:rsidRPr="00B77B54" w:rsidRDefault="00BA3681" w:rsidP="00BA3681">
            <w:pPr>
              <w:rPr>
                <w:rFonts w:asciiTheme="majorHAnsi" w:hAnsiTheme="majorHAnsi"/>
              </w:rPr>
            </w:pPr>
          </w:p>
        </w:tc>
        <w:tc>
          <w:tcPr>
            <w:tcW w:w="1752" w:type="dxa"/>
            <w:vMerge/>
            <w:shd w:val="clear" w:color="auto" w:fill="auto"/>
          </w:tcPr>
          <w:p w14:paraId="283FFD1B" w14:textId="77777777" w:rsidR="00BA3681" w:rsidRPr="00B77B54" w:rsidRDefault="00BA3681" w:rsidP="00BA3681">
            <w:pPr>
              <w:rPr>
                <w:rFonts w:asciiTheme="majorHAnsi" w:hAnsiTheme="majorHAnsi"/>
              </w:rPr>
            </w:pPr>
          </w:p>
        </w:tc>
        <w:tc>
          <w:tcPr>
            <w:tcW w:w="2100" w:type="dxa"/>
            <w:shd w:val="clear" w:color="auto" w:fill="auto"/>
          </w:tcPr>
          <w:p w14:paraId="39DDCE59"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Upotreba alkohola u posljednjih 30 dana</w:t>
            </w:r>
          </w:p>
          <w:p w14:paraId="0D42087F" w14:textId="77777777" w:rsidR="00BA3681" w:rsidRPr="00B77B54" w:rsidRDefault="00BA3681" w:rsidP="00BA3681">
            <w:pPr>
              <w:autoSpaceDE w:val="0"/>
              <w:autoSpaceDN w:val="0"/>
              <w:adjustRightInd w:val="0"/>
              <w:rPr>
                <w:rFonts w:asciiTheme="majorHAnsi" w:hAnsiTheme="majorHAnsi" w:cs="Times New Roman"/>
                <w:sz w:val="16"/>
                <w:szCs w:val="16"/>
              </w:rPr>
            </w:pPr>
          </w:p>
          <w:p w14:paraId="394CB3A6" w14:textId="77777777" w:rsidR="00BA3681" w:rsidRPr="00B77B54" w:rsidRDefault="00BA3681" w:rsidP="00BA3681">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Udio ciljne populacije koja je pozitivno odgovorila na pitanje da li su konzumirali alkohol u posljednjih 30 dana</w:t>
            </w:r>
          </w:p>
        </w:tc>
        <w:tc>
          <w:tcPr>
            <w:tcW w:w="2108" w:type="dxa"/>
            <w:shd w:val="clear" w:color="auto" w:fill="auto"/>
          </w:tcPr>
          <w:p w14:paraId="4E94B408"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ESPAD survey</w:t>
            </w:r>
          </w:p>
          <w:p w14:paraId="39CB70BF" w14:textId="77777777" w:rsidR="00BA3681" w:rsidRPr="00B77B54" w:rsidRDefault="00BA3681" w:rsidP="00BA3681">
            <w:pPr>
              <w:rPr>
                <w:rFonts w:asciiTheme="majorHAnsi" w:hAnsiTheme="majorHAnsi"/>
                <w:sz w:val="16"/>
                <w:szCs w:val="16"/>
              </w:rPr>
            </w:pPr>
          </w:p>
          <w:p w14:paraId="4CB1210F" w14:textId="0F035396" w:rsidR="00BA3681" w:rsidRPr="00B77B54" w:rsidRDefault="0090791B" w:rsidP="00BA3681">
            <w:pPr>
              <w:rPr>
                <w:rFonts w:asciiTheme="majorHAnsi" w:hAnsiTheme="majorHAnsi"/>
                <w:sz w:val="16"/>
                <w:szCs w:val="16"/>
              </w:rPr>
            </w:pPr>
            <w:r w:rsidRPr="00B77B54">
              <w:rPr>
                <w:rFonts w:asciiTheme="majorHAnsi" w:hAnsiTheme="majorHAnsi"/>
                <w:sz w:val="16"/>
                <w:szCs w:val="16"/>
              </w:rPr>
              <w:t xml:space="preserve">Prijedlog </w:t>
            </w:r>
            <w:r w:rsidR="00BA3681" w:rsidRPr="00B77B54">
              <w:rPr>
                <w:rFonts w:asciiTheme="majorHAnsi" w:hAnsiTheme="majorHAnsi"/>
                <w:sz w:val="16"/>
                <w:szCs w:val="16"/>
              </w:rPr>
              <w:t xml:space="preserve">UNICEF: </w:t>
            </w:r>
            <w:r w:rsidR="00BA3681" w:rsidRPr="00B77B54">
              <w:rPr>
                <w:rFonts w:asciiTheme="majorHAnsi" w:hAnsiTheme="majorHAnsi" w:cs="Times New Roman"/>
                <w:sz w:val="16"/>
                <w:szCs w:val="16"/>
              </w:rPr>
              <w:t>Upotreba alkohola: % adolescenata od 13-15 godina koji su konzumirali najmanje jedno alkoholno piće u posljednjih 30 dana</w:t>
            </w:r>
          </w:p>
        </w:tc>
        <w:tc>
          <w:tcPr>
            <w:tcW w:w="2926" w:type="dxa"/>
            <w:shd w:val="clear" w:color="auto" w:fill="auto"/>
          </w:tcPr>
          <w:p w14:paraId="424E15D7" w14:textId="77777777" w:rsidR="00BA3681" w:rsidRPr="00B77B54" w:rsidRDefault="00BA3681" w:rsidP="00BA3681">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48A8A755" w14:textId="77777777" w:rsidR="00BA3681" w:rsidRPr="00B77B54" w:rsidRDefault="00BA3681" w:rsidP="00BA3681">
            <w:pPr>
              <w:rPr>
                <w:rFonts w:asciiTheme="majorHAnsi" w:hAnsiTheme="majorHAnsi"/>
                <w:sz w:val="16"/>
                <w:szCs w:val="16"/>
              </w:rPr>
            </w:pPr>
            <w:r w:rsidRPr="00B77B54">
              <w:rPr>
                <w:rFonts w:asciiTheme="majorHAnsi" w:hAnsiTheme="majorHAnsi"/>
                <w:i/>
                <w:sz w:val="16"/>
                <w:szCs w:val="16"/>
              </w:rPr>
              <w:t>Dodati nacionalnu disagregaciju po regionu, rodu, u odnosu na pripadnost ranjivim kategorijama</w:t>
            </w:r>
          </w:p>
        </w:tc>
      </w:tr>
      <w:tr w:rsidR="00BA3681" w:rsidRPr="00B77B54" w14:paraId="2781D62E" w14:textId="77777777" w:rsidTr="00FF3BCB">
        <w:trPr>
          <w:trHeight w:val="233"/>
        </w:trPr>
        <w:tc>
          <w:tcPr>
            <w:tcW w:w="464" w:type="dxa"/>
            <w:vMerge/>
            <w:shd w:val="clear" w:color="auto" w:fill="auto"/>
          </w:tcPr>
          <w:p w14:paraId="665199D4" w14:textId="77777777" w:rsidR="00BA3681" w:rsidRPr="00B77B54" w:rsidRDefault="00BA3681" w:rsidP="00BA3681">
            <w:pPr>
              <w:rPr>
                <w:rFonts w:asciiTheme="majorHAnsi" w:hAnsiTheme="majorHAnsi"/>
              </w:rPr>
            </w:pPr>
          </w:p>
        </w:tc>
        <w:tc>
          <w:tcPr>
            <w:tcW w:w="1752" w:type="dxa"/>
            <w:vMerge/>
            <w:shd w:val="clear" w:color="auto" w:fill="auto"/>
          </w:tcPr>
          <w:p w14:paraId="63873AE5" w14:textId="77777777" w:rsidR="00BA3681" w:rsidRPr="00B77B54" w:rsidRDefault="00BA3681" w:rsidP="00BA3681">
            <w:pPr>
              <w:rPr>
                <w:rFonts w:asciiTheme="majorHAnsi" w:hAnsiTheme="majorHAnsi"/>
              </w:rPr>
            </w:pPr>
          </w:p>
        </w:tc>
        <w:tc>
          <w:tcPr>
            <w:tcW w:w="2100" w:type="dxa"/>
            <w:shd w:val="clear" w:color="auto" w:fill="auto"/>
          </w:tcPr>
          <w:p w14:paraId="55EB5E13"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Stopa smrtnosti lica od 15-29 godina</w:t>
            </w:r>
          </w:p>
        </w:tc>
        <w:tc>
          <w:tcPr>
            <w:tcW w:w="2108" w:type="dxa"/>
            <w:shd w:val="clear" w:color="auto" w:fill="auto"/>
          </w:tcPr>
          <w:p w14:paraId="4184D48C"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YDI</w:t>
            </w:r>
          </w:p>
        </w:tc>
        <w:tc>
          <w:tcPr>
            <w:tcW w:w="2926" w:type="dxa"/>
            <w:shd w:val="clear" w:color="auto" w:fill="auto"/>
          </w:tcPr>
          <w:p w14:paraId="1FDAC9F1" w14:textId="77777777" w:rsidR="00BA3681" w:rsidRPr="00B77B54" w:rsidRDefault="00BA3681" w:rsidP="00BA3681">
            <w:pPr>
              <w:rPr>
                <w:rFonts w:asciiTheme="majorHAnsi" w:hAnsiTheme="majorHAnsi"/>
              </w:rPr>
            </w:pPr>
          </w:p>
        </w:tc>
      </w:tr>
      <w:tr w:rsidR="00BA3681" w:rsidRPr="00B77B54" w14:paraId="1DDC970C" w14:textId="77777777" w:rsidTr="00FF3BCB">
        <w:trPr>
          <w:trHeight w:val="1340"/>
        </w:trPr>
        <w:tc>
          <w:tcPr>
            <w:tcW w:w="464" w:type="dxa"/>
            <w:vMerge/>
            <w:shd w:val="clear" w:color="auto" w:fill="auto"/>
          </w:tcPr>
          <w:p w14:paraId="3B025BF5" w14:textId="77777777" w:rsidR="00BA3681" w:rsidRPr="00B77B54" w:rsidRDefault="00BA3681" w:rsidP="00BA3681">
            <w:pPr>
              <w:rPr>
                <w:rFonts w:asciiTheme="majorHAnsi" w:hAnsiTheme="majorHAnsi"/>
              </w:rPr>
            </w:pPr>
          </w:p>
        </w:tc>
        <w:tc>
          <w:tcPr>
            <w:tcW w:w="1752" w:type="dxa"/>
            <w:vMerge/>
            <w:shd w:val="clear" w:color="auto" w:fill="auto"/>
          </w:tcPr>
          <w:p w14:paraId="648E9726" w14:textId="77777777" w:rsidR="00BA3681" w:rsidRPr="00B77B54" w:rsidRDefault="00BA3681" w:rsidP="00BA3681">
            <w:pPr>
              <w:rPr>
                <w:rFonts w:asciiTheme="majorHAnsi" w:hAnsiTheme="majorHAnsi"/>
              </w:rPr>
            </w:pPr>
          </w:p>
        </w:tc>
        <w:tc>
          <w:tcPr>
            <w:tcW w:w="2100" w:type="dxa"/>
            <w:shd w:val="clear" w:color="auto" w:fill="auto"/>
          </w:tcPr>
          <w:p w14:paraId="4D498224"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 xml:space="preserve">Samoubistvo kao uzrok smrti mladih </w:t>
            </w:r>
          </w:p>
          <w:p w14:paraId="18128A27" w14:textId="77777777" w:rsidR="00BA3681" w:rsidRPr="00B77B54" w:rsidRDefault="00BA3681" w:rsidP="00BA3681">
            <w:pPr>
              <w:rPr>
                <w:rFonts w:asciiTheme="majorHAnsi" w:hAnsiTheme="majorHAnsi" w:cs="Times New Roman"/>
                <w:sz w:val="16"/>
                <w:szCs w:val="16"/>
              </w:rPr>
            </w:pPr>
          </w:p>
          <w:p w14:paraId="1A4AC34D"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Broj smrti lica godina od 15 do 24 uzrokovanih samoubistvom na 100.000 stanovnika</w:t>
            </w:r>
          </w:p>
        </w:tc>
        <w:tc>
          <w:tcPr>
            <w:tcW w:w="2108" w:type="dxa"/>
            <w:shd w:val="clear" w:color="auto" w:fill="auto"/>
          </w:tcPr>
          <w:p w14:paraId="41331F3D"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EUROSTAT</w:t>
            </w:r>
          </w:p>
          <w:p w14:paraId="61423ED3" w14:textId="2E7DC863" w:rsidR="00BA3681" w:rsidRPr="00B77B54" w:rsidRDefault="001A203F" w:rsidP="00BA3681">
            <w:pPr>
              <w:rPr>
                <w:rFonts w:asciiTheme="majorHAnsi" w:hAnsiTheme="majorHAnsi"/>
                <w:sz w:val="16"/>
                <w:szCs w:val="16"/>
              </w:rPr>
            </w:pPr>
            <w:r w:rsidRPr="00B77B54">
              <w:rPr>
                <w:rFonts w:asciiTheme="majorHAnsi" w:hAnsiTheme="majorHAnsi"/>
                <w:sz w:val="16"/>
                <w:szCs w:val="16"/>
              </w:rPr>
              <w:t xml:space="preserve"> Prijedlog </w:t>
            </w:r>
            <w:r w:rsidR="00BA3681" w:rsidRPr="00B77B54">
              <w:rPr>
                <w:rFonts w:asciiTheme="majorHAnsi" w:hAnsiTheme="majorHAnsi"/>
                <w:sz w:val="16"/>
                <w:szCs w:val="16"/>
              </w:rPr>
              <w:t>UNICEF</w:t>
            </w:r>
          </w:p>
        </w:tc>
        <w:tc>
          <w:tcPr>
            <w:tcW w:w="2926" w:type="dxa"/>
            <w:shd w:val="clear" w:color="auto" w:fill="auto"/>
          </w:tcPr>
          <w:p w14:paraId="4571126C" w14:textId="77777777" w:rsidR="00BA3681" w:rsidRPr="00B77B54" w:rsidRDefault="00BA3681" w:rsidP="00BA3681">
            <w:pPr>
              <w:rPr>
                <w:rFonts w:asciiTheme="majorHAnsi" w:hAnsiTheme="majorHAnsi"/>
              </w:rPr>
            </w:pPr>
          </w:p>
        </w:tc>
      </w:tr>
      <w:tr w:rsidR="00BA3681" w:rsidRPr="00B77B54" w14:paraId="7D29E7E3" w14:textId="77777777" w:rsidTr="00FF3BCB">
        <w:trPr>
          <w:trHeight w:val="1170"/>
        </w:trPr>
        <w:tc>
          <w:tcPr>
            <w:tcW w:w="464" w:type="dxa"/>
            <w:vMerge/>
            <w:shd w:val="clear" w:color="auto" w:fill="auto"/>
          </w:tcPr>
          <w:p w14:paraId="329B6AB9" w14:textId="77777777" w:rsidR="00BA3681" w:rsidRPr="00B77B54" w:rsidRDefault="00BA3681" w:rsidP="00BA3681">
            <w:pPr>
              <w:rPr>
                <w:rFonts w:asciiTheme="majorHAnsi" w:hAnsiTheme="majorHAnsi"/>
              </w:rPr>
            </w:pPr>
          </w:p>
        </w:tc>
        <w:tc>
          <w:tcPr>
            <w:tcW w:w="1752" w:type="dxa"/>
            <w:vMerge/>
            <w:shd w:val="clear" w:color="auto" w:fill="auto"/>
          </w:tcPr>
          <w:p w14:paraId="0F59FA00" w14:textId="77777777" w:rsidR="00BA3681" w:rsidRPr="00B77B54" w:rsidRDefault="00BA3681" w:rsidP="00BA3681">
            <w:pPr>
              <w:rPr>
                <w:rFonts w:asciiTheme="majorHAnsi" w:hAnsiTheme="majorHAnsi"/>
              </w:rPr>
            </w:pPr>
          </w:p>
        </w:tc>
        <w:tc>
          <w:tcPr>
            <w:tcW w:w="2100" w:type="dxa"/>
            <w:shd w:val="clear" w:color="auto" w:fill="auto"/>
          </w:tcPr>
          <w:p w14:paraId="09D88DB9"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 adolescenata koji imaju između 10-17 godina a koji su iskusili nasilno disciplinovanje (psihička agresija ili i fizička kazna u posljenjih mjesec dana)</w:t>
            </w:r>
          </w:p>
        </w:tc>
        <w:tc>
          <w:tcPr>
            <w:tcW w:w="2108" w:type="dxa"/>
            <w:shd w:val="clear" w:color="auto" w:fill="auto"/>
          </w:tcPr>
          <w:p w14:paraId="53C19CC4" w14:textId="23202838" w:rsidR="00BA3681" w:rsidRPr="00B77B54" w:rsidRDefault="001A203F" w:rsidP="00BA3681">
            <w:pPr>
              <w:rPr>
                <w:rFonts w:asciiTheme="majorHAnsi" w:hAnsiTheme="majorHAnsi"/>
                <w:sz w:val="16"/>
                <w:szCs w:val="16"/>
              </w:rPr>
            </w:pPr>
            <w:r w:rsidRPr="00B77B54">
              <w:rPr>
                <w:rFonts w:asciiTheme="majorHAnsi" w:hAnsiTheme="majorHAnsi"/>
                <w:sz w:val="16"/>
                <w:szCs w:val="16"/>
              </w:rPr>
              <w:t xml:space="preserve">Prijedlog </w:t>
            </w:r>
            <w:r w:rsidR="00BA3681" w:rsidRPr="00B77B54">
              <w:rPr>
                <w:rFonts w:asciiTheme="majorHAnsi" w:hAnsiTheme="majorHAnsi"/>
                <w:sz w:val="16"/>
                <w:szCs w:val="16"/>
              </w:rPr>
              <w:t>UNICEF</w:t>
            </w:r>
          </w:p>
        </w:tc>
        <w:tc>
          <w:tcPr>
            <w:tcW w:w="2926" w:type="dxa"/>
            <w:shd w:val="clear" w:color="auto" w:fill="auto"/>
          </w:tcPr>
          <w:p w14:paraId="45A7EBA3" w14:textId="77777777" w:rsidR="00BA3681" w:rsidRPr="00B77B54" w:rsidRDefault="00BA3681" w:rsidP="00BA3681">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56079D49" w14:textId="77777777" w:rsidR="00BA3681" w:rsidRPr="00B77B54" w:rsidRDefault="00BA3681" w:rsidP="00BA3681">
            <w:pPr>
              <w:rPr>
                <w:rFonts w:asciiTheme="majorHAnsi" w:hAnsiTheme="majorHAnsi"/>
              </w:rPr>
            </w:pPr>
            <w:r w:rsidRPr="00B77B54">
              <w:rPr>
                <w:rFonts w:asciiTheme="majorHAnsi" w:hAnsiTheme="majorHAnsi"/>
                <w:i/>
                <w:sz w:val="16"/>
                <w:szCs w:val="16"/>
              </w:rPr>
              <w:t>Dodati nacionalnu disagregaciju po regionu, rodu, u odnosu na pripadnost ranjivim kategorijama</w:t>
            </w:r>
          </w:p>
        </w:tc>
      </w:tr>
      <w:tr w:rsidR="00BA3681" w:rsidRPr="00B77B54" w14:paraId="31A811DF" w14:textId="77777777" w:rsidTr="00FF3BCB">
        <w:trPr>
          <w:trHeight w:val="962"/>
        </w:trPr>
        <w:tc>
          <w:tcPr>
            <w:tcW w:w="464" w:type="dxa"/>
            <w:vMerge/>
            <w:shd w:val="clear" w:color="auto" w:fill="auto"/>
          </w:tcPr>
          <w:p w14:paraId="4BB1DEA8" w14:textId="77777777" w:rsidR="00BA3681" w:rsidRPr="00B77B54" w:rsidRDefault="00BA3681" w:rsidP="00BA3681">
            <w:pPr>
              <w:rPr>
                <w:rFonts w:asciiTheme="majorHAnsi" w:hAnsiTheme="majorHAnsi"/>
              </w:rPr>
            </w:pPr>
          </w:p>
        </w:tc>
        <w:tc>
          <w:tcPr>
            <w:tcW w:w="1752" w:type="dxa"/>
            <w:vMerge/>
            <w:shd w:val="clear" w:color="auto" w:fill="auto"/>
          </w:tcPr>
          <w:p w14:paraId="01B7C227" w14:textId="77777777" w:rsidR="00BA3681" w:rsidRPr="00B77B54" w:rsidRDefault="00BA3681" w:rsidP="00BA3681">
            <w:pPr>
              <w:rPr>
                <w:rFonts w:asciiTheme="majorHAnsi" w:hAnsiTheme="majorHAnsi"/>
              </w:rPr>
            </w:pPr>
          </w:p>
        </w:tc>
        <w:tc>
          <w:tcPr>
            <w:tcW w:w="2100" w:type="dxa"/>
            <w:shd w:val="clear" w:color="auto" w:fill="auto"/>
          </w:tcPr>
          <w:p w14:paraId="01A013F6"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Psihičko uznemiravanje</w:t>
            </w:r>
          </w:p>
          <w:p w14:paraId="752A63E9" w14:textId="77777777" w:rsidR="00BA3681" w:rsidRPr="00B77B54" w:rsidRDefault="00BA3681" w:rsidP="00BA3681">
            <w:pPr>
              <w:rPr>
                <w:rFonts w:asciiTheme="majorHAnsi" w:hAnsiTheme="majorHAnsi" w:cs="Times New Roman"/>
                <w:sz w:val="16"/>
                <w:szCs w:val="16"/>
              </w:rPr>
            </w:pPr>
          </w:p>
          <w:p w14:paraId="7647E489" w14:textId="77777777" w:rsidR="00BA3681" w:rsidRPr="00B77B54" w:rsidRDefault="00BA3681" w:rsidP="00BA3681">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Mladi ljudi (15-24) koji su bili podvrgnuti psihičkom uznemiravanju u posljednje četiri nedelje</w:t>
            </w:r>
          </w:p>
        </w:tc>
        <w:tc>
          <w:tcPr>
            <w:tcW w:w="2108" w:type="dxa"/>
            <w:shd w:val="clear" w:color="auto" w:fill="auto"/>
          </w:tcPr>
          <w:p w14:paraId="3F175561" w14:textId="057B5D34" w:rsidR="00BA3681" w:rsidRPr="00B77B54" w:rsidRDefault="00BA3681" w:rsidP="002821CA">
            <w:pPr>
              <w:rPr>
                <w:rFonts w:asciiTheme="majorHAnsi" w:hAnsiTheme="majorHAnsi"/>
                <w:sz w:val="16"/>
                <w:szCs w:val="16"/>
              </w:rPr>
            </w:pPr>
            <w:r w:rsidRPr="00B77B54">
              <w:rPr>
                <w:rFonts w:asciiTheme="majorHAnsi" w:hAnsiTheme="majorHAnsi"/>
                <w:sz w:val="16"/>
                <w:szCs w:val="16"/>
              </w:rPr>
              <w:t>EUROSTAT</w:t>
            </w:r>
          </w:p>
        </w:tc>
        <w:tc>
          <w:tcPr>
            <w:tcW w:w="2926" w:type="dxa"/>
            <w:shd w:val="clear" w:color="auto" w:fill="auto"/>
          </w:tcPr>
          <w:p w14:paraId="7D333C95" w14:textId="77777777" w:rsidR="00BA3681" w:rsidRPr="00B77B54" w:rsidRDefault="00BA3681" w:rsidP="00BA3681">
            <w:pPr>
              <w:rPr>
                <w:rFonts w:asciiTheme="majorHAnsi" w:hAnsiTheme="majorHAnsi"/>
              </w:rPr>
            </w:pPr>
          </w:p>
        </w:tc>
      </w:tr>
      <w:tr w:rsidR="00BA3681" w:rsidRPr="00B77B54" w14:paraId="758D3187" w14:textId="77777777" w:rsidTr="00FF3BCB">
        <w:trPr>
          <w:trHeight w:val="315"/>
        </w:trPr>
        <w:tc>
          <w:tcPr>
            <w:tcW w:w="464" w:type="dxa"/>
            <w:vMerge/>
            <w:shd w:val="clear" w:color="auto" w:fill="auto"/>
          </w:tcPr>
          <w:p w14:paraId="17C267AA" w14:textId="77777777" w:rsidR="00BA3681" w:rsidRPr="00B77B54" w:rsidRDefault="00BA3681" w:rsidP="00BA3681">
            <w:pPr>
              <w:rPr>
                <w:rFonts w:asciiTheme="majorHAnsi" w:hAnsiTheme="majorHAnsi"/>
              </w:rPr>
            </w:pPr>
          </w:p>
        </w:tc>
        <w:tc>
          <w:tcPr>
            <w:tcW w:w="1752" w:type="dxa"/>
            <w:vMerge/>
            <w:shd w:val="clear" w:color="auto" w:fill="auto"/>
          </w:tcPr>
          <w:p w14:paraId="180F9B75" w14:textId="77777777" w:rsidR="00BA3681" w:rsidRPr="00B77B54" w:rsidRDefault="00BA3681" w:rsidP="00BA3681">
            <w:pPr>
              <w:rPr>
                <w:rFonts w:asciiTheme="majorHAnsi" w:hAnsiTheme="majorHAnsi"/>
              </w:rPr>
            </w:pPr>
          </w:p>
        </w:tc>
        <w:tc>
          <w:tcPr>
            <w:tcW w:w="2100" w:type="dxa"/>
            <w:shd w:val="clear" w:color="auto" w:fill="auto"/>
          </w:tcPr>
          <w:p w14:paraId="29CBA1E9"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 adolescenata između 13-15 godina koji su izjavili das u bili podvrgnuti bulingu najmanje jednom u posljednjim nekoliko mjeseci po polu</w:t>
            </w:r>
          </w:p>
        </w:tc>
        <w:tc>
          <w:tcPr>
            <w:tcW w:w="2108" w:type="dxa"/>
            <w:shd w:val="clear" w:color="auto" w:fill="auto"/>
          </w:tcPr>
          <w:p w14:paraId="040F2949" w14:textId="7337817C" w:rsidR="00BA3681" w:rsidRPr="00B77B54" w:rsidRDefault="001A203F" w:rsidP="00BA3681">
            <w:pPr>
              <w:rPr>
                <w:rFonts w:asciiTheme="majorHAnsi" w:hAnsiTheme="majorHAnsi"/>
                <w:sz w:val="16"/>
                <w:szCs w:val="16"/>
              </w:rPr>
            </w:pPr>
            <w:r w:rsidRPr="00B77B54">
              <w:rPr>
                <w:rFonts w:asciiTheme="majorHAnsi" w:hAnsiTheme="majorHAnsi"/>
                <w:sz w:val="16"/>
                <w:szCs w:val="16"/>
              </w:rPr>
              <w:t xml:space="preserve">Prijedlog </w:t>
            </w:r>
            <w:r w:rsidR="00BA3681" w:rsidRPr="00B77B54">
              <w:rPr>
                <w:rFonts w:asciiTheme="majorHAnsi" w:hAnsiTheme="majorHAnsi"/>
                <w:sz w:val="16"/>
                <w:szCs w:val="16"/>
              </w:rPr>
              <w:t>UNICEF</w:t>
            </w:r>
          </w:p>
        </w:tc>
        <w:tc>
          <w:tcPr>
            <w:tcW w:w="2926" w:type="dxa"/>
            <w:shd w:val="clear" w:color="auto" w:fill="auto"/>
          </w:tcPr>
          <w:p w14:paraId="54AF8D7D" w14:textId="77777777" w:rsidR="00BA3681" w:rsidRPr="00B77B54" w:rsidRDefault="00BA3681" w:rsidP="00BA3681">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6DD3E88C" w14:textId="77777777" w:rsidR="00BA3681" w:rsidRPr="00B77B54" w:rsidRDefault="00BA3681" w:rsidP="00BA3681">
            <w:pPr>
              <w:rPr>
                <w:rFonts w:asciiTheme="majorHAnsi" w:hAnsiTheme="majorHAnsi"/>
              </w:rPr>
            </w:pPr>
            <w:r w:rsidRPr="00B77B54">
              <w:rPr>
                <w:rFonts w:asciiTheme="majorHAnsi" w:hAnsiTheme="majorHAnsi"/>
                <w:i/>
                <w:sz w:val="16"/>
                <w:szCs w:val="16"/>
              </w:rPr>
              <w:t>Dodati nacionalnu disagregaciju po regionu, rodu, u odnosu na pripadnost ranjivim kategorijama</w:t>
            </w:r>
          </w:p>
        </w:tc>
      </w:tr>
      <w:tr w:rsidR="00BA3681" w:rsidRPr="00B77B54" w14:paraId="5193E1D1" w14:textId="77777777" w:rsidTr="008B248F">
        <w:trPr>
          <w:trHeight w:val="416"/>
        </w:trPr>
        <w:tc>
          <w:tcPr>
            <w:tcW w:w="464" w:type="dxa"/>
            <w:vMerge/>
          </w:tcPr>
          <w:p w14:paraId="44B1ECD2" w14:textId="77777777" w:rsidR="00BA3681" w:rsidRPr="00B77B54" w:rsidRDefault="00BA3681" w:rsidP="00BA3681">
            <w:pPr>
              <w:rPr>
                <w:rFonts w:asciiTheme="majorHAnsi" w:hAnsiTheme="majorHAnsi"/>
              </w:rPr>
            </w:pPr>
          </w:p>
        </w:tc>
        <w:tc>
          <w:tcPr>
            <w:tcW w:w="1752" w:type="dxa"/>
            <w:vMerge/>
          </w:tcPr>
          <w:p w14:paraId="78D719F7" w14:textId="77777777" w:rsidR="00BA3681" w:rsidRPr="00B77B54" w:rsidRDefault="00BA3681" w:rsidP="00BA3681">
            <w:pPr>
              <w:rPr>
                <w:rFonts w:asciiTheme="majorHAnsi" w:hAnsiTheme="majorHAnsi"/>
              </w:rPr>
            </w:pPr>
          </w:p>
        </w:tc>
        <w:tc>
          <w:tcPr>
            <w:tcW w:w="2100" w:type="dxa"/>
          </w:tcPr>
          <w:p w14:paraId="6F0C0539"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 maloljetničkih trudnoća</w:t>
            </w:r>
          </w:p>
        </w:tc>
        <w:tc>
          <w:tcPr>
            <w:tcW w:w="2108" w:type="dxa"/>
          </w:tcPr>
          <w:p w14:paraId="3B315C82"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YDI</w:t>
            </w:r>
          </w:p>
          <w:p w14:paraId="6FB6CA5B" w14:textId="77777777" w:rsidR="00BA3681" w:rsidRPr="00B77B54" w:rsidRDefault="00BA3681" w:rsidP="00BA3681">
            <w:pPr>
              <w:rPr>
                <w:rFonts w:asciiTheme="majorHAnsi" w:hAnsiTheme="majorHAnsi"/>
                <w:sz w:val="16"/>
                <w:szCs w:val="16"/>
              </w:rPr>
            </w:pPr>
            <w:r w:rsidRPr="00B77B54">
              <w:rPr>
                <w:rFonts w:asciiTheme="majorHAnsi" w:hAnsiTheme="majorHAnsi"/>
                <w:sz w:val="16"/>
                <w:szCs w:val="16"/>
              </w:rPr>
              <w:t>WB</w:t>
            </w:r>
          </w:p>
        </w:tc>
        <w:tc>
          <w:tcPr>
            <w:tcW w:w="2926" w:type="dxa"/>
          </w:tcPr>
          <w:p w14:paraId="527DEACF" w14:textId="77777777" w:rsidR="00BA3681" w:rsidRPr="00B77B54" w:rsidRDefault="00BA3681" w:rsidP="00BA3681">
            <w:pPr>
              <w:rPr>
                <w:rFonts w:asciiTheme="majorHAnsi" w:hAnsiTheme="majorHAnsi"/>
                <w:b/>
                <w:sz w:val="16"/>
                <w:szCs w:val="16"/>
              </w:rPr>
            </w:pPr>
            <w:r w:rsidRPr="00B77B54">
              <w:rPr>
                <w:rFonts w:asciiTheme="majorHAnsi" w:hAnsiTheme="majorHAnsi"/>
                <w:b/>
                <w:sz w:val="16"/>
                <w:szCs w:val="16"/>
              </w:rPr>
              <w:t>NACIONALNI INDIKATOR</w:t>
            </w:r>
          </w:p>
          <w:p w14:paraId="43A5FAD0" w14:textId="77777777" w:rsidR="00BA3681" w:rsidRPr="00B77B54" w:rsidRDefault="00BA3681" w:rsidP="00BA3681">
            <w:pPr>
              <w:rPr>
                <w:rFonts w:asciiTheme="majorHAnsi" w:hAnsiTheme="majorHAnsi"/>
              </w:rPr>
            </w:pPr>
            <w:r w:rsidRPr="00B77B54">
              <w:rPr>
                <w:rFonts w:asciiTheme="majorHAnsi" w:hAnsiTheme="majorHAnsi"/>
                <w:sz w:val="16"/>
                <w:szCs w:val="16"/>
              </w:rPr>
              <w:t>Do sada nije praćen. Definisati metodologiju i otpočeti sa praćenjem.</w:t>
            </w:r>
          </w:p>
        </w:tc>
      </w:tr>
    </w:tbl>
    <w:p w14:paraId="314AEA1D" w14:textId="77777777" w:rsidR="00C57603" w:rsidRPr="00B77B54" w:rsidRDefault="00C57603" w:rsidP="00487714">
      <w:pPr>
        <w:pStyle w:val="Heading2"/>
      </w:pPr>
    </w:p>
    <w:p w14:paraId="2204368D" w14:textId="77777777" w:rsidR="00C57603" w:rsidRPr="00B77B54" w:rsidRDefault="00C57603" w:rsidP="00487714">
      <w:pPr>
        <w:pStyle w:val="Heading2"/>
      </w:pPr>
    </w:p>
    <w:p w14:paraId="16AD74CD" w14:textId="77777777" w:rsidR="00E302B5" w:rsidRPr="00B77B54" w:rsidRDefault="00E302B5" w:rsidP="00487714">
      <w:pPr>
        <w:pStyle w:val="Heading2"/>
      </w:pPr>
      <w:r w:rsidRPr="00B77B54">
        <w:t>E Mladi imaju pristup kvalitetnim kulturnim sadržajima kao kreatori i konzumenti</w:t>
      </w:r>
    </w:p>
    <w:tbl>
      <w:tblPr>
        <w:tblStyle w:val="TableGrid"/>
        <w:tblW w:w="0" w:type="auto"/>
        <w:tblLook w:val="04A0" w:firstRow="1" w:lastRow="0" w:firstColumn="1" w:lastColumn="0" w:noHBand="0" w:noVBand="1"/>
      </w:tblPr>
      <w:tblGrid>
        <w:gridCol w:w="468"/>
        <w:gridCol w:w="1752"/>
        <w:gridCol w:w="2100"/>
        <w:gridCol w:w="2108"/>
        <w:gridCol w:w="2926"/>
      </w:tblGrid>
      <w:tr w:rsidR="00E302B5" w:rsidRPr="00B77B54" w14:paraId="1E8C862B" w14:textId="77777777" w:rsidTr="00925F61">
        <w:tc>
          <w:tcPr>
            <w:tcW w:w="464" w:type="dxa"/>
            <w:shd w:val="clear" w:color="auto" w:fill="ED7D31" w:themeFill="accent2"/>
          </w:tcPr>
          <w:p w14:paraId="17668B15" w14:textId="77777777" w:rsidR="00E302B5" w:rsidRPr="00B77B54" w:rsidRDefault="00E302B5" w:rsidP="00BC72C2">
            <w:pPr>
              <w:rPr>
                <w:rFonts w:asciiTheme="majorHAnsi" w:hAnsiTheme="majorHAnsi"/>
                <w:b/>
                <w:color w:val="FFFFFF" w:themeColor="background1"/>
              </w:rPr>
            </w:pPr>
            <w:r w:rsidRPr="00B77B54">
              <w:rPr>
                <w:rFonts w:asciiTheme="majorHAnsi" w:hAnsiTheme="majorHAnsi"/>
                <w:b/>
                <w:color w:val="FFFFFF" w:themeColor="background1"/>
              </w:rPr>
              <w:t>E</w:t>
            </w:r>
          </w:p>
        </w:tc>
        <w:tc>
          <w:tcPr>
            <w:tcW w:w="8886" w:type="dxa"/>
            <w:gridSpan w:val="4"/>
            <w:shd w:val="clear" w:color="auto" w:fill="ED7D31" w:themeFill="accent2"/>
          </w:tcPr>
          <w:p w14:paraId="53F2575B" w14:textId="77777777" w:rsidR="00E302B5" w:rsidRPr="00B77B54" w:rsidRDefault="00E302B5" w:rsidP="00BC72C2">
            <w:pPr>
              <w:rPr>
                <w:rFonts w:asciiTheme="majorHAnsi" w:hAnsiTheme="majorHAnsi"/>
                <w:b/>
                <w:color w:val="FFFFFF" w:themeColor="background1"/>
              </w:rPr>
            </w:pPr>
            <w:r w:rsidRPr="00B77B54">
              <w:rPr>
                <w:rFonts w:asciiTheme="majorHAnsi" w:hAnsiTheme="majorHAnsi"/>
                <w:b/>
                <w:color w:val="FFFFFF" w:themeColor="background1"/>
              </w:rPr>
              <w:t>Mladi imaju pristup kvalitetnim kulturnim sadržajima kao kreatori i konzumenti</w:t>
            </w:r>
          </w:p>
          <w:p w14:paraId="130E16C7" w14:textId="77777777" w:rsidR="00925F61" w:rsidRPr="00B77B54" w:rsidRDefault="00925F61" w:rsidP="00BC72C2">
            <w:pPr>
              <w:rPr>
                <w:rFonts w:asciiTheme="majorHAnsi" w:hAnsiTheme="majorHAnsi"/>
                <w:b/>
                <w:color w:val="FFFFFF" w:themeColor="background1"/>
              </w:rPr>
            </w:pPr>
          </w:p>
        </w:tc>
      </w:tr>
      <w:tr w:rsidR="00BA3681" w:rsidRPr="00B77B54" w14:paraId="284A8762" w14:textId="77777777" w:rsidTr="00FF3BCB">
        <w:tc>
          <w:tcPr>
            <w:tcW w:w="464" w:type="dxa"/>
          </w:tcPr>
          <w:p w14:paraId="1003EA1A" w14:textId="77777777" w:rsidR="00BA3681" w:rsidRPr="00B77B54" w:rsidRDefault="00BA3681" w:rsidP="00BA3681">
            <w:pPr>
              <w:rPr>
                <w:rFonts w:asciiTheme="majorHAnsi" w:hAnsiTheme="majorHAnsi"/>
              </w:rPr>
            </w:pPr>
            <w:r w:rsidRPr="00B77B54">
              <w:t>Br.</w:t>
            </w:r>
          </w:p>
        </w:tc>
        <w:tc>
          <w:tcPr>
            <w:tcW w:w="1752" w:type="dxa"/>
          </w:tcPr>
          <w:p w14:paraId="0138B00E" w14:textId="77777777" w:rsidR="00BA3681" w:rsidRPr="00B77B54" w:rsidRDefault="00BA3681" w:rsidP="00BA3681">
            <w:pPr>
              <w:rPr>
                <w:rFonts w:asciiTheme="majorHAnsi" w:hAnsiTheme="majorHAnsi"/>
              </w:rPr>
            </w:pPr>
            <w:r w:rsidRPr="00B77B54">
              <w:t>Mjera</w:t>
            </w:r>
          </w:p>
        </w:tc>
        <w:tc>
          <w:tcPr>
            <w:tcW w:w="2100" w:type="dxa"/>
          </w:tcPr>
          <w:p w14:paraId="76C6BCEF" w14:textId="77777777" w:rsidR="00BA3681" w:rsidRPr="00B77B54" w:rsidRDefault="009F302E" w:rsidP="00BA3681">
            <w:pPr>
              <w:autoSpaceDE w:val="0"/>
              <w:autoSpaceDN w:val="0"/>
              <w:adjustRightInd w:val="0"/>
              <w:rPr>
                <w:rFonts w:asciiTheme="majorHAnsi" w:hAnsiTheme="majorHAnsi"/>
              </w:rPr>
            </w:pPr>
            <w:r w:rsidRPr="00B77B54">
              <w:t>Indikator</w:t>
            </w:r>
          </w:p>
        </w:tc>
        <w:tc>
          <w:tcPr>
            <w:tcW w:w="2108" w:type="dxa"/>
          </w:tcPr>
          <w:p w14:paraId="414B1157" w14:textId="77777777" w:rsidR="00BA3681" w:rsidRPr="00B77B54" w:rsidRDefault="00BA3681" w:rsidP="00BA3681">
            <w:pPr>
              <w:rPr>
                <w:rFonts w:asciiTheme="majorHAnsi" w:hAnsiTheme="majorHAnsi"/>
              </w:rPr>
            </w:pPr>
            <w:r w:rsidRPr="00B77B54">
              <w:t>Veza sa međunarodnim indikatorima/izvor</w:t>
            </w:r>
          </w:p>
        </w:tc>
        <w:tc>
          <w:tcPr>
            <w:tcW w:w="2926" w:type="dxa"/>
          </w:tcPr>
          <w:p w14:paraId="77E50700" w14:textId="77777777" w:rsidR="00BA3681" w:rsidRPr="00B77B54" w:rsidRDefault="00BA3681" w:rsidP="00BA3681">
            <w:pPr>
              <w:rPr>
                <w:rFonts w:asciiTheme="majorHAnsi" w:hAnsiTheme="majorHAnsi"/>
              </w:rPr>
            </w:pPr>
            <w:r w:rsidRPr="00B77B54">
              <w:t>Napomene</w:t>
            </w:r>
          </w:p>
        </w:tc>
      </w:tr>
      <w:tr w:rsidR="00BA3681" w:rsidRPr="00B77B54" w14:paraId="6E9D70D1" w14:textId="77777777" w:rsidTr="00FF3BCB">
        <w:tc>
          <w:tcPr>
            <w:tcW w:w="464" w:type="dxa"/>
          </w:tcPr>
          <w:p w14:paraId="4E388228" w14:textId="77777777" w:rsidR="00BA3681" w:rsidRPr="00B77B54" w:rsidRDefault="00BA3681" w:rsidP="00BA3681">
            <w:pPr>
              <w:rPr>
                <w:rFonts w:asciiTheme="majorHAnsi" w:hAnsiTheme="majorHAnsi"/>
              </w:rPr>
            </w:pPr>
            <w:r w:rsidRPr="00B77B54">
              <w:rPr>
                <w:rFonts w:asciiTheme="majorHAnsi" w:hAnsiTheme="majorHAnsi"/>
              </w:rPr>
              <w:t>1</w:t>
            </w:r>
          </w:p>
        </w:tc>
        <w:tc>
          <w:tcPr>
            <w:tcW w:w="1752" w:type="dxa"/>
          </w:tcPr>
          <w:p w14:paraId="68E62447" w14:textId="77777777" w:rsidR="00BA3681" w:rsidRPr="00B77B54" w:rsidRDefault="00BA3681" w:rsidP="00BA3681">
            <w:pPr>
              <w:rPr>
                <w:rFonts w:asciiTheme="majorHAnsi" w:hAnsiTheme="majorHAnsi"/>
              </w:rPr>
            </w:pPr>
            <w:r w:rsidRPr="00B77B54">
              <w:rPr>
                <w:rFonts w:asciiTheme="majorHAnsi" w:hAnsiTheme="majorHAnsi"/>
              </w:rPr>
              <w:t>Podrška mladim kreatorima kulture i medijskih sadržaja</w:t>
            </w:r>
          </w:p>
        </w:tc>
        <w:tc>
          <w:tcPr>
            <w:tcW w:w="2100" w:type="dxa"/>
          </w:tcPr>
          <w:p w14:paraId="600A9946"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Nastupanje ili uzimanje učešća u amaterskim umjetničkim aktivnostima</w:t>
            </w:r>
          </w:p>
          <w:p w14:paraId="11A6F856" w14:textId="77777777" w:rsidR="00BA3681" w:rsidRPr="00B77B54" w:rsidRDefault="00BA3681" w:rsidP="00BA3681">
            <w:pPr>
              <w:rPr>
                <w:rFonts w:asciiTheme="majorHAnsi" w:hAnsiTheme="majorHAnsi" w:cs="Times New Roman"/>
                <w:sz w:val="16"/>
                <w:szCs w:val="16"/>
              </w:rPr>
            </w:pPr>
          </w:p>
          <w:p w14:paraId="4D91AFEB"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Udio mladih od 15-30 godine koji su izjavili da su učestvovali u nekom od sljedećim vidova amaterskih umjetničkih aktivnosti bar jednm u posljednjih 12 mjeseci: sviranje muzičkog instrumenta, pjevanje, gluma, ples, pisanje poezije, fotografisanje, snimanje filma.</w:t>
            </w:r>
          </w:p>
        </w:tc>
        <w:tc>
          <w:tcPr>
            <w:tcW w:w="2108" w:type="dxa"/>
          </w:tcPr>
          <w:p w14:paraId="69169872"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Kratki eurobarometar o mladima</w:t>
            </w:r>
          </w:p>
        </w:tc>
        <w:tc>
          <w:tcPr>
            <w:tcW w:w="2926" w:type="dxa"/>
          </w:tcPr>
          <w:p w14:paraId="22E33198" w14:textId="77777777" w:rsidR="00BA3681" w:rsidRPr="00B77B54" w:rsidRDefault="00BA3681" w:rsidP="00BA3681">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00F26871" w14:textId="77777777" w:rsidR="00BA3681" w:rsidRPr="00B77B54" w:rsidRDefault="00BA3681" w:rsidP="00BA3681">
            <w:pPr>
              <w:rPr>
                <w:rFonts w:asciiTheme="majorHAnsi" w:hAnsiTheme="majorHAnsi"/>
                <w:b/>
                <w:i/>
                <w:sz w:val="16"/>
                <w:szCs w:val="16"/>
              </w:rPr>
            </w:pPr>
            <w:r w:rsidRPr="00B77B54">
              <w:rPr>
                <w:rFonts w:asciiTheme="majorHAnsi" w:hAnsiTheme="majorHAnsi"/>
                <w:i/>
                <w:sz w:val="16"/>
                <w:szCs w:val="16"/>
              </w:rPr>
              <w:t>Dodati nacionalnu disagregaciju po regionu, rodu, u odnosu na pripadnost ranjivim kategorijama</w:t>
            </w:r>
          </w:p>
        </w:tc>
      </w:tr>
      <w:tr w:rsidR="00BA3681" w:rsidRPr="00B77B54" w14:paraId="1BD59EB0" w14:textId="77777777" w:rsidTr="00FF3BCB">
        <w:tc>
          <w:tcPr>
            <w:tcW w:w="464" w:type="dxa"/>
            <w:vMerge w:val="restart"/>
          </w:tcPr>
          <w:p w14:paraId="28FE03DB" w14:textId="77777777" w:rsidR="00BA3681" w:rsidRPr="00B77B54" w:rsidRDefault="00BA3681" w:rsidP="00BA3681">
            <w:pPr>
              <w:rPr>
                <w:rFonts w:asciiTheme="majorHAnsi" w:hAnsiTheme="majorHAnsi"/>
              </w:rPr>
            </w:pPr>
            <w:r w:rsidRPr="00B77B54">
              <w:rPr>
                <w:rFonts w:asciiTheme="majorHAnsi" w:hAnsiTheme="majorHAnsi"/>
              </w:rPr>
              <w:t>2</w:t>
            </w:r>
          </w:p>
        </w:tc>
        <w:tc>
          <w:tcPr>
            <w:tcW w:w="1752" w:type="dxa"/>
            <w:vMerge w:val="restart"/>
          </w:tcPr>
          <w:p w14:paraId="33E6A63A" w14:textId="77777777" w:rsidR="00BA3681" w:rsidRPr="00B77B54" w:rsidRDefault="00BA3681" w:rsidP="00BA3681">
            <w:pPr>
              <w:rPr>
                <w:rFonts w:asciiTheme="majorHAnsi" w:hAnsiTheme="majorHAnsi"/>
              </w:rPr>
            </w:pPr>
            <w:r w:rsidRPr="00B77B54">
              <w:rPr>
                <w:rFonts w:asciiTheme="majorHAnsi" w:hAnsiTheme="majorHAnsi"/>
              </w:rPr>
              <w:t>Obezbjeđivanje jednakog pristupa kulturnim sadržajima za sve mlade</w:t>
            </w:r>
          </w:p>
        </w:tc>
        <w:tc>
          <w:tcPr>
            <w:tcW w:w="2100" w:type="dxa"/>
          </w:tcPr>
          <w:p w14:paraId="3283C55B" w14:textId="77777777" w:rsidR="00BA3681" w:rsidRPr="00B77B54" w:rsidRDefault="00BA3681" w:rsidP="00BA3681">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 xml:space="preserve">Učešće u kulturnim aktivnostima </w:t>
            </w:r>
          </w:p>
          <w:p w14:paraId="0436F613" w14:textId="77777777" w:rsidR="00BA3681" w:rsidRPr="00B77B54" w:rsidRDefault="00BA3681" w:rsidP="00BA3681">
            <w:pPr>
              <w:autoSpaceDE w:val="0"/>
              <w:autoSpaceDN w:val="0"/>
              <w:adjustRightInd w:val="0"/>
              <w:rPr>
                <w:rFonts w:asciiTheme="majorHAnsi" w:hAnsiTheme="majorHAnsi" w:cs="Times New Roman"/>
                <w:sz w:val="16"/>
                <w:szCs w:val="16"/>
              </w:rPr>
            </w:pPr>
          </w:p>
          <w:p w14:paraId="4B8AEB5A" w14:textId="77777777" w:rsidR="00BA3681" w:rsidRPr="00B77B54" w:rsidRDefault="00BA3681" w:rsidP="00BA3681">
            <w:pPr>
              <w:autoSpaceDE w:val="0"/>
              <w:autoSpaceDN w:val="0"/>
              <w:adjustRightInd w:val="0"/>
              <w:rPr>
                <w:rFonts w:asciiTheme="majorHAnsi" w:hAnsiTheme="majorHAnsi"/>
              </w:rPr>
            </w:pPr>
            <w:r w:rsidRPr="00B77B54">
              <w:rPr>
                <w:rFonts w:asciiTheme="majorHAnsi" w:hAnsiTheme="majorHAnsi" w:cs="Times New Roman"/>
                <w:sz w:val="16"/>
                <w:szCs w:val="16"/>
              </w:rPr>
              <w:t>Udio mladih ljudi (15-30) koji su izjavili das u učestvovali u nekoj od sljedećih kulturnih aktivnosti u posljednjih 12 mjeseci: posjetili istorijski spomenik, (palate, dvorci, crkve, bašte i sl.), muzeje ili galerije, bioskop ili concert, pozorište , plesni performans ili operu</w:t>
            </w:r>
          </w:p>
        </w:tc>
        <w:tc>
          <w:tcPr>
            <w:tcW w:w="2108" w:type="dxa"/>
          </w:tcPr>
          <w:p w14:paraId="2B73BB3B" w14:textId="77777777" w:rsidR="00BA3681" w:rsidRPr="00B77B54" w:rsidRDefault="00BA3681" w:rsidP="00BA3681">
            <w:pPr>
              <w:rPr>
                <w:rFonts w:asciiTheme="majorHAnsi" w:hAnsiTheme="majorHAnsi"/>
              </w:rPr>
            </w:pPr>
            <w:r w:rsidRPr="00B77B54">
              <w:rPr>
                <w:rFonts w:asciiTheme="majorHAnsi" w:hAnsiTheme="majorHAnsi" w:cs="Times New Roman"/>
                <w:sz w:val="16"/>
                <w:szCs w:val="16"/>
              </w:rPr>
              <w:t>Kratki eurobarometar o mladima</w:t>
            </w:r>
          </w:p>
        </w:tc>
        <w:tc>
          <w:tcPr>
            <w:tcW w:w="2926" w:type="dxa"/>
          </w:tcPr>
          <w:p w14:paraId="11E2909E" w14:textId="77777777" w:rsidR="00BA3681" w:rsidRPr="00B77B54" w:rsidRDefault="00BA3681" w:rsidP="00BA3681">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3BD2AA22" w14:textId="77777777" w:rsidR="00BA3681" w:rsidRPr="00B77B54" w:rsidRDefault="00BA3681" w:rsidP="00BA3681">
            <w:pPr>
              <w:rPr>
                <w:rFonts w:asciiTheme="majorHAnsi" w:hAnsiTheme="majorHAnsi"/>
              </w:rPr>
            </w:pPr>
            <w:r w:rsidRPr="00B77B54">
              <w:rPr>
                <w:rFonts w:asciiTheme="majorHAnsi" w:hAnsiTheme="majorHAnsi"/>
                <w:i/>
                <w:sz w:val="16"/>
                <w:szCs w:val="16"/>
              </w:rPr>
              <w:t>Dodati nacionalnu disagregaciju po regionu, rodu, u odnosu na pripadnost ranjivim kategorijama</w:t>
            </w:r>
          </w:p>
        </w:tc>
      </w:tr>
      <w:tr w:rsidR="00BA3681" w:rsidRPr="00B77B54" w14:paraId="44505B35" w14:textId="77777777" w:rsidTr="00FF3BCB">
        <w:tc>
          <w:tcPr>
            <w:tcW w:w="464" w:type="dxa"/>
            <w:vMerge/>
          </w:tcPr>
          <w:p w14:paraId="6D359296" w14:textId="77777777" w:rsidR="00BA3681" w:rsidRPr="00B77B54" w:rsidRDefault="00BA3681" w:rsidP="00BA3681">
            <w:pPr>
              <w:rPr>
                <w:rFonts w:asciiTheme="majorHAnsi" w:hAnsiTheme="majorHAnsi"/>
              </w:rPr>
            </w:pPr>
          </w:p>
        </w:tc>
        <w:tc>
          <w:tcPr>
            <w:tcW w:w="1752" w:type="dxa"/>
            <w:vMerge/>
          </w:tcPr>
          <w:p w14:paraId="3B457DBA" w14:textId="77777777" w:rsidR="00BA3681" w:rsidRPr="00B77B54" w:rsidRDefault="00BA3681" w:rsidP="00BA3681">
            <w:pPr>
              <w:rPr>
                <w:rFonts w:asciiTheme="majorHAnsi" w:hAnsiTheme="majorHAnsi"/>
              </w:rPr>
            </w:pPr>
          </w:p>
        </w:tc>
        <w:tc>
          <w:tcPr>
            <w:tcW w:w="2100" w:type="dxa"/>
          </w:tcPr>
          <w:p w14:paraId="73F51E83" w14:textId="77777777" w:rsidR="00BA3681" w:rsidRPr="00B77B54" w:rsidRDefault="00BA3681" w:rsidP="00BA3681">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Učešće u sportskim klubovima, klubovima za provođenje slobodnog vremena, omladinskim asocijacijama ili kulturnim organizacijama</w:t>
            </w:r>
          </w:p>
          <w:p w14:paraId="1DA06E8B" w14:textId="77777777" w:rsidR="00BA3681" w:rsidRPr="00B77B54" w:rsidRDefault="00BA3681" w:rsidP="00BA3681">
            <w:pPr>
              <w:autoSpaceDE w:val="0"/>
              <w:autoSpaceDN w:val="0"/>
              <w:adjustRightInd w:val="0"/>
              <w:rPr>
                <w:rFonts w:asciiTheme="majorHAnsi" w:hAnsiTheme="majorHAnsi" w:cs="Times New Roman"/>
                <w:sz w:val="16"/>
                <w:szCs w:val="16"/>
              </w:rPr>
            </w:pPr>
          </w:p>
          <w:p w14:paraId="2EBD9427" w14:textId="77777777" w:rsidR="00BA3681" w:rsidRPr="00B77B54" w:rsidRDefault="00BA3681" w:rsidP="00BA3681">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Udio mladih ljudi (15-30) koji su izjavili das u učestvovali u aktivnostima sportskih klubova, klubovima za provođenje slobognog vremena, omladinskim asocijacijama ili kulturnim organizacijama u posljednjih 12 mjeseci</w:t>
            </w:r>
          </w:p>
        </w:tc>
        <w:tc>
          <w:tcPr>
            <w:tcW w:w="2108" w:type="dxa"/>
          </w:tcPr>
          <w:p w14:paraId="39E964D9"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Kratki eurobarometar o mladima</w:t>
            </w:r>
          </w:p>
        </w:tc>
        <w:tc>
          <w:tcPr>
            <w:tcW w:w="2926" w:type="dxa"/>
          </w:tcPr>
          <w:p w14:paraId="49CEBA04" w14:textId="77777777" w:rsidR="00BA3681" w:rsidRPr="00B77B54" w:rsidRDefault="00BA3681" w:rsidP="00BA3681">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1AC2F57C" w14:textId="77777777" w:rsidR="00BA3681" w:rsidRPr="00B77B54" w:rsidRDefault="00BA3681" w:rsidP="00BA3681">
            <w:pPr>
              <w:rPr>
                <w:rFonts w:asciiTheme="majorHAnsi" w:hAnsiTheme="majorHAnsi"/>
              </w:rPr>
            </w:pPr>
            <w:r w:rsidRPr="00B77B54">
              <w:rPr>
                <w:rFonts w:asciiTheme="majorHAnsi" w:hAnsiTheme="majorHAnsi"/>
                <w:i/>
                <w:sz w:val="16"/>
                <w:szCs w:val="16"/>
              </w:rPr>
              <w:t>Dodati nacionalnu disagregaciju po regionu, rodu, u odnosu na pripadnost ranjivim kategorijama</w:t>
            </w:r>
          </w:p>
        </w:tc>
      </w:tr>
      <w:tr w:rsidR="00BA3681" w:rsidRPr="00B77B54" w14:paraId="66DC4B4D" w14:textId="77777777" w:rsidTr="00FF3BCB">
        <w:tc>
          <w:tcPr>
            <w:tcW w:w="464" w:type="dxa"/>
            <w:vMerge/>
          </w:tcPr>
          <w:p w14:paraId="59C7CCD4" w14:textId="77777777" w:rsidR="00BA3681" w:rsidRPr="00B77B54" w:rsidRDefault="00BA3681" w:rsidP="00BA3681">
            <w:pPr>
              <w:rPr>
                <w:rFonts w:asciiTheme="majorHAnsi" w:hAnsiTheme="majorHAnsi"/>
              </w:rPr>
            </w:pPr>
          </w:p>
        </w:tc>
        <w:tc>
          <w:tcPr>
            <w:tcW w:w="1752" w:type="dxa"/>
            <w:vMerge/>
          </w:tcPr>
          <w:p w14:paraId="6109D348" w14:textId="77777777" w:rsidR="00BA3681" w:rsidRPr="00B77B54" w:rsidRDefault="00BA3681" w:rsidP="00BA3681">
            <w:pPr>
              <w:rPr>
                <w:rFonts w:asciiTheme="majorHAnsi" w:hAnsiTheme="majorHAnsi"/>
              </w:rPr>
            </w:pPr>
          </w:p>
        </w:tc>
        <w:tc>
          <w:tcPr>
            <w:tcW w:w="2100" w:type="dxa"/>
          </w:tcPr>
          <w:p w14:paraId="50FB4B12" w14:textId="77777777" w:rsidR="00BA3681" w:rsidRPr="00B77B54" w:rsidRDefault="00BA3681" w:rsidP="00BA3681">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Učenje najmanje dva strana jezika</w:t>
            </w:r>
          </w:p>
          <w:p w14:paraId="537BCA2E" w14:textId="77777777" w:rsidR="00BA3681" w:rsidRPr="00B77B54" w:rsidRDefault="00BA3681" w:rsidP="00BA3681">
            <w:pPr>
              <w:autoSpaceDE w:val="0"/>
              <w:autoSpaceDN w:val="0"/>
              <w:adjustRightInd w:val="0"/>
              <w:rPr>
                <w:rFonts w:asciiTheme="majorHAnsi" w:hAnsiTheme="majorHAnsi" w:cs="Times New Roman"/>
                <w:sz w:val="16"/>
                <w:szCs w:val="16"/>
              </w:rPr>
            </w:pPr>
          </w:p>
          <w:p w14:paraId="4F081BFB" w14:textId="77777777" w:rsidR="00BA3681" w:rsidRPr="00B77B54" w:rsidRDefault="00BA3681" w:rsidP="00BA3681">
            <w:pPr>
              <w:autoSpaceDE w:val="0"/>
              <w:autoSpaceDN w:val="0"/>
              <w:adjustRightInd w:val="0"/>
              <w:rPr>
                <w:rFonts w:asciiTheme="majorHAnsi" w:hAnsiTheme="majorHAnsi" w:cs="Times New Roman"/>
                <w:sz w:val="16"/>
                <w:szCs w:val="16"/>
              </w:rPr>
            </w:pPr>
            <w:r w:rsidRPr="00B77B54">
              <w:rPr>
                <w:rFonts w:asciiTheme="majorHAnsi" w:hAnsiTheme="majorHAnsi" w:cs="Times New Roman"/>
                <w:sz w:val="16"/>
                <w:szCs w:val="16"/>
              </w:rPr>
              <w:t>Mladi ljudi u višem srednjem nivou obrazovanja (ISCED nivo 3, isključujući stručno ili pred stručno obrazovanje) koji uče dva ili više stranih jezika.</w:t>
            </w:r>
          </w:p>
        </w:tc>
        <w:tc>
          <w:tcPr>
            <w:tcW w:w="2108" w:type="dxa"/>
          </w:tcPr>
          <w:p w14:paraId="05263ACA" w14:textId="77777777" w:rsidR="00BA3681" w:rsidRPr="00B77B54" w:rsidRDefault="00BA3681" w:rsidP="00BA3681">
            <w:pPr>
              <w:rPr>
                <w:rFonts w:asciiTheme="majorHAnsi" w:hAnsiTheme="majorHAnsi" w:cs="Times New Roman"/>
                <w:sz w:val="16"/>
                <w:szCs w:val="16"/>
              </w:rPr>
            </w:pPr>
            <w:r w:rsidRPr="00B77B54">
              <w:rPr>
                <w:rFonts w:asciiTheme="majorHAnsi" w:hAnsiTheme="majorHAnsi" w:cs="Times New Roman"/>
                <w:sz w:val="16"/>
                <w:szCs w:val="16"/>
              </w:rPr>
              <w:t>Kratki eurobarometar o mladima</w:t>
            </w:r>
          </w:p>
        </w:tc>
        <w:tc>
          <w:tcPr>
            <w:tcW w:w="2926" w:type="dxa"/>
          </w:tcPr>
          <w:p w14:paraId="26A9F941" w14:textId="77777777" w:rsidR="00BA3681" w:rsidRPr="00B77B54" w:rsidRDefault="00BA3681" w:rsidP="00BA3681">
            <w:pPr>
              <w:rPr>
                <w:rFonts w:asciiTheme="majorHAnsi" w:hAnsiTheme="majorHAnsi"/>
                <w:b/>
                <w:i/>
                <w:sz w:val="16"/>
                <w:szCs w:val="16"/>
              </w:rPr>
            </w:pPr>
            <w:r w:rsidRPr="00B77B54">
              <w:rPr>
                <w:rFonts w:asciiTheme="majorHAnsi" w:hAnsiTheme="majorHAnsi"/>
                <w:b/>
                <w:i/>
                <w:sz w:val="16"/>
                <w:szCs w:val="16"/>
              </w:rPr>
              <w:t xml:space="preserve">Crna Gora nije uključena. Sprovesti istraživanje na nacionalnom nivou. </w:t>
            </w:r>
          </w:p>
          <w:p w14:paraId="61CBE9FC" w14:textId="77777777" w:rsidR="00BA3681" w:rsidRPr="00B77B54" w:rsidRDefault="00BA3681" w:rsidP="00BA3681">
            <w:pPr>
              <w:rPr>
                <w:rFonts w:asciiTheme="majorHAnsi" w:hAnsiTheme="majorHAnsi"/>
              </w:rPr>
            </w:pPr>
            <w:r w:rsidRPr="00B77B54">
              <w:rPr>
                <w:rFonts w:asciiTheme="majorHAnsi" w:hAnsiTheme="majorHAnsi"/>
                <w:i/>
                <w:sz w:val="16"/>
                <w:szCs w:val="16"/>
              </w:rPr>
              <w:t>Dodati nacionalnu disagregaciju po regionu, rodu, u odnosu na pripadnost ranjivim kategorijama</w:t>
            </w:r>
          </w:p>
        </w:tc>
      </w:tr>
    </w:tbl>
    <w:p w14:paraId="13807383" w14:textId="1D897F50" w:rsidR="00E302B5" w:rsidRPr="00B77B54" w:rsidRDefault="00E302B5" w:rsidP="00487714">
      <w:pPr>
        <w:pStyle w:val="Heading2"/>
      </w:pPr>
      <w:r w:rsidRPr="00B77B54">
        <w:lastRenderedPageBreak/>
        <w:t>F Uspostavljen normativno pravni okvir za sprovođenje omladinske politike</w:t>
      </w:r>
    </w:p>
    <w:tbl>
      <w:tblPr>
        <w:tblStyle w:val="TableGrid"/>
        <w:tblW w:w="0" w:type="auto"/>
        <w:tblLook w:val="04A0" w:firstRow="1" w:lastRow="0" w:firstColumn="1" w:lastColumn="0" w:noHBand="0" w:noVBand="1"/>
      </w:tblPr>
      <w:tblGrid>
        <w:gridCol w:w="468"/>
        <w:gridCol w:w="1752"/>
        <w:gridCol w:w="2100"/>
        <w:gridCol w:w="2108"/>
        <w:gridCol w:w="2926"/>
      </w:tblGrid>
      <w:tr w:rsidR="00444319" w:rsidRPr="00B77B54" w14:paraId="61CEB5FF" w14:textId="77777777" w:rsidTr="00925F61">
        <w:tc>
          <w:tcPr>
            <w:tcW w:w="464" w:type="dxa"/>
            <w:shd w:val="clear" w:color="auto" w:fill="FF0000"/>
          </w:tcPr>
          <w:p w14:paraId="41DC1865" w14:textId="77777777" w:rsidR="00444319" w:rsidRPr="00B77B54" w:rsidRDefault="00444319" w:rsidP="00BC72C2">
            <w:pPr>
              <w:rPr>
                <w:rFonts w:asciiTheme="majorHAnsi" w:hAnsiTheme="majorHAnsi"/>
                <w:b/>
                <w:color w:val="FFFFFF" w:themeColor="background1"/>
              </w:rPr>
            </w:pPr>
            <w:r w:rsidRPr="00B77B54">
              <w:rPr>
                <w:rFonts w:asciiTheme="majorHAnsi" w:hAnsiTheme="majorHAnsi"/>
                <w:b/>
                <w:color w:val="FFFFFF" w:themeColor="background1"/>
              </w:rPr>
              <w:t>F</w:t>
            </w:r>
          </w:p>
        </w:tc>
        <w:tc>
          <w:tcPr>
            <w:tcW w:w="8886" w:type="dxa"/>
            <w:gridSpan w:val="4"/>
            <w:shd w:val="clear" w:color="auto" w:fill="FF0000"/>
          </w:tcPr>
          <w:p w14:paraId="33A0B030" w14:textId="77777777" w:rsidR="00444319" w:rsidRPr="00B77B54" w:rsidRDefault="00444319" w:rsidP="00BC72C2">
            <w:pPr>
              <w:rPr>
                <w:rFonts w:asciiTheme="majorHAnsi" w:hAnsiTheme="majorHAnsi"/>
                <w:b/>
                <w:color w:val="FFFFFF" w:themeColor="background1"/>
              </w:rPr>
            </w:pPr>
            <w:r w:rsidRPr="00B77B54">
              <w:rPr>
                <w:rFonts w:asciiTheme="majorHAnsi" w:hAnsiTheme="majorHAnsi"/>
                <w:b/>
                <w:color w:val="FFFFFF" w:themeColor="background1"/>
              </w:rPr>
              <w:t>Uspostavljen je normativno pravni okvir za sprovođenje omladinske politike</w:t>
            </w:r>
          </w:p>
          <w:p w14:paraId="3693DE94" w14:textId="77777777" w:rsidR="00925F61" w:rsidRPr="00B77B54" w:rsidRDefault="00925F61" w:rsidP="00BC72C2">
            <w:pPr>
              <w:rPr>
                <w:rFonts w:asciiTheme="majorHAnsi" w:hAnsiTheme="majorHAnsi"/>
                <w:b/>
                <w:color w:val="FFFFFF" w:themeColor="background1"/>
              </w:rPr>
            </w:pPr>
          </w:p>
        </w:tc>
      </w:tr>
      <w:tr w:rsidR="00C57603" w:rsidRPr="00B77B54" w14:paraId="34AB14AF" w14:textId="77777777" w:rsidTr="00FF3BCB">
        <w:tc>
          <w:tcPr>
            <w:tcW w:w="464" w:type="dxa"/>
          </w:tcPr>
          <w:p w14:paraId="5228D67F" w14:textId="77777777" w:rsidR="00C57603" w:rsidRPr="00B77B54" w:rsidRDefault="00C57603" w:rsidP="00C57603">
            <w:pPr>
              <w:rPr>
                <w:rFonts w:asciiTheme="majorHAnsi" w:hAnsiTheme="majorHAnsi"/>
              </w:rPr>
            </w:pPr>
            <w:r w:rsidRPr="00B77B54">
              <w:t>Br.</w:t>
            </w:r>
          </w:p>
        </w:tc>
        <w:tc>
          <w:tcPr>
            <w:tcW w:w="1752" w:type="dxa"/>
          </w:tcPr>
          <w:p w14:paraId="03B99E55" w14:textId="77777777" w:rsidR="00C57603" w:rsidRPr="00B77B54" w:rsidRDefault="00C57603" w:rsidP="00C57603">
            <w:pPr>
              <w:rPr>
                <w:rFonts w:asciiTheme="majorHAnsi" w:hAnsiTheme="majorHAnsi"/>
              </w:rPr>
            </w:pPr>
            <w:r w:rsidRPr="00B77B54">
              <w:t>Mjera</w:t>
            </w:r>
          </w:p>
        </w:tc>
        <w:tc>
          <w:tcPr>
            <w:tcW w:w="2100" w:type="dxa"/>
          </w:tcPr>
          <w:p w14:paraId="02FBCE57" w14:textId="77777777" w:rsidR="00C57603" w:rsidRPr="00B77B54" w:rsidRDefault="009F302E" w:rsidP="00C57603">
            <w:pPr>
              <w:rPr>
                <w:rFonts w:asciiTheme="majorHAnsi" w:hAnsiTheme="majorHAnsi"/>
                <w:sz w:val="16"/>
                <w:szCs w:val="16"/>
              </w:rPr>
            </w:pPr>
            <w:r w:rsidRPr="00B77B54">
              <w:t>Indikator</w:t>
            </w:r>
          </w:p>
        </w:tc>
        <w:tc>
          <w:tcPr>
            <w:tcW w:w="2108" w:type="dxa"/>
          </w:tcPr>
          <w:p w14:paraId="1127A092" w14:textId="77777777" w:rsidR="00C57603" w:rsidRPr="00B77B54" w:rsidRDefault="00C57603" w:rsidP="00C57603">
            <w:pPr>
              <w:rPr>
                <w:rFonts w:asciiTheme="majorHAnsi" w:hAnsiTheme="majorHAnsi"/>
                <w:sz w:val="16"/>
                <w:szCs w:val="16"/>
              </w:rPr>
            </w:pPr>
            <w:r w:rsidRPr="00B77B54">
              <w:t>Veza sa međunarodnim indikatorima/izvor</w:t>
            </w:r>
          </w:p>
        </w:tc>
        <w:tc>
          <w:tcPr>
            <w:tcW w:w="2926" w:type="dxa"/>
          </w:tcPr>
          <w:p w14:paraId="3847C706" w14:textId="77777777" w:rsidR="00C57603" w:rsidRPr="00B77B54" w:rsidRDefault="00C57603" w:rsidP="00C57603">
            <w:pPr>
              <w:rPr>
                <w:rFonts w:asciiTheme="majorHAnsi" w:hAnsiTheme="majorHAnsi"/>
                <w:sz w:val="16"/>
                <w:szCs w:val="16"/>
              </w:rPr>
            </w:pPr>
            <w:r w:rsidRPr="00B77B54">
              <w:t>Napomene</w:t>
            </w:r>
          </w:p>
        </w:tc>
      </w:tr>
      <w:tr w:rsidR="00C57603" w:rsidRPr="00B77B54" w14:paraId="3C738B3A" w14:textId="77777777" w:rsidTr="00FF3BCB">
        <w:tc>
          <w:tcPr>
            <w:tcW w:w="464" w:type="dxa"/>
          </w:tcPr>
          <w:p w14:paraId="22455FCF" w14:textId="77777777" w:rsidR="00C57603" w:rsidRPr="00B77B54" w:rsidRDefault="00C57603" w:rsidP="00C57603">
            <w:pPr>
              <w:rPr>
                <w:rFonts w:asciiTheme="majorHAnsi" w:hAnsiTheme="majorHAnsi"/>
              </w:rPr>
            </w:pPr>
            <w:r w:rsidRPr="00B77B54">
              <w:rPr>
                <w:rFonts w:asciiTheme="majorHAnsi" w:hAnsiTheme="majorHAnsi"/>
              </w:rPr>
              <w:t>1</w:t>
            </w:r>
          </w:p>
        </w:tc>
        <w:tc>
          <w:tcPr>
            <w:tcW w:w="1752" w:type="dxa"/>
          </w:tcPr>
          <w:p w14:paraId="5A7940B2" w14:textId="77777777" w:rsidR="00C57603" w:rsidRPr="00B77B54" w:rsidRDefault="00C57603" w:rsidP="00C57603">
            <w:pPr>
              <w:rPr>
                <w:rFonts w:asciiTheme="majorHAnsi" w:hAnsiTheme="majorHAnsi"/>
              </w:rPr>
            </w:pPr>
            <w:r w:rsidRPr="00B77B54">
              <w:rPr>
                <w:rFonts w:asciiTheme="majorHAnsi" w:hAnsiTheme="majorHAnsi"/>
              </w:rPr>
              <w:t>Ojačati kapacitete Uprave za mlade i sport za sprovođenje I monitoring omladinske politike</w:t>
            </w:r>
          </w:p>
        </w:tc>
        <w:tc>
          <w:tcPr>
            <w:tcW w:w="2100" w:type="dxa"/>
          </w:tcPr>
          <w:p w14:paraId="78B3C4DA"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Popunjena sistematizovana radna mjesta u sektoru za mlade</w:t>
            </w:r>
          </w:p>
          <w:p w14:paraId="2393D762" w14:textId="77777777" w:rsidR="00C57603" w:rsidRPr="00B77B54" w:rsidRDefault="00C57603" w:rsidP="00C57603">
            <w:pPr>
              <w:rPr>
                <w:rFonts w:asciiTheme="majorHAnsi" w:hAnsiTheme="majorHAnsi"/>
                <w:sz w:val="16"/>
                <w:szCs w:val="16"/>
              </w:rPr>
            </w:pPr>
          </w:p>
          <w:p w14:paraId="79BA8B90" w14:textId="77777777" w:rsidR="00C57603" w:rsidRPr="00B77B54" w:rsidRDefault="00C57603" w:rsidP="00C57603">
            <w:pPr>
              <w:rPr>
                <w:rFonts w:asciiTheme="majorHAnsi" w:hAnsiTheme="majorHAnsi"/>
                <w:sz w:val="16"/>
                <w:szCs w:val="16"/>
              </w:rPr>
            </w:pPr>
          </w:p>
        </w:tc>
        <w:tc>
          <w:tcPr>
            <w:tcW w:w="2108" w:type="dxa"/>
          </w:tcPr>
          <w:p w14:paraId="0488FFAA"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Uprava za mlade i sport/Ministarstvo prosvjete</w:t>
            </w:r>
          </w:p>
        </w:tc>
        <w:tc>
          <w:tcPr>
            <w:tcW w:w="2926" w:type="dxa"/>
          </w:tcPr>
          <w:p w14:paraId="16C4C30D" w14:textId="77777777" w:rsidR="00C57603" w:rsidRPr="00B77B54" w:rsidRDefault="00C57603" w:rsidP="00C57603">
            <w:pPr>
              <w:rPr>
                <w:rFonts w:asciiTheme="majorHAnsi" w:hAnsiTheme="majorHAnsi"/>
                <w:b/>
                <w:sz w:val="16"/>
                <w:szCs w:val="16"/>
              </w:rPr>
            </w:pPr>
            <w:r w:rsidRPr="00B77B54">
              <w:rPr>
                <w:rFonts w:asciiTheme="majorHAnsi" w:hAnsiTheme="majorHAnsi"/>
                <w:b/>
                <w:sz w:val="16"/>
                <w:szCs w:val="16"/>
              </w:rPr>
              <w:t>NACIONALNI INDIKATOR</w:t>
            </w:r>
          </w:p>
          <w:p w14:paraId="157B763C" w14:textId="77777777" w:rsidR="00C57603" w:rsidRPr="00B77B54" w:rsidRDefault="00C57603" w:rsidP="00C57603">
            <w:pPr>
              <w:rPr>
                <w:rFonts w:asciiTheme="majorHAnsi" w:hAnsiTheme="majorHAnsi"/>
                <w:b/>
                <w:sz w:val="16"/>
                <w:szCs w:val="16"/>
              </w:rPr>
            </w:pPr>
          </w:p>
        </w:tc>
      </w:tr>
      <w:tr w:rsidR="00C57603" w:rsidRPr="00B77B54" w14:paraId="14E60E2C" w14:textId="77777777" w:rsidTr="00FF3BCB">
        <w:tc>
          <w:tcPr>
            <w:tcW w:w="464" w:type="dxa"/>
          </w:tcPr>
          <w:p w14:paraId="37B10916" w14:textId="77777777" w:rsidR="00C57603" w:rsidRPr="00B77B54" w:rsidRDefault="00C57603" w:rsidP="00C57603">
            <w:pPr>
              <w:rPr>
                <w:rFonts w:asciiTheme="majorHAnsi" w:hAnsiTheme="majorHAnsi"/>
              </w:rPr>
            </w:pPr>
            <w:r w:rsidRPr="00B77B54">
              <w:rPr>
                <w:rFonts w:asciiTheme="majorHAnsi" w:hAnsiTheme="majorHAnsi"/>
              </w:rPr>
              <w:t>2</w:t>
            </w:r>
          </w:p>
        </w:tc>
        <w:tc>
          <w:tcPr>
            <w:tcW w:w="1752" w:type="dxa"/>
          </w:tcPr>
          <w:p w14:paraId="1DB662BE" w14:textId="77777777" w:rsidR="00C57603" w:rsidRPr="00B77B54" w:rsidRDefault="00C57603" w:rsidP="00C57603">
            <w:pPr>
              <w:rPr>
                <w:rFonts w:asciiTheme="majorHAnsi" w:hAnsiTheme="majorHAnsi"/>
              </w:rPr>
            </w:pPr>
            <w:r w:rsidRPr="00B77B54">
              <w:rPr>
                <w:rFonts w:asciiTheme="majorHAnsi" w:hAnsiTheme="majorHAnsi"/>
              </w:rPr>
              <w:t>Unaprijeđivanje normativne podrške</w:t>
            </w:r>
          </w:p>
        </w:tc>
        <w:tc>
          <w:tcPr>
            <w:tcW w:w="2100" w:type="dxa"/>
          </w:tcPr>
          <w:p w14:paraId="78F6CD04"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Postojanje Zakona o mladima</w:t>
            </w:r>
          </w:p>
          <w:p w14:paraId="2F2402EC"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Postojanje  podzakonskih akata za sprovođenje Zakona o mladima</w:t>
            </w:r>
          </w:p>
          <w:p w14:paraId="1390E3F1"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 xml:space="preserve">Stepen sprovođenja Zakona o mladima </w:t>
            </w:r>
          </w:p>
        </w:tc>
        <w:tc>
          <w:tcPr>
            <w:tcW w:w="2108" w:type="dxa"/>
          </w:tcPr>
          <w:p w14:paraId="6A997830"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 xml:space="preserve">Uprava za mlade i sport/Ministarstvo prosvjete </w:t>
            </w:r>
          </w:p>
          <w:p w14:paraId="1CA4C692" w14:textId="77777777" w:rsidR="00C57603" w:rsidRPr="00B77B54" w:rsidRDefault="00C57603" w:rsidP="00C57603">
            <w:pPr>
              <w:rPr>
                <w:rFonts w:asciiTheme="majorHAnsi" w:hAnsiTheme="majorHAnsi"/>
                <w:sz w:val="16"/>
                <w:szCs w:val="16"/>
              </w:rPr>
            </w:pPr>
          </w:p>
          <w:p w14:paraId="78628F8D"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YDI</w:t>
            </w:r>
          </w:p>
          <w:p w14:paraId="7829FD1F"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(youthpolicy.org)</w:t>
            </w:r>
          </w:p>
          <w:p w14:paraId="7DE0737D" w14:textId="77777777" w:rsidR="00C57603" w:rsidRPr="00B77B54" w:rsidRDefault="00C57603" w:rsidP="00C57603">
            <w:pPr>
              <w:rPr>
                <w:rFonts w:asciiTheme="majorHAnsi" w:hAnsiTheme="majorHAnsi"/>
                <w:sz w:val="16"/>
                <w:szCs w:val="16"/>
              </w:rPr>
            </w:pPr>
          </w:p>
        </w:tc>
        <w:tc>
          <w:tcPr>
            <w:tcW w:w="2926" w:type="dxa"/>
          </w:tcPr>
          <w:p w14:paraId="26BB6B89" w14:textId="77777777" w:rsidR="00C57603" w:rsidRPr="00B77B54" w:rsidRDefault="00C57603" w:rsidP="00C57603">
            <w:pPr>
              <w:rPr>
                <w:rFonts w:asciiTheme="majorHAnsi" w:hAnsiTheme="majorHAnsi"/>
                <w:b/>
                <w:sz w:val="16"/>
                <w:szCs w:val="16"/>
              </w:rPr>
            </w:pPr>
            <w:r w:rsidRPr="00B77B54">
              <w:rPr>
                <w:rFonts w:asciiTheme="majorHAnsi" w:hAnsiTheme="majorHAnsi"/>
                <w:b/>
                <w:sz w:val="16"/>
                <w:szCs w:val="16"/>
              </w:rPr>
              <w:t>NACIONALNI INDIKATOR</w:t>
            </w:r>
          </w:p>
          <w:p w14:paraId="7F193A9C" w14:textId="77777777" w:rsidR="00C57603" w:rsidRPr="00B77B54" w:rsidRDefault="00C57603" w:rsidP="00C57603">
            <w:pPr>
              <w:rPr>
                <w:rFonts w:asciiTheme="majorHAnsi" w:hAnsiTheme="majorHAnsi"/>
                <w:b/>
                <w:sz w:val="16"/>
                <w:szCs w:val="16"/>
              </w:rPr>
            </w:pPr>
          </w:p>
          <w:p w14:paraId="05EA7CB2" w14:textId="77777777" w:rsidR="00C57603" w:rsidRPr="00B77B54" w:rsidRDefault="00C57603" w:rsidP="00C57603">
            <w:pPr>
              <w:rPr>
                <w:rFonts w:asciiTheme="majorHAnsi" w:hAnsiTheme="majorHAnsi"/>
                <w:b/>
                <w:sz w:val="16"/>
                <w:szCs w:val="16"/>
              </w:rPr>
            </w:pPr>
            <w:r w:rsidRPr="00B77B54">
              <w:rPr>
                <w:rFonts w:asciiTheme="majorHAnsi" w:hAnsiTheme="majorHAnsi"/>
                <w:sz w:val="16"/>
                <w:szCs w:val="16"/>
              </w:rPr>
              <w:t>Do sada nije praćen. Definisati metodologiju i otpočeti sa praćenjem.</w:t>
            </w:r>
          </w:p>
          <w:p w14:paraId="0FBE5C42" w14:textId="77777777" w:rsidR="00C57603" w:rsidRPr="00B77B54" w:rsidRDefault="00C57603" w:rsidP="00C57603">
            <w:pPr>
              <w:rPr>
                <w:rFonts w:asciiTheme="majorHAnsi" w:hAnsiTheme="majorHAnsi"/>
                <w:sz w:val="16"/>
                <w:szCs w:val="16"/>
              </w:rPr>
            </w:pPr>
          </w:p>
        </w:tc>
      </w:tr>
      <w:tr w:rsidR="00C57603" w:rsidRPr="00B77B54" w14:paraId="4F7D0AA8" w14:textId="77777777" w:rsidTr="00FF3BCB">
        <w:tc>
          <w:tcPr>
            <w:tcW w:w="464" w:type="dxa"/>
          </w:tcPr>
          <w:p w14:paraId="58BA5851" w14:textId="77777777" w:rsidR="00C57603" w:rsidRPr="00B77B54" w:rsidRDefault="00C57603" w:rsidP="00C57603">
            <w:pPr>
              <w:rPr>
                <w:rFonts w:asciiTheme="majorHAnsi" w:hAnsiTheme="majorHAnsi"/>
              </w:rPr>
            </w:pPr>
            <w:r w:rsidRPr="00B77B54">
              <w:rPr>
                <w:rFonts w:asciiTheme="majorHAnsi" w:hAnsiTheme="majorHAnsi"/>
              </w:rPr>
              <w:t>3</w:t>
            </w:r>
          </w:p>
        </w:tc>
        <w:tc>
          <w:tcPr>
            <w:tcW w:w="1752" w:type="dxa"/>
          </w:tcPr>
          <w:p w14:paraId="7FDB0D50" w14:textId="77777777" w:rsidR="00C57603" w:rsidRPr="00B77B54" w:rsidRDefault="00C57603" w:rsidP="00C57603">
            <w:pPr>
              <w:rPr>
                <w:rFonts w:asciiTheme="majorHAnsi" w:hAnsiTheme="majorHAnsi"/>
              </w:rPr>
            </w:pPr>
            <w:r w:rsidRPr="00B77B54">
              <w:rPr>
                <w:rFonts w:asciiTheme="majorHAnsi" w:hAnsiTheme="majorHAnsi"/>
              </w:rPr>
              <w:t>Obezbjeđivanje održivog i kontinuiranog finansiranja omladinske politike</w:t>
            </w:r>
          </w:p>
        </w:tc>
        <w:tc>
          <w:tcPr>
            <w:tcW w:w="2100" w:type="dxa"/>
          </w:tcPr>
          <w:p w14:paraId="119AB9DD"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Iznos budžeta koji je alociran za potrebe Uprave za mlade za implementaciju Strategije za mlade</w:t>
            </w:r>
          </w:p>
          <w:p w14:paraId="77D91A3D" w14:textId="77777777" w:rsidR="00C57603" w:rsidRPr="00B77B54" w:rsidRDefault="00C57603" w:rsidP="00C57603">
            <w:pPr>
              <w:rPr>
                <w:rFonts w:asciiTheme="majorHAnsi" w:hAnsiTheme="majorHAnsi"/>
                <w:sz w:val="16"/>
                <w:szCs w:val="16"/>
              </w:rPr>
            </w:pPr>
          </w:p>
        </w:tc>
        <w:tc>
          <w:tcPr>
            <w:tcW w:w="2108" w:type="dxa"/>
          </w:tcPr>
          <w:p w14:paraId="03395EB5"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Uprava za mlade i sport/Ministarstvo prosvjete</w:t>
            </w:r>
          </w:p>
          <w:p w14:paraId="4AF2E9DE" w14:textId="77777777" w:rsidR="00C57603" w:rsidRPr="00B77B54" w:rsidRDefault="00C57603" w:rsidP="00C57603">
            <w:pPr>
              <w:rPr>
                <w:rFonts w:asciiTheme="majorHAnsi" w:hAnsiTheme="majorHAnsi"/>
                <w:sz w:val="16"/>
                <w:szCs w:val="16"/>
              </w:rPr>
            </w:pPr>
          </w:p>
          <w:p w14:paraId="6402D89E" w14:textId="77777777" w:rsidR="00C57603" w:rsidRPr="00B77B54" w:rsidRDefault="00CE3789" w:rsidP="00C57603">
            <w:pPr>
              <w:rPr>
                <w:rStyle w:val="Hyperlink"/>
                <w:rFonts w:asciiTheme="majorHAnsi" w:hAnsiTheme="majorHAnsi"/>
                <w:sz w:val="16"/>
                <w:szCs w:val="16"/>
              </w:rPr>
            </w:pPr>
            <w:hyperlink r:id="rId12" w:history="1">
              <w:r w:rsidR="00C57603" w:rsidRPr="00B77B54">
                <w:rPr>
                  <w:rStyle w:val="Hyperlink"/>
                  <w:rFonts w:asciiTheme="majorHAnsi" w:hAnsiTheme="majorHAnsi"/>
                  <w:sz w:val="16"/>
                  <w:szCs w:val="16"/>
                </w:rPr>
                <w:t>www.youthpolicy.org</w:t>
              </w:r>
            </w:hyperlink>
          </w:p>
          <w:p w14:paraId="5C3D169D" w14:textId="77777777" w:rsidR="00C57603" w:rsidRPr="00B77B54" w:rsidRDefault="00C57603" w:rsidP="00C57603">
            <w:pPr>
              <w:rPr>
                <w:rFonts w:asciiTheme="majorHAnsi" w:hAnsiTheme="majorHAnsi"/>
                <w:sz w:val="16"/>
                <w:szCs w:val="16"/>
              </w:rPr>
            </w:pPr>
          </w:p>
        </w:tc>
        <w:tc>
          <w:tcPr>
            <w:tcW w:w="2926" w:type="dxa"/>
          </w:tcPr>
          <w:p w14:paraId="2E99707C" w14:textId="77777777" w:rsidR="00C57603" w:rsidRPr="00B77B54" w:rsidRDefault="00C57603" w:rsidP="00C57603">
            <w:pPr>
              <w:rPr>
                <w:rFonts w:asciiTheme="majorHAnsi" w:hAnsiTheme="majorHAnsi"/>
                <w:sz w:val="16"/>
                <w:szCs w:val="16"/>
              </w:rPr>
            </w:pPr>
          </w:p>
        </w:tc>
      </w:tr>
      <w:tr w:rsidR="00C57603" w:rsidRPr="00B77B54" w14:paraId="05BB5BC7" w14:textId="77777777" w:rsidTr="00FF3BCB">
        <w:tc>
          <w:tcPr>
            <w:tcW w:w="464" w:type="dxa"/>
          </w:tcPr>
          <w:p w14:paraId="0B0E9F0F" w14:textId="77777777" w:rsidR="00C57603" w:rsidRPr="00B77B54" w:rsidRDefault="00C57603" w:rsidP="00C57603">
            <w:pPr>
              <w:rPr>
                <w:rFonts w:asciiTheme="majorHAnsi" w:hAnsiTheme="majorHAnsi"/>
              </w:rPr>
            </w:pPr>
            <w:r w:rsidRPr="00B77B54">
              <w:rPr>
                <w:rFonts w:asciiTheme="majorHAnsi" w:hAnsiTheme="majorHAnsi"/>
              </w:rPr>
              <w:t>4</w:t>
            </w:r>
          </w:p>
        </w:tc>
        <w:tc>
          <w:tcPr>
            <w:tcW w:w="1752" w:type="dxa"/>
          </w:tcPr>
          <w:p w14:paraId="4AF8B5A0" w14:textId="77777777" w:rsidR="00C57603" w:rsidRPr="00B77B54" w:rsidRDefault="00C57603" w:rsidP="00C57603">
            <w:pPr>
              <w:rPr>
                <w:rFonts w:asciiTheme="majorHAnsi" w:hAnsiTheme="majorHAnsi"/>
              </w:rPr>
            </w:pPr>
            <w:r w:rsidRPr="00B77B54">
              <w:rPr>
                <w:rFonts w:asciiTheme="majorHAnsi" w:hAnsiTheme="majorHAnsi"/>
              </w:rPr>
              <w:t>Unapređenje međuresorske saradnje</w:t>
            </w:r>
          </w:p>
        </w:tc>
        <w:tc>
          <w:tcPr>
            <w:tcW w:w="2100" w:type="dxa"/>
          </w:tcPr>
          <w:p w14:paraId="425C9749" w14:textId="61E655B0" w:rsidR="00C57603" w:rsidRPr="00B77B54" w:rsidRDefault="00C57603" w:rsidP="000B26FF">
            <w:pPr>
              <w:rPr>
                <w:rFonts w:asciiTheme="majorHAnsi" w:hAnsiTheme="majorHAnsi"/>
                <w:sz w:val="16"/>
                <w:szCs w:val="16"/>
              </w:rPr>
            </w:pPr>
            <w:r w:rsidRPr="00B77B54">
              <w:rPr>
                <w:rFonts w:asciiTheme="majorHAnsi" w:hAnsiTheme="majorHAnsi"/>
                <w:sz w:val="16"/>
                <w:szCs w:val="16"/>
              </w:rPr>
              <w:t>Uspostavljanje i funkcionisanje međuresornog tijela/savjeta za praćenje sprovođenja Strategije za mlade</w:t>
            </w:r>
            <w:r w:rsidR="000B26FF">
              <w:rPr>
                <w:rFonts w:asciiTheme="majorHAnsi" w:hAnsiTheme="majorHAnsi"/>
                <w:sz w:val="16"/>
                <w:szCs w:val="16"/>
              </w:rPr>
              <w:t xml:space="preserve"> </w:t>
            </w:r>
            <w:r w:rsidR="000B26FF" w:rsidRPr="000B26FF">
              <w:rPr>
                <w:rFonts w:asciiTheme="majorHAnsi" w:hAnsiTheme="majorHAnsi"/>
                <w:sz w:val="16"/>
                <w:szCs w:val="16"/>
              </w:rPr>
              <w:t>osmišljavanje, realizaciju i nadgledanje međuresorskih projekata za mlade</w:t>
            </w:r>
          </w:p>
        </w:tc>
        <w:tc>
          <w:tcPr>
            <w:tcW w:w="2108" w:type="dxa"/>
          </w:tcPr>
          <w:p w14:paraId="7524B564"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Uprava za mlade i sport/Ministarstvo prosvjete</w:t>
            </w:r>
            <w:r w:rsidRPr="00B77B54" w:rsidDel="00437580">
              <w:rPr>
                <w:rFonts w:asciiTheme="majorHAnsi" w:hAnsiTheme="majorHAnsi"/>
                <w:sz w:val="16"/>
                <w:szCs w:val="16"/>
              </w:rPr>
              <w:t xml:space="preserve"> </w:t>
            </w:r>
          </w:p>
          <w:p w14:paraId="1C4FB06C" w14:textId="77777777" w:rsidR="00C57603" w:rsidRPr="00B77B54" w:rsidRDefault="00C57603" w:rsidP="00C57603">
            <w:pPr>
              <w:rPr>
                <w:rFonts w:asciiTheme="majorHAnsi" w:hAnsiTheme="majorHAnsi"/>
                <w:sz w:val="16"/>
                <w:szCs w:val="16"/>
              </w:rPr>
            </w:pPr>
          </w:p>
          <w:p w14:paraId="382FD2B6"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11 indikatora omladinske politike, Evropski omladinski forum</w:t>
            </w:r>
          </w:p>
        </w:tc>
        <w:tc>
          <w:tcPr>
            <w:tcW w:w="2926" w:type="dxa"/>
          </w:tcPr>
          <w:p w14:paraId="1DB361CB" w14:textId="77777777" w:rsidR="00C57603" w:rsidRPr="00B77B54" w:rsidRDefault="00C57603" w:rsidP="00C57603">
            <w:pPr>
              <w:rPr>
                <w:rFonts w:asciiTheme="majorHAnsi" w:hAnsiTheme="majorHAnsi"/>
                <w:sz w:val="16"/>
                <w:szCs w:val="16"/>
              </w:rPr>
            </w:pPr>
          </w:p>
        </w:tc>
      </w:tr>
      <w:tr w:rsidR="00C57603" w:rsidRPr="00B77B54" w14:paraId="1719D902" w14:textId="77777777" w:rsidTr="00FF3BCB">
        <w:tc>
          <w:tcPr>
            <w:tcW w:w="464" w:type="dxa"/>
          </w:tcPr>
          <w:p w14:paraId="7FBC8927" w14:textId="77777777" w:rsidR="00C57603" w:rsidRPr="00B77B54" w:rsidRDefault="00C57603" w:rsidP="00C57603">
            <w:pPr>
              <w:rPr>
                <w:rFonts w:asciiTheme="majorHAnsi" w:hAnsiTheme="majorHAnsi"/>
              </w:rPr>
            </w:pPr>
            <w:r w:rsidRPr="00B77B54">
              <w:rPr>
                <w:rFonts w:asciiTheme="majorHAnsi" w:hAnsiTheme="majorHAnsi"/>
              </w:rPr>
              <w:t>5</w:t>
            </w:r>
          </w:p>
        </w:tc>
        <w:tc>
          <w:tcPr>
            <w:tcW w:w="1752" w:type="dxa"/>
          </w:tcPr>
          <w:p w14:paraId="7EE68F48" w14:textId="40047FD9" w:rsidR="00C57603" w:rsidRPr="00B77B54" w:rsidRDefault="00C57603" w:rsidP="00C57603">
            <w:pPr>
              <w:rPr>
                <w:rFonts w:asciiTheme="majorHAnsi" w:hAnsiTheme="majorHAnsi"/>
              </w:rPr>
            </w:pPr>
            <w:r w:rsidRPr="00B77B54">
              <w:rPr>
                <w:rFonts w:asciiTheme="majorHAnsi" w:hAnsiTheme="majorHAnsi"/>
              </w:rPr>
              <w:t xml:space="preserve">Unapređenje </w:t>
            </w:r>
            <w:r w:rsidR="00D72538">
              <w:rPr>
                <w:rFonts w:asciiTheme="majorHAnsi" w:hAnsiTheme="majorHAnsi"/>
              </w:rPr>
              <w:t xml:space="preserve">statistike na nacionalnom nivou i </w:t>
            </w:r>
            <w:r w:rsidRPr="00B77B54">
              <w:rPr>
                <w:rFonts w:asciiTheme="majorHAnsi" w:hAnsiTheme="majorHAnsi"/>
              </w:rPr>
              <w:t>znanja o mladima</w:t>
            </w:r>
          </w:p>
        </w:tc>
        <w:tc>
          <w:tcPr>
            <w:tcW w:w="2100" w:type="dxa"/>
          </w:tcPr>
          <w:p w14:paraId="6E13AF92"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Sprovođenje istraživanja i analize podataka o položaju mladih na osnovu okvira za monitoring i evaluaciju Strategije za mlade, u skladu sa vremenskim okvirom predviđenim Akcionim planom</w:t>
            </w:r>
          </w:p>
        </w:tc>
        <w:tc>
          <w:tcPr>
            <w:tcW w:w="2108" w:type="dxa"/>
          </w:tcPr>
          <w:p w14:paraId="04435BF8"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Uprava za mlade i sport/Ministarstvo prosvjete/MONSTAT</w:t>
            </w:r>
          </w:p>
        </w:tc>
        <w:tc>
          <w:tcPr>
            <w:tcW w:w="2926" w:type="dxa"/>
          </w:tcPr>
          <w:p w14:paraId="272BEA2C" w14:textId="77777777" w:rsidR="00C57603" w:rsidRPr="00B77B54" w:rsidRDefault="00C57603" w:rsidP="00C57603">
            <w:pPr>
              <w:rPr>
                <w:rFonts w:asciiTheme="majorHAnsi" w:hAnsiTheme="majorHAnsi"/>
                <w:b/>
                <w:sz w:val="16"/>
                <w:szCs w:val="16"/>
              </w:rPr>
            </w:pPr>
            <w:r w:rsidRPr="00B77B54">
              <w:rPr>
                <w:rFonts w:asciiTheme="majorHAnsi" w:hAnsiTheme="majorHAnsi"/>
                <w:b/>
                <w:sz w:val="16"/>
                <w:szCs w:val="16"/>
              </w:rPr>
              <w:t>NACIONALNI INDIKATOR</w:t>
            </w:r>
          </w:p>
          <w:p w14:paraId="5AC372D9" w14:textId="77777777" w:rsidR="00C57603" w:rsidRPr="00B77B54" w:rsidRDefault="00C57603" w:rsidP="00C57603">
            <w:pPr>
              <w:rPr>
                <w:rFonts w:asciiTheme="majorHAnsi" w:hAnsiTheme="majorHAnsi"/>
                <w:sz w:val="16"/>
                <w:szCs w:val="16"/>
              </w:rPr>
            </w:pPr>
          </w:p>
        </w:tc>
      </w:tr>
      <w:tr w:rsidR="00C57603" w:rsidRPr="00B77B54" w14:paraId="4B38161D" w14:textId="77777777" w:rsidTr="00FF3BCB">
        <w:tc>
          <w:tcPr>
            <w:tcW w:w="464" w:type="dxa"/>
          </w:tcPr>
          <w:p w14:paraId="55A6E3F6" w14:textId="77777777" w:rsidR="00C57603" w:rsidRPr="00B77B54" w:rsidRDefault="00C57603" w:rsidP="00C57603">
            <w:pPr>
              <w:rPr>
                <w:rFonts w:asciiTheme="majorHAnsi" w:hAnsiTheme="majorHAnsi"/>
              </w:rPr>
            </w:pPr>
            <w:r w:rsidRPr="00B77B54">
              <w:rPr>
                <w:rFonts w:asciiTheme="majorHAnsi" w:hAnsiTheme="majorHAnsi"/>
              </w:rPr>
              <w:t>6</w:t>
            </w:r>
          </w:p>
        </w:tc>
        <w:tc>
          <w:tcPr>
            <w:tcW w:w="1752" w:type="dxa"/>
          </w:tcPr>
          <w:p w14:paraId="7E844415" w14:textId="77777777" w:rsidR="00C57603" w:rsidRPr="00B77B54" w:rsidRDefault="00C57603" w:rsidP="00C57603">
            <w:pPr>
              <w:rPr>
                <w:rFonts w:asciiTheme="majorHAnsi" w:hAnsiTheme="majorHAnsi"/>
              </w:rPr>
            </w:pPr>
            <w:r w:rsidRPr="00B77B54">
              <w:rPr>
                <w:rFonts w:asciiTheme="majorHAnsi" w:hAnsiTheme="majorHAnsi"/>
              </w:rPr>
              <w:t>Ojačati kapacitete lokalnih samouprava za razvoj i sprovođenje omladinske politike</w:t>
            </w:r>
          </w:p>
        </w:tc>
        <w:tc>
          <w:tcPr>
            <w:tcW w:w="2100" w:type="dxa"/>
          </w:tcPr>
          <w:p w14:paraId="3334D32A"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Sistematizovana radna mjesta u 23 crnogorske opštine za rad u oblasti omladinske politike i rad sa mladima</w:t>
            </w:r>
          </w:p>
          <w:p w14:paraId="0C95BDB7" w14:textId="77777777" w:rsidR="00C57603" w:rsidRPr="00B77B54" w:rsidRDefault="00C57603" w:rsidP="00C57603">
            <w:pPr>
              <w:rPr>
                <w:rFonts w:asciiTheme="majorHAnsi" w:hAnsiTheme="majorHAnsi"/>
                <w:sz w:val="16"/>
                <w:szCs w:val="16"/>
              </w:rPr>
            </w:pPr>
          </w:p>
          <w:p w14:paraId="679BC595"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Zaposleni na ovim mjestima obučeni za rad sa mladima</w:t>
            </w:r>
          </w:p>
        </w:tc>
        <w:tc>
          <w:tcPr>
            <w:tcW w:w="2108" w:type="dxa"/>
          </w:tcPr>
          <w:p w14:paraId="5DF7D67E"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Uprava za mlade i sport/Ministarstvo prosvjete</w:t>
            </w:r>
          </w:p>
        </w:tc>
        <w:tc>
          <w:tcPr>
            <w:tcW w:w="2926" w:type="dxa"/>
          </w:tcPr>
          <w:p w14:paraId="07EC9929" w14:textId="77777777" w:rsidR="00C57603" w:rsidRPr="00B77B54" w:rsidRDefault="00C57603" w:rsidP="00C57603">
            <w:pPr>
              <w:rPr>
                <w:rFonts w:asciiTheme="majorHAnsi" w:hAnsiTheme="majorHAnsi"/>
                <w:b/>
                <w:sz w:val="16"/>
                <w:szCs w:val="16"/>
              </w:rPr>
            </w:pPr>
            <w:r w:rsidRPr="00B77B54">
              <w:rPr>
                <w:rFonts w:asciiTheme="majorHAnsi" w:hAnsiTheme="majorHAnsi"/>
                <w:b/>
                <w:sz w:val="16"/>
                <w:szCs w:val="16"/>
              </w:rPr>
              <w:t>NACIONALNI INDIKATOR</w:t>
            </w:r>
          </w:p>
          <w:p w14:paraId="1ABC7743" w14:textId="77777777" w:rsidR="00C57603" w:rsidRPr="00B77B54" w:rsidRDefault="00C57603" w:rsidP="00C57603">
            <w:pPr>
              <w:rPr>
                <w:rFonts w:asciiTheme="majorHAnsi" w:hAnsiTheme="majorHAnsi"/>
                <w:sz w:val="16"/>
                <w:szCs w:val="16"/>
              </w:rPr>
            </w:pPr>
          </w:p>
        </w:tc>
      </w:tr>
      <w:tr w:rsidR="00C57603" w:rsidRPr="00B77B54" w14:paraId="2E4E0644" w14:textId="77777777" w:rsidTr="00FF3BCB">
        <w:tc>
          <w:tcPr>
            <w:tcW w:w="464" w:type="dxa"/>
          </w:tcPr>
          <w:p w14:paraId="41B52908" w14:textId="77777777" w:rsidR="00C57603" w:rsidRPr="00B77B54" w:rsidRDefault="00C57603" w:rsidP="00C57603">
            <w:pPr>
              <w:rPr>
                <w:rFonts w:asciiTheme="majorHAnsi" w:hAnsiTheme="majorHAnsi"/>
              </w:rPr>
            </w:pPr>
            <w:r w:rsidRPr="00B77B54">
              <w:rPr>
                <w:rFonts w:asciiTheme="majorHAnsi" w:hAnsiTheme="majorHAnsi"/>
              </w:rPr>
              <w:t>7</w:t>
            </w:r>
          </w:p>
        </w:tc>
        <w:tc>
          <w:tcPr>
            <w:tcW w:w="1752" w:type="dxa"/>
          </w:tcPr>
          <w:p w14:paraId="5DF3F138" w14:textId="77777777" w:rsidR="00C57603" w:rsidRPr="00B77B54" w:rsidRDefault="00C57603" w:rsidP="00C57603">
            <w:pPr>
              <w:rPr>
                <w:rFonts w:asciiTheme="majorHAnsi" w:hAnsiTheme="majorHAnsi"/>
              </w:rPr>
            </w:pPr>
            <w:r w:rsidRPr="00B77B54">
              <w:rPr>
                <w:rFonts w:asciiTheme="majorHAnsi" w:hAnsiTheme="majorHAnsi"/>
              </w:rPr>
              <w:t xml:space="preserve">Podrška omladinskom </w:t>
            </w:r>
            <w:r w:rsidRPr="00B77B54">
              <w:rPr>
                <w:rFonts w:asciiTheme="majorHAnsi" w:hAnsiTheme="majorHAnsi"/>
              </w:rPr>
              <w:lastRenderedPageBreak/>
              <w:t>udruživanju</w:t>
            </w:r>
          </w:p>
        </w:tc>
        <w:tc>
          <w:tcPr>
            <w:tcW w:w="2100" w:type="dxa"/>
          </w:tcPr>
          <w:p w14:paraId="7279DEF6" w14:textId="4BAD4BCE" w:rsidR="00C57603" w:rsidRPr="00B77B54" w:rsidRDefault="00C57603" w:rsidP="000B26FF">
            <w:pPr>
              <w:rPr>
                <w:rFonts w:asciiTheme="majorHAnsi" w:hAnsiTheme="majorHAnsi"/>
                <w:sz w:val="16"/>
                <w:szCs w:val="16"/>
              </w:rPr>
            </w:pPr>
            <w:r w:rsidRPr="00B77B54">
              <w:rPr>
                <w:rFonts w:asciiTheme="majorHAnsi" w:hAnsiTheme="majorHAnsi"/>
                <w:sz w:val="16"/>
                <w:szCs w:val="16"/>
              </w:rPr>
              <w:lastRenderedPageBreak/>
              <w:t xml:space="preserve">Postojanje institucionalne podrške organizacijama </w:t>
            </w:r>
            <w:r w:rsidR="000B26FF">
              <w:rPr>
                <w:rFonts w:asciiTheme="majorHAnsi" w:hAnsiTheme="majorHAnsi"/>
                <w:sz w:val="16"/>
                <w:szCs w:val="16"/>
              </w:rPr>
              <w:t xml:space="preserve">i savezima organizacija koje </w:t>
            </w:r>
            <w:r w:rsidR="000B26FF">
              <w:rPr>
                <w:rFonts w:asciiTheme="majorHAnsi" w:hAnsiTheme="majorHAnsi"/>
                <w:sz w:val="16"/>
                <w:szCs w:val="16"/>
              </w:rPr>
              <w:lastRenderedPageBreak/>
              <w:t>zastupaju interese mladih I obezbjeđuju</w:t>
            </w:r>
            <w:r w:rsidRPr="00B77B54">
              <w:rPr>
                <w:rFonts w:asciiTheme="majorHAnsi" w:hAnsiTheme="majorHAnsi"/>
                <w:sz w:val="16"/>
                <w:szCs w:val="16"/>
              </w:rPr>
              <w:t xml:space="preserve"> učešće mladih u donošenju odluka</w:t>
            </w:r>
          </w:p>
        </w:tc>
        <w:tc>
          <w:tcPr>
            <w:tcW w:w="2108" w:type="dxa"/>
          </w:tcPr>
          <w:p w14:paraId="486B799B"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lastRenderedPageBreak/>
              <w:t>Uprava za mlade i sport/Ministarstvo prosvjete</w:t>
            </w:r>
          </w:p>
        </w:tc>
        <w:tc>
          <w:tcPr>
            <w:tcW w:w="2926" w:type="dxa"/>
          </w:tcPr>
          <w:p w14:paraId="5E24FB0F" w14:textId="77777777" w:rsidR="00C57603" w:rsidRPr="00B77B54" w:rsidRDefault="00C57603" w:rsidP="00C57603">
            <w:pPr>
              <w:rPr>
                <w:rFonts w:asciiTheme="majorHAnsi" w:hAnsiTheme="majorHAnsi"/>
                <w:b/>
                <w:sz w:val="16"/>
                <w:szCs w:val="16"/>
              </w:rPr>
            </w:pPr>
            <w:r w:rsidRPr="00B77B54">
              <w:rPr>
                <w:rFonts w:asciiTheme="majorHAnsi" w:hAnsiTheme="majorHAnsi"/>
                <w:b/>
                <w:sz w:val="16"/>
                <w:szCs w:val="16"/>
              </w:rPr>
              <w:t>NACIONALNI INDIKATOR</w:t>
            </w:r>
          </w:p>
          <w:p w14:paraId="4BC060CA" w14:textId="77777777" w:rsidR="00C57603" w:rsidRPr="00B77B54" w:rsidRDefault="00C57603" w:rsidP="00C57603">
            <w:pPr>
              <w:rPr>
                <w:rFonts w:asciiTheme="majorHAnsi" w:hAnsiTheme="majorHAnsi"/>
                <w:sz w:val="16"/>
                <w:szCs w:val="16"/>
              </w:rPr>
            </w:pPr>
          </w:p>
        </w:tc>
      </w:tr>
      <w:tr w:rsidR="00C57603" w:rsidRPr="00B77B54" w14:paraId="79DE6119" w14:textId="77777777" w:rsidTr="00FF3BCB">
        <w:tc>
          <w:tcPr>
            <w:tcW w:w="464" w:type="dxa"/>
          </w:tcPr>
          <w:p w14:paraId="0253333A" w14:textId="77777777" w:rsidR="00C57603" w:rsidRPr="00B77B54" w:rsidRDefault="00C57603" w:rsidP="00C57603">
            <w:pPr>
              <w:rPr>
                <w:rFonts w:asciiTheme="majorHAnsi" w:hAnsiTheme="majorHAnsi"/>
              </w:rPr>
            </w:pPr>
            <w:r w:rsidRPr="00B77B54">
              <w:rPr>
                <w:rFonts w:asciiTheme="majorHAnsi" w:hAnsiTheme="majorHAnsi"/>
              </w:rPr>
              <w:lastRenderedPageBreak/>
              <w:t>8</w:t>
            </w:r>
          </w:p>
        </w:tc>
        <w:tc>
          <w:tcPr>
            <w:tcW w:w="1752" w:type="dxa"/>
          </w:tcPr>
          <w:p w14:paraId="4CE0E75A" w14:textId="77777777" w:rsidR="00C57603" w:rsidRPr="00B77B54" w:rsidRDefault="00C57603" w:rsidP="00C57603">
            <w:pPr>
              <w:rPr>
                <w:rFonts w:asciiTheme="majorHAnsi" w:hAnsiTheme="majorHAnsi"/>
              </w:rPr>
            </w:pPr>
            <w:r w:rsidRPr="00B77B54">
              <w:rPr>
                <w:rFonts w:asciiTheme="majorHAnsi" w:hAnsiTheme="majorHAnsi"/>
              </w:rPr>
              <w:t>Međunarodna saradnja</w:t>
            </w:r>
          </w:p>
        </w:tc>
        <w:tc>
          <w:tcPr>
            <w:tcW w:w="2100" w:type="dxa"/>
          </w:tcPr>
          <w:p w14:paraId="6B1832C6"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 korišćenja dostupnih evropskih i međunarodnih programa za mlade</w:t>
            </w:r>
          </w:p>
        </w:tc>
        <w:tc>
          <w:tcPr>
            <w:tcW w:w="2108" w:type="dxa"/>
          </w:tcPr>
          <w:p w14:paraId="1A60C6ED"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Uprava za mlade i sport/Ministarstvo prosvjete</w:t>
            </w:r>
          </w:p>
        </w:tc>
        <w:tc>
          <w:tcPr>
            <w:tcW w:w="2926" w:type="dxa"/>
          </w:tcPr>
          <w:p w14:paraId="0DBC2248" w14:textId="77777777" w:rsidR="00C57603" w:rsidRPr="00B77B54" w:rsidRDefault="00C57603" w:rsidP="00C57603">
            <w:pPr>
              <w:rPr>
                <w:rFonts w:asciiTheme="majorHAnsi" w:hAnsiTheme="majorHAnsi"/>
                <w:b/>
                <w:sz w:val="16"/>
                <w:szCs w:val="16"/>
              </w:rPr>
            </w:pPr>
            <w:r w:rsidRPr="00B77B54">
              <w:rPr>
                <w:rFonts w:asciiTheme="majorHAnsi" w:hAnsiTheme="majorHAnsi"/>
                <w:b/>
                <w:sz w:val="16"/>
                <w:szCs w:val="16"/>
              </w:rPr>
              <w:t>NACIONALNI INDIKATOR</w:t>
            </w:r>
          </w:p>
          <w:p w14:paraId="057BCFC5" w14:textId="77777777" w:rsidR="00C57603" w:rsidRPr="00B77B54" w:rsidRDefault="00C57603" w:rsidP="00C57603">
            <w:pPr>
              <w:rPr>
                <w:rFonts w:asciiTheme="majorHAnsi" w:hAnsiTheme="majorHAnsi"/>
                <w:sz w:val="16"/>
                <w:szCs w:val="16"/>
              </w:rPr>
            </w:pPr>
          </w:p>
        </w:tc>
      </w:tr>
      <w:tr w:rsidR="00C57603" w:rsidRPr="00B77B54" w14:paraId="5A874A79" w14:textId="77777777" w:rsidTr="00FF3BCB">
        <w:tc>
          <w:tcPr>
            <w:tcW w:w="464" w:type="dxa"/>
          </w:tcPr>
          <w:p w14:paraId="6340068C" w14:textId="77777777" w:rsidR="00C57603" w:rsidRPr="00B77B54" w:rsidRDefault="00C57603" w:rsidP="00C57603">
            <w:pPr>
              <w:rPr>
                <w:rFonts w:asciiTheme="majorHAnsi" w:hAnsiTheme="majorHAnsi"/>
              </w:rPr>
            </w:pPr>
            <w:r w:rsidRPr="00B77B54">
              <w:rPr>
                <w:rFonts w:asciiTheme="majorHAnsi" w:hAnsiTheme="majorHAnsi"/>
              </w:rPr>
              <w:t>9</w:t>
            </w:r>
          </w:p>
        </w:tc>
        <w:tc>
          <w:tcPr>
            <w:tcW w:w="1752" w:type="dxa"/>
          </w:tcPr>
          <w:p w14:paraId="2A481C7A" w14:textId="77777777" w:rsidR="00C57603" w:rsidRPr="00B77B54" w:rsidRDefault="00C57603" w:rsidP="00C57603">
            <w:pPr>
              <w:rPr>
                <w:rFonts w:asciiTheme="majorHAnsi" w:hAnsiTheme="majorHAnsi"/>
              </w:rPr>
            </w:pPr>
            <w:r w:rsidRPr="00B77B54">
              <w:rPr>
                <w:rFonts w:asciiTheme="majorHAnsi" w:hAnsiTheme="majorHAnsi"/>
              </w:rPr>
              <w:t>Unapređenje  informisanja mladih</w:t>
            </w:r>
          </w:p>
        </w:tc>
        <w:tc>
          <w:tcPr>
            <w:tcW w:w="2100" w:type="dxa"/>
          </w:tcPr>
          <w:p w14:paraId="2B793236" w14:textId="77777777" w:rsidR="00C57603" w:rsidRPr="00B77B54" w:rsidRDefault="00C57603" w:rsidP="00C57603">
            <w:pPr>
              <w:autoSpaceDE w:val="0"/>
              <w:autoSpaceDN w:val="0"/>
              <w:adjustRightInd w:val="0"/>
              <w:rPr>
                <w:rFonts w:asciiTheme="majorHAnsi" w:hAnsiTheme="majorHAnsi" w:cs="Times New Roman"/>
                <w:sz w:val="16"/>
                <w:szCs w:val="16"/>
              </w:rPr>
            </w:pPr>
            <w:r w:rsidRPr="00B77B54">
              <w:rPr>
                <w:rFonts w:asciiTheme="majorHAnsi" w:hAnsiTheme="majorHAnsi"/>
                <w:sz w:val="16"/>
                <w:szCs w:val="16"/>
              </w:rPr>
              <w:t>Udio mladih i odraslih osoba koje imaju informaciono-komunikacione vještine (ICT), prema vrsti vještine</w:t>
            </w:r>
          </w:p>
        </w:tc>
        <w:tc>
          <w:tcPr>
            <w:tcW w:w="2108" w:type="dxa"/>
          </w:tcPr>
          <w:p w14:paraId="63881CCE" w14:textId="42947E00" w:rsidR="00C57603" w:rsidRPr="00B77B54" w:rsidRDefault="002821CA" w:rsidP="00C57603">
            <w:pPr>
              <w:rPr>
                <w:rFonts w:asciiTheme="majorHAnsi" w:hAnsiTheme="majorHAnsi"/>
                <w:sz w:val="16"/>
                <w:szCs w:val="16"/>
              </w:rPr>
            </w:pPr>
            <w:r>
              <w:rPr>
                <w:rFonts w:asciiTheme="majorHAnsi" w:hAnsiTheme="majorHAnsi"/>
                <w:sz w:val="16"/>
                <w:szCs w:val="16"/>
              </w:rPr>
              <w:t xml:space="preserve">Zavod za statistiku </w:t>
            </w:r>
            <w:r w:rsidR="00C57603" w:rsidRPr="00B77B54">
              <w:rPr>
                <w:rFonts w:asciiTheme="majorHAnsi" w:hAnsiTheme="majorHAnsi"/>
                <w:sz w:val="16"/>
                <w:szCs w:val="16"/>
              </w:rPr>
              <w:t>MONSTAT</w:t>
            </w:r>
          </w:p>
          <w:p w14:paraId="77C5E6D8" w14:textId="77777777" w:rsidR="00C57603" w:rsidRPr="00B77B54" w:rsidRDefault="00C57603" w:rsidP="00C57603">
            <w:pPr>
              <w:rPr>
                <w:rFonts w:asciiTheme="majorHAnsi" w:hAnsiTheme="majorHAnsi"/>
                <w:sz w:val="16"/>
                <w:szCs w:val="16"/>
              </w:rPr>
            </w:pPr>
          </w:p>
          <w:p w14:paraId="7E35EEC4" w14:textId="51B8FE73" w:rsidR="00C57603" w:rsidRPr="00B77B54" w:rsidRDefault="001A203F" w:rsidP="00C57603">
            <w:pPr>
              <w:rPr>
                <w:rFonts w:asciiTheme="majorHAnsi" w:hAnsiTheme="majorHAnsi"/>
                <w:sz w:val="16"/>
                <w:szCs w:val="16"/>
              </w:rPr>
            </w:pPr>
            <w:r w:rsidRPr="00B77B54">
              <w:rPr>
                <w:rFonts w:asciiTheme="majorHAnsi" w:hAnsiTheme="majorHAnsi"/>
                <w:sz w:val="16"/>
                <w:szCs w:val="16"/>
              </w:rPr>
              <w:t xml:space="preserve">Prijedlog </w:t>
            </w:r>
            <w:r w:rsidR="00C57603" w:rsidRPr="00B77B54">
              <w:rPr>
                <w:rFonts w:asciiTheme="majorHAnsi" w:hAnsiTheme="majorHAnsi"/>
                <w:sz w:val="16"/>
                <w:szCs w:val="16"/>
              </w:rPr>
              <w:t>UNICEF:</w:t>
            </w:r>
          </w:p>
          <w:p w14:paraId="7615D09B"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 mladih 15-19 godina koji imaju ICT vještine po tipu vještine</w:t>
            </w:r>
          </w:p>
        </w:tc>
        <w:tc>
          <w:tcPr>
            <w:tcW w:w="2926" w:type="dxa"/>
          </w:tcPr>
          <w:p w14:paraId="3DF0D0CE" w14:textId="77777777" w:rsidR="00C57603" w:rsidRPr="00B77B54" w:rsidRDefault="00C57603" w:rsidP="00C57603">
            <w:pPr>
              <w:rPr>
                <w:rFonts w:asciiTheme="majorHAnsi" w:hAnsiTheme="majorHAnsi"/>
                <w:sz w:val="16"/>
                <w:szCs w:val="16"/>
              </w:rPr>
            </w:pPr>
            <w:r w:rsidRPr="00B77B54">
              <w:rPr>
                <w:rFonts w:asciiTheme="majorHAnsi" w:hAnsiTheme="majorHAnsi"/>
                <w:sz w:val="16"/>
                <w:szCs w:val="16"/>
              </w:rPr>
              <w:t>SDG 4.4: Do 2030 značajno povećati broj mladih i odraslih koji imaju odgovarajuće vještine, uključujući tehničke i stručne vještine za zapošljenje, pristojne poslove i preduzetništvo</w:t>
            </w:r>
            <w:r w:rsidRPr="00B77B54">
              <w:rPr>
                <w:rFonts w:asciiTheme="majorHAnsi" w:hAnsiTheme="majorHAnsi"/>
                <w:i/>
                <w:sz w:val="16"/>
                <w:szCs w:val="16"/>
              </w:rPr>
              <w:t>Dodati nacionalnu disagregaciju po regionu, rodu, u odnosu na pripadnost ranjivim kategorijama</w:t>
            </w:r>
          </w:p>
        </w:tc>
      </w:tr>
    </w:tbl>
    <w:p w14:paraId="1340E36B" w14:textId="77777777" w:rsidR="00C57603" w:rsidRPr="00B77B54" w:rsidRDefault="00C57603" w:rsidP="00F218A8"/>
    <w:p w14:paraId="3B614315" w14:textId="77777777" w:rsidR="00E302B5" w:rsidRPr="00B77B54" w:rsidRDefault="00A16C6B" w:rsidP="005178CC">
      <w:pPr>
        <w:pStyle w:val="Heading1"/>
      </w:pPr>
      <w:r w:rsidRPr="00B77B54">
        <w:rPr>
          <w:rStyle w:val="None"/>
        </w:rPr>
        <w:t>Zaključak i p</w:t>
      </w:r>
      <w:r w:rsidR="00BD05FE" w:rsidRPr="00B77B54">
        <w:t>reporuke</w:t>
      </w:r>
    </w:p>
    <w:p w14:paraId="1D5753D9" w14:textId="639E6EB4" w:rsidR="002255F8" w:rsidRDefault="003A41AF" w:rsidP="003A41AF">
      <w:pPr>
        <w:jc w:val="both"/>
      </w:pPr>
      <w:r w:rsidRPr="00B77B54">
        <w:t xml:space="preserve">U tabeli </w:t>
      </w:r>
      <w:r w:rsidR="002255F8" w:rsidRPr="00B77B54">
        <w:t>ispod</w:t>
      </w:r>
      <w:r w:rsidRPr="00B77B54">
        <w:t xml:space="preserve"> dat je pregled indikatora u odnosu na ciljne ishode i aktuelni stepen njihove integracije u zvanični statistički sistem Crne Gore. </w:t>
      </w:r>
      <w:r w:rsidR="002255F8" w:rsidRPr="00B77B54">
        <w:t xml:space="preserve">Kao što vidimo, u ovoj fazi se predlaže uvođenje </w:t>
      </w:r>
      <w:r w:rsidR="002B4448">
        <w:t>52</w:t>
      </w:r>
      <w:r w:rsidR="002255F8" w:rsidRPr="00B77B54">
        <w:t xml:space="preserve"> indikatora za mjerenje šest ključnih ciljnih ishoda Strategije za mlade. </w:t>
      </w:r>
    </w:p>
    <w:tbl>
      <w:tblPr>
        <w:tblStyle w:val="TableGrid"/>
        <w:tblW w:w="5000" w:type="pct"/>
        <w:tblLook w:val="04A0" w:firstRow="1" w:lastRow="0" w:firstColumn="1" w:lastColumn="0" w:noHBand="0" w:noVBand="1"/>
      </w:tblPr>
      <w:tblGrid>
        <w:gridCol w:w="397"/>
        <w:gridCol w:w="5460"/>
        <w:gridCol w:w="439"/>
        <w:gridCol w:w="442"/>
        <w:gridCol w:w="506"/>
        <w:gridCol w:w="506"/>
        <w:gridCol w:w="442"/>
        <w:gridCol w:w="442"/>
        <w:gridCol w:w="942"/>
      </w:tblGrid>
      <w:tr w:rsidR="00770DF5" w:rsidRPr="00B77B54" w14:paraId="78591938" w14:textId="77777777" w:rsidTr="00770DF5">
        <w:tc>
          <w:tcPr>
            <w:tcW w:w="207" w:type="pct"/>
            <w:shd w:val="clear" w:color="auto" w:fill="D9D9D9" w:themeFill="background1" w:themeFillShade="D9"/>
          </w:tcPr>
          <w:p w14:paraId="74EC5B3C" w14:textId="77777777" w:rsidR="00770DF5" w:rsidRPr="00B77B54" w:rsidRDefault="00770DF5" w:rsidP="0013358F"/>
        </w:tc>
        <w:tc>
          <w:tcPr>
            <w:tcW w:w="2851" w:type="pct"/>
            <w:shd w:val="clear" w:color="auto" w:fill="D9D9D9" w:themeFill="background1" w:themeFillShade="D9"/>
          </w:tcPr>
          <w:p w14:paraId="2A750A74" w14:textId="77777777" w:rsidR="00770DF5" w:rsidRPr="00B77B54" w:rsidRDefault="00770DF5" w:rsidP="0013358F">
            <w:r w:rsidRPr="00B77B54">
              <w:t>Tip indikatora po ciljnim ishodima</w:t>
            </w:r>
          </w:p>
        </w:tc>
        <w:tc>
          <w:tcPr>
            <w:tcW w:w="229" w:type="pct"/>
            <w:shd w:val="clear" w:color="auto" w:fill="D9D9D9" w:themeFill="background1" w:themeFillShade="D9"/>
          </w:tcPr>
          <w:p w14:paraId="671ECF24" w14:textId="77777777" w:rsidR="00770DF5" w:rsidRPr="00B77B54" w:rsidRDefault="00770DF5" w:rsidP="0013358F">
            <w:r w:rsidRPr="00B77B54">
              <w:t>A</w:t>
            </w:r>
          </w:p>
        </w:tc>
        <w:tc>
          <w:tcPr>
            <w:tcW w:w="231" w:type="pct"/>
            <w:shd w:val="clear" w:color="auto" w:fill="D9D9D9" w:themeFill="background1" w:themeFillShade="D9"/>
          </w:tcPr>
          <w:p w14:paraId="23FD9177" w14:textId="77777777" w:rsidR="00770DF5" w:rsidRPr="00B77B54" w:rsidRDefault="00770DF5" w:rsidP="0013358F">
            <w:r w:rsidRPr="00B77B54">
              <w:t>B</w:t>
            </w:r>
          </w:p>
        </w:tc>
        <w:tc>
          <w:tcPr>
            <w:tcW w:w="264" w:type="pct"/>
            <w:shd w:val="clear" w:color="auto" w:fill="D9D9D9" w:themeFill="background1" w:themeFillShade="D9"/>
          </w:tcPr>
          <w:p w14:paraId="51C23F99" w14:textId="77777777" w:rsidR="00770DF5" w:rsidRPr="00B77B54" w:rsidRDefault="00770DF5" w:rsidP="0013358F">
            <w:r w:rsidRPr="00B77B54">
              <w:t>C</w:t>
            </w:r>
          </w:p>
        </w:tc>
        <w:tc>
          <w:tcPr>
            <w:tcW w:w="264" w:type="pct"/>
            <w:shd w:val="clear" w:color="auto" w:fill="D9D9D9" w:themeFill="background1" w:themeFillShade="D9"/>
          </w:tcPr>
          <w:p w14:paraId="240EA15B" w14:textId="77777777" w:rsidR="00770DF5" w:rsidRPr="00B77B54" w:rsidRDefault="00770DF5" w:rsidP="0013358F">
            <w:r w:rsidRPr="00B77B54">
              <w:t>D</w:t>
            </w:r>
          </w:p>
        </w:tc>
        <w:tc>
          <w:tcPr>
            <w:tcW w:w="231" w:type="pct"/>
            <w:shd w:val="clear" w:color="auto" w:fill="D9D9D9" w:themeFill="background1" w:themeFillShade="D9"/>
          </w:tcPr>
          <w:p w14:paraId="6050F28E" w14:textId="77777777" w:rsidR="00770DF5" w:rsidRPr="00B77B54" w:rsidRDefault="00770DF5" w:rsidP="0013358F">
            <w:r w:rsidRPr="00B77B54">
              <w:t>E</w:t>
            </w:r>
          </w:p>
        </w:tc>
        <w:tc>
          <w:tcPr>
            <w:tcW w:w="231" w:type="pct"/>
            <w:shd w:val="clear" w:color="auto" w:fill="D9D9D9" w:themeFill="background1" w:themeFillShade="D9"/>
          </w:tcPr>
          <w:p w14:paraId="1C760AE7" w14:textId="77777777" w:rsidR="00770DF5" w:rsidRPr="00B77B54" w:rsidRDefault="00770DF5" w:rsidP="0013358F">
            <w:r w:rsidRPr="00B77B54">
              <w:t>F</w:t>
            </w:r>
          </w:p>
        </w:tc>
        <w:tc>
          <w:tcPr>
            <w:tcW w:w="492" w:type="pct"/>
            <w:shd w:val="clear" w:color="auto" w:fill="D9D9D9" w:themeFill="background1" w:themeFillShade="D9"/>
          </w:tcPr>
          <w:p w14:paraId="778D072C" w14:textId="77777777" w:rsidR="00770DF5" w:rsidRPr="00B77B54" w:rsidRDefault="00770DF5" w:rsidP="0013358F">
            <w:r w:rsidRPr="00B77B54">
              <w:t>Ukupno</w:t>
            </w:r>
          </w:p>
        </w:tc>
      </w:tr>
      <w:tr w:rsidR="00770DF5" w:rsidRPr="00B77B54" w14:paraId="0C808A76" w14:textId="77777777" w:rsidTr="00770DF5">
        <w:tc>
          <w:tcPr>
            <w:tcW w:w="207" w:type="pct"/>
            <w:shd w:val="clear" w:color="auto" w:fill="D9D9D9" w:themeFill="background1" w:themeFillShade="D9"/>
          </w:tcPr>
          <w:p w14:paraId="0D296B77" w14:textId="77777777" w:rsidR="00770DF5" w:rsidRPr="00B77B54" w:rsidRDefault="00770DF5" w:rsidP="0013358F">
            <w:r w:rsidRPr="00B77B54">
              <w:t>1</w:t>
            </w:r>
          </w:p>
        </w:tc>
        <w:tc>
          <w:tcPr>
            <w:tcW w:w="2851" w:type="pct"/>
          </w:tcPr>
          <w:p w14:paraId="090C59EC" w14:textId="77777777" w:rsidR="00770DF5" w:rsidRPr="00B77B54" w:rsidRDefault="00770DF5" w:rsidP="0013358F">
            <w:r w:rsidRPr="00B77B54">
              <w:t xml:space="preserve">Broj indikatora koji se već nalazi u statističkom sistemu Crne Gore ili u EUROSTAT </w:t>
            </w:r>
          </w:p>
        </w:tc>
        <w:tc>
          <w:tcPr>
            <w:tcW w:w="229" w:type="pct"/>
          </w:tcPr>
          <w:p w14:paraId="39E27439" w14:textId="77777777" w:rsidR="00770DF5" w:rsidRPr="00B77B54" w:rsidRDefault="00770DF5" w:rsidP="0013358F">
            <w:r>
              <w:t>6</w:t>
            </w:r>
          </w:p>
        </w:tc>
        <w:tc>
          <w:tcPr>
            <w:tcW w:w="231" w:type="pct"/>
          </w:tcPr>
          <w:p w14:paraId="3F917F1B" w14:textId="77777777" w:rsidR="00770DF5" w:rsidRPr="00B77B54" w:rsidRDefault="00770DF5" w:rsidP="0013358F">
            <w:r>
              <w:t>4</w:t>
            </w:r>
          </w:p>
        </w:tc>
        <w:tc>
          <w:tcPr>
            <w:tcW w:w="264" w:type="pct"/>
          </w:tcPr>
          <w:p w14:paraId="4BC604D3" w14:textId="77777777" w:rsidR="00770DF5" w:rsidRPr="00B77B54" w:rsidRDefault="00770DF5" w:rsidP="0013358F"/>
        </w:tc>
        <w:tc>
          <w:tcPr>
            <w:tcW w:w="264" w:type="pct"/>
          </w:tcPr>
          <w:p w14:paraId="06B40093" w14:textId="77777777" w:rsidR="00770DF5" w:rsidRPr="00B77B54" w:rsidRDefault="00770DF5" w:rsidP="0013358F">
            <w:r>
              <w:t>4</w:t>
            </w:r>
          </w:p>
        </w:tc>
        <w:tc>
          <w:tcPr>
            <w:tcW w:w="231" w:type="pct"/>
          </w:tcPr>
          <w:p w14:paraId="4286CCC9" w14:textId="77777777" w:rsidR="00770DF5" w:rsidRPr="00B77B54" w:rsidRDefault="00770DF5" w:rsidP="0013358F"/>
        </w:tc>
        <w:tc>
          <w:tcPr>
            <w:tcW w:w="231" w:type="pct"/>
          </w:tcPr>
          <w:p w14:paraId="486B1C80" w14:textId="77777777" w:rsidR="00770DF5" w:rsidRPr="00B77B54" w:rsidRDefault="00770DF5" w:rsidP="0013358F">
            <w:r>
              <w:t>1</w:t>
            </w:r>
          </w:p>
        </w:tc>
        <w:tc>
          <w:tcPr>
            <w:tcW w:w="492" w:type="pct"/>
            <w:shd w:val="clear" w:color="auto" w:fill="D9D9D9" w:themeFill="background1" w:themeFillShade="D9"/>
          </w:tcPr>
          <w:p w14:paraId="50314067" w14:textId="3D16CFE3" w:rsidR="00770DF5" w:rsidRPr="00B77B54" w:rsidRDefault="00770DF5" w:rsidP="0013358F">
            <w:r>
              <w:t>15</w:t>
            </w:r>
          </w:p>
        </w:tc>
      </w:tr>
      <w:tr w:rsidR="00770DF5" w:rsidRPr="00B77B54" w14:paraId="4B9EBB36" w14:textId="77777777" w:rsidTr="00770DF5">
        <w:tc>
          <w:tcPr>
            <w:tcW w:w="207" w:type="pct"/>
            <w:shd w:val="clear" w:color="auto" w:fill="D9D9D9" w:themeFill="background1" w:themeFillShade="D9"/>
          </w:tcPr>
          <w:p w14:paraId="3A4C7894" w14:textId="77777777" w:rsidR="00770DF5" w:rsidRPr="00B77B54" w:rsidRDefault="00770DF5" w:rsidP="0013358F">
            <w:r w:rsidRPr="00B77B54">
              <w:t>2</w:t>
            </w:r>
          </w:p>
        </w:tc>
        <w:tc>
          <w:tcPr>
            <w:tcW w:w="2851" w:type="pct"/>
          </w:tcPr>
          <w:p w14:paraId="22BAA9F2" w14:textId="77777777" w:rsidR="00770DF5" w:rsidRPr="00B77B54" w:rsidRDefault="00770DF5" w:rsidP="0013358F">
            <w:r w:rsidRPr="00B77B54">
              <w:t>Broj indikatora koji se ne nalazi u statističkom sistemu, ali je istraživanje već sprovedeno i definisana je metodologija</w:t>
            </w:r>
          </w:p>
        </w:tc>
        <w:tc>
          <w:tcPr>
            <w:tcW w:w="229" w:type="pct"/>
          </w:tcPr>
          <w:p w14:paraId="6E167D22" w14:textId="77777777" w:rsidR="00770DF5" w:rsidRPr="00B77B54" w:rsidRDefault="00770DF5" w:rsidP="0013358F">
            <w:r>
              <w:t>1</w:t>
            </w:r>
          </w:p>
        </w:tc>
        <w:tc>
          <w:tcPr>
            <w:tcW w:w="231" w:type="pct"/>
          </w:tcPr>
          <w:p w14:paraId="6FCB617B" w14:textId="77777777" w:rsidR="00770DF5" w:rsidRPr="00B77B54" w:rsidRDefault="00770DF5" w:rsidP="0013358F"/>
        </w:tc>
        <w:tc>
          <w:tcPr>
            <w:tcW w:w="264" w:type="pct"/>
          </w:tcPr>
          <w:p w14:paraId="6867ADAF" w14:textId="77777777" w:rsidR="00770DF5" w:rsidRPr="00B77B54" w:rsidRDefault="00770DF5" w:rsidP="0013358F"/>
        </w:tc>
        <w:tc>
          <w:tcPr>
            <w:tcW w:w="264" w:type="pct"/>
          </w:tcPr>
          <w:p w14:paraId="6C7EF21B" w14:textId="77777777" w:rsidR="00770DF5" w:rsidRPr="00B77B54" w:rsidRDefault="00770DF5" w:rsidP="0013358F">
            <w:r>
              <w:t>1</w:t>
            </w:r>
          </w:p>
        </w:tc>
        <w:tc>
          <w:tcPr>
            <w:tcW w:w="231" w:type="pct"/>
          </w:tcPr>
          <w:p w14:paraId="5D1AE659" w14:textId="77777777" w:rsidR="00770DF5" w:rsidRPr="00B77B54" w:rsidRDefault="00770DF5" w:rsidP="0013358F"/>
        </w:tc>
        <w:tc>
          <w:tcPr>
            <w:tcW w:w="231" w:type="pct"/>
          </w:tcPr>
          <w:p w14:paraId="6C03DDF0" w14:textId="77777777" w:rsidR="00770DF5" w:rsidRPr="00B77B54" w:rsidRDefault="00770DF5" w:rsidP="0013358F"/>
        </w:tc>
        <w:tc>
          <w:tcPr>
            <w:tcW w:w="492" w:type="pct"/>
            <w:shd w:val="clear" w:color="auto" w:fill="D9D9D9" w:themeFill="background1" w:themeFillShade="D9"/>
          </w:tcPr>
          <w:p w14:paraId="6B6638D2" w14:textId="2F320431" w:rsidR="00770DF5" w:rsidRPr="00B77B54" w:rsidRDefault="00770DF5" w:rsidP="0013358F">
            <w:r>
              <w:t>2</w:t>
            </w:r>
          </w:p>
        </w:tc>
      </w:tr>
      <w:tr w:rsidR="00770DF5" w:rsidRPr="00B77B54" w14:paraId="24637753" w14:textId="77777777" w:rsidTr="00770DF5">
        <w:tc>
          <w:tcPr>
            <w:tcW w:w="207" w:type="pct"/>
            <w:shd w:val="clear" w:color="auto" w:fill="D9D9D9" w:themeFill="background1" w:themeFillShade="D9"/>
          </w:tcPr>
          <w:p w14:paraId="2380E840" w14:textId="77777777" w:rsidR="00770DF5" w:rsidRPr="00B77B54" w:rsidRDefault="00770DF5" w:rsidP="0013358F">
            <w:r w:rsidRPr="00B77B54">
              <w:t>3</w:t>
            </w:r>
          </w:p>
        </w:tc>
        <w:tc>
          <w:tcPr>
            <w:tcW w:w="2851" w:type="pct"/>
          </w:tcPr>
          <w:p w14:paraId="235AACBA" w14:textId="77777777" w:rsidR="00770DF5" w:rsidRPr="00B77B54" w:rsidRDefault="00770DF5" w:rsidP="0013358F">
            <w:r w:rsidRPr="00B77B54">
              <w:t>Broj indikatora za koje postoji metodologija, ali bi trebalo sprovesti nacionalno istraživanje</w:t>
            </w:r>
          </w:p>
        </w:tc>
        <w:tc>
          <w:tcPr>
            <w:tcW w:w="229" w:type="pct"/>
          </w:tcPr>
          <w:p w14:paraId="68A12E5D" w14:textId="77777777" w:rsidR="00770DF5" w:rsidRPr="00B77B54" w:rsidRDefault="00770DF5" w:rsidP="0013358F">
            <w:r>
              <w:t>1</w:t>
            </w:r>
          </w:p>
        </w:tc>
        <w:tc>
          <w:tcPr>
            <w:tcW w:w="231" w:type="pct"/>
          </w:tcPr>
          <w:p w14:paraId="0A7C9AFA" w14:textId="77777777" w:rsidR="00770DF5" w:rsidRPr="00B77B54" w:rsidRDefault="00770DF5" w:rsidP="0013358F">
            <w:r>
              <w:t>1</w:t>
            </w:r>
          </w:p>
        </w:tc>
        <w:tc>
          <w:tcPr>
            <w:tcW w:w="264" w:type="pct"/>
          </w:tcPr>
          <w:p w14:paraId="69521F97" w14:textId="77777777" w:rsidR="00770DF5" w:rsidRPr="00B77B54" w:rsidRDefault="00770DF5" w:rsidP="0013358F">
            <w:r>
              <w:t>9</w:t>
            </w:r>
          </w:p>
        </w:tc>
        <w:tc>
          <w:tcPr>
            <w:tcW w:w="264" w:type="pct"/>
          </w:tcPr>
          <w:p w14:paraId="0E92DB98" w14:textId="77777777" w:rsidR="00770DF5" w:rsidRPr="00B77B54" w:rsidRDefault="00770DF5" w:rsidP="0013358F">
            <w:r>
              <w:t>4</w:t>
            </w:r>
          </w:p>
        </w:tc>
        <w:tc>
          <w:tcPr>
            <w:tcW w:w="231" w:type="pct"/>
          </w:tcPr>
          <w:p w14:paraId="32FF13BC" w14:textId="77777777" w:rsidR="00770DF5" w:rsidRPr="00B77B54" w:rsidRDefault="00770DF5" w:rsidP="0013358F">
            <w:r>
              <w:t>4</w:t>
            </w:r>
          </w:p>
        </w:tc>
        <w:tc>
          <w:tcPr>
            <w:tcW w:w="231" w:type="pct"/>
          </w:tcPr>
          <w:p w14:paraId="7EA4F201" w14:textId="77777777" w:rsidR="00770DF5" w:rsidRPr="00B77B54" w:rsidRDefault="00770DF5" w:rsidP="0013358F"/>
        </w:tc>
        <w:tc>
          <w:tcPr>
            <w:tcW w:w="492" w:type="pct"/>
            <w:shd w:val="clear" w:color="auto" w:fill="D9D9D9" w:themeFill="background1" w:themeFillShade="D9"/>
          </w:tcPr>
          <w:p w14:paraId="18E500FC" w14:textId="2CD7A5A4" w:rsidR="00770DF5" w:rsidRPr="00B77B54" w:rsidRDefault="00770DF5" w:rsidP="0013358F">
            <w:r>
              <w:t>19</w:t>
            </w:r>
          </w:p>
        </w:tc>
      </w:tr>
      <w:tr w:rsidR="00770DF5" w:rsidRPr="00B77B54" w14:paraId="45C73252" w14:textId="77777777" w:rsidTr="00770DF5">
        <w:tc>
          <w:tcPr>
            <w:tcW w:w="207" w:type="pct"/>
            <w:shd w:val="clear" w:color="auto" w:fill="D9D9D9" w:themeFill="background1" w:themeFillShade="D9"/>
          </w:tcPr>
          <w:p w14:paraId="16E57256" w14:textId="77777777" w:rsidR="00770DF5" w:rsidRPr="00B77B54" w:rsidRDefault="00770DF5" w:rsidP="0013358F">
            <w:r w:rsidRPr="00B77B54">
              <w:t>4</w:t>
            </w:r>
          </w:p>
        </w:tc>
        <w:tc>
          <w:tcPr>
            <w:tcW w:w="2851" w:type="pct"/>
          </w:tcPr>
          <w:p w14:paraId="7B601625" w14:textId="77777777" w:rsidR="00770DF5" w:rsidRPr="00B77B54" w:rsidRDefault="00770DF5" w:rsidP="0013358F">
            <w:r w:rsidRPr="00B77B54">
              <w:t>Broj indikatora za koji treba definisati metodologiju</w:t>
            </w:r>
          </w:p>
        </w:tc>
        <w:tc>
          <w:tcPr>
            <w:tcW w:w="229" w:type="pct"/>
          </w:tcPr>
          <w:p w14:paraId="303E7F88" w14:textId="77777777" w:rsidR="00770DF5" w:rsidRPr="00B77B54" w:rsidRDefault="00770DF5" w:rsidP="0013358F"/>
        </w:tc>
        <w:tc>
          <w:tcPr>
            <w:tcW w:w="231" w:type="pct"/>
          </w:tcPr>
          <w:p w14:paraId="68AF4212" w14:textId="77777777" w:rsidR="00770DF5" w:rsidRPr="00B77B54" w:rsidRDefault="00770DF5" w:rsidP="0013358F">
            <w:r>
              <w:t>4</w:t>
            </w:r>
          </w:p>
        </w:tc>
        <w:tc>
          <w:tcPr>
            <w:tcW w:w="264" w:type="pct"/>
          </w:tcPr>
          <w:p w14:paraId="26869930" w14:textId="77777777" w:rsidR="00770DF5" w:rsidRPr="00B77B54" w:rsidRDefault="00770DF5" w:rsidP="0013358F">
            <w:r>
              <w:t>1</w:t>
            </w:r>
          </w:p>
        </w:tc>
        <w:tc>
          <w:tcPr>
            <w:tcW w:w="264" w:type="pct"/>
          </w:tcPr>
          <w:p w14:paraId="14AF8874" w14:textId="77777777" w:rsidR="00770DF5" w:rsidRPr="00B77B54" w:rsidRDefault="00770DF5" w:rsidP="0013358F">
            <w:r>
              <w:t>3</w:t>
            </w:r>
          </w:p>
        </w:tc>
        <w:tc>
          <w:tcPr>
            <w:tcW w:w="231" w:type="pct"/>
          </w:tcPr>
          <w:p w14:paraId="2D127E98" w14:textId="77777777" w:rsidR="00770DF5" w:rsidRPr="00B77B54" w:rsidRDefault="00770DF5" w:rsidP="0013358F"/>
        </w:tc>
        <w:tc>
          <w:tcPr>
            <w:tcW w:w="231" w:type="pct"/>
          </w:tcPr>
          <w:p w14:paraId="398F4664" w14:textId="77777777" w:rsidR="00770DF5" w:rsidRPr="00B77B54" w:rsidRDefault="00770DF5" w:rsidP="0013358F">
            <w:r>
              <w:t>8</w:t>
            </w:r>
          </w:p>
        </w:tc>
        <w:tc>
          <w:tcPr>
            <w:tcW w:w="492" w:type="pct"/>
            <w:shd w:val="clear" w:color="auto" w:fill="D9D9D9" w:themeFill="background1" w:themeFillShade="D9"/>
          </w:tcPr>
          <w:p w14:paraId="488C3482" w14:textId="67FA563F" w:rsidR="00770DF5" w:rsidRPr="00B77B54" w:rsidRDefault="00770DF5" w:rsidP="0013358F">
            <w:r>
              <w:t>16</w:t>
            </w:r>
          </w:p>
        </w:tc>
      </w:tr>
      <w:tr w:rsidR="00770DF5" w:rsidRPr="00B77B54" w14:paraId="5AE19B33" w14:textId="77777777" w:rsidTr="00770DF5">
        <w:tc>
          <w:tcPr>
            <w:tcW w:w="207" w:type="pct"/>
            <w:shd w:val="clear" w:color="auto" w:fill="D9D9D9" w:themeFill="background1" w:themeFillShade="D9"/>
          </w:tcPr>
          <w:p w14:paraId="05E25E7E" w14:textId="77777777" w:rsidR="00770DF5" w:rsidRPr="00B77B54" w:rsidRDefault="00770DF5" w:rsidP="0013358F"/>
        </w:tc>
        <w:tc>
          <w:tcPr>
            <w:tcW w:w="2851" w:type="pct"/>
            <w:shd w:val="clear" w:color="auto" w:fill="D9D9D9" w:themeFill="background1" w:themeFillShade="D9"/>
          </w:tcPr>
          <w:p w14:paraId="584FAE10" w14:textId="77777777" w:rsidR="00770DF5" w:rsidRPr="00B77B54" w:rsidRDefault="00770DF5" w:rsidP="0013358F">
            <w:r w:rsidRPr="00B77B54">
              <w:t>Ukupno</w:t>
            </w:r>
          </w:p>
        </w:tc>
        <w:tc>
          <w:tcPr>
            <w:tcW w:w="229" w:type="pct"/>
            <w:shd w:val="clear" w:color="auto" w:fill="D9D9D9" w:themeFill="background1" w:themeFillShade="D9"/>
          </w:tcPr>
          <w:p w14:paraId="03D56EB0" w14:textId="65F797CD" w:rsidR="00770DF5" w:rsidRPr="00B77B54" w:rsidRDefault="00770DF5" w:rsidP="0013358F">
            <w:r>
              <w:t>8</w:t>
            </w:r>
          </w:p>
        </w:tc>
        <w:tc>
          <w:tcPr>
            <w:tcW w:w="231" w:type="pct"/>
            <w:shd w:val="clear" w:color="auto" w:fill="D9D9D9" w:themeFill="background1" w:themeFillShade="D9"/>
          </w:tcPr>
          <w:p w14:paraId="2E04055E" w14:textId="77777777" w:rsidR="00770DF5" w:rsidRPr="00B77B54" w:rsidRDefault="00770DF5" w:rsidP="0013358F">
            <w:r>
              <w:t>9</w:t>
            </w:r>
          </w:p>
        </w:tc>
        <w:tc>
          <w:tcPr>
            <w:tcW w:w="264" w:type="pct"/>
            <w:shd w:val="clear" w:color="auto" w:fill="D9D9D9" w:themeFill="background1" w:themeFillShade="D9"/>
          </w:tcPr>
          <w:p w14:paraId="6B4EC029" w14:textId="77777777" w:rsidR="00770DF5" w:rsidRPr="00B77B54" w:rsidRDefault="00770DF5" w:rsidP="0013358F">
            <w:r>
              <w:t>10</w:t>
            </w:r>
          </w:p>
        </w:tc>
        <w:tc>
          <w:tcPr>
            <w:tcW w:w="264" w:type="pct"/>
            <w:shd w:val="clear" w:color="auto" w:fill="D9D9D9" w:themeFill="background1" w:themeFillShade="D9"/>
          </w:tcPr>
          <w:p w14:paraId="472EDD01" w14:textId="77777777" w:rsidR="00770DF5" w:rsidRPr="00B77B54" w:rsidRDefault="00770DF5" w:rsidP="0013358F">
            <w:r>
              <w:t>12</w:t>
            </w:r>
          </w:p>
        </w:tc>
        <w:tc>
          <w:tcPr>
            <w:tcW w:w="231" w:type="pct"/>
            <w:shd w:val="clear" w:color="auto" w:fill="D9D9D9" w:themeFill="background1" w:themeFillShade="D9"/>
          </w:tcPr>
          <w:p w14:paraId="6BE14FCB" w14:textId="77777777" w:rsidR="00770DF5" w:rsidRPr="00B77B54" w:rsidRDefault="00770DF5" w:rsidP="0013358F">
            <w:r>
              <w:t>4</w:t>
            </w:r>
          </w:p>
        </w:tc>
        <w:tc>
          <w:tcPr>
            <w:tcW w:w="231" w:type="pct"/>
            <w:shd w:val="clear" w:color="auto" w:fill="D9D9D9" w:themeFill="background1" w:themeFillShade="D9"/>
          </w:tcPr>
          <w:p w14:paraId="3DBF162F" w14:textId="77777777" w:rsidR="00770DF5" w:rsidRPr="00B77B54" w:rsidRDefault="00770DF5" w:rsidP="0013358F">
            <w:r>
              <w:t>9</w:t>
            </w:r>
          </w:p>
        </w:tc>
        <w:tc>
          <w:tcPr>
            <w:tcW w:w="492" w:type="pct"/>
            <w:shd w:val="clear" w:color="auto" w:fill="D9D9D9" w:themeFill="background1" w:themeFillShade="D9"/>
          </w:tcPr>
          <w:p w14:paraId="66C2D13A" w14:textId="66878596" w:rsidR="00770DF5" w:rsidRPr="00B77B54" w:rsidRDefault="00770DF5" w:rsidP="0013358F">
            <w:pPr>
              <w:rPr>
                <w:b/>
              </w:rPr>
            </w:pPr>
            <w:r>
              <w:rPr>
                <w:b/>
              </w:rPr>
              <w:t>52</w:t>
            </w:r>
          </w:p>
        </w:tc>
      </w:tr>
    </w:tbl>
    <w:p w14:paraId="1C53AE76" w14:textId="77777777" w:rsidR="003A41AF" w:rsidRPr="00B77B54" w:rsidRDefault="003A41AF" w:rsidP="008F25FE"/>
    <w:p w14:paraId="515896D8" w14:textId="77777777" w:rsidR="002255F8" w:rsidRPr="00B77B54" w:rsidRDefault="002255F8" w:rsidP="00C17E8D">
      <w:pPr>
        <w:jc w:val="both"/>
      </w:pPr>
      <w:r w:rsidRPr="00B77B54">
        <w:t xml:space="preserve">U vezi sa ovim indikatorima, neophodno je sprovesti niz aktivnosti kako bi prikupljanje podataka počelo u najskorijem roku od usvajanja Strategije. </w:t>
      </w:r>
    </w:p>
    <w:p w14:paraId="4E9FBC3A" w14:textId="76005E49" w:rsidR="0045455F" w:rsidRPr="00B77B54" w:rsidRDefault="002255F8" w:rsidP="002255F8">
      <w:pPr>
        <w:jc w:val="both"/>
      </w:pPr>
      <w:r w:rsidRPr="00B77B54">
        <w:t>Za 1</w:t>
      </w:r>
      <w:r w:rsidR="00582AF9">
        <w:t>5</w:t>
      </w:r>
      <w:r w:rsidRPr="00B77B54">
        <w:t xml:space="preserve"> indikatora koji se već nalaze u statističkom sistemu Crne Gore ili su definisani od strane EUROSTAT-a u konsultaciji sa Zavodom za statistik</w:t>
      </w:r>
      <w:r w:rsidR="00FD429D" w:rsidRPr="00B77B54">
        <w:t>u</w:t>
      </w:r>
      <w:r w:rsidRPr="00B77B54">
        <w:t xml:space="preserve"> uspostaviti sistem i dinamiku procedure izvještavanja. Ukoliko se konkretan indikator već ne nalazi u sistemu praćanja, a predstavlja obavezu u odnosu na EUROSTAT definisati početak praćenja kroz Program zvanične statistike od 2018. godine.</w:t>
      </w:r>
      <w:r w:rsidR="0045455F" w:rsidRPr="00B77B54">
        <w:t xml:space="preserve"> </w:t>
      </w:r>
    </w:p>
    <w:p w14:paraId="6104DC27" w14:textId="0B7AA443" w:rsidR="0045455F" w:rsidRPr="00B77B54" w:rsidRDefault="00253B31" w:rsidP="002255F8">
      <w:pPr>
        <w:jc w:val="both"/>
      </w:pPr>
      <w:r w:rsidRPr="00B77B54">
        <w:t xml:space="preserve">Dva </w:t>
      </w:r>
      <w:r w:rsidR="0045455F" w:rsidRPr="00B77B54">
        <w:t>indikator</w:t>
      </w:r>
      <w:r w:rsidRPr="00B77B54">
        <w:t>a</w:t>
      </w:r>
      <w:r w:rsidR="0045455F" w:rsidRPr="00B77B54">
        <w:t xml:space="preserve"> za koji je definisana metodologija i već je sprovedeno istraživanje, kao i za </w:t>
      </w:r>
      <w:r w:rsidR="00582AF9">
        <w:t>19</w:t>
      </w:r>
      <w:r w:rsidR="0045455F" w:rsidRPr="00B77B54">
        <w:t xml:space="preserve"> za koji postoji metodologija, ali prethodno nije sprovedeno istraživanje i ne nalaze se u sistemu zvanične statistike predložiti uvođenje u Program zvanične statistike od 2018. godine.</w:t>
      </w:r>
    </w:p>
    <w:p w14:paraId="127EB144" w14:textId="3B5A61EE" w:rsidR="0045455F" w:rsidRPr="00B77B54" w:rsidRDefault="0045455F" w:rsidP="0045455F">
      <w:pPr>
        <w:jc w:val="both"/>
      </w:pPr>
      <w:r w:rsidRPr="00B77B54">
        <w:t>Za 1</w:t>
      </w:r>
      <w:r w:rsidR="00582AF9">
        <w:t>6</w:t>
      </w:r>
      <w:r w:rsidRPr="00B77B54">
        <w:t xml:space="preserve"> nacionalnih indikatora za koje ne postoji metodologija, u najkraćem roku je definisati, uspostaviti sistem i procedure izvještavanja, odgovornu instituciju, metodologiju, dinamiku izvještavanja i obrađivača podataka, re razmotriti mogućnost uvođenja u Program zvanične statistike od 2018. godine.</w:t>
      </w:r>
    </w:p>
    <w:p w14:paraId="2163432A" w14:textId="77777777" w:rsidR="0045455F" w:rsidRPr="00B77B54" w:rsidRDefault="0045455F" w:rsidP="0045455F">
      <w:pPr>
        <w:jc w:val="both"/>
      </w:pPr>
      <w:r w:rsidRPr="00B77B54">
        <w:t>Za sve indikatore treba definisati bazne vrijednosti. To može biti problem u situacijama gdje metodologija ne postoji ili istraživanje nije sprovedeno u Crnoj Gori (kategorije 2 i 3), ali u tom slučaju podatke prikupiti ad hoc ili definisati da se bazna vrijednost ustanovi nakon prvog zvaničnog prikupljanja podataka.</w:t>
      </w:r>
    </w:p>
    <w:p w14:paraId="78146457" w14:textId="77777777" w:rsidR="00AD688C" w:rsidRPr="00B77B54" w:rsidRDefault="0045455F" w:rsidP="0045455F">
      <w:pPr>
        <w:jc w:val="both"/>
      </w:pPr>
      <w:r w:rsidRPr="00B77B54">
        <w:lastRenderedPageBreak/>
        <w:t>Za sve indikatore, bez obzira na to da da li se nalaze u sistemu zvanične statistike ili ne treba uspostaviti jasne procedure izvještavanja i odrediti</w:t>
      </w:r>
      <w:r w:rsidR="00487714" w:rsidRPr="00B77B54">
        <w:t xml:space="preserve"> odgovorn</w:t>
      </w:r>
      <w:r w:rsidRPr="00B77B54">
        <w:t>u</w:t>
      </w:r>
      <w:r w:rsidR="00487714" w:rsidRPr="00B77B54">
        <w:t xml:space="preserve"> institucij</w:t>
      </w:r>
      <w:r w:rsidRPr="00B77B54">
        <w:t>u.</w:t>
      </w:r>
    </w:p>
    <w:p w14:paraId="415A65C0" w14:textId="77777777" w:rsidR="0045455F" w:rsidRPr="00B77B54" w:rsidRDefault="008F2918" w:rsidP="0045455F">
      <w:pPr>
        <w:jc w:val="both"/>
      </w:pPr>
      <w:r w:rsidRPr="00B77B54">
        <w:t xml:space="preserve">Razmotriti mogućnost kreiranja informacionog sistema (ili korištenja postojećeg) kako bi se organizovalo prikupljanje podataka i njihova dostupnost svim relevantnim institucijama. </w:t>
      </w:r>
    </w:p>
    <w:p w14:paraId="43FE523D" w14:textId="10592E74" w:rsidR="00900693" w:rsidRDefault="003A10F9" w:rsidP="003A10F9">
      <w:pPr>
        <w:jc w:val="both"/>
      </w:pPr>
      <w:r w:rsidRPr="00B77B54">
        <w:t>Pored 46 indikatora čije se uvođenje predlaže Strategijom, treba k</w:t>
      </w:r>
      <w:r w:rsidR="00276654" w:rsidRPr="00B77B54">
        <w:t>reirati metodologiju za sveobuhvatno nacionalno istraživanje o položaju mladih u Crnoj Gori</w:t>
      </w:r>
      <w:r w:rsidRPr="00B77B54">
        <w:t xml:space="preserve"> koje će uključiti sve relevantne međunarodne i nacionalne indikatore koji se trenutno ne prate. Nakon toga, treba obezbijediti finansiranje za ad hoc sprovođenje ovakvog istraživanja u svrhu uspostavljanja baznih vrijednosti i napraviti realan vremenski plan za integrisanje ovog nacionalnog istraživanja u zvaničnu statistiku. </w:t>
      </w:r>
    </w:p>
    <w:p w14:paraId="4857CDCA" w14:textId="1B435533" w:rsidR="00D72538" w:rsidRDefault="00D72538" w:rsidP="003A10F9">
      <w:pPr>
        <w:jc w:val="both"/>
      </w:pPr>
    </w:p>
    <w:tbl>
      <w:tblPr>
        <w:tblStyle w:val="TableGrid"/>
        <w:tblW w:w="0" w:type="auto"/>
        <w:tblLook w:val="04A0" w:firstRow="1" w:lastRow="0" w:firstColumn="1" w:lastColumn="0" w:noHBand="0" w:noVBand="1"/>
      </w:tblPr>
      <w:tblGrid>
        <w:gridCol w:w="1684"/>
        <w:gridCol w:w="2792"/>
        <w:gridCol w:w="1628"/>
        <w:gridCol w:w="1132"/>
        <w:gridCol w:w="1559"/>
        <w:gridCol w:w="781"/>
      </w:tblGrid>
      <w:tr w:rsidR="00D72538" w14:paraId="4B17E3A0" w14:textId="77777777" w:rsidTr="00D72538">
        <w:tc>
          <w:tcPr>
            <w:tcW w:w="14313" w:type="dxa"/>
            <w:gridSpan w:val="6"/>
            <w:tcBorders>
              <w:top w:val="single" w:sz="4" w:space="0" w:color="auto"/>
              <w:left w:val="single" w:sz="4" w:space="0" w:color="auto"/>
              <w:bottom w:val="single" w:sz="4" w:space="0" w:color="auto"/>
              <w:right w:val="single" w:sz="4" w:space="0" w:color="auto"/>
            </w:tcBorders>
            <w:shd w:val="clear" w:color="auto" w:fill="FF0000"/>
            <w:hideMark/>
          </w:tcPr>
          <w:p w14:paraId="2637F0A6" w14:textId="77777777" w:rsidR="00D72538" w:rsidRDefault="00D72538">
            <w:pPr>
              <w:jc w:val="both"/>
              <w:rPr>
                <w:color w:val="FFFFFF" w:themeColor="background1"/>
              </w:rPr>
            </w:pPr>
            <w:r>
              <w:rPr>
                <w:b/>
                <w:color w:val="FFFFFF" w:themeColor="background1"/>
                <w:sz w:val="28"/>
                <w:szCs w:val="28"/>
              </w:rPr>
              <w:t>Plan aktivnosti za operacionalizaciju i upotrebu Okvira za monitoring i evaluaciju Strategije</w:t>
            </w:r>
          </w:p>
        </w:tc>
      </w:tr>
      <w:tr w:rsidR="00D72538" w14:paraId="6E95B7DE" w14:textId="77777777" w:rsidTr="00D72538">
        <w:tc>
          <w:tcPr>
            <w:tcW w:w="2166" w:type="dxa"/>
            <w:tcBorders>
              <w:top w:val="single" w:sz="4" w:space="0" w:color="auto"/>
              <w:left w:val="single" w:sz="4" w:space="0" w:color="auto"/>
              <w:bottom w:val="single" w:sz="4" w:space="0" w:color="auto"/>
              <w:right w:val="single" w:sz="4" w:space="0" w:color="auto"/>
            </w:tcBorders>
            <w:shd w:val="clear" w:color="auto" w:fill="FF0000"/>
            <w:hideMark/>
          </w:tcPr>
          <w:p w14:paraId="6E844A5D" w14:textId="77777777" w:rsidR="00D72538" w:rsidRDefault="00D72538">
            <w:pPr>
              <w:jc w:val="both"/>
              <w:rPr>
                <w:color w:val="FFFFFF" w:themeColor="background1"/>
              </w:rPr>
            </w:pPr>
            <w:r>
              <w:rPr>
                <w:color w:val="FFFFFF" w:themeColor="background1"/>
              </w:rPr>
              <w:t>Mjera iz Strategije na koju se plan odnosi</w:t>
            </w:r>
          </w:p>
        </w:tc>
        <w:tc>
          <w:tcPr>
            <w:tcW w:w="5563" w:type="dxa"/>
            <w:tcBorders>
              <w:top w:val="single" w:sz="4" w:space="0" w:color="auto"/>
              <w:left w:val="single" w:sz="4" w:space="0" w:color="auto"/>
              <w:bottom w:val="single" w:sz="4" w:space="0" w:color="auto"/>
              <w:right w:val="single" w:sz="4" w:space="0" w:color="auto"/>
            </w:tcBorders>
            <w:shd w:val="clear" w:color="auto" w:fill="FF0000"/>
            <w:hideMark/>
          </w:tcPr>
          <w:p w14:paraId="6425B86F" w14:textId="77777777" w:rsidR="00D72538" w:rsidRDefault="00D72538">
            <w:pPr>
              <w:jc w:val="both"/>
              <w:rPr>
                <w:color w:val="FFFFFF" w:themeColor="background1"/>
                <w:sz w:val="20"/>
                <w:szCs w:val="20"/>
              </w:rPr>
            </w:pPr>
            <w:r>
              <w:rPr>
                <w:color w:val="FFFFFF" w:themeColor="background1"/>
                <w:sz w:val="20"/>
                <w:szCs w:val="20"/>
              </w:rPr>
              <w:t>Aktivnosti</w:t>
            </w:r>
          </w:p>
        </w:tc>
        <w:tc>
          <w:tcPr>
            <w:tcW w:w="2323" w:type="dxa"/>
            <w:tcBorders>
              <w:top w:val="single" w:sz="4" w:space="0" w:color="auto"/>
              <w:left w:val="single" w:sz="4" w:space="0" w:color="auto"/>
              <w:bottom w:val="single" w:sz="4" w:space="0" w:color="auto"/>
              <w:right w:val="single" w:sz="4" w:space="0" w:color="auto"/>
            </w:tcBorders>
            <w:shd w:val="clear" w:color="auto" w:fill="FF0000"/>
            <w:hideMark/>
          </w:tcPr>
          <w:p w14:paraId="162174D6" w14:textId="77777777" w:rsidR="00D72538" w:rsidRDefault="00D72538">
            <w:pPr>
              <w:jc w:val="both"/>
              <w:rPr>
                <w:color w:val="FFFFFF" w:themeColor="background1"/>
              </w:rPr>
            </w:pPr>
            <w:r>
              <w:rPr>
                <w:color w:val="FFFFFF" w:themeColor="background1"/>
                <w:sz w:val="20"/>
                <w:szCs w:val="20"/>
              </w:rPr>
              <w:t>Pokazatelj uspjeha</w:t>
            </w:r>
          </w:p>
        </w:tc>
        <w:tc>
          <w:tcPr>
            <w:tcW w:w="1245" w:type="dxa"/>
            <w:tcBorders>
              <w:top w:val="single" w:sz="4" w:space="0" w:color="auto"/>
              <w:left w:val="single" w:sz="4" w:space="0" w:color="auto"/>
              <w:bottom w:val="single" w:sz="4" w:space="0" w:color="auto"/>
              <w:right w:val="single" w:sz="4" w:space="0" w:color="auto"/>
            </w:tcBorders>
            <w:shd w:val="clear" w:color="auto" w:fill="FF0000"/>
            <w:hideMark/>
          </w:tcPr>
          <w:p w14:paraId="1C8BE88C" w14:textId="77777777" w:rsidR="00D72538" w:rsidRDefault="00D72538">
            <w:pPr>
              <w:jc w:val="both"/>
              <w:rPr>
                <w:color w:val="FFFFFF" w:themeColor="background1"/>
              </w:rPr>
            </w:pPr>
            <w:r>
              <w:rPr>
                <w:color w:val="FFFFFF" w:themeColor="background1"/>
                <w:sz w:val="20"/>
                <w:szCs w:val="20"/>
              </w:rPr>
              <w:t>Vremenski okvir</w:t>
            </w:r>
          </w:p>
        </w:tc>
        <w:tc>
          <w:tcPr>
            <w:tcW w:w="2244" w:type="dxa"/>
            <w:tcBorders>
              <w:top w:val="single" w:sz="4" w:space="0" w:color="auto"/>
              <w:left w:val="single" w:sz="4" w:space="0" w:color="auto"/>
              <w:bottom w:val="single" w:sz="4" w:space="0" w:color="auto"/>
              <w:right w:val="single" w:sz="4" w:space="0" w:color="auto"/>
            </w:tcBorders>
            <w:shd w:val="clear" w:color="auto" w:fill="FF0000"/>
            <w:hideMark/>
          </w:tcPr>
          <w:p w14:paraId="3E64FC2E" w14:textId="77777777" w:rsidR="00D72538" w:rsidRDefault="00D72538">
            <w:pPr>
              <w:jc w:val="both"/>
              <w:rPr>
                <w:color w:val="FFFFFF" w:themeColor="background1"/>
                <w:sz w:val="20"/>
                <w:szCs w:val="20"/>
              </w:rPr>
            </w:pPr>
            <w:r>
              <w:rPr>
                <w:i/>
                <w:color w:val="FFFFFF" w:themeColor="background1"/>
                <w:sz w:val="20"/>
                <w:szCs w:val="20"/>
              </w:rPr>
              <w:t>Odgovorni za realizaciju</w:t>
            </w:r>
          </w:p>
        </w:tc>
        <w:tc>
          <w:tcPr>
            <w:tcW w:w="772" w:type="dxa"/>
            <w:tcBorders>
              <w:top w:val="single" w:sz="4" w:space="0" w:color="auto"/>
              <w:left w:val="single" w:sz="4" w:space="0" w:color="auto"/>
              <w:bottom w:val="single" w:sz="4" w:space="0" w:color="auto"/>
              <w:right w:val="single" w:sz="4" w:space="0" w:color="auto"/>
            </w:tcBorders>
            <w:shd w:val="clear" w:color="auto" w:fill="FF0000"/>
            <w:hideMark/>
          </w:tcPr>
          <w:p w14:paraId="432B48D4" w14:textId="77777777" w:rsidR="00D72538" w:rsidRDefault="00D72538">
            <w:pPr>
              <w:jc w:val="both"/>
              <w:rPr>
                <w:i/>
                <w:color w:val="FFFFFF" w:themeColor="background1"/>
              </w:rPr>
            </w:pPr>
            <w:r>
              <w:rPr>
                <w:color w:val="FFFFFF" w:themeColor="background1"/>
                <w:sz w:val="20"/>
                <w:szCs w:val="20"/>
              </w:rPr>
              <w:t>Budžet</w:t>
            </w:r>
          </w:p>
        </w:tc>
      </w:tr>
      <w:tr w:rsidR="00D72538" w14:paraId="64DF4C5A" w14:textId="77777777" w:rsidTr="00D72538">
        <w:tc>
          <w:tcPr>
            <w:tcW w:w="2166" w:type="dxa"/>
            <w:vMerge w:val="restart"/>
            <w:tcBorders>
              <w:top w:val="single" w:sz="4" w:space="0" w:color="auto"/>
              <w:left w:val="single" w:sz="4" w:space="0" w:color="auto"/>
              <w:bottom w:val="single" w:sz="4" w:space="0" w:color="auto"/>
              <w:right w:val="single" w:sz="4" w:space="0" w:color="auto"/>
            </w:tcBorders>
            <w:shd w:val="clear" w:color="auto" w:fill="FF0000"/>
          </w:tcPr>
          <w:p w14:paraId="00BBAB1A" w14:textId="77777777" w:rsidR="00D72538" w:rsidRDefault="00D72538">
            <w:pPr>
              <w:rPr>
                <w:rFonts w:asciiTheme="majorHAnsi" w:hAnsiTheme="majorHAnsi"/>
                <w:b/>
                <w:color w:val="FFFFFF" w:themeColor="background1"/>
                <w:sz w:val="24"/>
                <w:szCs w:val="24"/>
                <w:lang w:val="es-US"/>
              </w:rPr>
            </w:pPr>
          </w:p>
          <w:p w14:paraId="3A9FA3D7" w14:textId="06686F77" w:rsidR="00D72538" w:rsidRDefault="00D72538">
            <w:pPr>
              <w:rPr>
                <w:rFonts w:asciiTheme="majorHAnsi" w:hAnsiTheme="majorHAnsi"/>
                <w:b/>
                <w:color w:val="FFFFFF" w:themeColor="background1"/>
              </w:rPr>
            </w:pPr>
            <w:r>
              <w:rPr>
                <w:rFonts w:asciiTheme="majorHAnsi" w:hAnsiTheme="majorHAnsi"/>
                <w:b/>
                <w:color w:val="FFFFFF" w:themeColor="background1"/>
                <w:sz w:val="24"/>
                <w:szCs w:val="24"/>
                <w:lang w:val="es-US"/>
              </w:rPr>
              <w:t>F5. Unapređenje statistike na nacionalnom nivou i znanja o mladima</w:t>
            </w:r>
            <w:r>
              <w:rPr>
                <w:rFonts w:asciiTheme="majorHAnsi" w:hAnsiTheme="majorHAnsi"/>
                <w:b/>
                <w:color w:val="FFFFFF" w:themeColor="background1"/>
                <w:lang w:val="es-US"/>
              </w:rPr>
              <w:t xml:space="preserve"> </w:t>
            </w:r>
          </w:p>
        </w:tc>
        <w:tc>
          <w:tcPr>
            <w:tcW w:w="5563" w:type="dxa"/>
            <w:tcBorders>
              <w:top w:val="single" w:sz="4" w:space="0" w:color="auto"/>
              <w:left w:val="single" w:sz="4" w:space="0" w:color="auto"/>
              <w:bottom w:val="single" w:sz="4" w:space="0" w:color="auto"/>
              <w:right w:val="single" w:sz="4" w:space="0" w:color="auto"/>
            </w:tcBorders>
            <w:hideMark/>
          </w:tcPr>
          <w:p w14:paraId="195D4D12" w14:textId="77777777" w:rsidR="00D72538" w:rsidRDefault="00D72538">
            <w:pPr>
              <w:jc w:val="both"/>
              <w:rPr>
                <w:sz w:val="20"/>
                <w:szCs w:val="20"/>
              </w:rPr>
            </w:pPr>
            <w:r>
              <w:rPr>
                <w:sz w:val="20"/>
                <w:szCs w:val="20"/>
              </w:rPr>
              <w:t xml:space="preserve">1.1 Izvršiti konsultacije sa Zavodom za statistiku u vezi sa indikatorima koji se već nalaze u sistemu praćenja ili predstavljaju EUROSTAT obavezu. Ukoliko se konkretan indikator već ne nalazi u sistemu praćanja, a predstavlja obavezu u odnosu na EUROSTAT definisati početak praćenja kroz Program zvanične statistike od 2018. godine. </w:t>
            </w:r>
          </w:p>
        </w:tc>
        <w:tc>
          <w:tcPr>
            <w:tcW w:w="2323" w:type="dxa"/>
            <w:tcBorders>
              <w:top w:val="single" w:sz="4" w:space="0" w:color="auto"/>
              <w:left w:val="single" w:sz="4" w:space="0" w:color="auto"/>
              <w:bottom w:val="single" w:sz="4" w:space="0" w:color="auto"/>
              <w:right w:val="single" w:sz="4" w:space="0" w:color="auto"/>
            </w:tcBorders>
            <w:hideMark/>
          </w:tcPr>
          <w:p w14:paraId="2B6261F0" w14:textId="77777777" w:rsidR="00D72538" w:rsidRDefault="00D72538">
            <w:pPr>
              <w:rPr>
                <w:sz w:val="20"/>
                <w:szCs w:val="20"/>
              </w:rPr>
            </w:pPr>
            <w:r>
              <w:rPr>
                <w:i/>
                <w:sz w:val="20"/>
                <w:szCs w:val="20"/>
              </w:rPr>
              <w:t>15 indikatora se prati u zvaničnom statističkom sistemu Crne Gore</w:t>
            </w:r>
          </w:p>
        </w:tc>
        <w:tc>
          <w:tcPr>
            <w:tcW w:w="1245" w:type="dxa"/>
            <w:tcBorders>
              <w:top w:val="single" w:sz="4" w:space="0" w:color="auto"/>
              <w:left w:val="single" w:sz="4" w:space="0" w:color="auto"/>
              <w:bottom w:val="single" w:sz="4" w:space="0" w:color="auto"/>
              <w:right w:val="single" w:sz="4" w:space="0" w:color="auto"/>
            </w:tcBorders>
            <w:hideMark/>
          </w:tcPr>
          <w:p w14:paraId="78540914" w14:textId="77777777" w:rsidR="00D72538" w:rsidRDefault="00D72538">
            <w:pPr>
              <w:jc w:val="both"/>
              <w:rPr>
                <w:i/>
                <w:sz w:val="20"/>
                <w:szCs w:val="20"/>
              </w:rPr>
            </w:pPr>
            <w:r>
              <w:rPr>
                <w:sz w:val="20"/>
                <w:szCs w:val="20"/>
              </w:rPr>
              <w:t>2018</w:t>
            </w:r>
          </w:p>
        </w:tc>
        <w:tc>
          <w:tcPr>
            <w:tcW w:w="2244" w:type="dxa"/>
            <w:tcBorders>
              <w:top w:val="single" w:sz="4" w:space="0" w:color="auto"/>
              <w:left w:val="single" w:sz="4" w:space="0" w:color="auto"/>
              <w:bottom w:val="single" w:sz="4" w:space="0" w:color="auto"/>
              <w:right w:val="single" w:sz="4" w:space="0" w:color="auto"/>
            </w:tcBorders>
            <w:hideMark/>
          </w:tcPr>
          <w:p w14:paraId="4AED3CC0" w14:textId="77777777" w:rsidR="00D72538" w:rsidRDefault="00D72538">
            <w:pPr>
              <w:jc w:val="both"/>
              <w:rPr>
                <w:sz w:val="20"/>
                <w:szCs w:val="20"/>
              </w:rPr>
            </w:pPr>
            <w:r>
              <w:rPr>
                <w:i/>
                <w:sz w:val="20"/>
                <w:szCs w:val="20"/>
              </w:rPr>
              <w:t>Uprava za mlade i sport, Ministarstvo prosvjete, MONSTAT</w:t>
            </w:r>
          </w:p>
        </w:tc>
        <w:tc>
          <w:tcPr>
            <w:tcW w:w="772" w:type="dxa"/>
            <w:tcBorders>
              <w:top w:val="single" w:sz="4" w:space="0" w:color="auto"/>
              <w:left w:val="single" w:sz="4" w:space="0" w:color="auto"/>
              <w:bottom w:val="single" w:sz="4" w:space="0" w:color="auto"/>
              <w:right w:val="single" w:sz="4" w:space="0" w:color="auto"/>
            </w:tcBorders>
          </w:tcPr>
          <w:p w14:paraId="0A406E97" w14:textId="77777777" w:rsidR="00D72538" w:rsidRDefault="00D72538">
            <w:pPr>
              <w:jc w:val="both"/>
              <w:rPr>
                <w:i/>
              </w:rPr>
            </w:pPr>
          </w:p>
        </w:tc>
      </w:tr>
      <w:tr w:rsidR="00D72538" w14:paraId="3A5B9E40" w14:textId="77777777" w:rsidTr="00D72538">
        <w:tc>
          <w:tcPr>
            <w:tcW w:w="0" w:type="auto"/>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65810D0F" w14:textId="77777777" w:rsidR="00D72538" w:rsidRDefault="00D72538">
            <w:pPr>
              <w:rPr>
                <w:rFonts w:asciiTheme="majorHAnsi" w:eastAsiaTheme="minorEastAsia" w:hAnsiTheme="majorHAnsi"/>
                <w:b/>
                <w:i/>
                <w:iCs/>
                <w:color w:val="FFFFFF" w:themeColor="background1"/>
              </w:rPr>
            </w:pPr>
          </w:p>
        </w:tc>
        <w:tc>
          <w:tcPr>
            <w:tcW w:w="5563" w:type="dxa"/>
            <w:tcBorders>
              <w:top w:val="single" w:sz="4" w:space="0" w:color="auto"/>
              <w:left w:val="single" w:sz="4" w:space="0" w:color="auto"/>
              <w:bottom w:val="single" w:sz="4" w:space="0" w:color="auto"/>
              <w:right w:val="single" w:sz="4" w:space="0" w:color="auto"/>
            </w:tcBorders>
            <w:hideMark/>
          </w:tcPr>
          <w:p w14:paraId="22DED5AA" w14:textId="77777777" w:rsidR="00D72538" w:rsidRDefault="00D72538">
            <w:pPr>
              <w:jc w:val="both"/>
              <w:rPr>
                <w:sz w:val="20"/>
                <w:szCs w:val="20"/>
              </w:rPr>
            </w:pPr>
            <w:r>
              <w:rPr>
                <w:sz w:val="20"/>
                <w:szCs w:val="20"/>
              </w:rPr>
              <w:t>1.2 Izvršiti konsultacije sa Zavodom za statistika u vezi sa 22 indikatora koji se ne nalaze u zvaničnom programu statistike, a za njih postoji metodologija da se uvedu u Program zvanične statistike od 2018. godine</w:t>
            </w:r>
          </w:p>
        </w:tc>
        <w:tc>
          <w:tcPr>
            <w:tcW w:w="2323" w:type="dxa"/>
            <w:tcBorders>
              <w:top w:val="single" w:sz="4" w:space="0" w:color="auto"/>
              <w:left w:val="single" w:sz="4" w:space="0" w:color="auto"/>
              <w:bottom w:val="single" w:sz="4" w:space="0" w:color="auto"/>
              <w:right w:val="single" w:sz="4" w:space="0" w:color="auto"/>
            </w:tcBorders>
            <w:hideMark/>
          </w:tcPr>
          <w:p w14:paraId="59B78CBC" w14:textId="77777777" w:rsidR="00D72538" w:rsidRDefault="00D72538">
            <w:pPr>
              <w:rPr>
                <w:sz w:val="20"/>
                <w:szCs w:val="20"/>
              </w:rPr>
            </w:pPr>
            <w:r>
              <w:rPr>
                <w:i/>
                <w:sz w:val="20"/>
                <w:szCs w:val="20"/>
              </w:rPr>
              <w:t>22 indikatora se prati u zvaničnom statističkom sistemu Crne Gore</w:t>
            </w:r>
          </w:p>
        </w:tc>
        <w:tc>
          <w:tcPr>
            <w:tcW w:w="1245" w:type="dxa"/>
            <w:tcBorders>
              <w:top w:val="single" w:sz="4" w:space="0" w:color="auto"/>
              <w:left w:val="single" w:sz="4" w:space="0" w:color="auto"/>
              <w:bottom w:val="single" w:sz="4" w:space="0" w:color="auto"/>
              <w:right w:val="single" w:sz="4" w:space="0" w:color="auto"/>
            </w:tcBorders>
            <w:hideMark/>
          </w:tcPr>
          <w:p w14:paraId="719EE80D" w14:textId="77777777" w:rsidR="00D72538" w:rsidRDefault="00D72538">
            <w:pPr>
              <w:jc w:val="both"/>
              <w:rPr>
                <w:i/>
                <w:sz w:val="20"/>
                <w:szCs w:val="20"/>
              </w:rPr>
            </w:pPr>
            <w:r>
              <w:rPr>
                <w:sz w:val="20"/>
                <w:szCs w:val="20"/>
              </w:rPr>
              <w:t>2018</w:t>
            </w:r>
          </w:p>
        </w:tc>
        <w:tc>
          <w:tcPr>
            <w:tcW w:w="2244" w:type="dxa"/>
            <w:tcBorders>
              <w:top w:val="single" w:sz="4" w:space="0" w:color="auto"/>
              <w:left w:val="single" w:sz="4" w:space="0" w:color="auto"/>
              <w:bottom w:val="single" w:sz="4" w:space="0" w:color="auto"/>
              <w:right w:val="single" w:sz="4" w:space="0" w:color="auto"/>
            </w:tcBorders>
            <w:hideMark/>
          </w:tcPr>
          <w:p w14:paraId="7839402B" w14:textId="77777777" w:rsidR="00D72538" w:rsidRDefault="00D72538">
            <w:pPr>
              <w:jc w:val="both"/>
              <w:rPr>
                <w:sz w:val="20"/>
                <w:szCs w:val="20"/>
              </w:rPr>
            </w:pPr>
            <w:r>
              <w:rPr>
                <w:i/>
                <w:sz w:val="20"/>
                <w:szCs w:val="20"/>
              </w:rPr>
              <w:t>Uprava za mlade i sport, Ministarstvo prosvjete, MONSTAT</w:t>
            </w:r>
          </w:p>
        </w:tc>
        <w:tc>
          <w:tcPr>
            <w:tcW w:w="772" w:type="dxa"/>
            <w:tcBorders>
              <w:top w:val="single" w:sz="4" w:space="0" w:color="auto"/>
              <w:left w:val="single" w:sz="4" w:space="0" w:color="auto"/>
              <w:bottom w:val="single" w:sz="4" w:space="0" w:color="auto"/>
              <w:right w:val="single" w:sz="4" w:space="0" w:color="auto"/>
            </w:tcBorders>
          </w:tcPr>
          <w:p w14:paraId="475F9ECB" w14:textId="77777777" w:rsidR="00D72538" w:rsidRDefault="00D72538">
            <w:pPr>
              <w:jc w:val="both"/>
              <w:rPr>
                <w:i/>
              </w:rPr>
            </w:pPr>
          </w:p>
        </w:tc>
      </w:tr>
      <w:tr w:rsidR="00D72538" w14:paraId="0D824E67" w14:textId="77777777" w:rsidTr="00D72538">
        <w:tc>
          <w:tcPr>
            <w:tcW w:w="0" w:type="auto"/>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67D2C22F" w14:textId="77777777" w:rsidR="00D72538" w:rsidRDefault="00D72538">
            <w:pPr>
              <w:rPr>
                <w:rFonts w:asciiTheme="majorHAnsi" w:eastAsiaTheme="minorEastAsia" w:hAnsiTheme="majorHAnsi"/>
                <w:b/>
                <w:i/>
                <w:iCs/>
                <w:color w:val="FFFFFF" w:themeColor="background1"/>
              </w:rPr>
            </w:pPr>
          </w:p>
        </w:tc>
        <w:tc>
          <w:tcPr>
            <w:tcW w:w="5563" w:type="dxa"/>
            <w:tcBorders>
              <w:top w:val="single" w:sz="4" w:space="0" w:color="auto"/>
              <w:left w:val="single" w:sz="4" w:space="0" w:color="auto"/>
              <w:bottom w:val="single" w:sz="4" w:space="0" w:color="auto"/>
              <w:right w:val="single" w:sz="4" w:space="0" w:color="auto"/>
            </w:tcBorders>
            <w:hideMark/>
          </w:tcPr>
          <w:p w14:paraId="1B70631D" w14:textId="77777777" w:rsidR="00D72538" w:rsidRDefault="00D72538">
            <w:pPr>
              <w:jc w:val="both"/>
              <w:rPr>
                <w:sz w:val="20"/>
                <w:szCs w:val="20"/>
              </w:rPr>
            </w:pPr>
            <w:r>
              <w:rPr>
                <w:sz w:val="20"/>
                <w:szCs w:val="20"/>
              </w:rPr>
              <w:t>1.3 Definisati metodologiju praćenja 16 indikatora za koje ne postoji metodologija</w:t>
            </w:r>
          </w:p>
        </w:tc>
        <w:tc>
          <w:tcPr>
            <w:tcW w:w="2323" w:type="dxa"/>
            <w:tcBorders>
              <w:top w:val="single" w:sz="4" w:space="0" w:color="auto"/>
              <w:left w:val="single" w:sz="4" w:space="0" w:color="auto"/>
              <w:bottom w:val="single" w:sz="4" w:space="0" w:color="auto"/>
              <w:right w:val="single" w:sz="4" w:space="0" w:color="auto"/>
            </w:tcBorders>
            <w:hideMark/>
          </w:tcPr>
          <w:p w14:paraId="41970170" w14:textId="77777777" w:rsidR="00D72538" w:rsidRDefault="00D72538">
            <w:pPr>
              <w:rPr>
                <w:sz w:val="20"/>
                <w:szCs w:val="20"/>
              </w:rPr>
            </w:pPr>
            <w:r>
              <w:rPr>
                <w:i/>
                <w:sz w:val="20"/>
                <w:szCs w:val="20"/>
              </w:rPr>
              <w:t>Definisana metodologija</w:t>
            </w:r>
          </w:p>
        </w:tc>
        <w:tc>
          <w:tcPr>
            <w:tcW w:w="1245" w:type="dxa"/>
            <w:tcBorders>
              <w:top w:val="single" w:sz="4" w:space="0" w:color="auto"/>
              <w:left w:val="single" w:sz="4" w:space="0" w:color="auto"/>
              <w:bottom w:val="single" w:sz="4" w:space="0" w:color="auto"/>
              <w:right w:val="single" w:sz="4" w:space="0" w:color="auto"/>
            </w:tcBorders>
            <w:hideMark/>
          </w:tcPr>
          <w:p w14:paraId="591EFE7A" w14:textId="77777777" w:rsidR="00D72538" w:rsidRDefault="00D72538">
            <w:pPr>
              <w:jc w:val="both"/>
              <w:rPr>
                <w:i/>
                <w:sz w:val="20"/>
                <w:szCs w:val="20"/>
              </w:rPr>
            </w:pPr>
            <w:r>
              <w:rPr>
                <w:sz w:val="20"/>
                <w:szCs w:val="20"/>
              </w:rPr>
              <w:t>2017</w:t>
            </w:r>
          </w:p>
        </w:tc>
        <w:tc>
          <w:tcPr>
            <w:tcW w:w="2244" w:type="dxa"/>
            <w:tcBorders>
              <w:top w:val="single" w:sz="4" w:space="0" w:color="auto"/>
              <w:left w:val="single" w:sz="4" w:space="0" w:color="auto"/>
              <w:bottom w:val="single" w:sz="4" w:space="0" w:color="auto"/>
              <w:right w:val="single" w:sz="4" w:space="0" w:color="auto"/>
            </w:tcBorders>
            <w:hideMark/>
          </w:tcPr>
          <w:p w14:paraId="15157187" w14:textId="77777777" w:rsidR="00D72538" w:rsidRDefault="00D72538">
            <w:pPr>
              <w:jc w:val="both"/>
              <w:rPr>
                <w:sz w:val="20"/>
                <w:szCs w:val="20"/>
              </w:rPr>
            </w:pPr>
            <w:r>
              <w:rPr>
                <w:i/>
                <w:sz w:val="20"/>
                <w:szCs w:val="20"/>
              </w:rPr>
              <w:t>Uprava za mlade i sport, Ministarstvo prosvjete, MONSTAT</w:t>
            </w:r>
          </w:p>
        </w:tc>
        <w:tc>
          <w:tcPr>
            <w:tcW w:w="772" w:type="dxa"/>
            <w:tcBorders>
              <w:top w:val="single" w:sz="4" w:space="0" w:color="auto"/>
              <w:left w:val="single" w:sz="4" w:space="0" w:color="auto"/>
              <w:bottom w:val="single" w:sz="4" w:space="0" w:color="auto"/>
              <w:right w:val="single" w:sz="4" w:space="0" w:color="auto"/>
            </w:tcBorders>
          </w:tcPr>
          <w:p w14:paraId="72B10E66" w14:textId="77777777" w:rsidR="00D72538" w:rsidRDefault="00D72538">
            <w:pPr>
              <w:jc w:val="both"/>
              <w:rPr>
                <w:i/>
              </w:rPr>
            </w:pPr>
          </w:p>
        </w:tc>
      </w:tr>
      <w:tr w:rsidR="00D72538" w14:paraId="6169E06E" w14:textId="77777777" w:rsidTr="00D72538">
        <w:trPr>
          <w:trHeight w:val="422"/>
        </w:trPr>
        <w:tc>
          <w:tcPr>
            <w:tcW w:w="0" w:type="auto"/>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5B0675E5" w14:textId="77777777" w:rsidR="00D72538" w:rsidRDefault="00D72538">
            <w:pPr>
              <w:rPr>
                <w:rFonts w:asciiTheme="majorHAnsi" w:eastAsiaTheme="minorEastAsia" w:hAnsiTheme="majorHAnsi"/>
                <w:b/>
                <w:i/>
                <w:iCs/>
                <w:color w:val="FFFFFF" w:themeColor="background1"/>
              </w:rPr>
            </w:pPr>
          </w:p>
        </w:tc>
        <w:tc>
          <w:tcPr>
            <w:tcW w:w="5563" w:type="dxa"/>
            <w:tcBorders>
              <w:top w:val="single" w:sz="4" w:space="0" w:color="auto"/>
              <w:left w:val="single" w:sz="4" w:space="0" w:color="auto"/>
              <w:bottom w:val="single" w:sz="4" w:space="0" w:color="auto"/>
              <w:right w:val="single" w:sz="4" w:space="0" w:color="auto"/>
            </w:tcBorders>
            <w:hideMark/>
          </w:tcPr>
          <w:p w14:paraId="21E5C00A" w14:textId="77777777" w:rsidR="00D72538" w:rsidRDefault="00D72538">
            <w:pPr>
              <w:jc w:val="both"/>
              <w:rPr>
                <w:sz w:val="20"/>
                <w:szCs w:val="20"/>
              </w:rPr>
            </w:pPr>
            <w:r>
              <w:rPr>
                <w:sz w:val="20"/>
                <w:szCs w:val="20"/>
              </w:rPr>
              <w:t>1.4 Predložiti Zavodu za statistika uvođenje 16 novih indikatora u Program zvanične statistike</w:t>
            </w:r>
          </w:p>
        </w:tc>
        <w:tc>
          <w:tcPr>
            <w:tcW w:w="2323" w:type="dxa"/>
            <w:tcBorders>
              <w:top w:val="single" w:sz="4" w:space="0" w:color="auto"/>
              <w:left w:val="single" w:sz="4" w:space="0" w:color="auto"/>
              <w:bottom w:val="single" w:sz="4" w:space="0" w:color="auto"/>
              <w:right w:val="single" w:sz="4" w:space="0" w:color="auto"/>
            </w:tcBorders>
            <w:hideMark/>
          </w:tcPr>
          <w:p w14:paraId="0604FE0D" w14:textId="77777777" w:rsidR="00D72538" w:rsidRDefault="00D72538">
            <w:pPr>
              <w:rPr>
                <w:sz w:val="20"/>
                <w:szCs w:val="20"/>
              </w:rPr>
            </w:pPr>
            <w:r>
              <w:rPr>
                <w:i/>
                <w:sz w:val="20"/>
                <w:szCs w:val="20"/>
              </w:rPr>
              <w:t>Dogovoreni plan i dinamika uvođenja 16 novih indikatora</w:t>
            </w:r>
          </w:p>
        </w:tc>
        <w:tc>
          <w:tcPr>
            <w:tcW w:w="1245" w:type="dxa"/>
            <w:tcBorders>
              <w:top w:val="single" w:sz="4" w:space="0" w:color="auto"/>
              <w:left w:val="single" w:sz="4" w:space="0" w:color="auto"/>
              <w:bottom w:val="single" w:sz="4" w:space="0" w:color="auto"/>
              <w:right w:val="single" w:sz="4" w:space="0" w:color="auto"/>
            </w:tcBorders>
            <w:hideMark/>
          </w:tcPr>
          <w:p w14:paraId="0892F7F7" w14:textId="77777777" w:rsidR="00D72538" w:rsidRDefault="00D72538">
            <w:pPr>
              <w:jc w:val="both"/>
              <w:rPr>
                <w:i/>
                <w:sz w:val="20"/>
                <w:szCs w:val="20"/>
              </w:rPr>
            </w:pPr>
            <w:r>
              <w:rPr>
                <w:sz w:val="20"/>
                <w:szCs w:val="20"/>
              </w:rPr>
              <w:t>2018</w:t>
            </w:r>
          </w:p>
        </w:tc>
        <w:tc>
          <w:tcPr>
            <w:tcW w:w="2244" w:type="dxa"/>
            <w:tcBorders>
              <w:top w:val="single" w:sz="4" w:space="0" w:color="auto"/>
              <w:left w:val="single" w:sz="4" w:space="0" w:color="auto"/>
              <w:bottom w:val="single" w:sz="4" w:space="0" w:color="auto"/>
              <w:right w:val="single" w:sz="4" w:space="0" w:color="auto"/>
            </w:tcBorders>
            <w:hideMark/>
          </w:tcPr>
          <w:p w14:paraId="093F7DE6" w14:textId="77777777" w:rsidR="00D72538" w:rsidRDefault="00D72538">
            <w:pPr>
              <w:jc w:val="both"/>
              <w:rPr>
                <w:sz w:val="20"/>
                <w:szCs w:val="20"/>
              </w:rPr>
            </w:pPr>
            <w:r>
              <w:rPr>
                <w:i/>
                <w:sz w:val="20"/>
                <w:szCs w:val="20"/>
              </w:rPr>
              <w:t>Uprava za mlade i sport, Ministarstvo prosvjete, MONSTAT</w:t>
            </w:r>
          </w:p>
        </w:tc>
        <w:tc>
          <w:tcPr>
            <w:tcW w:w="772" w:type="dxa"/>
            <w:tcBorders>
              <w:top w:val="single" w:sz="4" w:space="0" w:color="auto"/>
              <w:left w:val="single" w:sz="4" w:space="0" w:color="auto"/>
              <w:bottom w:val="single" w:sz="4" w:space="0" w:color="auto"/>
              <w:right w:val="single" w:sz="4" w:space="0" w:color="auto"/>
            </w:tcBorders>
          </w:tcPr>
          <w:p w14:paraId="63CD98C0" w14:textId="77777777" w:rsidR="00D72538" w:rsidRDefault="00D72538">
            <w:pPr>
              <w:jc w:val="both"/>
              <w:rPr>
                <w:i/>
              </w:rPr>
            </w:pPr>
          </w:p>
        </w:tc>
      </w:tr>
      <w:tr w:rsidR="00D72538" w14:paraId="14E02AB9" w14:textId="77777777" w:rsidTr="00D72538">
        <w:tc>
          <w:tcPr>
            <w:tcW w:w="0" w:type="auto"/>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35D3BE45" w14:textId="77777777" w:rsidR="00D72538" w:rsidRDefault="00D72538">
            <w:pPr>
              <w:rPr>
                <w:rFonts w:asciiTheme="majorHAnsi" w:eastAsiaTheme="minorEastAsia" w:hAnsiTheme="majorHAnsi"/>
                <w:b/>
                <w:i/>
                <w:iCs/>
                <w:color w:val="FFFFFF" w:themeColor="background1"/>
              </w:rPr>
            </w:pPr>
          </w:p>
        </w:tc>
        <w:tc>
          <w:tcPr>
            <w:tcW w:w="5563" w:type="dxa"/>
            <w:tcBorders>
              <w:top w:val="single" w:sz="4" w:space="0" w:color="auto"/>
              <w:left w:val="single" w:sz="4" w:space="0" w:color="auto"/>
              <w:bottom w:val="single" w:sz="4" w:space="0" w:color="auto"/>
              <w:right w:val="single" w:sz="4" w:space="0" w:color="auto"/>
            </w:tcBorders>
            <w:hideMark/>
          </w:tcPr>
          <w:p w14:paraId="17371C89" w14:textId="77777777" w:rsidR="00D72538" w:rsidRDefault="00D72538">
            <w:pPr>
              <w:jc w:val="both"/>
              <w:rPr>
                <w:sz w:val="20"/>
                <w:szCs w:val="20"/>
              </w:rPr>
            </w:pPr>
            <w:r>
              <w:rPr>
                <w:sz w:val="20"/>
                <w:szCs w:val="20"/>
              </w:rPr>
              <w:t>1.5 Definisati bazne vrijednosti za svih 52 indikatora</w:t>
            </w:r>
          </w:p>
        </w:tc>
        <w:tc>
          <w:tcPr>
            <w:tcW w:w="2323" w:type="dxa"/>
            <w:tcBorders>
              <w:top w:val="single" w:sz="4" w:space="0" w:color="auto"/>
              <w:left w:val="single" w:sz="4" w:space="0" w:color="auto"/>
              <w:bottom w:val="single" w:sz="4" w:space="0" w:color="auto"/>
              <w:right w:val="single" w:sz="4" w:space="0" w:color="auto"/>
            </w:tcBorders>
            <w:hideMark/>
          </w:tcPr>
          <w:p w14:paraId="384E617A" w14:textId="77777777" w:rsidR="00D72538" w:rsidRDefault="00D72538">
            <w:pPr>
              <w:rPr>
                <w:sz w:val="20"/>
                <w:szCs w:val="20"/>
              </w:rPr>
            </w:pPr>
            <w:r>
              <w:rPr>
                <w:i/>
                <w:sz w:val="20"/>
                <w:szCs w:val="20"/>
              </w:rPr>
              <w:t>Definisane bazne vrijednosti</w:t>
            </w:r>
          </w:p>
        </w:tc>
        <w:tc>
          <w:tcPr>
            <w:tcW w:w="1245" w:type="dxa"/>
            <w:tcBorders>
              <w:top w:val="single" w:sz="4" w:space="0" w:color="auto"/>
              <w:left w:val="single" w:sz="4" w:space="0" w:color="auto"/>
              <w:bottom w:val="single" w:sz="4" w:space="0" w:color="auto"/>
              <w:right w:val="single" w:sz="4" w:space="0" w:color="auto"/>
            </w:tcBorders>
            <w:hideMark/>
          </w:tcPr>
          <w:p w14:paraId="31FE5785" w14:textId="77777777" w:rsidR="00D72538" w:rsidRDefault="00D72538">
            <w:pPr>
              <w:jc w:val="both"/>
              <w:rPr>
                <w:i/>
                <w:sz w:val="20"/>
                <w:szCs w:val="20"/>
              </w:rPr>
            </w:pPr>
            <w:r>
              <w:rPr>
                <w:sz w:val="20"/>
                <w:szCs w:val="20"/>
              </w:rPr>
              <w:t>2018</w:t>
            </w:r>
          </w:p>
        </w:tc>
        <w:tc>
          <w:tcPr>
            <w:tcW w:w="2244" w:type="dxa"/>
            <w:tcBorders>
              <w:top w:val="single" w:sz="4" w:space="0" w:color="auto"/>
              <w:left w:val="single" w:sz="4" w:space="0" w:color="auto"/>
              <w:bottom w:val="single" w:sz="4" w:space="0" w:color="auto"/>
              <w:right w:val="single" w:sz="4" w:space="0" w:color="auto"/>
            </w:tcBorders>
            <w:hideMark/>
          </w:tcPr>
          <w:p w14:paraId="057046C3" w14:textId="77777777" w:rsidR="00D72538" w:rsidRDefault="00D72538">
            <w:pPr>
              <w:jc w:val="both"/>
              <w:rPr>
                <w:sz w:val="20"/>
                <w:szCs w:val="20"/>
              </w:rPr>
            </w:pPr>
            <w:r>
              <w:rPr>
                <w:i/>
                <w:sz w:val="20"/>
                <w:szCs w:val="20"/>
              </w:rPr>
              <w:t>Uprava za mlade i sport, Ministarstvo prosvjete, MONSTAT</w:t>
            </w:r>
          </w:p>
        </w:tc>
        <w:tc>
          <w:tcPr>
            <w:tcW w:w="772" w:type="dxa"/>
            <w:tcBorders>
              <w:top w:val="single" w:sz="4" w:space="0" w:color="auto"/>
              <w:left w:val="single" w:sz="4" w:space="0" w:color="auto"/>
              <w:bottom w:val="single" w:sz="4" w:space="0" w:color="auto"/>
              <w:right w:val="single" w:sz="4" w:space="0" w:color="auto"/>
            </w:tcBorders>
          </w:tcPr>
          <w:p w14:paraId="3F575838" w14:textId="77777777" w:rsidR="00D72538" w:rsidRDefault="00D72538">
            <w:pPr>
              <w:jc w:val="both"/>
              <w:rPr>
                <w:i/>
              </w:rPr>
            </w:pPr>
          </w:p>
        </w:tc>
      </w:tr>
      <w:tr w:rsidR="00D72538" w14:paraId="032EC708" w14:textId="77777777" w:rsidTr="00D72538">
        <w:tc>
          <w:tcPr>
            <w:tcW w:w="0" w:type="auto"/>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76D3AE88" w14:textId="77777777" w:rsidR="00D72538" w:rsidRDefault="00D72538">
            <w:pPr>
              <w:rPr>
                <w:rFonts w:asciiTheme="majorHAnsi" w:eastAsiaTheme="minorEastAsia" w:hAnsiTheme="majorHAnsi"/>
                <w:b/>
                <w:i/>
                <w:iCs/>
                <w:color w:val="FFFFFF" w:themeColor="background1"/>
              </w:rPr>
            </w:pPr>
          </w:p>
        </w:tc>
        <w:tc>
          <w:tcPr>
            <w:tcW w:w="5563" w:type="dxa"/>
            <w:tcBorders>
              <w:top w:val="single" w:sz="4" w:space="0" w:color="auto"/>
              <w:left w:val="single" w:sz="4" w:space="0" w:color="auto"/>
              <w:bottom w:val="single" w:sz="4" w:space="0" w:color="auto"/>
              <w:right w:val="single" w:sz="4" w:space="0" w:color="auto"/>
            </w:tcBorders>
            <w:hideMark/>
          </w:tcPr>
          <w:p w14:paraId="31DB8182" w14:textId="77777777" w:rsidR="00D72538" w:rsidRDefault="00D72538">
            <w:pPr>
              <w:jc w:val="both"/>
              <w:rPr>
                <w:sz w:val="20"/>
                <w:szCs w:val="20"/>
              </w:rPr>
            </w:pPr>
            <w:r>
              <w:rPr>
                <w:sz w:val="20"/>
                <w:szCs w:val="20"/>
              </w:rPr>
              <w:t>1.6 Izvršiti obuku svih uključenih u prikupljanje podataka</w:t>
            </w:r>
          </w:p>
        </w:tc>
        <w:tc>
          <w:tcPr>
            <w:tcW w:w="2323" w:type="dxa"/>
            <w:tcBorders>
              <w:top w:val="single" w:sz="4" w:space="0" w:color="auto"/>
              <w:left w:val="single" w:sz="4" w:space="0" w:color="auto"/>
              <w:bottom w:val="single" w:sz="4" w:space="0" w:color="auto"/>
              <w:right w:val="single" w:sz="4" w:space="0" w:color="auto"/>
            </w:tcBorders>
            <w:hideMark/>
          </w:tcPr>
          <w:p w14:paraId="4D04137F" w14:textId="77777777" w:rsidR="00D72538" w:rsidRDefault="00D72538">
            <w:pPr>
              <w:rPr>
                <w:sz w:val="20"/>
                <w:szCs w:val="20"/>
              </w:rPr>
            </w:pPr>
            <w:r>
              <w:rPr>
                <w:i/>
                <w:sz w:val="20"/>
                <w:szCs w:val="20"/>
              </w:rPr>
              <w:t>Svi relevantni akteri obučeni</w:t>
            </w:r>
          </w:p>
        </w:tc>
        <w:tc>
          <w:tcPr>
            <w:tcW w:w="1245" w:type="dxa"/>
            <w:tcBorders>
              <w:top w:val="single" w:sz="4" w:space="0" w:color="auto"/>
              <w:left w:val="single" w:sz="4" w:space="0" w:color="auto"/>
              <w:bottom w:val="single" w:sz="4" w:space="0" w:color="auto"/>
              <w:right w:val="single" w:sz="4" w:space="0" w:color="auto"/>
            </w:tcBorders>
            <w:hideMark/>
          </w:tcPr>
          <w:p w14:paraId="306CBC9D" w14:textId="77777777" w:rsidR="00D72538" w:rsidRDefault="00D72538">
            <w:pPr>
              <w:jc w:val="both"/>
              <w:rPr>
                <w:i/>
                <w:sz w:val="20"/>
                <w:szCs w:val="20"/>
              </w:rPr>
            </w:pPr>
            <w:r>
              <w:rPr>
                <w:sz w:val="20"/>
                <w:szCs w:val="20"/>
              </w:rPr>
              <w:t>2018</w:t>
            </w:r>
          </w:p>
        </w:tc>
        <w:tc>
          <w:tcPr>
            <w:tcW w:w="2244" w:type="dxa"/>
            <w:tcBorders>
              <w:top w:val="single" w:sz="4" w:space="0" w:color="auto"/>
              <w:left w:val="single" w:sz="4" w:space="0" w:color="auto"/>
              <w:bottom w:val="single" w:sz="4" w:space="0" w:color="auto"/>
              <w:right w:val="single" w:sz="4" w:space="0" w:color="auto"/>
            </w:tcBorders>
            <w:hideMark/>
          </w:tcPr>
          <w:p w14:paraId="568CA5D4" w14:textId="77777777" w:rsidR="00D72538" w:rsidRDefault="00D72538">
            <w:pPr>
              <w:jc w:val="both"/>
              <w:rPr>
                <w:sz w:val="20"/>
                <w:szCs w:val="20"/>
              </w:rPr>
            </w:pPr>
            <w:r>
              <w:rPr>
                <w:i/>
                <w:sz w:val="20"/>
                <w:szCs w:val="20"/>
              </w:rPr>
              <w:t>Uprava za mlade i sport, Ministarstvo prosvjete, MONSTAT</w:t>
            </w:r>
          </w:p>
        </w:tc>
        <w:tc>
          <w:tcPr>
            <w:tcW w:w="772" w:type="dxa"/>
            <w:tcBorders>
              <w:top w:val="single" w:sz="4" w:space="0" w:color="auto"/>
              <w:left w:val="single" w:sz="4" w:space="0" w:color="auto"/>
              <w:bottom w:val="single" w:sz="4" w:space="0" w:color="auto"/>
              <w:right w:val="single" w:sz="4" w:space="0" w:color="auto"/>
            </w:tcBorders>
          </w:tcPr>
          <w:p w14:paraId="6CC2AB33" w14:textId="77777777" w:rsidR="00D72538" w:rsidRDefault="00D72538">
            <w:pPr>
              <w:jc w:val="both"/>
              <w:rPr>
                <w:i/>
              </w:rPr>
            </w:pPr>
          </w:p>
        </w:tc>
      </w:tr>
      <w:tr w:rsidR="00D72538" w14:paraId="3055AFCD" w14:textId="77777777" w:rsidTr="00D72538">
        <w:tc>
          <w:tcPr>
            <w:tcW w:w="0" w:type="auto"/>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349628FE" w14:textId="77777777" w:rsidR="00D72538" w:rsidRDefault="00D72538">
            <w:pPr>
              <w:rPr>
                <w:rFonts w:asciiTheme="majorHAnsi" w:eastAsiaTheme="minorEastAsia" w:hAnsiTheme="majorHAnsi"/>
                <w:b/>
                <w:i/>
                <w:iCs/>
                <w:color w:val="FFFFFF" w:themeColor="background1"/>
              </w:rPr>
            </w:pPr>
          </w:p>
        </w:tc>
        <w:tc>
          <w:tcPr>
            <w:tcW w:w="5563" w:type="dxa"/>
            <w:tcBorders>
              <w:top w:val="single" w:sz="4" w:space="0" w:color="auto"/>
              <w:left w:val="single" w:sz="4" w:space="0" w:color="auto"/>
              <w:bottom w:val="single" w:sz="4" w:space="0" w:color="auto"/>
              <w:right w:val="single" w:sz="4" w:space="0" w:color="auto"/>
            </w:tcBorders>
            <w:hideMark/>
          </w:tcPr>
          <w:p w14:paraId="7FAF5CC2" w14:textId="77777777" w:rsidR="00D72538" w:rsidRDefault="00D72538">
            <w:pPr>
              <w:jc w:val="both"/>
              <w:rPr>
                <w:sz w:val="20"/>
                <w:szCs w:val="20"/>
              </w:rPr>
            </w:pPr>
            <w:r>
              <w:rPr>
                <w:sz w:val="20"/>
                <w:szCs w:val="20"/>
              </w:rPr>
              <w:t>1.7 Pripremiti prvi izvještaj sa 52 indikatora</w:t>
            </w:r>
          </w:p>
        </w:tc>
        <w:tc>
          <w:tcPr>
            <w:tcW w:w="2323" w:type="dxa"/>
            <w:tcBorders>
              <w:top w:val="single" w:sz="4" w:space="0" w:color="auto"/>
              <w:left w:val="single" w:sz="4" w:space="0" w:color="auto"/>
              <w:bottom w:val="single" w:sz="4" w:space="0" w:color="auto"/>
              <w:right w:val="single" w:sz="4" w:space="0" w:color="auto"/>
            </w:tcBorders>
            <w:hideMark/>
          </w:tcPr>
          <w:p w14:paraId="05867012" w14:textId="77777777" w:rsidR="00D72538" w:rsidRDefault="00D72538">
            <w:pPr>
              <w:rPr>
                <w:sz w:val="20"/>
                <w:szCs w:val="20"/>
              </w:rPr>
            </w:pPr>
            <w:r>
              <w:rPr>
                <w:i/>
                <w:sz w:val="20"/>
                <w:szCs w:val="20"/>
              </w:rPr>
              <w:t>Izvještaj pripremljen</w:t>
            </w:r>
          </w:p>
        </w:tc>
        <w:tc>
          <w:tcPr>
            <w:tcW w:w="1245" w:type="dxa"/>
            <w:tcBorders>
              <w:top w:val="single" w:sz="4" w:space="0" w:color="auto"/>
              <w:left w:val="single" w:sz="4" w:space="0" w:color="auto"/>
              <w:bottom w:val="single" w:sz="4" w:space="0" w:color="auto"/>
              <w:right w:val="single" w:sz="4" w:space="0" w:color="auto"/>
            </w:tcBorders>
            <w:hideMark/>
          </w:tcPr>
          <w:p w14:paraId="1186241B" w14:textId="77777777" w:rsidR="00D72538" w:rsidRDefault="00D72538">
            <w:pPr>
              <w:jc w:val="both"/>
              <w:rPr>
                <w:i/>
                <w:sz w:val="20"/>
                <w:szCs w:val="20"/>
              </w:rPr>
            </w:pPr>
            <w:r>
              <w:rPr>
                <w:sz w:val="20"/>
                <w:szCs w:val="20"/>
              </w:rPr>
              <w:t>2020</w:t>
            </w:r>
          </w:p>
        </w:tc>
        <w:tc>
          <w:tcPr>
            <w:tcW w:w="2244" w:type="dxa"/>
            <w:tcBorders>
              <w:top w:val="single" w:sz="4" w:space="0" w:color="auto"/>
              <w:left w:val="single" w:sz="4" w:space="0" w:color="auto"/>
              <w:bottom w:val="single" w:sz="4" w:space="0" w:color="auto"/>
              <w:right w:val="single" w:sz="4" w:space="0" w:color="auto"/>
            </w:tcBorders>
            <w:hideMark/>
          </w:tcPr>
          <w:p w14:paraId="6223D0CF" w14:textId="77777777" w:rsidR="00D72538" w:rsidRDefault="00D72538">
            <w:pPr>
              <w:jc w:val="both"/>
              <w:rPr>
                <w:sz w:val="20"/>
                <w:szCs w:val="20"/>
              </w:rPr>
            </w:pPr>
            <w:r>
              <w:rPr>
                <w:i/>
                <w:sz w:val="20"/>
                <w:szCs w:val="20"/>
              </w:rPr>
              <w:t>Uprava za mlade i sport, Ministarstvo prosvjete, MONSTAT</w:t>
            </w:r>
          </w:p>
        </w:tc>
        <w:tc>
          <w:tcPr>
            <w:tcW w:w="772" w:type="dxa"/>
            <w:tcBorders>
              <w:top w:val="single" w:sz="4" w:space="0" w:color="auto"/>
              <w:left w:val="single" w:sz="4" w:space="0" w:color="auto"/>
              <w:bottom w:val="single" w:sz="4" w:space="0" w:color="auto"/>
              <w:right w:val="single" w:sz="4" w:space="0" w:color="auto"/>
            </w:tcBorders>
          </w:tcPr>
          <w:p w14:paraId="130E8D76" w14:textId="77777777" w:rsidR="00D72538" w:rsidRDefault="00D72538">
            <w:pPr>
              <w:jc w:val="both"/>
              <w:rPr>
                <w:i/>
              </w:rPr>
            </w:pPr>
          </w:p>
        </w:tc>
      </w:tr>
      <w:tr w:rsidR="00D72538" w14:paraId="0BA05B82" w14:textId="77777777" w:rsidTr="00D72538">
        <w:tc>
          <w:tcPr>
            <w:tcW w:w="0" w:type="auto"/>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62460D55" w14:textId="77777777" w:rsidR="00D72538" w:rsidRDefault="00D72538">
            <w:pPr>
              <w:rPr>
                <w:rFonts w:asciiTheme="majorHAnsi" w:eastAsiaTheme="minorEastAsia" w:hAnsiTheme="majorHAnsi"/>
                <w:b/>
                <w:i/>
                <w:iCs/>
                <w:color w:val="FFFFFF" w:themeColor="background1"/>
              </w:rPr>
            </w:pPr>
          </w:p>
        </w:tc>
        <w:tc>
          <w:tcPr>
            <w:tcW w:w="5563" w:type="dxa"/>
            <w:tcBorders>
              <w:top w:val="single" w:sz="4" w:space="0" w:color="auto"/>
              <w:left w:val="single" w:sz="4" w:space="0" w:color="auto"/>
              <w:bottom w:val="single" w:sz="4" w:space="0" w:color="auto"/>
              <w:right w:val="single" w:sz="4" w:space="0" w:color="auto"/>
            </w:tcBorders>
            <w:hideMark/>
          </w:tcPr>
          <w:p w14:paraId="347A691F" w14:textId="77777777" w:rsidR="00D72538" w:rsidRDefault="00D72538">
            <w:pPr>
              <w:jc w:val="both"/>
              <w:rPr>
                <w:sz w:val="20"/>
                <w:szCs w:val="20"/>
              </w:rPr>
            </w:pPr>
            <w:r>
              <w:rPr>
                <w:sz w:val="20"/>
                <w:szCs w:val="20"/>
              </w:rPr>
              <w:t>1.8 Dizajnirati prijedlog sveobuhvatnog nacionalnog istraživanja o položaju mladih u Crnoj Gori, uz konsultacije sa civilnim sektorom i međunarodnim organizacijama o predloženom dizajnu</w:t>
            </w:r>
          </w:p>
        </w:tc>
        <w:tc>
          <w:tcPr>
            <w:tcW w:w="2323" w:type="dxa"/>
            <w:tcBorders>
              <w:top w:val="single" w:sz="4" w:space="0" w:color="auto"/>
              <w:left w:val="single" w:sz="4" w:space="0" w:color="auto"/>
              <w:bottom w:val="single" w:sz="4" w:space="0" w:color="auto"/>
              <w:right w:val="single" w:sz="4" w:space="0" w:color="auto"/>
            </w:tcBorders>
            <w:hideMark/>
          </w:tcPr>
          <w:p w14:paraId="571F8BAC" w14:textId="77777777" w:rsidR="00D72538" w:rsidRDefault="00D72538">
            <w:pPr>
              <w:rPr>
                <w:sz w:val="20"/>
                <w:szCs w:val="20"/>
              </w:rPr>
            </w:pPr>
            <w:r>
              <w:rPr>
                <w:i/>
                <w:sz w:val="20"/>
                <w:szCs w:val="20"/>
              </w:rPr>
              <w:t>Prijedlog istraživanja pripremljen</w:t>
            </w:r>
          </w:p>
        </w:tc>
        <w:tc>
          <w:tcPr>
            <w:tcW w:w="1245" w:type="dxa"/>
            <w:tcBorders>
              <w:top w:val="single" w:sz="4" w:space="0" w:color="auto"/>
              <w:left w:val="single" w:sz="4" w:space="0" w:color="auto"/>
              <w:bottom w:val="single" w:sz="4" w:space="0" w:color="auto"/>
              <w:right w:val="single" w:sz="4" w:space="0" w:color="auto"/>
            </w:tcBorders>
            <w:hideMark/>
          </w:tcPr>
          <w:p w14:paraId="703E3546" w14:textId="77777777" w:rsidR="00D72538" w:rsidRDefault="00D72538">
            <w:pPr>
              <w:jc w:val="both"/>
              <w:rPr>
                <w:i/>
                <w:sz w:val="20"/>
                <w:szCs w:val="20"/>
              </w:rPr>
            </w:pPr>
            <w:r>
              <w:rPr>
                <w:sz w:val="20"/>
                <w:szCs w:val="20"/>
              </w:rPr>
              <w:t>2017</w:t>
            </w:r>
          </w:p>
        </w:tc>
        <w:tc>
          <w:tcPr>
            <w:tcW w:w="2244" w:type="dxa"/>
            <w:tcBorders>
              <w:top w:val="single" w:sz="4" w:space="0" w:color="auto"/>
              <w:left w:val="single" w:sz="4" w:space="0" w:color="auto"/>
              <w:bottom w:val="single" w:sz="4" w:space="0" w:color="auto"/>
              <w:right w:val="single" w:sz="4" w:space="0" w:color="auto"/>
            </w:tcBorders>
            <w:hideMark/>
          </w:tcPr>
          <w:p w14:paraId="1D8EBEEF" w14:textId="77777777" w:rsidR="00D72538" w:rsidRDefault="00D72538">
            <w:pPr>
              <w:jc w:val="both"/>
              <w:rPr>
                <w:sz w:val="20"/>
                <w:szCs w:val="20"/>
              </w:rPr>
            </w:pPr>
            <w:r>
              <w:rPr>
                <w:i/>
                <w:sz w:val="20"/>
                <w:szCs w:val="20"/>
              </w:rPr>
              <w:t>Uprava za mlade i sport, Ministarstvo prosvjete, MONSTAT</w:t>
            </w:r>
          </w:p>
        </w:tc>
        <w:tc>
          <w:tcPr>
            <w:tcW w:w="772" w:type="dxa"/>
            <w:tcBorders>
              <w:top w:val="single" w:sz="4" w:space="0" w:color="auto"/>
              <w:left w:val="single" w:sz="4" w:space="0" w:color="auto"/>
              <w:bottom w:val="single" w:sz="4" w:space="0" w:color="auto"/>
              <w:right w:val="single" w:sz="4" w:space="0" w:color="auto"/>
            </w:tcBorders>
          </w:tcPr>
          <w:p w14:paraId="083F9E16" w14:textId="77777777" w:rsidR="00D72538" w:rsidRDefault="00D72538">
            <w:pPr>
              <w:jc w:val="both"/>
              <w:rPr>
                <w:i/>
              </w:rPr>
            </w:pPr>
          </w:p>
        </w:tc>
      </w:tr>
      <w:tr w:rsidR="00D72538" w14:paraId="1ED08543" w14:textId="77777777" w:rsidTr="00D72538">
        <w:tc>
          <w:tcPr>
            <w:tcW w:w="0" w:type="auto"/>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21E32F78" w14:textId="77777777" w:rsidR="00D72538" w:rsidRDefault="00D72538">
            <w:pPr>
              <w:rPr>
                <w:rFonts w:asciiTheme="majorHAnsi" w:eastAsiaTheme="minorEastAsia" w:hAnsiTheme="majorHAnsi"/>
                <w:b/>
                <w:i/>
                <w:iCs/>
                <w:color w:val="FFFFFF" w:themeColor="background1"/>
              </w:rPr>
            </w:pPr>
          </w:p>
        </w:tc>
        <w:tc>
          <w:tcPr>
            <w:tcW w:w="5563" w:type="dxa"/>
            <w:tcBorders>
              <w:top w:val="single" w:sz="4" w:space="0" w:color="auto"/>
              <w:left w:val="single" w:sz="4" w:space="0" w:color="auto"/>
              <w:bottom w:val="single" w:sz="4" w:space="0" w:color="auto"/>
              <w:right w:val="single" w:sz="4" w:space="0" w:color="auto"/>
            </w:tcBorders>
            <w:hideMark/>
          </w:tcPr>
          <w:p w14:paraId="23A0CCA3" w14:textId="77777777" w:rsidR="00D72538" w:rsidRDefault="00D72538">
            <w:pPr>
              <w:jc w:val="both"/>
              <w:rPr>
                <w:sz w:val="20"/>
                <w:szCs w:val="20"/>
              </w:rPr>
            </w:pPr>
            <w:r>
              <w:rPr>
                <w:sz w:val="20"/>
                <w:szCs w:val="20"/>
              </w:rPr>
              <w:t xml:space="preserve">1.9 Obezbijediti sredstva za pilot istraživanje </w:t>
            </w:r>
          </w:p>
        </w:tc>
        <w:tc>
          <w:tcPr>
            <w:tcW w:w="2323" w:type="dxa"/>
            <w:tcBorders>
              <w:top w:val="single" w:sz="4" w:space="0" w:color="auto"/>
              <w:left w:val="single" w:sz="4" w:space="0" w:color="auto"/>
              <w:bottom w:val="single" w:sz="4" w:space="0" w:color="auto"/>
              <w:right w:val="single" w:sz="4" w:space="0" w:color="auto"/>
            </w:tcBorders>
            <w:hideMark/>
          </w:tcPr>
          <w:p w14:paraId="6AD74BF9" w14:textId="77777777" w:rsidR="00D72538" w:rsidRDefault="00D72538">
            <w:pPr>
              <w:rPr>
                <w:sz w:val="20"/>
                <w:szCs w:val="20"/>
              </w:rPr>
            </w:pPr>
            <w:r>
              <w:rPr>
                <w:i/>
                <w:sz w:val="20"/>
                <w:szCs w:val="20"/>
              </w:rPr>
              <w:t>Sredstva obezbijeđena</w:t>
            </w:r>
          </w:p>
        </w:tc>
        <w:tc>
          <w:tcPr>
            <w:tcW w:w="1245" w:type="dxa"/>
            <w:tcBorders>
              <w:top w:val="single" w:sz="4" w:space="0" w:color="auto"/>
              <w:left w:val="single" w:sz="4" w:space="0" w:color="auto"/>
              <w:bottom w:val="single" w:sz="4" w:space="0" w:color="auto"/>
              <w:right w:val="single" w:sz="4" w:space="0" w:color="auto"/>
            </w:tcBorders>
            <w:hideMark/>
          </w:tcPr>
          <w:p w14:paraId="608A8997" w14:textId="77777777" w:rsidR="00D72538" w:rsidRDefault="00D72538">
            <w:pPr>
              <w:jc w:val="both"/>
              <w:rPr>
                <w:i/>
                <w:sz w:val="20"/>
                <w:szCs w:val="20"/>
              </w:rPr>
            </w:pPr>
            <w:r>
              <w:rPr>
                <w:sz w:val="20"/>
                <w:szCs w:val="20"/>
              </w:rPr>
              <w:t>2017</w:t>
            </w:r>
          </w:p>
        </w:tc>
        <w:tc>
          <w:tcPr>
            <w:tcW w:w="2244" w:type="dxa"/>
            <w:tcBorders>
              <w:top w:val="single" w:sz="4" w:space="0" w:color="auto"/>
              <w:left w:val="single" w:sz="4" w:space="0" w:color="auto"/>
              <w:bottom w:val="single" w:sz="4" w:space="0" w:color="auto"/>
              <w:right w:val="single" w:sz="4" w:space="0" w:color="auto"/>
            </w:tcBorders>
            <w:hideMark/>
          </w:tcPr>
          <w:p w14:paraId="3DCD42B1" w14:textId="77777777" w:rsidR="00D72538" w:rsidRDefault="00D72538">
            <w:pPr>
              <w:jc w:val="both"/>
              <w:rPr>
                <w:sz w:val="20"/>
                <w:szCs w:val="20"/>
              </w:rPr>
            </w:pPr>
            <w:r>
              <w:rPr>
                <w:i/>
                <w:sz w:val="20"/>
                <w:szCs w:val="20"/>
              </w:rPr>
              <w:t>Uprava za mlade i sport, Ministarstvo prosvjete</w:t>
            </w:r>
          </w:p>
        </w:tc>
        <w:tc>
          <w:tcPr>
            <w:tcW w:w="772" w:type="dxa"/>
            <w:tcBorders>
              <w:top w:val="single" w:sz="4" w:space="0" w:color="auto"/>
              <w:left w:val="single" w:sz="4" w:space="0" w:color="auto"/>
              <w:bottom w:val="single" w:sz="4" w:space="0" w:color="auto"/>
              <w:right w:val="single" w:sz="4" w:space="0" w:color="auto"/>
            </w:tcBorders>
          </w:tcPr>
          <w:p w14:paraId="06845C2B" w14:textId="77777777" w:rsidR="00D72538" w:rsidRDefault="00D72538">
            <w:pPr>
              <w:jc w:val="both"/>
              <w:rPr>
                <w:i/>
              </w:rPr>
            </w:pPr>
          </w:p>
        </w:tc>
      </w:tr>
      <w:tr w:rsidR="00D72538" w14:paraId="38FE493E" w14:textId="77777777" w:rsidTr="00D72538">
        <w:trPr>
          <w:trHeight w:val="872"/>
        </w:trPr>
        <w:tc>
          <w:tcPr>
            <w:tcW w:w="0" w:type="auto"/>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40951230" w14:textId="77777777" w:rsidR="00D72538" w:rsidRDefault="00D72538">
            <w:pPr>
              <w:rPr>
                <w:rFonts w:asciiTheme="majorHAnsi" w:eastAsiaTheme="minorEastAsia" w:hAnsiTheme="majorHAnsi"/>
                <w:b/>
                <w:i/>
                <w:iCs/>
                <w:color w:val="FFFFFF" w:themeColor="background1"/>
              </w:rPr>
            </w:pPr>
          </w:p>
        </w:tc>
        <w:tc>
          <w:tcPr>
            <w:tcW w:w="5563" w:type="dxa"/>
            <w:tcBorders>
              <w:top w:val="single" w:sz="4" w:space="0" w:color="auto"/>
              <w:left w:val="single" w:sz="4" w:space="0" w:color="auto"/>
              <w:bottom w:val="single" w:sz="4" w:space="0" w:color="auto"/>
              <w:right w:val="single" w:sz="4" w:space="0" w:color="auto"/>
            </w:tcBorders>
          </w:tcPr>
          <w:p w14:paraId="31E793C7" w14:textId="77777777" w:rsidR="00D72538" w:rsidRDefault="00D72538">
            <w:pPr>
              <w:jc w:val="both"/>
              <w:rPr>
                <w:sz w:val="20"/>
                <w:szCs w:val="20"/>
              </w:rPr>
            </w:pPr>
            <w:r>
              <w:rPr>
                <w:sz w:val="20"/>
                <w:szCs w:val="20"/>
              </w:rPr>
              <w:t xml:space="preserve">1.10 Predložiti Zavodu za statistiku integraciju istraživanja sveobuhvatnog nacionalnog istraživanja o položaju mladih u Crnoj Gori u Program zvanične statistike </w:t>
            </w:r>
          </w:p>
          <w:p w14:paraId="1C1D190E" w14:textId="77777777" w:rsidR="00D72538" w:rsidRDefault="00D72538">
            <w:pPr>
              <w:jc w:val="both"/>
              <w:rPr>
                <w:sz w:val="20"/>
                <w:szCs w:val="20"/>
              </w:rPr>
            </w:pPr>
          </w:p>
        </w:tc>
        <w:tc>
          <w:tcPr>
            <w:tcW w:w="2323" w:type="dxa"/>
            <w:tcBorders>
              <w:top w:val="single" w:sz="4" w:space="0" w:color="auto"/>
              <w:left w:val="single" w:sz="4" w:space="0" w:color="auto"/>
              <w:bottom w:val="single" w:sz="4" w:space="0" w:color="auto"/>
              <w:right w:val="single" w:sz="4" w:space="0" w:color="auto"/>
            </w:tcBorders>
          </w:tcPr>
          <w:p w14:paraId="2356E6CF" w14:textId="77777777" w:rsidR="00D72538" w:rsidRDefault="00D72538">
            <w:pPr>
              <w:jc w:val="both"/>
              <w:rPr>
                <w:sz w:val="20"/>
                <w:szCs w:val="20"/>
              </w:rPr>
            </w:pPr>
          </w:p>
        </w:tc>
        <w:tc>
          <w:tcPr>
            <w:tcW w:w="1245" w:type="dxa"/>
            <w:tcBorders>
              <w:top w:val="single" w:sz="4" w:space="0" w:color="auto"/>
              <w:left w:val="single" w:sz="4" w:space="0" w:color="auto"/>
              <w:bottom w:val="single" w:sz="4" w:space="0" w:color="auto"/>
              <w:right w:val="single" w:sz="4" w:space="0" w:color="auto"/>
            </w:tcBorders>
            <w:hideMark/>
          </w:tcPr>
          <w:p w14:paraId="57E159EE" w14:textId="77777777" w:rsidR="00D72538" w:rsidRDefault="00D72538">
            <w:pPr>
              <w:jc w:val="both"/>
              <w:rPr>
                <w:i/>
                <w:sz w:val="20"/>
                <w:szCs w:val="20"/>
              </w:rPr>
            </w:pPr>
            <w:r>
              <w:rPr>
                <w:sz w:val="20"/>
                <w:szCs w:val="20"/>
              </w:rPr>
              <w:t>2020</w:t>
            </w:r>
          </w:p>
        </w:tc>
        <w:tc>
          <w:tcPr>
            <w:tcW w:w="2244" w:type="dxa"/>
            <w:tcBorders>
              <w:top w:val="single" w:sz="4" w:space="0" w:color="auto"/>
              <w:left w:val="single" w:sz="4" w:space="0" w:color="auto"/>
              <w:bottom w:val="single" w:sz="4" w:space="0" w:color="auto"/>
              <w:right w:val="single" w:sz="4" w:space="0" w:color="auto"/>
            </w:tcBorders>
            <w:hideMark/>
          </w:tcPr>
          <w:p w14:paraId="7B43EB48" w14:textId="77777777" w:rsidR="00D72538" w:rsidRDefault="00D72538">
            <w:pPr>
              <w:jc w:val="both"/>
              <w:rPr>
                <w:sz w:val="20"/>
                <w:szCs w:val="20"/>
              </w:rPr>
            </w:pPr>
            <w:r>
              <w:rPr>
                <w:i/>
                <w:sz w:val="20"/>
                <w:szCs w:val="20"/>
              </w:rPr>
              <w:t>Uprava za mlade i sport, Ministarstvo prosvjete, MONSTAT</w:t>
            </w:r>
          </w:p>
        </w:tc>
        <w:tc>
          <w:tcPr>
            <w:tcW w:w="772" w:type="dxa"/>
            <w:tcBorders>
              <w:top w:val="single" w:sz="4" w:space="0" w:color="auto"/>
              <w:left w:val="single" w:sz="4" w:space="0" w:color="auto"/>
              <w:bottom w:val="single" w:sz="4" w:space="0" w:color="auto"/>
              <w:right w:val="single" w:sz="4" w:space="0" w:color="auto"/>
            </w:tcBorders>
          </w:tcPr>
          <w:p w14:paraId="77A6119A" w14:textId="77777777" w:rsidR="00D72538" w:rsidRDefault="00D72538">
            <w:pPr>
              <w:jc w:val="both"/>
              <w:rPr>
                <w:i/>
              </w:rPr>
            </w:pPr>
          </w:p>
        </w:tc>
      </w:tr>
    </w:tbl>
    <w:p w14:paraId="01283ABB" w14:textId="77777777" w:rsidR="00D72538" w:rsidRPr="00B77B54" w:rsidRDefault="00D72538" w:rsidP="003A10F9">
      <w:pPr>
        <w:jc w:val="both"/>
      </w:pPr>
    </w:p>
    <w:p w14:paraId="0EA5BFAF" w14:textId="77777777" w:rsidR="00E45133" w:rsidRPr="00B77B54" w:rsidRDefault="0094501A" w:rsidP="0094501A">
      <w:pPr>
        <w:pStyle w:val="Heading1"/>
      </w:pPr>
      <w:r w:rsidRPr="00B77B54">
        <w:t>Literatura:</w:t>
      </w:r>
    </w:p>
    <w:p w14:paraId="07B76808" w14:textId="77777777" w:rsidR="00FD429D" w:rsidRPr="00B77B54" w:rsidRDefault="00FD429D" w:rsidP="00FD429D">
      <w:pPr>
        <w:spacing w:after="0" w:line="240" w:lineRule="auto"/>
        <w:rPr>
          <w:rFonts w:ascii="Calibri" w:eastAsia="Times New Roman" w:hAnsi="Calibri" w:cs="Times New Roman"/>
          <w:color w:val="000000"/>
          <w:sz w:val="20"/>
          <w:szCs w:val="20"/>
        </w:rPr>
      </w:pPr>
      <w:r w:rsidRPr="00B77B54">
        <w:rPr>
          <w:rFonts w:ascii="Calibri" w:eastAsia="Times New Roman" w:hAnsi="Calibri" w:cs="Times New Roman"/>
          <w:color w:val="000000"/>
          <w:sz w:val="20"/>
          <w:szCs w:val="20"/>
          <w:lang w:val="hr-HR"/>
        </w:rPr>
        <w:t xml:space="preserve">European Commission, </w:t>
      </w:r>
      <w:r w:rsidRPr="00B77B54">
        <w:rPr>
          <w:rFonts w:ascii="Calibri" w:eastAsia="Times New Roman" w:hAnsi="Calibri" w:cs="Times New Roman"/>
          <w:i/>
          <w:iCs/>
          <w:color w:val="000000"/>
          <w:sz w:val="20"/>
          <w:szCs w:val="20"/>
          <w:lang w:val="hr-HR"/>
        </w:rPr>
        <w:t>EU Youth Strategy</w:t>
      </w:r>
      <w:r w:rsidRPr="00B77B54">
        <w:rPr>
          <w:rFonts w:ascii="Calibri" w:eastAsia="Times New Roman" w:hAnsi="Calibri" w:cs="Times New Roman"/>
          <w:color w:val="000000"/>
          <w:sz w:val="20"/>
          <w:szCs w:val="20"/>
          <w:lang w:val="hr-HR"/>
        </w:rPr>
        <w:t>, Brussels, 2011</w:t>
      </w:r>
    </w:p>
    <w:p w14:paraId="221EAB03" w14:textId="77777777" w:rsidR="00FD429D" w:rsidRPr="00B77B54" w:rsidRDefault="00FD429D" w:rsidP="00FD429D">
      <w:pPr>
        <w:spacing w:after="0" w:line="240" w:lineRule="auto"/>
        <w:rPr>
          <w:rFonts w:ascii="Calibri" w:eastAsia="Times New Roman" w:hAnsi="Calibri" w:cs="Times New Roman"/>
          <w:color w:val="000000"/>
          <w:sz w:val="20"/>
          <w:szCs w:val="20"/>
        </w:rPr>
      </w:pPr>
      <w:r w:rsidRPr="00B77B54">
        <w:rPr>
          <w:rFonts w:ascii="Calibri" w:eastAsia="Times New Roman" w:hAnsi="Calibri" w:cs="Times New Roman"/>
          <w:color w:val="000000"/>
          <w:sz w:val="20"/>
          <w:szCs w:val="20"/>
        </w:rPr>
        <w:t xml:space="preserve">European Commission, </w:t>
      </w:r>
      <w:r w:rsidRPr="00B77B54">
        <w:rPr>
          <w:rFonts w:ascii="Calibri" w:eastAsia="Times New Roman" w:hAnsi="Calibri" w:cs="Times New Roman"/>
          <w:i/>
          <w:color w:val="000000"/>
          <w:sz w:val="20"/>
          <w:szCs w:val="20"/>
        </w:rPr>
        <w:t>Flash Eurobarometer on European Youth</w:t>
      </w:r>
      <w:r w:rsidRPr="00B77B54">
        <w:rPr>
          <w:rFonts w:ascii="Calibri" w:eastAsia="Times New Roman" w:hAnsi="Calibri" w:cs="Times New Roman"/>
          <w:color w:val="000000"/>
          <w:sz w:val="20"/>
          <w:szCs w:val="20"/>
        </w:rPr>
        <w:t>, 408</w:t>
      </w:r>
    </w:p>
    <w:p w14:paraId="0D935D19" w14:textId="77777777" w:rsidR="007A1717" w:rsidRPr="00B77B54" w:rsidRDefault="00FD429D" w:rsidP="007A1717">
      <w:pPr>
        <w:spacing w:after="0" w:line="240" w:lineRule="auto"/>
        <w:rPr>
          <w:rFonts w:ascii="Calibri" w:eastAsia="Times New Roman" w:hAnsi="Calibri" w:cs="Times New Roman"/>
          <w:color w:val="000000"/>
          <w:sz w:val="20"/>
          <w:szCs w:val="20"/>
        </w:rPr>
      </w:pPr>
      <w:r w:rsidRPr="00B77B54">
        <w:rPr>
          <w:rFonts w:ascii="Calibri" w:eastAsia="Times New Roman" w:hAnsi="Calibri" w:cs="Times New Roman"/>
          <w:color w:val="000000"/>
          <w:sz w:val="20"/>
          <w:szCs w:val="20"/>
        </w:rPr>
        <w:t>Evropski omladinski forum</w:t>
      </w:r>
      <w:r w:rsidR="007A1717" w:rsidRPr="00B77B54">
        <w:rPr>
          <w:rFonts w:ascii="Calibri" w:eastAsia="Times New Roman" w:hAnsi="Calibri" w:cs="Times New Roman"/>
          <w:color w:val="000000"/>
          <w:sz w:val="20"/>
          <w:szCs w:val="20"/>
        </w:rPr>
        <w:t xml:space="preserve">, </w:t>
      </w:r>
      <w:r w:rsidR="007A1717" w:rsidRPr="00B77B54">
        <w:rPr>
          <w:rFonts w:ascii="Calibri" w:eastAsia="Times New Roman" w:hAnsi="Calibri" w:cs="Times New Roman"/>
          <w:i/>
          <w:iCs/>
          <w:color w:val="000000"/>
          <w:sz w:val="20"/>
          <w:szCs w:val="20"/>
        </w:rPr>
        <w:t>11 Indicators of a (national) youth policy</w:t>
      </w:r>
    </w:p>
    <w:p w14:paraId="696734BD" w14:textId="77777777" w:rsidR="007A1717" w:rsidRPr="00B77B54" w:rsidRDefault="007A1717" w:rsidP="007A1717">
      <w:pPr>
        <w:spacing w:after="0" w:line="240" w:lineRule="auto"/>
        <w:jc w:val="both"/>
        <w:rPr>
          <w:rFonts w:ascii="Calibri" w:eastAsia="Times New Roman" w:hAnsi="Calibri" w:cs="Times New Roman"/>
          <w:color w:val="000000"/>
          <w:sz w:val="20"/>
          <w:szCs w:val="20"/>
        </w:rPr>
      </w:pPr>
      <w:r w:rsidRPr="00B77B54">
        <w:rPr>
          <w:rFonts w:ascii="Calibri" w:eastAsia="Times New Roman" w:hAnsi="Calibri" w:cs="Times New Roman"/>
          <w:color w:val="000000"/>
          <w:sz w:val="20"/>
          <w:szCs w:val="20"/>
          <w:lang w:val="bs-Latn-BA"/>
        </w:rPr>
        <w:t xml:space="preserve">Đurić, Dragan, </w:t>
      </w:r>
      <w:r w:rsidRPr="00B77B54">
        <w:rPr>
          <w:rFonts w:ascii="Calibri" w:eastAsia="Times New Roman" w:hAnsi="Calibri" w:cs="Times New Roman"/>
          <w:i/>
          <w:iCs/>
          <w:color w:val="000000"/>
          <w:sz w:val="20"/>
          <w:szCs w:val="20"/>
          <w:lang w:val="bs-Latn-BA"/>
        </w:rPr>
        <w:t xml:space="preserve">Tranzicija na tržište rada mladih žena i muškaraca u Crnoj Gori, </w:t>
      </w:r>
      <w:r w:rsidRPr="00B77B54">
        <w:rPr>
          <w:rFonts w:ascii="Calibri" w:eastAsia="Times New Roman" w:hAnsi="Calibri" w:cs="Times New Roman"/>
          <w:color w:val="000000"/>
          <w:sz w:val="20"/>
          <w:szCs w:val="20"/>
          <w:lang w:val="bs-Latn-BA"/>
        </w:rPr>
        <w:t>Međunarodna organizacija rada, 2016</w:t>
      </w:r>
    </w:p>
    <w:p w14:paraId="375F1A64" w14:textId="77777777" w:rsidR="007A1717" w:rsidRPr="00B77B54" w:rsidRDefault="007A1717" w:rsidP="007A1717">
      <w:pPr>
        <w:spacing w:after="0" w:line="240" w:lineRule="auto"/>
        <w:rPr>
          <w:rFonts w:ascii="Calibri" w:eastAsia="Times New Roman" w:hAnsi="Calibri" w:cs="Times New Roman"/>
          <w:color w:val="000000"/>
          <w:sz w:val="20"/>
          <w:szCs w:val="20"/>
        </w:rPr>
      </w:pPr>
      <w:r w:rsidRPr="00B77B54">
        <w:rPr>
          <w:rFonts w:ascii="Calibri" w:eastAsia="Times New Roman" w:hAnsi="Calibri" w:cs="Times New Roman"/>
          <w:color w:val="000000"/>
          <w:sz w:val="20"/>
          <w:szCs w:val="20"/>
          <w:lang w:val="bs-Latn-BA"/>
        </w:rPr>
        <w:t xml:space="preserve">Karsten, Andreas, Muir, John, Ohana Yael, Wolszczak, Grzegorz, </w:t>
      </w:r>
      <w:r w:rsidRPr="00B77B54">
        <w:rPr>
          <w:rFonts w:ascii="Calibri" w:eastAsia="Times New Roman" w:hAnsi="Calibri" w:cs="Times New Roman"/>
          <w:i/>
          <w:iCs/>
          <w:color w:val="000000"/>
          <w:sz w:val="20"/>
          <w:szCs w:val="20"/>
          <w:lang w:val="bs-Latn-BA"/>
        </w:rPr>
        <w:t xml:space="preserve">Research Handbook, </w:t>
      </w:r>
      <w:r w:rsidRPr="00B77B54">
        <w:rPr>
          <w:rFonts w:ascii="Calibri" w:eastAsia="Times New Roman" w:hAnsi="Calibri" w:cs="Times New Roman"/>
          <w:color w:val="000000"/>
          <w:sz w:val="20"/>
          <w:szCs w:val="20"/>
          <w:lang w:val="bs-Latn-BA"/>
        </w:rPr>
        <w:t>Demokratie and Dialogue, e.v., Berlin, 2013</w:t>
      </w:r>
    </w:p>
    <w:p w14:paraId="2A759AF1" w14:textId="58A4C392" w:rsidR="0094501A" w:rsidRPr="0094501A" w:rsidRDefault="00FD429D" w:rsidP="00D72538">
      <w:pPr>
        <w:spacing w:after="0" w:line="240" w:lineRule="auto"/>
        <w:jc w:val="both"/>
      </w:pPr>
      <w:r w:rsidRPr="00B77B54">
        <w:rPr>
          <w:rFonts w:ascii="Calibri" w:eastAsia="Times New Roman" w:hAnsi="Calibri" w:cs="Times New Roman"/>
          <w:color w:val="000000"/>
          <w:sz w:val="20"/>
          <w:szCs w:val="20"/>
          <w:lang w:val="bs-Latn-BA"/>
        </w:rPr>
        <w:t>Sistem Ujedinjenih nacija u Crnoj Gori</w:t>
      </w:r>
      <w:r w:rsidR="007A1717" w:rsidRPr="00B77B54">
        <w:rPr>
          <w:rFonts w:ascii="Calibri" w:eastAsia="Times New Roman" w:hAnsi="Calibri" w:cs="Times New Roman"/>
          <w:color w:val="000000"/>
          <w:sz w:val="20"/>
          <w:szCs w:val="20"/>
          <w:lang w:val="bs-Latn-BA"/>
        </w:rPr>
        <w:t xml:space="preserve">, </w:t>
      </w:r>
      <w:r w:rsidR="007A1717" w:rsidRPr="00B77B54">
        <w:rPr>
          <w:rFonts w:ascii="Calibri" w:eastAsia="Times New Roman" w:hAnsi="Calibri" w:cs="Times New Roman"/>
          <w:i/>
          <w:iCs/>
          <w:color w:val="000000"/>
          <w:sz w:val="20"/>
          <w:szCs w:val="20"/>
          <w:lang w:val="bs-Latn-BA"/>
        </w:rPr>
        <w:t xml:space="preserve">KAP - istraživanje o znanju, stavovima i ponašanju građana Crne Gore u vezi sa zapošljavanjem i participacijom mladih, </w:t>
      </w:r>
      <w:r w:rsidR="007A1717" w:rsidRPr="00B77B54">
        <w:rPr>
          <w:rFonts w:ascii="Calibri" w:eastAsia="Times New Roman" w:hAnsi="Calibri" w:cs="Times New Roman"/>
          <w:color w:val="000000"/>
          <w:sz w:val="20"/>
          <w:szCs w:val="20"/>
          <w:lang w:val="bs-Latn-BA"/>
        </w:rPr>
        <w:t>Podgorica, 2013.</w:t>
      </w:r>
      <w:r w:rsidR="007A1717" w:rsidRPr="007A1717">
        <w:rPr>
          <w:rFonts w:ascii="Calibri" w:eastAsia="Times New Roman" w:hAnsi="Calibri" w:cs="Times New Roman"/>
          <w:color w:val="000000"/>
          <w:sz w:val="20"/>
          <w:szCs w:val="20"/>
          <w:lang w:val="bs-Latn-BA"/>
        </w:rPr>
        <w:t xml:space="preserve"> </w:t>
      </w:r>
    </w:p>
    <w:sectPr w:rsidR="0094501A" w:rsidRPr="0094501A" w:rsidSect="00A11F4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33959" w14:textId="77777777" w:rsidR="00CE3789" w:rsidRDefault="00CE3789" w:rsidP="00D309E3">
      <w:pPr>
        <w:spacing w:after="0" w:line="240" w:lineRule="auto"/>
      </w:pPr>
      <w:r>
        <w:separator/>
      </w:r>
    </w:p>
  </w:endnote>
  <w:endnote w:type="continuationSeparator" w:id="0">
    <w:p w14:paraId="28E92EE4" w14:textId="77777777" w:rsidR="00CE3789" w:rsidRDefault="00CE3789" w:rsidP="00D3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854379"/>
      <w:docPartObj>
        <w:docPartGallery w:val="Page Numbers (Bottom of Page)"/>
        <w:docPartUnique/>
      </w:docPartObj>
    </w:sdtPr>
    <w:sdtEndPr>
      <w:rPr>
        <w:noProof/>
      </w:rPr>
    </w:sdtEndPr>
    <w:sdtContent>
      <w:p w14:paraId="3A4B9842" w14:textId="6A71839E" w:rsidR="00B77B54" w:rsidRDefault="00B77B54">
        <w:pPr>
          <w:pStyle w:val="Footer"/>
          <w:jc w:val="right"/>
        </w:pPr>
        <w:r>
          <w:fldChar w:fldCharType="begin"/>
        </w:r>
        <w:r>
          <w:instrText xml:space="preserve"> PAGE   \* MERGEFORMAT </w:instrText>
        </w:r>
        <w:r>
          <w:fldChar w:fldCharType="separate"/>
        </w:r>
        <w:r w:rsidR="005C6520">
          <w:rPr>
            <w:noProof/>
          </w:rPr>
          <w:t>1</w:t>
        </w:r>
        <w:r>
          <w:rPr>
            <w:noProof/>
          </w:rPr>
          <w:fldChar w:fldCharType="end"/>
        </w:r>
      </w:p>
    </w:sdtContent>
  </w:sdt>
  <w:p w14:paraId="011CDEE4" w14:textId="77777777" w:rsidR="00B77B54" w:rsidRDefault="00B77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7398A" w14:textId="77777777" w:rsidR="00CE3789" w:rsidRDefault="00CE3789" w:rsidP="00D309E3">
      <w:pPr>
        <w:spacing w:after="0" w:line="240" w:lineRule="auto"/>
      </w:pPr>
      <w:r>
        <w:separator/>
      </w:r>
    </w:p>
  </w:footnote>
  <w:footnote w:type="continuationSeparator" w:id="0">
    <w:p w14:paraId="2B9300CF" w14:textId="77777777" w:rsidR="00CE3789" w:rsidRDefault="00CE3789" w:rsidP="00D309E3">
      <w:pPr>
        <w:spacing w:after="0" w:line="240" w:lineRule="auto"/>
      </w:pPr>
      <w:r>
        <w:continuationSeparator/>
      </w:r>
    </w:p>
  </w:footnote>
  <w:footnote w:id="1">
    <w:p w14:paraId="71D47E19" w14:textId="77777777" w:rsidR="00B77B54" w:rsidRPr="00B77B54" w:rsidRDefault="00B77B54" w:rsidP="00635F71">
      <w:pPr>
        <w:pStyle w:val="FootnoteText"/>
        <w:jc w:val="both"/>
        <w:rPr>
          <w:lang w:val="bs-Latn-BA"/>
        </w:rPr>
      </w:pPr>
      <w:r w:rsidRPr="00B77B54">
        <w:rPr>
          <w:rStyle w:val="FootnoteReference"/>
        </w:rPr>
        <w:footnoteRef/>
      </w:r>
      <w:r w:rsidRPr="00B77B54">
        <w:t xml:space="preserve"> </w:t>
      </w:r>
      <w:r w:rsidRPr="00B77B54">
        <w:rPr>
          <w:lang w:val="bs-Latn-BA"/>
        </w:rPr>
        <w:t xml:space="preserve">Na primjer: Sistem Ujedinjenih nacija u Crnoj Gori, </w:t>
      </w:r>
      <w:r w:rsidRPr="00B77B54">
        <w:rPr>
          <w:i/>
          <w:lang w:val="bs-Latn-BA"/>
        </w:rPr>
        <w:t xml:space="preserve">KAP - istraživanje o znanju, stavovima i ponašanju građana Crne Gore u vezi sa zapošljavanjem i participacijom mladih, </w:t>
      </w:r>
      <w:r w:rsidRPr="00B77B54">
        <w:rPr>
          <w:lang w:val="bs-Latn-BA"/>
        </w:rPr>
        <w:t xml:space="preserve">Podgorica, 2013. Ili Đurić, Dragan, </w:t>
      </w:r>
      <w:r w:rsidRPr="00B77B54">
        <w:rPr>
          <w:i/>
          <w:lang w:val="bs-Latn-BA"/>
        </w:rPr>
        <w:t xml:space="preserve">Tranzicija na tržište rada mladih žena i muškaraca u Crnoj Gori, </w:t>
      </w:r>
      <w:r w:rsidRPr="00B77B54">
        <w:rPr>
          <w:lang w:val="bs-Latn-BA"/>
        </w:rPr>
        <w:t>Međunarodna organizacija rada, 2016</w:t>
      </w:r>
    </w:p>
  </w:footnote>
  <w:footnote w:id="2">
    <w:p w14:paraId="7FF672A0" w14:textId="77777777" w:rsidR="00B77B54" w:rsidRPr="00B77B54" w:rsidRDefault="00B77B54">
      <w:pPr>
        <w:pStyle w:val="FootnoteText"/>
        <w:rPr>
          <w:i/>
          <w:lang w:val="bs-Latn-BA"/>
        </w:rPr>
      </w:pPr>
      <w:r w:rsidRPr="00B77B54">
        <w:rPr>
          <w:rStyle w:val="FootnoteReference"/>
        </w:rPr>
        <w:footnoteRef/>
      </w:r>
      <w:r w:rsidRPr="00B77B54">
        <w:t xml:space="preserve"> </w:t>
      </w:r>
      <w:r w:rsidRPr="00B77B54">
        <w:rPr>
          <w:i/>
          <w:lang w:val="bs-Latn-BA"/>
        </w:rPr>
        <w:t>11 Indicators of a (national) youth policy, European Youth Forum (Evropski omladinski forum je razvio dokument 11 indikatora nacionalne omladinske politike, na osnovu 11 indikatora predstavljenih od strane Savjeta Evrope 2001. godine)</w:t>
      </w:r>
    </w:p>
  </w:footnote>
  <w:footnote w:id="3">
    <w:p w14:paraId="2C98538B" w14:textId="77777777" w:rsidR="00B77B54" w:rsidRPr="00B77B54" w:rsidRDefault="00B77B54">
      <w:pPr>
        <w:pStyle w:val="FootnoteText"/>
        <w:rPr>
          <w:lang w:val="bs-Latn-BA"/>
        </w:rPr>
      </w:pPr>
      <w:r w:rsidRPr="00B77B54">
        <w:rPr>
          <w:rStyle w:val="FootnoteReference"/>
        </w:rPr>
        <w:footnoteRef/>
      </w:r>
      <w:r w:rsidRPr="00B77B54">
        <w:t xml:space="preserve"> </w:t>
      </w:r>
      <w:r w:rsidRPr="00B77B54">
        <w:rPr>
          <w:lang w:val="bs-Latn-BA"/>
        </w:rPr>
        <w:t xml:space="preserve">Karsten, Andreas, Muir, John, Ohana Yael, Wolszczak, Grzegorz, </w:t>
      </w:r>
      <w:r w:rsidRPr="00B77B54">
        <w:rPr>
          <w:i/>
          <w:lang w:val="bs-Latn-BA"/>
        </w:rPr>
        <w:t xml:space="preserve">Research Handbook, </w:t>
      </w:r>
      <w:r w:rsidRPr="00B77B54">
        <w:rPr>
          <w:lang w:val="bs-Latn-BA"/>
        </w:rPr>
        <w:t>Demokratie and Dialogue, e.v., Berlin, 2013</w:t>
      </w:r>
    </w:p>
  </w:footnote>
  <w:footnote w:id="4">
    <w:p w14:paraId="6AC9D93B" w14:textId="77777777" w:rsidR="00B77B54" w:rsidRPr="00B77B54" w:rsidRDefault="00B77B54">
      <w:pPr>
        <w:pStyle w:val="FootnoteText"/>
        <w:rPr>
          <w:lang w:val="hr-HR"/>
        </w:rPr>
      </w:pPr>
      <w:r w:rsidRPr="00B77B54">
        <w:rPr>
          <w:rStyle w:val="FootnoteReference"/>
        </w:rPr>
        <w:footnoteRef/>
      </w:r>
      <w:r w:rsidRPr="00B77B54">
        <w:t xml:space="preserve"> </w:t>
      </w:r>
      <w:r w:rsidRPr="00B77B54">
        <w:rPr>
          <w:lang w:val="hr-HR"/>
        </w:rPr>
        <w:t xml:space="preserve">European Commission, </w:t>
      </w:r>
      <w:r w:rsidRPr="00B77B54">
        <w:rPr>
          <w:i/>
          <w:lang w:val="hr-HR"/>
        </w:rPr>
        <w:t>EU Youth Strategy</w:t>
      </w:r>
      <w:r w:rsidRPr="00B77B54">
        <w:rPr>
          <w:lang w:val="hr-HR"/>
        </w:rPr>
        <w:t>, Brussels, 2011</w:t>
      </w:r>
    </w:p>
  </w:footnote>
  <w:footnote w:id="5">
    <w:p w14:paraId="5C9F8F30" w14:textId="77777777" w:rsidR="00B77B54" w:rsidRPr="00B77B54" w:rsidRDefault="00B77B54">
      <w:pPr>
        <w:pStyle w:val="FootnoteText"/>
      </w:pPr>
      <w:r w:rsidRPr="00B77B54">
        <w:rPr>
          <w:rStyle w:val="FootnoteReference"/>
        </w:rPr>
        <w:footnoteRef/>
      </w:r>
      <w:r w:rsidRPr="00B77B54">
        <w:t xml:space="preserve"> Youth on the Move</w:t>
      </w:r>
    </w:p>
  </w:footnote>
  <w:footnote w:id="6">
    <w:p w14:paraId="70450DDC" w14:textId="77777777" w:rsidR="00B77B54" w:rsidRPr="00B77B54" w:rsidRDefault="00B77B54">
      <w:pPr>
        <w:pStyle w:val="FootnoteText"/>
        <w:rPr>
          <w:lang w:val="hr-HR"/>
        </w:rPr>
      </w:pPr>
      <w:r w:rsidRPr="00B77B54">
        <w:rPr>
          <w:rStyle w:val="FootnoteReference"/>
        </w:rPr>
        <w:footnoteRef/>
      </w:r>
      <w:r w:rsidRPr="00B77B54">
        <w:t xml:space="preserve"> Flash Eurobarometer European Youth, 408</w:t>
      </w:r>
    </w:p>
  </w:footnote>
  <w:footnote w:id="7">
    <w:p w14:paraId="2431A091" w14:textId="77777777" w:rsidR="00B77B54" w:rsidRPr="00B77B54" w:rsidRDefault="00B77B54">
      <w:pPr>
        <w:pStyle w:val="FootnoteText"/>
        <w:rPr>
          <w:lang w:val="bs-Latn-BA"/>
        </w:rPr>
      </w:pPr>
      <w:r w:rsidRPr="00B77B54">
        <w:rPr>
          <w:rStyle w:val="FootnoteReference"/>
        </w:rPr>
        <w:footnoteRef/>
      </w:r>
      <w:r w:rsidRPr="00B77B54">
        <w:t xml:space="preserve"> </w:t>
      </w:r>
      <w:r w:rsidRPr="00B77B54">
        <w:rPr>
          <w:lang w:val="bs-Latn-BA"/>
        </w:rPr>
        <w:t xml:space="preserve">Karsten, Andreas, Muir, John, Ohana Yael, Wolszczak, Grzegorz, </w:t>
      </w:r>
      <w:r w:rsidRPr="00B77B54">
        <w:rPr>
          <w:i/>
          <w:lang w:val="bs-Latn-BA"/>
        </w:rPr>
        <w:t xml:space="preserve">Research Handbook, </w:t>
      </w:r>
      <w:r w:rsidRPr="00B77B54">
        <w:rPr>
          <w:lang w:val="bs-Latn-BA"/>
        </w:rPr>
        <w:t>Demokratie and Dialogue, e.v., Berlin, 2013</w:t>
      </w:r>
    </w:p>
  </w:footnote>
  <w:footnote w:id="8">
    <w:p w14:paraId="1EE9A708" w14:textId="77777777" w:rsidR="00B77B54" w:rsidRPr="00B77B54" w:rsidRDefault="00B77B54" w:rsidP="00873565">
      <w:pPr>
        <w:pStyle w:val="FootnoteText"/>
        <w:rPr>
          <w:lang w:val="bs-Latn-BA"/>
        </w:rPr>
      </w:pPr>
      <w:r w:rsidRPr="00B77B54">
        <w:rPr>
          <w:rStyle w:val="FootnoteReference"/>
        </w:rPr>
        <w:footnoteRef/>
      </w:r>
      <w:r w:rsidRPr="00B77B54">
        <w:t xml:space="preserve"> </w:t>
      </w:r>
      <w:r w:rsidRPr="00B77B54">
        <w:rPr>
          <w:rFonts w:asciiTheme="majorHAnsi" w:hAnsiTheme="majorHAnsi" w:cs="Times New Roman"/>
          <w:sz w:val="16"/>
          <w:szCs w:val="16"/>
        </w:rPr>
        <w:t>Na engleskom NEET -</w:t>
      </w:r>
      <w:r w:rsidRPr="00B77B54">
        <w:rPr>
          <w:lang w:val="bs-Latn-BA"/>
        </w:rPr>
        <w:t xml:space="preserve"> </w:t>
      </w:r>
      <w:r w:rsidRPr="00B77B54">
        <w:rPr>
          <w:rFonts w:asciiTheme="majorHAnsi" w:hAnsiTheme="majorHAnsi" w:cs="Times New Roman"/>
          <w:sz w:val="16"/>
          <w:szCs w:val="16"/>
        </w:rPr>
        <w:t>not in employment, education or training.</w:t>
      </w:r>
    </w:p>
  </w:footnote>
  <w:footnote w:id="9">
    <w:p w14:paraId="04B994E8" w14:textId="77777777" w:rsidR="00B77B54" w:rsidRPr="00B77B54" w:rsidRDefault="00B77B54">
      <w:pPr>
        <w:pStyle w:val="FootnoteText"/>
        <w:rPr>
          <w:lang w:val="sr-Latn-ME"/>
        </w:rPr>
      </w:pPr>
      <w:r w:rsidRPr="00B77B54">
        <w:rPr>
          <w:rStyle w:val="FootnoteReference"/>
        </w:rPr>
        <w:footnoteRef/>
      </w:r>
      <w:r w:rsidRPr="00B77B54">
        <w:t xml:space="preserve"> </w:t>
      </w:r>
      <w:r w:rsidRPr="00B77B54">
        <w:rPr>
          <w:rFonts w:asciiTheme="majorHAnsi" w:hAnsiTheme="majorHAnsi" w:cs="Times New Roman"/>
          <w:sz w:val="16"/>
          <w:szCs w:val="16"/>
        </w:rPr>
        <w:t>Đurić, Dragan, Tranzicija na tržište rada mladih žena i muškaraca u Crnoj Gori, Međunarodna organizacija rada, 2016</w:t>
      </w:r>
    </w:p>
  </w:footnote>
  <w:footnote w:id="10">
    <w:p w14:paraId="5E924832" w14:textId="77777777" w:rsidR="00B77B54" w:rsidRPr="00B77B54" w:rsidRDefault="00B77B54">
      <w:pPr>
        <w:pStyle w:val="FootnoteText"/>
        <w:rPr>
          <w:lang w:val="sr-Latn-ME"/>
        </w:rPr>
      </w:pPr>
      <w:r w:rsidRPr="00B77B54">
        <w:rPr>
          <w:rStyle w:val="FootnoteReference"/>
        </w:rPr>
        <w:footnoteRef/>
      </w:r>
      <w:r w:rsidRPr="00B77B54">
        <w:t xml:space="preserve"> </w:t>
      </w:r>
      <w:r w:rsidRPr="00B77B54">
        <w:rPr>
          <w:rFonts w:asciiTheme="majorHAnsi" w:hAnsiTheme="majorHAnsi" w:cs="Times New Roman"/>
          <w:sz w:val="16"/>
          <w:szCs w:val="16"/>
        </w:rPr>
        <w:t>Ibid</w:t>
      </w:r>
    </w:p>
  </w:footnote>
  <w:footnote w:id="11">
    <w:p w14:paraId="2CE87DAF" w14:textId="77777777" w:rsidR="00B51ACF" w:rsidRPr="00BA3681" w:rsidRDefault="00B51ACF">
      <w:pPr>
        <w:pStyle w:val="FootnoteText"/>
        <w:rPr>
          <w:lang w:val="sr-Latn-ME"/>
        </w:rPr>
      </w:pPr>
      <w:r w:rsidRPr="00B77B54">
        <w:rPr>
          <w:rStyle w:val="FootnoteReference"/>
        </w:rPr>
        <w:footnoteRef/>
      </w:r>
      <w:r w:rsidRPr="00B77B54">
        <w:t xml:space="preserve"> </w:t>
      </w:r>
      <w:r w:rsidRPr="00B77B54">
        <w:rPr>
          <w:rFonts w:asciiTheme="majorHAnsi" w:hAnsiTheme="majorHAnsi" w:cs="Times New Roman"/>
          <w:sz w:val="16"/>
          <w:szCs w:val="16"/>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552E3"/>
    <w:multiLevelType w:val="hybridMultilevel"/>
    <w:tmpl w:val="EA4C2DB8"/>
    <w:lvl w:ilvl="0" w:tplc="C3760F58">
      <w:start w:val="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F1"/>
    <w:rsid w:val="000018D2"/>
    <w:rsid w:val="00015DB5"/>
    <w:rsid w:val="00041ECC"/>
    <w:rsid w:val="0004296B"/>
    <w:rsid w:val="000651C1"/>
    <w:rsid w:val="00086277"/>
    <w:rsid w:val="000966E0"/>
    <w:rsid w:val="000B26FF"/>
    <w:rsid w:val="000C4E1F"/>
    <w:rsid w:val="000D5621"/>
    <w:rsid w:val="000F4E10"/>
    <w:rsid w:val="00106FB2"/>
    <w:rsid w:val="001269C7"/>
    <w:rsid w:val="00134F8A"/>
    <w:rsid w:val="00135681"/>
    <w:rsid w:val="00154E60"/>
    <w:rsid w:val="00167093"/>
    <w:rsid w:val="00170657"/>
    <w:rsid w:val="00181903"/>
    <w:rsid w:val="00196722"/>
    <w:rsid w:val="001A203F"/>
    <w:rsid w:val="001B5678"/>
    <w:rsid w:val="001B6272"/>
    <w:rsid w:val="001C0167"/>
    <w:rsid w:val="002255F8"/>
    <w:rsid w:val="00227F94"/>
    <w:rsid w:val="00253B31"/>
    <w:rsid w:val="00276654"/>
    <w:rsid w:val="00276938"/>
    <w:rsid w:val="002821CA"/>
    <w:rsid w:val="0028502C"/>
    <w:rsid w:val="00286C28"/>
    <w:rsid w:val="002958E8"/>
    <w:rsid w:val="002B3EAE"/>
    <w:rsid w:val="002B4448"/>
    <w:rsid w:val="002B4CAE"/>
    <w:rsid w:val="002D64CB"/>
    <w:rsid w:val="00301201"/>
    <w:rsid w:val="00301A1A"/>
    <w:rsid w:val="00310E2F"/>
    <w:rsid w:val="0031245D"/>
    <w:rsid w:val="0031669B"/>
    <w:rsid w:val="00352E4B"/>
    <w:rsid w:val="00357A3A"/>
    <w:rsid w:val="00364015"/>
    <w:rsid w:val="00377EB4"/>
    <w:rsid w:val="003A10F9"/>
    <w:rsid w:val="003A3947"/>
    <w:rsid w:val="003A41AF"/>
    <w:rsid w:val="003A69FB"/>
    <w:rsid w:val="003B4616"/>
    <w:rsid w:val="003B6711"/>
    <w:rsid w:val="003E05DB"/>
    <w:rsid w:val="003E0EF9"/>
    <w:rsid w:val="003E130D"/>
    <w:rsid w:val="003E4B9E"/>
    <w:rsid w:val="0042490D"/>
    <w:rsid w:val="00437580"/>
    <w:rsid w:val="004404A3"/>
    <w:rsid w:val="00444319"/>
    <w:rsid w:val="0045455F"/>
    <w:rsid w:val="00473A6B"/>
    <w:rsid w:val="00487714"/>
    <w:rsid w:val="004920D7"/>
    <w:rsid w:val="004A4A0A"/>
    <w:rsid w:val="004A6E21"/>
    <w:rsid w:val="004C4DFA"/>
    <w:rsid w:val="004C5E90"/>
    <w:rsid w:val="005178CC"/>
    <w:rsid w:val="005450DA"/>
    <w:rsid w:val="00582AF9"/>
    <w:rsid w:val="005A7614"/>
    <w:rsid w:val="005C6520"/>
    <w:rsid w:val="00611D44"/>
    <w:rsid w:val="00625F7F"/>
    <w:rsid w:val="00635F71"/>
    <w:rsid w:val="00690D1B"/>
    <w:rsid w:val="00694FBF"/>
    <w:rsid w:val="006A1808"/>
    <w:rsid w:val="006D16FA"/>
    <w:rsid w:val="006D580D"/>
    <w:rsid w:val="006E0965"/>
    <w:rsid w:val="00702C19"/>
    <w:rsid w:val="00732764"/>
    <w:rsid w:val="00740975"/>
    <w:rsid w:val="0074603B"/>
    <w:rsid w:val="0075139E"/>
    <w:rsid w:val="00770DF5"/>
    <w:rsid w:val="00774567"/>
    <w:rsid w:val="007A1717"/>
    <w:rsid w:val="007E3052"/>
    <w:rsid w:val="0080738F"/>
    <w:rsid w:val="00836D98"/>
    <w:rsid w:val="008404CF"/>
    <w:rsid w:val="00841A8C"/>
    <w:rsid w:val="00855CED"/>
    <w:rsid w:val="00873565"/>
    <w:rsid w:val="008736FA"/>
    <w:rsid w:val="008874B3"/>
    <w:rsid w:val="00896DCB"/>
    <w:rsid w:val="008B0903"/>
    <w:rsid w:val="008B248F"/>
    <w:rsid w:val="008F25FE"/>
    <w:rsid w:val="008F2918"/>
    <w:rsid w:val="00900693"/>
    <w:rsid w:val="0090791B"/>
    <w:rsid w:val="0091132B"/>
    <w:rsid w:val="0091367F"/>
    <w:rsid w:val="009151F9"/>
    <w:rsid w:val="00925F61"/>
    <w:rsid w:val="0094501A"/>
    <w:rsid w:val="00951042"/>
    <w:rsid w:val="00975356"/>
    <w:rsid w:val="009757DA"/>
    <w:rsid w:val="00976B8E"/>
    <w:rsid w:val="009A30CA"/>
    <w:rsid w:val="009B2622"/>
    <w:rsid w:val="009C0A07"/>
    <w:rsid w:val="009C45B9"/>
    <w:rsid w:val="009D1A3D"/>
    <w:rsid w:val="009F302E"/>
    <w:rsid w:val="00A11F44"/>
    <w:rsid w:val="00A16C6B"/>
    <w:rsid w:val="00A222A7"/>
    <w:rsid w:val="00A3189A"/>
    <w:rsid w:val="00A31980"/>
    <w:rsid w:val="00A538CD"/>
    <w:rsid w:val="00A60769"/>
    <w:rsid w:val="00A85CCF"/>
    <w:rsid w:val="00A8652D"/>
    <w:rsid w:val="00AA376A"/>
    <w:rsid w:val="00AA6C87"/>
    <w:rsid w:val="00AD161F"/>
    <w:rsid w:val="00AD688C"/>
    <w:rsid w:val="00B008DB"/>
    <w:rsid w:val="00B4193E"/>
    <w:rsid w:val="00B41B02"/>
    <w:rsid w:val="00B51ACF"/>
    <w:rsid w:val="00B64B33"/>
    <w:rsid w:val="00B7690E"/>
    <w:rsid w:val="00B77B54"/>
    <w:rsid w:val="00B9476E"/>
    <w:rsid w:val="00BA3681"/>
    <w:rsid w:val="00BC72C2"/>
    <w:rsid w:val="00BD05FE"/>
    <w:rsid w:val="00BE306A"/>
    <w:rsid w:val="00C16A23"/>
    <w:rsid w:val="00C17E8D"/>
    <w:rsid w:val="00C40C46"/>
    <w:rsid w:val="00C50906"/>
    <w:rsid w:val="00C5424D"/>
    <w:rsid w:val="00C57603"/>
    <w:rsid w:val="00C57A70"/>
    <w:rsid w:val="00C77F5C"/>
    <w:rsid w:val="00C844BE"/>
    <w:rsid w:val="00C90FD7"/>
    <w:rsid w:val="00C9212E"/>
    <w:rsid w:val="00C94ECE"/>
    <w:rsid w:val="00CD1665"/>
    <w:rsid w:val="00CE3789"/>
    <w:rsid w:val="00D0059C"/>
    <w:rsid w:val="00D134F4"/>
    <w:rsid w:val="00D157F8"/>
    <w:rsid w:val="00D224DB"/>
    <w:rsid w:val="00D308FA"/>
    <w:rsid w:val="00D309E3"/>
    <w:rsid w:val="00D36621"/>
    <w:rsid w:val="00D44BAD"/>
    <w:rsid w:val="00D45DF1"/>
    <w:rsid w:val="00D51E14"/>
    <w:rsid w:val="00D63784"/>
    <w:rsid w:val="00D72538"/>
    <w:rsid w:val="00DB1579"/>
    <w:rsid w:val="00DD2E41"/>
    <w:rsid w:val="00DE384C"/>
    <w:rsid w:val="00E061A5"/>
    <w:rsid w:val="00E15060"/>
    <w:rsid w:val="00E302B5"/>
    <w:rsid w:val="00E347D5"/>
    <w:rsid w:val="00E423D7"/>
    <w:rsid w:val="00E45133"/>
    <w:rsid w:val="00E54E63"/>
    <w:rsid w:val="00E8742D"/>
    <w:rsid w:val="00ED43E9"/>
    <w:rsid w:val="00F00110"/>
    <w:rsid w:val="00F002AB"/>
    <w:rsid w:val="00F218A8"/>
    <w:rsid w:val="00F24160"/>
    <w:rsid w:val="00F3737E"/>
    <w:rsid w:val="00F52223"/>
    <w:rsid w:val="00F6047C"/>
    <w:rsid w:val="00F61A28"/>
    <w:rsid w:val="00F630BD"/>
    <w:rsid w:val="00F8633D"/>
    <w:rsid w:val="00F955FA"/>
    <w:rsid w:val="00FA584D"/>
    <w:rsid w:val="00FD3B65"/>
    <w:rsid w:val="00FD429D"/>
    <w:rsid w:val="00FD5E4E"/>
    <w:rsid w:val="00FF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44"/>
  </w:style>
  <w:style w:type="paragraph" w:styleId="Heading1">
    <w:name w:val="heading 1"/>
    <w:basedOn w:val="Normal"/>
    <w:next w:val="Normal"/>
    <w:link w:val="Heading1Char"/>
    <w:uiPriority w:val="9"/>
    <w:qFormat/>
    <w:rsid w:val="00F218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1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18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302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8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18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18A8"/>
    <w:rPr>
      <w:rFonts w:asciiTheme="majorHAnsi" w:eastAsiaTheme="majorEastAsia" w:hAnsiTheme="majorHAnsi" w:cstheme="majorBidi"/>
      <w:color w:val="1F4D78" w:themeColor="accent1" w:themeShade="7F"/>
      <w:sz w:val="24"/>
      <w:szCs w:val="24"/>
    </w:rPr>
  </w:style>
  <w:style w:type="paragraph" w:customStyle="1" w:styleId="Default">
    <w:name w:val="Default"/>
    <w:rsid w:val="00F218A8"/>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table" w:styleId="TableGrid">
    <w:name w:val="Table Grid"/>
    <w:basedOn w:val="TableNormal"/>
    <w:uiPriority w:val="59"/>
    <w:rsid w:val="00F2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301201"/>
  </w:style>
  <w:style w:type="character" w:customStyle="1" w:styleId="Heading4Char">
    <w:name w:val="Heading 4 Char"/>
    <w:basedOn w:val="DefaultParagraphFont"/>
    <w:link w:val="Heading4"/>
    <w:uiPriority w:val="9"/>
    <w:rsid w:val="00E302B5"/>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302B5"/>
    <w:rPr>
      <w:color w:val="0563C1" w:themeColor="hyperlink"/>
      <w:u w:val="single"/>
    </w:rPr>
  </w:style>
  <w:style w:type="paragraph" w:customStyle="1" w:styleId="BodyA">
    <w:name w:val="Body A"/>
    <w:rsid w:val="00E302B5"/>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styleId="ListParagraph">
    <w:name w:val="List Paragraph"/>
    <w:basedOn w:val="Normal"/>
    <w:uiPriority w:val="34"/>
    <w:qFormat/>
    <w:rsid w:val="000651C1"/>
    <w:pPr>
      <w:ind w:left="720"/>
      <w:contextualSpacing/>
    </w:pPr>
  </w:style>
  <w:style w:type="paragraph" w:styleId="FootnoteText">
    <w:name w:val="footnote text"/>
    <w:basedOn w:val="Normal"/>
    <w:link w:val="FootnoteTextChar"/>
    <w:uiPriority w:val="99"/>
    <w:semiHidden/>
    <w:unhideWhenUsed/>
    <w:rsid w:val="00D309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09E3"/>
    <w:rPr>
      <w:sz w:val="20"/>
      <w:szCs w:val="20"/>
    </w:rPr>
  </w:style>
  <w:style w:type="character" w:styleId="FootnoteReference">
    <w:name w:val="footnote reference"/>
    <w:basedOn w:val="DefaultParagraphFont"/>
    <w:uiPriority w:val="99"/>
    <w:semiHidden/>
    <w:unhideWhenUsed/>
    <w:rsid w:val="00D309E3"/>
    <w:rPr>
      <w:vertAlign w:val="superscript"/>
    </w:rPr>
  </w:style>
  <w:style w:type="character" w:styleId="CommentReference">
    <w:name w:val="annotation reference"/>
    <w:basedOn w:val="DefaultParagraphFont"/>
    <w:uiPriority w:val="99"/>
    <w:semiHidden/>
    <w:unhideWhenUsed/>
    <w:rsid w:val="00896DCB"/>
    <w:rPr>
      <w:sz w:val="16"/>
      <w:szCs w:val="16"/>
    </w:rPr>
  </w:style>
  <w:style w:type="paragraph" w:styleId="CommentText">
    <w:name w:val="annotation text"/>
    <w:basedOn w:val="Normal"/>
    <w:link w:val="CommentTextChar"/>
    <w:uiPriority w:val="99"/>
    <w:semiHidden/>
    <w:unhideWhenUsed/>
    <w:rsid w:val="00896DCB"/>
    <w:pPr>
      <w:spacing w:line="240" w:lineRule="auto"/>
    </w:pPr>
    <w:rPr>
      <w:sz w:val="20"/>
      <w:szCs w:val="20"/>
    </w:rPr>
  </w:style>
  <w:style w:type="character" w:customStyle="1" w:styleId="CommentTextChar">
    <w:name w:val="Comment Text Char"/>
    <w:basedOn w:val="DefaultParagraphFont"/>
    <w:link w:val="CommentText"/>
    <w:uiPriority w:val="99"/>
    <w:semiHidden/>
    <w:rsid w:val="00896DCB"/>
    <w:rPr>
      <w:sz w:val="20"/>
      <w:szCs w:val="20"/>
    </w:rPr>
  </w:style>
  <w:style w:type="paragraph" w:styleId="CommentSubject">
    <w:name w:val="annotation subject"/>
    <w:basedOn w:val="CommentText"/>
    <w:next w:val="CommentText"/>
    <w:link w:val="CommentSubjectChar"/>
    <w:uiPriority w:val="99"/>
    <w:semiHidden/>
    <w:unhideWhenUsed/>
    <w:rsid w:val="00896DCB"/>
    <w:rPr>
      <w:b/>
      <w:bCs/>
    </w:rPr>
  </w:style>
  <w:style w:type="character" w:customStyle="1" w:styleId="CommentSubjectChar">
    <w:name w:val="Comment Subject Char"/>
    <w:basedOn w:val="CommentTextChar"/>
    <w:link w:val="CommentSubject"/>
    <w:uiPriority w:val="99"/>
    <w:semiHidden/>
    <w:rsid w:val="00896DCB"/>
    <w:rPr>
      <w:b/>
      <w:bCs/>
      <w:sz w:val="20"/>
      <w:szCs w:val="20"/>
    </w:rPr>
  </w:style>
  <w:style w:type="paragraph" w:styleId="BalloonText">
    <w:name w:val="Balloon Text"/>
    <w:basedOn w:val="Normal"/>
    <w:link w:val="BalloonTextChar"/>
    <w:uiPriority w:val="99"/>
    <w:semiHidden/>
    <w:unhideWhenUsed/>
    <w:rsid w:val="00896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CB"/>
    <w:rPr>
      <w:rFonts w:ascii="Segoe UI" w:hAnsi="Segoe UI" w:cs="Segoe UI"/>
      <w:sz w:val="18"/>
      <w:szCs w:val="18"/>
    </w:rPr>
  </w:style>
  <w:style w:type="paragraph" w:styleId="Header">
    <w:name w:val="header"/>
    <w:basedOn w:val="Normal"/>
    <w:link w:val="HeaderChar"/>
    <w:uiPriority w:val="99"/>
    <w:unhideWhenUsed/>
    <w:rsid w:val="00F3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7E"/>
  </w:style>
  <w:style w:type="paragraph" w:styleId="Footer">
    <w:name w:val="footer"/>
    <w:basedOn w:val="Normal"/>
    <w:link w:val="FooterChar"/>
    <w:uiPriority w:val="99"/>
    <w:unhideWhenUsed/>
    <w:rsid w:val="00F3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7E"/>
  </w:style>
  <w:style w:type="paragraph" w:styleId="DocumentMap">
    <w:name w:val="Document Map"/>
    <w:basedOn w:val="Normal"/>
    <w:link w:val="DocumentMapChar"/>
    <w:uiPriority w:val="99"/>
    <w:semiHidden/>
    <w:unhideWhenUsed/>
    <w:rsid w:val="002B3EA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B3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44"/>
  </w:style>
  <w:style w:type="paragraph" w:styleId="Heading1">
    <w:name w:val="heading 1"/>
    <w:basedOn w:val="Normal"/>
    <w:next w:val="Normal"/>
    <w:link w:val="Heading1Char"/>
    <w:uiPriority w:val="9"/>
    <w:qFormat/>
    <w:rsid w:val="00F218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1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18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302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8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18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18A8"/>
    <w:rPr>
      <w:rFonts w:asciiTheme="majorHAnsi" w:eastAsiaTheme="majorEastAsia" w:hAnsiTheme="majorHAnsi" w:cstheme="majorBidi"/>
      <w:color w:val="1F4D78" w:themeColor="accent1" w:themeShade="7F"/>
      <w:sz w:val="24"/>
      <w:szCs w:val="24"/>
    </w:rPr>
  </w:style>
  <w:style w:type="paragraph" w:customStyle="1" w:styleId="Default">
    <w:name w:val="Default"/>
    <w:rsid w:val="00F218A8"/>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table" w:styleId="TableGrid">
    <w:name w:val="Table Grid"/>
    <w:basedOn w:val="TableNormal"/>
    <w:uiPriority w:val="59"/>
    <w:rsid w:val="00F2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301201"/>
  </w:style>
  <w:style w:type="character" w:customStyle="1" w:styleId="Heading4Char">
    <w:name w:val="Heading 4 Char"/>
    <w:basedOn w:val="DefaultParagraphFont"/>
    <w:link w:val="Heading4"/>
    <w:uiPriority w:val="9"/>
    <w:rsid w:val="00E302B5"/>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302B5"/>
    <w:rPr>
      <w:color w:val="0563C1" w:themeColor="hyperlink"/>
      <w:u w:val="single"/>
    </w:rPr>
  </w:style>
  <w:style w:type="paragraph" w:customStyle="1" w:styleId="BodyA">
    <w:name w:val="Body A"/>
    <w:rsid w:val="00E302B5"/>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styleId="ListParagraph">
    <w:name w:val="List Paragraph"/>
    <w:basedOn w:val="Normal"/>
    <w:uiPriority w:val="34"/>
    <w:qFormat/>
    <w:rsid w:val="000651C1"/>
    <w:pPr>
      <w:ind w:left="720"/>
      <w:contextualSpacing/>
    </w:pPr>
  </w:style>
  <w:style w:type="paragraph" w:styleId="FootnoteText">
    <w:name w:val="footnote text"/>
    <w:basedOn w:val="Normal"/>
    <w:link w:val="FootnoteTextChar"/>
    <w:uiPriority w:val="99"/>
    <w:semiHidden/>
    <w:unhideWhenUsed/>
    <w:rsid w:val="00D309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09E3"/>
    <w:rPr>
      <w:sz w:val="20"/>
      <w:szCs w:val="20"/>
    </w:rPr>
  </w:style>
  <w:style w:type="character" w:styleId="FootnoteReference">
    <w:name w:val="footnote reference"/>
    <w:basedOn w:val="DefaultParagraphFont"/>
    <w:uiPriority w:val="99"/>
    <w:semiHidden/>
    <w:unhideWhenUsed/>
    <w:rsid w:val="00D309E3"/>
    <w:rPr>
      <w:vertAlign w:val="superscript"/>
    </w:rPr>
  </w:style>
  <w:style w:type="character" w:styleId="CommentReference">
    <w:name w:val="annotation reference"/>
    <w:basedOn w:val="DefaultParagraphFont"/>
    <w:uiPriority w:val="99"/>
    <w:semiHidden/>
    <w:unhideWhenUsed/>
    <w:rsid w:val="00896DCB"/>
    <w:rPr>
      <w:sz w:val="16"/>
      <w:szCs w:val="16"/>
    </w:rPr>
  </w:style>
  <w:style w:type="paragraph" w:styleId="CommentText">
    <w:name w:val="annotation text"/>
    <w:basedOn w:val="Normal"/>
    <w:link w:val="CommentTextChar"/>
    <w:uiPriority w:val="99"/>
    <w:semiHidden/>
    <w:unhideWhenUsed/>
    <w:rsid w:val="00896DCB"/>
    <w:pPr>
      <w:spacing w:line="240" w:lineRule="auto"/>
    </w:pPr>
    <w:rPr>
      <w:sz w:val="20"/>
      <w:szCs w:val="20"/>
    </w:rPr>
  </w:style>
  <w:style w:type="character" w:customStyle="1" w:styleId="CommentTextChar">
    <w:name w:val="Comment Text Char"/>
    <w:basedOn w:val="DefaultParagraphFont"/>
    <w:link w:val="CommentText"/>
    <w:uiPriority w:val="99"/>
    <w:semiHidden/>
    <w:rsid w:val="00896DCB"/>
    <w:rPr>
      <w:sz w:val="20"/>
      <w:szCs w:val="20"/>
    </w:rPr>
  </w:style>
  <w:style w:type="paragraph" w:styleId="CommentSubject">
    <w:name w:val="annotation subject"/>
    <w:basedOn w:val="CommentText"/>
    <w:next w:val="CommentText"/>
    <w:link w:val="CommentSubjectChar"/>
    <w:uiPriority w:val="99"/>
    <w:semiHidden/>
    <w:unhideWhenUsed/>
    <w:rsid w:val="00896DCB"/>
    <w:rPr>
      <w:b/>
      <w:bCs/>
    </w:rPr>
  </w:style>
  <w:style w:type="character" w:customStyle="1" w:styleId="CommentSubjectChar">
    <w:name w:val="Comment Subject Char"/>
    <w:basedOn w:val="CommentTextChar"/>
    <w:link w:val="CommentSubject"/>
    <w:uiPriority w:val="99"/>
    <w:semiHidden/>
    <w:rsid w:val="00896DCB"/>
    <w:rPr>
      <w:b/>
      <w:bCs/>
      <w:sz w:val="20"/>
      <w:szCs w:val="20"/>
    </w:rPr>
  </w:style>
  <w:style w:type="paragraph" w:styleId="BalloonText">
    <w:name w:val="Balloon Text"/>
    <w:basedOn w:val="Normal"/>
    <w:link w:val="BalloonTextChar"/>
    <w:uiPriority w:val="99"/>
    <w:semiHidden/>
    <w:unhideWhenUsed/>
    <w:rsid w:val="00896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CB"/>
    <w:rPr>
      <w:rFonts w:ascii="Segoe UI" w:hAnsi="Segoe UI" w:cs="Segoe UI"/>
      <w:sz w:val="18"/>
      <w:szCs w:val="18"/>
    </w:rPr>
  </w:style>
  <w:style w:type="paragraph" w:styleId="Header">
    <w:name w:val="header"/>
    <w:basedOn w:val="Normal"/>
    <w:link w:val="HeaderChar"/>
    <w:uiPriority w:val="99"/>
    <w:unhideWhenUsed/>
    <w:rsid w:val="00F3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7E"/>
  </w:style>
  <w:style w:type="paragraph" w:styleId="Footer">
    <w:name w:val="footer"/>
    <w:basedOn w:val="Normal"/>
    <w:link w:val="FooterChar"/>
    <w:uiPriority w:val="99"/>
    <w:unhideWhenUsed/>
    <w:rsid w:val="00F3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7E"/>
  </w:style>
  <w:style w:type="paragraph" w:styleId="DocumentMap">
    <w:name w:val="Document Map"/>
    <w:basedOn w:val="Normal"/>
    <w:link w:val="DocumentMapChar"/>
    <w:uiPriority w:val="99"/>
    <w:semiHidden/>
    <w:unhideWhenUsed/>
    <w:rsid w:val="002B3EA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B3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24006">
      <w:bodyDiv w:val="1"/>
      <w:marLeft w:val="0"/>
      <w:marRight w:val="0"/>
      <w:marTop w:val="0"/>
      <w:marBottom w:val="0"/>
      <w:divBdr>
        <w:top w:val="none" w:sz="0" w:space="0" w:color="auto"/>
        <w:left w:val="none" w:sz="0" w:space="0" w:color="auto"/>
        <w:bottom w:val="none" w:sz="0" w:space="0" w:color="auto"/>
        <w:right w:val="none" w:sz="0" w:space="0" w:color="auto"/>
      </w:divBdr>
    </w:div>
    <w:div w:id="16506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hpolic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e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youthpolicy.org" TargetMode="External"/><Relationship Id="rId4" Type="http://schemas.microsoft.com/office/2007/relationships/stylesWithEffects" Target="stylesWithEffects.xml"/><Relationship Id="rId9" Type="http://schemas.openxmlformats.org/officeDocument/2006/relationships/hyperlink" Target="http://www.youthpolic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F6ED1-BCB7-458A-89A2-A37CE844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6256</Words>
  <Characters>35662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Olja</dc:creator>
  <cp:lastModifiedBy>Milica Micunovic</cp:lastModifiedBy>
  <cp:revision>2</cp:revision>
  <cp:lastPrinted>2016-07-18T06:21:00Z</cp:lastPrinted>
  <dcterms:created xsi:type="dcterms:W3CDTF">2016-07-20T13:04:00Z</dcterms:created>
  <dcterms:modified xsi:type="dcterms:W3CDTF">2016-07-20T13:04:00Z</dcterms:modified>
</cp:coreProperties>
</file>