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5E0" w:rsidRPr="00C05F6E" w:rsidRDefault="00B25C20" w:rsidP="002A14A1">
      <w:pPr>
        <w:jc w:val="center"/>
        <w:rPr>
          <w:rFonts w:cstheme="minorHAnsi"/>
          <w:b/>
          <w:sz w:val="26"/>
          <w:u w:val="single"/>
          <w:lang w:val="sr-Latn-ME"/>
        </w:rPr>
      </w:pPr>
      <w:r>
        <w:rPr>
          <w:rFonts w:cstheme="minorHAnsi"/>
          <w:b/>
          <w:sz w:val="26"/>
          <w:u w:val="single"/>
          <w:lang w:val="sr-Latn-ME"/>
        </w:rPr>
        <w:t xml:space="preserve">  </w:t>
      </w:r>
      <w:r w:rsidR="00C05F6E" w:rsidRPr="00C05F6E">
        <w:rPr>
          <w:rFonts w:cstheme="minorHAnsi"/>
          <w:b/>
          <w:sz w:val="26"/>
          <w:u w:val="single"/>
          <w:lang w:val="sr-Latn-ME"/>
        </w:rPr>
        <w:t>IZVJEŠTAJ O IZVRŠENJU BUDŽETA ZA PERIOD JANUAR – MAJ 2024. GODINE</w:t>
      </w:r>
    </w:p>
    <w:p w:rsidR="003D7399" w:rsidRPr="00CF3B1C" w:rsidRDefault="003D7399" w:rsidP="006460B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lang w:val="sr-Latn-ME" w:eastAsia="en-GB"/>
        </w:rPr>
      </w:pPr>
    </w:p>
    <w:p w:rsidR="003D7399" w:rsidRPr="00CF3B1C" w:rsidRDefault="003D7399" w:rsidP="00CF3B1C">
      <w:pPr>
        <w:spacing w:after="240"/>
        <w:jc w:val="both"/>
        <w:rPr>
          <w:b/>
          <w:lang w:val="sr-Latn-ME"/>
        </w:rPr>
      </w:pPr>
      <w:r w:rsidRPr="00CF3B1C">
        <w:rPr>
          <w:rFonts w:eastAsia="Times New Roman" w:cstheme="minorHAnsi"/>
          <w:b/>
          <w:bCs/>
          <w:color w:val="000000"/>
          <w:lang w:val="sr-Latn-ME" w:eastAsia="en-GB"/>
        </w:rPr>
        <w:t>Prihodi budžeta za pet mjeseci 2024. godine iznosili su 1.08</w:t>
      </w:r>
      <w:r w:rsidR="003E763C" w:rsidRPr="00CF3B1C">
        <w:rPr>
          <w:rFonts w:eastAsia="Times New Roman" w:cstheme="minorHAnsi"/>
          <w:b/>
          <w:bCs/>
          <w:color w:val="000000"/>
          <w:lang w:val="sr-Latn-ME" w:eastAsia="en-GB"/>
        </w:rPr>
        <w:t>9,4</w:t>
      </w:r>
      <w:r w:rsidRPr="00CF3B1C">
        <w:rPr>
          <w:rFonts w:eastAsia="Times New Roman" w:cstheme="minorHAnsi"/>
          <w:b/>
          <w:bCs/>
          <w:color w:val="000000"/>
          <w:lang w:val="sr-Latn-ME" w:eastAsia="en-GB"/>
        </w:rPr>
        <w:t xml:space="preserve"> mil. €</w:t>
      </w:r>
      <w:r w:rsidR="002A14A1" w:rsidRPr="00CF3B1C">
        <w:rPr>
          <w:rFonts w:eastAsia="Times New Roman" w:cstheme="minorHAnsi"/>
          <w:b/>
          <w:bCs/>
          <w:color w:val="000000"/>
          <w:lang w:val="sr-Latn-ME" w:eastAsia="en-GB"/>
        </w:rPr>
        <w:t xml:space="preserve"> ili 15,5% procijenjenog BDP-a (7.034,0 mil. €)</w:t>
      </w:r>
      <w:r w:rsidRPr="00CF3B1C">
        <w:rPr>
          <w:rFonts w:eastAsia="Times New Roman" w:cstheme="minorHAnsi"/>
          <w:b/>
          <w:bCs/>
          <w:color w:val="000000"/>
          <w:lang w:val="sr-Latn-ME" w:eastAsia="en-GB"/>
        </w:rPr>
        <w:t>, što je u odnosu na isti period prethodne godine veće za 10</w:t>
      </w:r>
      <w:r w:rsidR="003E763C" w:rsidRPr="00CF3B1C">
        <w:rPr>
          <w:rFonts w:eastAsia="Times New Roman" w:cstheme="minorHAnsi"/>
          <w:b/>
          <w:bCs/>
          <w:color w:val="000000"/>
          <w:lang w:val="sr-Latn-ME" w:eastAsia="en-GB"/>
        </w:rPr>
        <w:t>5,4</w:t>
      </w:r>
      <w:r w:rsidRPr="00CF3B1C">
        <w:rPr>
          <w:rFonts w:eastAsia="Times New Roman" w:cstheme="minorHAnsi"/>
          <w:b/>
          <w:bCs/>
          <w:color w:val="000000"/>
          <w:lang w:val="sr-Latn-ME" w:eastAsia="en-GB"/>
        </w:rPr>
        <w:t xml:space="preserve"> mil. € ili 10,</w:t>
      </w:r>
      <w:r w:rsidR="003E763C" w:rsidRPr="00CF3B1C">
        <w:rPr>
          <w:rFonts w:eastAsia="Times New Roman" w:cstheme="minorHAnsi"/>
          <w:b/>
          <w:bCs/>
          <w:color w:val="000000"/>
          <w:lang w:val="sr-Latn-ME" w:eastAsia="en-GB"/>
        </w:rPr>
        <w:t>7</w:t>
      </w:r>
      <w:r w:rsidRPr="00CF3B1C">
        <w:rPr>
          <w:rFonts w:eastAsia="Times New Roman" w:cstheme="minorHAnsi"/>
          <w:b/>
          <w:bCs/>
          <w:color w:val="000000"/>
          <w:lang w:val="sr-Latn-ME" w:eastAsia="en-GB"/>
        </w:rPr>
        <w:t>%. U poređenju sa planom za period januar-maj, prihodi budžeta veći su za 7</w:t>
      </w:r>
      <w:r w:rsidR="003E763C" w:rsidRPr="00CF3B1C">
        <w:rPr>
          <w:rFonts w:eastAsia="Times New Roman" w:cstheme="minorHAnsi"/>
          <w:b/>
          <w:bCs/>
          <w:color w:val="000000"/>
          <w:lang w:val="sr-Latn-ME" w:eastAsia="en-GB"/>
        </w:rPr>
        <w:t>7,6</w:t>
      </w:r>
      <w:r w:rsidRPr="00CF3B1C">
        <w:rPr>
          <w:rFonts w:eastAsia="Times New Roman" w:cstheme="minorHAnsi"/>
          <w:b/>
          <w:bCs/>
          <w:color w:val="000000"/>
          <w:lang w:val="sr-Latn-ME" w:eastAsia="en-GB"/>
        </w:rPr>
        <w:t xml:space="preserve"> mil. € ili 7,</w:t>
      </w:r>
      <w:r w:rsidR="003E763C" w:rsidRPr="00CF3B1C">
        <w:rPr>
          <w:rFonts w:eastAsia="Times New Roman" w:cstheme="minorHAnsi"/>
          <w:b/>
          <w:bCs/>
          <w:color w:val="000000"/>
          <w:lang w:val="sr-Latn-ME" w:eastAsia="en-GB"/>
        </w:rPr>
        <w:t>7</w:t>
      </w:r>
      <w:r w:rsidRPr="00CF3B1C">
        <w:rPr>
          <w:rFonts w:eastAsia="Times New Roman" w:cstheme="minorHAnsi"/>
          <w:b/>
          <w:bCs/>
          <w:color w:val="000000"/>
          <w:lang w:val="sr-Latn-ME" w:eastAsia="en-GB"/>
        </w:rPr>
        <w:t xml:space="preserve">%. </w:t>
      </w:r>
      <w:r w:rsidR="00A33967" w:rsidRPr="00CF3B1C">
        <w:rPr>
          <w:b/>
          <w:lang w:val="sr-Latn-ME"/>
        </w:rPr>
        <w:t>Izuzimajući prihode jednokratnog karaktera, prihodi budžeta za pet mjeseci 2024. godine u odnosu na posmatrani period 2023. godine veći su za 174,5 mil. € ili 19,2%.</w:t>
      </w:r>
    </w:p>
    <w:p w:rsidR="003D7399" w:rsidRPr="00CF3B1C" w:rsidRDefault="003D7399" w:rsidP="00CF3B1C">
      <w:pPr>
        <w:shd w:val="clear" w:color="auto" w:fill="FFFFFF"/>
        <w:spacing w:after="240" w:line="240" w:lineRule="auto"/>
        <w:jc w:val="both"/>
        <w:rPr>
          <w:rFonts w:ascii="Calibri" w:eastAsia="Times New Roman" w:hAnsi="Calibri" w:cstheme="minorHAnsi"/>
          <w:b/>
          <w:bCs/>
          <w:color w:val="000000"/>
          <w:lang w:val="sr-Latn-ME" w:eastAsia="en-GB"/>
        </w:rPr>
      </w:pPr>
      <w:r w:rsidRPr="00CF3B1C">
        <w:rPr>
          <w:rFonts w:ascii="Calibri" w:hAnsi="Calibri" w:cstheme="minorHAnsi"/>
          <w:b/>
          <w:color w:val="000000"/>
          <w:lang w:val="sr-Latn-ME"/>
        </w:rPr>
        <w:t>U periodu januar-maj, najznačajniji rast bilježe sljedeće kategorije:</w:t>
      </w:r>
      <w:r w:rsidRPr="00CF3B1C">
        <w:rPr>
          <w:rFonts w:ascii="Calibri" w:eastAsia="Times New Roman" w:hAnsi="Calibri" w:cstheme="minorHAnsi"/>
          <w:b/>
          <w:bCs/>
          <w:color w:val="000000"/>
          <w:lang w:val="sr-Latn-ME" w:eastAsia="en-GB"/>
        </w:rPr>
        <w:t xml:space="preserve"> </w:t>
      </w:r>
    </w:p>
    <w:p w:rsidR="003D7399" w:rsidRPr="00CF3B1C" w:rsidRDefault="003D7399" w:rsidP="00CF3B1C">
      <w:pPr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Calibri" w:eastAsia="Times New Roman" w:hAnsi="Calibri" w:cstheme="minorHAnsi"/>
          <w:bCs/>
          <w:color w:val="000000"/>
          <w:lang w:val="sr-Latn-ME" w:eastAsia="en-GB"/>
        </w:rPr>
      </w:pPr>
      <w:r w:rsidRPr="00CF3B1C">
        <w:rPr>
          <w:rFonts w:ascii="Calibri" w:hAnsi="Calibri" w:cstheme="minorHAnsi"/>
          <w:b/>
          <w:color w:val="000000"/>
          <w:lang w:val="sr-Latn-ME"/>
        </w:rPr>
        <w:t>p</w:t>
      </w:r>
      <w:r w:rsidRPr="00CF3B1C">
        <w:rPr>
          <w:rFonts w:cstheme="minorHAnsi"/>
          <w:b/>
          <w:color w:val="000000"/>
          <w:lang w:val="sr-Latn-ME"/>
        </w:rPr>
        <w:t xml:space="preserve">orez na dobit pravnih </w:t>
      </w:r>
      <w:r w:rsidRPr="00CF3B1C">
        <w:rPr>
          <w:rFonts w:cstheme="minorHAnsi"/>
          <w:color w:val="000000"/>
          <w:lang w:val="sr-Latn-ME"/>
        </w:rPr>
        <w:t>lica koji je ostvaren u iznosu od 185,7 mil. €, što je 49,6 mil. € ili 36,4%</w:t>
      </w:r>
      <w:r w:rsidRPr="00CF3B1C">
        <w:rPr>
          <w:rFonts w:ascii="Calibri" w:hAnsi="Calibri" w:cstheme="minorHAnsi"/>
          <w:color w:val="000000"/>
          <w:lang w:val="sr-Latn-ME"/>
        </w:rPr>
        <w:t xml:space="preserve"> veće u odnosu na plan i 58,8 mil. € ili 46,</w:t>
      </w:r>
      <w:r w:rsidR="002A14A1" w:rsidRPr="00CF3B1C">
        <w:rPr>
          <w:rFonts w:ascii="Calibri" w:hAnsi="Calibri" w:cstheme="minorHAnsi"/>
          <w:color w:val="000000"/>
          <w:lang w:val="sr-Latn-ME"/>
        </w:rPr>
        <w:t>3</w:t>
      </w:r>
      <w:r w:rsidRPr="00CF3B1C">
        <w:rPr>
          <w:rFonts w:ascii="Calibri" w:hAnsi="Calibri" w:cstheme="minorHAnsi"/>
          <w:color w:val="000000"/>
          <w:lang w:val="sr-Latn-ME"/>
        </w:rPr>
        <w:t>% veće u odnosu na posmatrani period 2023. godine</w:t>
      </w:r>
      <w:r w:rsidRPr="00CF3B1C">
        <w:rPr>
          <w:rFonts w:cstheme="minorHAnsi"/>
          <w:b/>
          <w:color w:val="000000"/>
          <w:lang w:val="sr-Latn-ME"/>
        </w:rPr>
        <w:t>;</w:t>
      </w:r>
    </w:p>
    <w:p w:rsidR="003D7399" w:rsidRPr="00CF3B1C" w:rsidRDefault="003D7399" w:rsidP="00CF3B1C">
      <w:pPr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Calibri" w:eastAsia="Times New Roman" w:hAnsi="Calibri" w:cstheme="minorHAnsi"/>
          <w:bCs/>
          <w:color w:val="000000"/>
          <w:lang w:val="sr-Latn-ME" w:eastAsia="en-GB"/>
        </w:rPr>
      </w:pPr>
      <w:r w:rsidRPr="00CF3B1C">
        <w:rPr>
          <w:rFonts w:ascii="Calibri" w:hAnsi="Calibri" w:cstheme="minorHAnsi"/>
          <w:b/>
          <w:color w:val="000000"/>
          <w:lang w:val="sr-Latn-ME"/>
        </w:rPr>
        <w:t>p</w:t>
      </w:r>
      <w:r w:rsidRPr="00CF3B1C">
        <w:rPr>
          <w:rFonts w:cstheme="minorHAnsi"/>
          <w:b/>
          <w:color w:val="000000"/>
          <w:lang w:val="sr-Latn-ME"/>
        </w:rPr>
        <w:t>orez na dohodak fizičkih lica</w:t>
      </w:r>
      <w:r w:rsidRPr="00CF3B1C">
        <w:rPr>
          <w:rFonts w:cstheme="minorHAnsi"/>
          <w:color w:val="000000"/>
          <w:lang w:val="sr-Latn-ME"/>
        </w:rPr>
        <w:t xml:space="preserve"> koji je ostvaren u iznosu od 3</w:t>
      </w:r>
      <w:r w:rsidR="00051269" w:rsidRPr="00CF3B1C">
        <w:rPr>
          <w:rFonts w:cstheme="minorHAnsi"/>
          <w:color w:val="000000"/>
          <w:lang w:val="sr-Latn-ME"/>
        </w:rPr>
        <w:t>2,1</w:t>
      </w:r>
      <w:r w:rsidRPr="00CF3B1C">
        <w:rPr>
          <w:rFonts w:cstheme="minorHAnsi"/>
          <w:color w:val="000000"/>
          <w:lang w:val="sr-Latn-ME"/>
        </w:rPr>
        <w:t xml:space="preserve"> mil. € što je </w:t>
      </w:r>
      <w:r w:rsidR="00EB1824" w:rsidRPr="00CF3B1C">
        <w:rPr>
          <w:rFonts w:cstheme="minorHAnsi"/>
          <w:color w:val="000000"/>
          <w:lang w:val="sr-Latn-ME"/>
        </w:rPr>
        <w:t>7,5</w:t>
      </w:r>
      <w:r w:rsidRPr="00CF3B1C">
        <w:rPr>
          <w:rFonts w:cstheme="minorHAnsi"/>
          <w:color w:val="000000"/>
          <w:lang w:val="sr-Latn-ME"/>
        </w:rPr>
        <w:t xml:space="preserve"> mil. € ili </w:t>
      </w:r>
      <w:r w:rsidR="001172CC" w:rsidRPr="00CF3B1C">
        <w:rPr>
          <w:rFonts w:cstheme="minorHAnsi"/>
          <w:color w:val="000000"/>
          <w:lang w:val="sr-Latn-ME"/>
        </w:rPr>
        <w:t>30,5</w:t>
      </w:r>
      <w:r w:rsidRPr="00CF3B1C">
        <w:rPr>
          <w:rFonts w:cstheme="minorHAnsi"/>
          <w:color w:val="000000"/>
          <w:lang w:val="sr-Latn-ME"/>
        </w:rPr>
        <w:t>%</w:t>
      </w:r>
      <w:r w:rsidRPr="00CF3B1C">
        <w:rPr>
          <w:rFonts w:ascii="Calibri" w:hAnsi="Calibri" w:cstheme="minorHAnsi"/>
          <w:color w:val="000000"/>
          <w:lang w:val="sr-Latn-ME"/>
        </w:rPr>
        <w:t xml:space="preserve"> veće u odnosu na plan i 1</w:t>
      </w:r>
      <w:r w:rsidR="0031686B" w:rsidRPr="00CF3B1C">
        <w:rPr>
          <w:rFonts w:ascii="Calibri" w:hAnsi="Calibri" w:cstheme="minorHAnsi"/>
          <w:color w:val="000000"/>
          <w:lang w:val="sr-Latn-ME"/>
        </w:rPr>
        <w:t>1,9</w:t>
      </w:r>
      <w:r w:rsidRPr="00CF3B1C">
        <w:rPr>
          <w:rFonts w:ascii="Calibri" w:hAnsi="Calibri" w:cstheme="minorHAnsi"/>
          <w:color w:val="000000"/>
          <w:lang w:val="sr-Latn-ME"/>
        </w:rPr>
        <w:t xml:space="preserve"> mil. € ili </w:t>
      </w:r>
      <w:r w:rsidR="0031686B" w:rsidRPr="00CF3B1C">
        <w:rPr>
          <w:rFonts w:ascii="Calibri" w:hAnsi="Calibri" w:cstheme="minorHAnsi"/>
          <w:color w:val="000000"/>
          <w:lang w:val="sr-Latn-ME"/>
        </w:rPr>
        <w:t>58,7</w:t>
      </w:r>
      <w:r w:rsidRPr="00CF3B1C">
        <w:rPr>
          <w:rFonts w:ascii="Calibri" w:hAnsi="Calibri" w:cstheme="minorHAnsi"/>
          <w:color w:val="000000"/>
          <w:lang w:val="sr-Latn-ME"/>
        </w:rPr>
        <w:t>% veće u odnosu na posmatrani period 2023. godine;</w:t>
      </w:r>
    </w:p>
    <w:p w:rsidR="003D7399" w:rsidRPr="00CF3B1C" w:rsidRDefault="003D7399" w:rsidP="00CF3B1C">
      <w:pPr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Calibri" w:eastAsia="Times New Roman" w:hAnsi="Calibri" w:cstheme="minorHAnsi"/>
          <w:bCs/>
          <w:color w:val="000000"/>
          <w:lang w:val="sr-Latn-ME" w:eastAsia="en-GB"/>
        </w:rPr>
      </w:pPr>
      <w:r w:rsidRPr="00CF3B1C">
        <w:rPr>
          <w:rFonts w:ascii="Calibri" w:hAnsi="Calibri" w:cstheme="minorHAnsi"/>
          <w:b/>
          <w:color w:val="000000"/>
          <w:lang w:val="sr-Latn-ME"/>
        </w:rPr>
        <w:t>d</w:t>
      </w:r>
      <w:r w:rsidRPr="00CF3B1C">
        <w:rPr>
          <w:rFonts w:cstheme="minorHAnsi"/>
          <w:b/>
          <w:color w:val="000000"/>
          <w:lang w:val="sr-Latn-ME"/>
        </w:rPr>
        <w:t>oprinosi</w:t>
      </w:r>
      <w:r w:rsidRPr="00CF3B1C">
        <w:rPr>
          <w:rFonts w:cstheme="minorHAnsi"/>
          <w:color w:val="000000"/>
          <w:lang w:val="sr-Latn-ME"/>
        </w:rPr>
        <w:t xml:space="preserve"> koji su ostvareni u iznosu od 217,4 mil. € što je 14,2 mil. € ili 7%</w:t>
      </w:r>
      <w:r w:rsidRPr="00CF3B1C">
        <w:rPr>
          <w:rFonts w:ascii="Calibri" w:hAnsi="Calibri" w:cstheme="minorHAnsi"/>
          <w:color w:val="000000"/>
          <w:lang w:val="sr-Latn-ME"/>
        </w:rPr>
        <w:t xml:space="preserve"> veće u odnosu na plan i</w:t>
      </w:r>
      <w:r w:rsidRPr="00CF3B1C">
        <w:rPr>
          <w:rFonts w:cstheme="minorHAnsi"/>
          <w:color w:val="000000"/>
          <w:lang w:val="sr-Latn-ME"/>
        </w:rPr>
        <w:t xml:space="preserve"> 24,0 </w:t>
      </w:r>
      <w:r w:rsidRPr="00CF3B1C">
        <w:rPr>
          <w:rFonts w:ascii="Calibri" w:hAnsi="Calibri" w:cstheme="minorHAnsi"/>
          <w:color w:val="000000"/>
          <w:lang w:val="sr-Latn-ME"/>
        </w:rPr>
        <w:t>mil. € ili 12,4% veće u odnosu na posmatrani period 2023. godine.</w:t>
      </w:r>
    </w:p>
    <w:p w:rsidR="003D7399" w:rsidRPr="00CF3B1C" w:rsidRDefault="003D7399" w:rsidP="00CF3B1C">
      <w:pPr>
        <w:spacing w:after="240"/>
        <w:jc w:val="both"/>
        <w:rPr>
          <w:rFonts w:cstheme="minorHAnsi"/>
          <w:lang w:val="sr-Latn-ME"/>
        </w:rPr>
      </w:pPr>
      <w:r w:rsidRPr="00CF3B1C">
        <w:rPr>
          <w:rFonts w:cstheme="minorHAnsi"/>
          <w:lang w:val="sr-Latn-ME"/>
        </w:rPr>
        <w:t xml:space="preserve">Prihodi od </w:t>
      </w:r>
      <w:r w:rsidRPr="00CF3B1C">
        <w:rPr>
          <w:rFonts w:cstheme="minorHAnsi"/>
          <w:b/>
          <w:lang w:val="sr-Latn-ME"/>
        </w:rPr>
        <w:t>akciza</w:t>
      </w:r>
      <w:r w:rsidRPr="00CF3B1C">
        <w:rPr>
          <w:rFonts w:cstheme="minorHAnsi"/>
          <w:lang w:val="sr-Latn-ME"/>
        </w:rPr>
        <w:t xml:space="preserve"> u navedenom periodu iznosili su 125,6 mil. €, što je u odnosu na plan za period januar-maj veće za 3,0 mil. € ili 2,5%, dok su za 17,3 mil. € ili 16% veće u odnosu na isti period 2023. godine. Najveći doprinos rastu akciza za pet mjeseci 2024. godine zabilježen je kod:</w:t>
      </w:r>
    </w:p>
    <w:p w:rsidR="003D7399" w:rsidRPr="00CF3B1C" w:rsidRDefault="003D7399" w:rsidP="00CF3B1C">
      <w:pPr>
        <w:spacing w:after="240"/>
        <w:jc w:val="both"/>
        <w:rPr>
          <w:rFonts w:cstheme="minorHAnsi"/>
          <w:lang w:val="sr-Latn-ME"/>
        </w:rPr>
      </w:pPr>
      <w:r w:rsidRPr="00CF3B1C">
        <w:rPr>
          <w:rFonts w:cstheme="minorHAnsi"/>
          <w:lang w:val="sr-Latn-ME"/>
        </w:rPr>
        <w:t>- akcize na mineralna ulja i njihove derivate, i to u iznosu od 67,7 mil. €, što je za 8,7 mil. € ili 14,6% veće u odnosu na isti period prethodne godine;</w:t>
      </w:r>
    </w:p>
    <w:p w:rsidR="003D7399" w:rsidRPr="00CF3B1C" w:rsidRDefault="003D7399" w:rsidP="00CF3B1C">
      <w:pPr>
        <w:spacing w:after="240"/>
        <w:jc w:val="both"/>
        <w:rPr>
          <w:rFonts w:cstheme="minorHAnsi"/>
          <w:lang w:val="sr-Latn-ME"/>
        </w:rPr>
      </w:pPr>
      <w:r w:rsidRPr="00CF3B1C">
        <w:rPr>
          <w:rFonts w:cstheme="minorHAnsi"/>
          <w:lang w:val="sr-Latn-ME"/>
        </w:rPr>
        <w:t>- akcize na duvan i duvanske proizvode, i to u iznosu od 40,5 mil. €, što je za 5,7 mil. € ili 16,3% veće u odnosu na isti period prethodne godine.</w:t>
      </w:r>
    </w:p>
    <w:p w:rsidR="003D7399" w:rsidRDefault="00C76D93" w:rsidP="00CF3B1C">
      <w:pPr>
        <w:spacing w:after="240"/>
        <w:jc w:val="both"/>
        <w:rPr>
          <w:rFonts w:cstheme="minorHAnsi"/>
          <w:b/>
          <w:lang w:val="sr-Latn-ME"/>
        </w:rPr>
      </w:pPr>
      <w:r w:rsidRPr="00CF3B1C">
        <w:rPr>
          <w:rFonts w:cstheme="minorHAnsi"/>
          <w:lang w:val="sr-Latn-ME"/>
        </w:rPr>
        <w:t xml:space="preserve">Na drugoj strani, neznatno odstupanje u odnosu na plan zabilježeno je kod kategorije prihoda po osnovu poreza na dodatu vrijednost koji su za pet mjeseci naplaćeni u ukupnom iznosu od 435,1 mil. € što je za 46,6 mil. € ili 12% veće u odnosu na isti period prethodne godine, dok je u poređenju sa planom za period januar-maj ova kategorija prihoda manja za 1,9 mil. € ili 0,4%. </w:t>
      </w:r>
      <w:r w:rsidRPr="00CF3B1C">
        <w:rPr>
          <w:rFonts w:cstheme="minorHAnsi"/>
          <w:b/>
          <w:lang w:val="sr-Latn-ME"/>
        </w:rPr>
        <w:t>Na naplatu prihoda od Poreza na dodatu vrijednost u neto iznosu uticala je dinamika povraćaja PDV-a koja je od početka godine ubrzana od strane Poreske uprave.</w:t>
      </w:r>
    </w:p>
    <w:p w:rsidR="000D5F3A" w:rsidRPr="00833D81" w:rsidRDefault="000D5F3A" w:rsidP="000D5F3A">
      <w:pPr>
        <w:jc w:val="both"/>
        <w:rPr>
          <w:b/>
          <w:lang w:val="sr-Latn-ME"/>
        </w:rPr>
      </w:pPr>
      <w:r>
        <w:rPr>
          <w:lang w:val="sr-Latn-ME"/>
        </w:rPr>
        <w:t>Važno je naglasiti razloge odstupanja prihoda budžeta od PDV-a, jer je neophodno uzeti u obzir akumulirani broj zahtjeva privrede za povraćaj PDV-a</w:t>
      </w:r>
      <w:r w:rsidR="001737D7">
        <w:rPr>
          <w:lang w:val="sr-Latn-ME"/>
        </w:rPr>
        <w:t xml:space="preserve">. Naime, </w:t>
      </w:r>
      <w:r>
        <w:rPr>
          <w:lang w:val="sr-Latn-ME"/>
        </w:rPr>
        <w:t>Poreska uprava je od januara mjeseca intenzivirala aktivnosti na kontroli i obradi ovih zahtjeva i ubrzala dinamiku povraćaja od početka 2024. godine</w:t>
      </w:r>
      <w:r w:rsidR="001737D7">
        <w:rPr>
          <w:lang w:val="sr-Latn-ME"/>
        </w:rPr>
        <w:t xml:space="preserve"> i n</w:t>
      </w:r>
      <w:r>
        <w:rPr>
          <w:lang w:val="sr-Latn-ME"/>
        </w:rPr>
        <w:t xml:space="preserve">avedeno u značajnoj mjeri utiče na stimulisanje poslovnog ambijenta i ukidanje biznis barijera u privredi. </w:t>
      </w:r>
      <w:r w:rsidRPr="00833D81">
        <w:rPr>
          <w:b/>
          <w:lang w:val="sr-Latn-ME"/>
        </w:rPr>
        <w:t>U tom kontekstu, za period janar-maj (zaključno sa 30.05.2024. godine) povraćaj PDV-a bio je veći za oko 4</w:t>
      </w:r>
      <w:r w:rsidR="00833D81">
        <w:rPr>
          <w:b/>
          <w:lang w:val="sr-Latn-ME"/>
        </w:rPr>
        <w:t>5</w:t>
      </w:r>
      <w:r w:rsidRPr="00833D81">
        <w:rPr>
          <w:b/>
          <w:lang w:val="sr-Latn-ME"/>
        </w:rPr>
        <w:t>% u odnosu na posmatrani period 2023. godine. Samo u maju mjesecu povraćaj PDV-a je bio veći za oko 7</w:t>
      </w:r>
      <w:r w:rsidR="00833D81">
        <w:rPr>
          <w:b/>
          <w:lang w:val="sr-Latn-ME"/>
        </w:rPr>
        <w:t>9</w:t>
      </w:r>
      <w:r w:rsidRPr="00833D81">
        <w:rPr>
          <w:b/>
          <w:lang w:val="sr-Latn-ME"/>
        </w:rPr>
        <w:t xml:space="preserve">%, u odnosu na isti mjesec 2023. godine. </w:t>
      </w:r>
    </w:p>
    <w:p w:rsidR="000D5F3A" w:rsidRPr="00CF3B1C" w:rsidRDefault="000D5F3A" w:rsidP="00CF3B1C">
      <w:pPr>
        <w:spacing w:after="240"/>
        <w:jc w:val="both"/>
        <w:rPr>
          <w:rFonts w:cstheme="minorHAnsi"/>
          <w:b/>
          <w:lang w:val="sr-Latn-ME"/>
        </w:rPr>
      </w:pPr>
    </w:p>
    <w:p w:rsidR="003D7399" w:rsidRPr="00CF3B1C" w:rsidRDefault="003D7399" w:rsidP="00CF3B1C">
      <w:pPr>
        <w:spacing w:after="240"/>
        <w:jc w:val="both"/>
        <w:rPr>
          <w:rFonts w:cstheme="minorHAnsi"/>
          <w:lang w:val="sr-Latn-ME"/>
        </w:rPr>
      </w:pPr>
      <w:r w:rsidRPr="00CF3B1C">
        <w:rPr>
          <w:rFonts w:cstheme="minorHAnsi"/>
          <w:lang w:val="sr-Latn-ME"/>
        </w:rPr>
        <w:lastRenderedPageBreak/>
        <w:t xml:space="preserve">Pored navedenog, </w:t>
      </w:r>
      <w:r w:rsidRPr="00CF3B1C">
        <w:rPr>
          <w:rFonts w:cstheme="minorHAnsi"/>
          <w:b/>
          <w:lang w:val="sr-Latn-ME"/>
        </w:rPr>
        <w:t>ostali prihod</w:t>
      </w:r>
      <w:r w:rsidRPr="00CF3B1C">
        <w:rPr>
          <w:rFonts w:cstheme="minorHAnsi"/>
          <w:lang w:val="sr-Latn-ME"/>
        </w:rPr>
        <w:t>i bilježe rast u odnosu na plan za 2</w:t>
      </w:r>
      <w:r w:rsidR="009A281D" w:rsidRPr="00CF3B1C">
        <w:rPr>
          <w:rFonts w:cstheme="minorHAnsi"/>
          <w:lang w:val="sr-Latn-ME"/>
        </w:rPr>
        <w:t>,8</w:t>
      </w:r>
      <w:r w:rsidRPr="00CF3B1C">
        <w:rPr>
          <w:rFonts w:cstheme="minorHAnsi"/>
          <w:lang w:val="sr-Latn-ME"/>
        </w:rPr>
        <w:t xml:space="preserve"> mil. € ili 10,4% a dominantno kao rezultat: izvršenih uplata CBCG za dobit iz 2022. i 2023. godine u iznosu od ukupno 9,1 mil. €, povraćaja sredstava po osnovu projekta podrške za COVID 19 u iznosu od 3,0 mil. €, kao i po osnovu Programa ekonomskog državljanstva, u iznosu od 3,1 mil. €. Navedena kategorija prihoda budžeta manja je u odnosu na isti period prethodne godine za 19,8 mil. € ili 39,</w:t>
      </w:r>
      <w:r w:rsidR="00F36F86" w:rsidRPr="00CF3B1C">
        <w:rPr>
          <w:rFonts w:cstheme="minorHAnsi"/>
          <w:lang w:val="sr-Latn-ME"/>
        </w:rPr>
        <w:t>6</w:t>
      </w:r>
      <w:r w:rsidRPr="00CF3B1C">
        <w:rPr>
          <w:rFonts w:cstheme="minorHAnsi"/>
          <w:lang w:val="sr-Latn-ME"/>
        </w:rPr>
        <w:t>%, prvenstveno usljed značajnog iznosa jednokratnih prihoda u prvih pet mjeseci 2023. godine.</w:t>
      </w:r>
    </w:p>
    <w:p w:rsidR="00501020" w:rsidRPr="00CF3B1C" w:rsidRDefault="00501020" w:rsidP="00CF3B1C">
      <w:pPr>
        <w:spacing w:after="240"/>
        <w:jc w:val="both"/>
        <w:rPr>
          <w:rFonts w:cstheme="minorHAnsi"/>
          <w:lang w:val="sr-Latn-ME"/>
        </w:rPr>
      </w:pPr>
      <w:r w:rsidRPr="00CF3B1C">
        <w:rPr>
          <w:rFonts w:cstheme="minorHAnsi"/>
          <w:lang w:val="sr-Latn-ME"/>
        </w:rPr>
        <w:t>Prihodi budžeta u maju mjesecu 2024. godine iznosili su</w:t>
      </w:r>
      <w:r w:rsidR="008F054A" w:rsidRPr="00CF3B1C">
        <w:rPr>
          <w:rFonts w:cstheme="minorHAnsi"/>
          <w:lang w:val="sr-Latn-ME"/>
        </w:rPr>
        <w:t xml:space="preserve"> 193,3</w:t>
      </w:r>
      <w:r w:rsidRPr="00CF3B1C">
        <w:rPr>
          <w:rFonts w:cstheme="minorHAnsi"/>
          <w:lang w:val="sr-Latn-ME"/>
        </w:rPr>
        <w:t xml:space="preserve"> mil. € i veći su za </w:t>
      </w:r>
      <w:r w:rsidR="008F054A" w:rsidRPr="00CF3B1C">
        <w:rPr>
          <w:rFonts w:cstheme="minorHAnsi"/>
          <w:lang w:val="sr-Latn-ME"/>
        </w:rPr>
        <w:t xml:space="preserve">6,6 </w:t>
      </w:r>
      <w:r w:rsidRPr="00CF3B1C">
        <w:rPr>
          <w:rFonts w:cstheme="minorHAnsi"/>
          <w:lang w:val="sr-Latn-ME"/>
        </w:rPr>
        <w:t xml:space="preserve">mil. € ili </w:t>
      </w:r>
      <w:r w:rsidR="008F054A" w:rsidRPr="00CF3B1C">
        <w:rPr>
          <w:rFonts w:cstheme="minorHAnsi"/>
          <w:lang w:val="sr-Latn-ME"/>
        </w:rPr>
        <w:t>3,5</w:t>
      </w:r>
      <w:r w:rsidRPr="00CF3B1C">
        <w:rPr>
          <w:rFonts w:cstheme="minorHAnsi"/>
          <w:lang w:val="sr-Latn-ME"/>
        </w:rPr>
        <w:t xml:space="preserve">% u odnosu na isti mjesec 2023. godine. Majski prihodi su ostvareni u iznosu nižem od plana za maj mjesec, u iznosu od </w:t>
      </w:r>
      <w:r w:rsidR="00AC440E" w:rsidRPr="00CF3B1C">
        <w:rPr>
          <w:rFonts w:cstheme="minorHAnsi"/>
          <w:lang w:val="sr-Latn-ME"/>
        </w:rPr>
        <w:t xml:space="preserve">9,1 </w:t>
      </w:r>
      <w:r w:rsidRPr="00CF3B1C">
        <w:rPr>
          <w:rFonts w:cstheme="minorHAnsi"/>
          <w:lang w:val="sr-Latn-ME"/>
        </w:rPr>
        <w:t xml:space="preserve">mil. € ili </w:t>
      </w:r>
      <w:r w:rsidR="00AC440E" w:rsidRPr="00CF3B1C">
        <w:rPr>
          <w:rFonts w:cstheme="minorHAnsi"/>
          <w:lang w:val="sr-Latn-ME"/>
        </w:rPr>
        <w:t>4,5</w:t>
      </w:r>
      <w:r w:rsidRPr="00CF3B1C">
        <w:rPr>
          <w:rFonts w:cstheme="minorHAnsi"/>
          <w:lang w:val="sr-Latn-ME"/>
        </w:rPr>
        <w:t>%.</w:t>
      </w:r>
    </w:p>
    <w:p w:rsidR="00F32290" w:rsidRPr="00CF3B1C" w:rsidRDefault="00F32290" w:rsidP="00CF3B1C">
      <w:pPr>
        <w:spacing w:after="240"/>
        <w:jc w:val="both"/>
        <w:rPr>
          <w:lang w:val="sr-Latn-ME"/>
        </w:rPr>
      </w:pPr>
      <w:r w:rsidRPr="00CF3B1C">
        <w:rPr>
          <w:b/>
          <w:lang w:val="sr-Latn-ME"/>
        </w:rPr>
        <w:t>Izdaci budžeta</w:t>
      </w:r>
      <w:r w:rsidRPr="00CF3B1C">
        <w:rPr>
          <w:lang w:val="sr-Latn-ME"/>
        </w:rPr>
        <w:t xml:space="preserve"> za period januar - maj ove godine iznosili su 1.056,4 mil. € ili 15,0% procijenjenog BDP-a i manji su za 96,9 mil. € ili 8,4% u odnosu na planirane. U odnosu na isti period prethodne godine</w:t>
      </w:r>
      <w:r w:rsidR="001737D7">
        <w:rPr>
          <w:lang w:val="sr-Latn-ME"/>
        </w:rPr>
        <w:t>, izdaci su veći 183.3 mil €, ili 20.7% i</w:t>
      </w:r>
      <w:r w:rsidRPr="00CF3B1C">
        <w:rPr>
          <w:lang w:val="sr-Latn-ME"/>
        </w:rPr>
        <w:t xml:space="preserve"> najveće odstupanje je kod izdvajanja za isplatu prava iz oblasti penzijskog i invalidskog osiguranja dominantno zbog povećanja minimalne penzije, transfera institucijama i značajnije kod institucija javnog zdravlja, kao i rasta izdvajanja za bruto zarade (usvajanje granskih kolektivnih ugovora kojima su povećane zarade zaposlenih u javnom sektoru u 2023. godini).</w:t>
      </w:r>
    </w:p>
    <w:p w:rsidR="00F32290" w:rsidRDefault="00F32290" w:rsidP="00CF3B1C">
      <w:pPr>
        <w:spacing w:after="240"/>
        <w:jc w:val="both"/>
        <w:rPr>
          <w:lang w:val="sr-Latn-ME"/>
        </w:rPr>
      </w:pPr>
      <w:r w:rsidRPr="00CF3B1C">
        <w:rPr>
          <w:lang w:val="sr-Latn-ME"/>
        </w:rPr>
        <w:t xml:space="preserve">Tekući izdaci </w:t>
      </w:r>
      <w:r w:rsidR="00CF3B1C">
        <w:rPr>
          <w:lang w:val="sr-Latn-ME"/>
        </w:rPr>
        <w:t xml:space="preserve">u tekućem budžetu </w:t>
      </w:r>
      <w:r w:rsidR="00D13A14">
        <w:rPr>
          <w:lang w:val="sr-Latn-ME"/>
        </w:rPr>
        <w:t xml:space="preserve">u posmatranom periodu </w:t>
      </w:r>
      <w:r w:rsidRPr="00CF3B1C">
        <w:rPr>
          <w:lang w:val="sr-Latn-ME"/>
        </w:rPr>
        <w:t>ostvareni su u iznosu od 42</w:t>
      </w:r>
      <w:r w:rsidR="00CF3B1C">
        <w:rPr>
          <w:lang w:val="sr-Latn-ME"/>
        </w:rPr>
        <w:t>5</w:t>
      </w:r>
      <w:r w:rsidRPr="00CF3B1C">
        <w:rPr>
          <w:lang w:val="sr-Latn-ME"/>
        </w:rPr>
        <w:t xml:space="preserve"> mil. €, što je za </w:t>
      </w:r>
      <w:r w:rsidR="00CF3B1C">
        <w:rPr>
          <w:lang w:val="sr-Latn-ME"/>
        </w:rPr>
        <w:t xml:space="preserve">77.4 mil € ili </w:t>
      </w:r>
      <w:r w:rsidRPr="00CF3B1C">
        <w:rPr>
          <w:lang w:val="sr-Latn-ME"/>
        </w:rPr>
        <w:t>4</w:t>
      </w:r>
      <w:r w:rsidR="00CF3B1C">
        <w:rPr>
          <w:lang w:val="sr-Latn-ME"/>
        </w:rPr>
        <w:t>3</w:t>
      </w:r>
      <w:r w:rsidRPr="00CF3B1C">
        <w:rPr>
          <w:lang w:val="sr-Latn-ME"/>
        </w:rPr>
        <w:t>% manje od plana</w:t>
      </w:r>
      <w:r w:rsidR="00CF3B1C">
        <w:rPr>
          <w:lang w:val="sr-Latn-ME"/>
        </w:rPr>
        <w:t xml:space="preserve"> i niže ostvarenje </w:t>
      </w:r>
      <w:r w:rsidRPr="00CF3B1C">
        <w:rPr>
          <w:lang w:val="sr-Latn-ME"/>
        </w:rPr>
        <w:t>zabilježeno je kod svih tekući izdataka, naročito kod rashoda za materijal</w:t>
      </w:r>
      <w:r w:rsidR="00D13A14">
        <w:rPr>
          <w:lang w:val="sr-Latn-ME"/>
        </w:rPr>
        <w:t xml:space="preserve"> za 6.4 mil € (dominantno kod Ministarstva odbrane, Ministarstva unutrašnjih poslova i Ministarstva prosvjete usljed sporije dinamike</w:t>
      </w:r>
      <w:r w:rsidR="00B36839">
        <w:rPr>
          <w:lang w:val="sr-Latn-ME"/>
        </w:rPr>
        <w:t xml:space="preserve"> pristizanja obaveza od projektovani</w:t>
      </w:r>
      <w:r w:rsidR="00D13A14">
        <w:rPr>
          <w:lang w:val="sr-Latn-ME"/>
        </w:rPr>
        <w:t>)</w:t>
      </w:r>
      <w:r w:rsidRPr="00CF3B1C">
        <w:rPr>
          <w:lang w:val="sr-Latn-ME"/>
        </w:rPr>
        <w:t>, rashod</w:t>
      </w:r>
      <w:r w:rsidR="00CF3B1C">
        <w:rPr>
          <w:lang w:val="sr-Latn-ME"/>
        </w:rPr>
        <w:t>a</w:t>
      </w:r>
      <w:r w:rsidRPr="00CF3B1C">
        <w:rPr>
          <w:lang w:val="sr-Latn-ME"/>
        </w:rPr>
        <w:t xml:space="preserve"> za tekuće održavanje</w:t>
      </w:r>
      <w:r w:rsidR="00B36839">
        <w:rPr>
          <w:lang w:val="sr-Latn-ME"/>
        </w:rPr>
        <w:t xml:space="preserve"> </w:t>
      </w:r>
      <w:r w:rsidR="00D13A14">
        <w:rPr>
          <w:lang w:val="sr-Latn-ME"/>
        </w:rPr>
        <w:t>5.</w:t>
      </w:r>
      <w:r w:rsidR="00B36839">
        <w:rPr>
          <w:lang w:val="sr-Latn-ME"/>
        </w:rPr>
        <w:t>5</w:t>
      </w:r>
      <w:r w:rsidR="00D13A14">
        <w:rPr>
          <w:lang w:val="sr-Latn-ME"/>
        </w:rPr>
        <w:t xml:space="preserve"> mil € (od čega dominantno kod Uprave za saobraćaj shodno dinamici koja je usklađena sa dinamikom realizacije r</w:t>
      </w:r>
      <w:r w:rsidR="00D13A14" w:rsidRPr="00D13A14">
        <w:rPr>
          <w:lang w:val="sr-Latn-ME"/>
        </w:rPr>
        <w:t>edovno</w:t>
      </w:r>
      <w:r w:rsidR="00D13A14">
        <w:rPr>
          <w:lang w:val="sr-Latn-ME"/>
        </w:rPr>
        <w:t>g</w:t>
      </w:r>
      <w:r w:rsidR="00D13A14" w:rsidRPr="00D13A14">
        <w:rPr>
          <w:lang w:val="sr-Latn-ME"/>
        </w:rPr>
        <w:t xml:space="preserve"> održavanje regionalnih i magistralnih puteva</w:t>
      </w:r>
      <w:r w:rsidR="00B36839">
        <w:rPr>
          <w:lang w:val="sr-Latn-ME"/>
        </w:rPr>
        <w:t xml:space="preserve">), kao </w:t>
      </w:r>
      <w:r w:rsidRPr="00CF3B1C">
        <w:rPr>
          <w:lang w:val="sr-Latn-ME"/>
        </w:rPr>
        <w:t>i ostalih izdataka</w:t>
      </w:r>
      <w:r w:rsidR="00B36839">
        <w:rPr>
          <w:lang w:val="sr-Latn-ME"/>
        </w:rPr>
        <w:t xml:space="preserve"> 10.9 mil € (od čega dominantno na pozicijama izrade i održavanja softvera koje se očekuje da će biti intezivirano u narednom periodu, kao i niže realizacije ugovora o djelu u odnosu na plan)</w:t>
      </w:r>
    </w:p>
    <w:p w:rsidR="00F32290" w:rsidRPr="00CF3B1C" w:rsidRDefault="00B36839" w:rsidP="00CF3B1C">
      <w:pPr>
        <w:spacing w:after="240"/>
        <w:jc w:val="both"/>
        <w:rPr>
          <w:lang w:val="sr-Latn-ME"/>
        </w:rPr>
      </w:pPr>
      <w:r>
        <w:rPr>
          <w:lang w:val="sr-Latn-ME"/>
        </w:rPr>
        <w:t>T</w:t>
      </w:r>
      <w:r w:rsidR="00F32290" w:rsidRPr="00CF3B1C">
        <w:rPr>
          <w:lang w:val="sr-Latn-ME"/>
        </w:rPr>
        <w:t>ransferi institucijama, pojedincima, nevladinom i javnom sektoru iznosili su 143,5 mil. € i manji su za 23,7 mil. € ili 14,2% u odnosu na planirane</w:t>
      </w:r>
      <w:r>
        <w:rPr>
          <w:lang w:val="sr-Latn-ME"/>
        </w:rPr>
        <w:t>, a niže ostvarenje je evidentirano na poziciji ostalih transfera institucijama kod Ministarstva prosvjete dominantno na aktivnosti namjenjenoj finansiranju aktivnosti Fonda za inovacije, shondo dinamici aktivnosti Fonda za inovacije i kod Ministarstva kulture</w:t>
      </w:r>
      <w:r w:rsidR="00E65783">
        <w:rPr>
          <w:lang w:val="sr-Latn-ME"/>
        </w:rPr>
        <w:t>, kao i na transferima nevladinim organizacijama koje je usklađeno sa dinaikom realizacije i sprovođenja konkursa i finansiranja programa koji se realizuju u saradnji sa nevladinim organizacijama, kao i na drugim pozicijama</w:t>
      </w:r>
      <w:r w:rsidR="00F32290" w:rsidRPr="00CF3B1C">
        <w:rPr>
          <w:lang w:val="sr-Latn-ME"/>
        </w:rPr>
        <w:t xml:space="preserve">. </w:t>
      </w:r>
    </w:p>
    <w:p w:rsidR="00F32290" w:rsidRDefault="00F32290" w:rsidP="00CF3B1C">
      <w:pPr>
        <w:spacing w:after="240"/>
        <w:jc w:val="both"/>
        <w:rPr>
          <w:lang w:val="sr-Latn-ME"/>
        </w:rPr>
      </w:pPr>
      <w:r w:rsidRPr="00CF3B1C">
        <w:rPr>
          <w:lang w:val="sr-Latn-ME"/>
        </w:rPr>
        <w:t xml:space="preserve">Kapitalni budžet, koji uključuje budžetske pozicije kapitalnih izdataka, kao i pojedine pozicije u okviru rashoda za usluge i druge pozicije, realizovan je u iznosu od </w:t>
      </w:r>
      <w:r w:rsidR="00E65783">
        <w:rPr>
          <w:lang w:val="sr-Latn-ME"/>
        </w:rPr>
        <w:t>50 mil €</w:t>
      </w:r>
      <w:r w:rsidRPr="00CF3B1C">
        <w:rPr>
          <w:lang w:val="sr-Latn-ME"/>
        </w:rPr>
        <w:t xml:space="preserve">, što </w:t>
      </w:r>
      <w:r w:rsidR="00E65783">
        <w:rPr>
          <w:lang w:val="sr-Latn-ME"/>
        </w:rPr>
        <w:t>predstavlja 90</w:t>
      </w:r>
      <w:r w:rsidRPr="00CF3B1C">
        <w:rPr>
          <w:lang w:val="sr-Latn-ME"/>
        </w:rPr>
        <w:t xml:space="preserve">% </w:t>
      </w:r>
      <w:r w:rsidR="00E65783">
        <w:rPr>
          <w:lang w:val="sr-Latn-ME"/>
        </w:rPr>
        <w:t>plana kapitalnog budžeta za ovaj period</w:t>
      </w:r>
      <w:r w:rsidRPr="00CF3B1C">
        <w:rPr>
          <w:lang w:val="sr-Latn-ME"/>
        </w:rPr>
        <w:t>.</w:t>
      </w:r>
    </w:p>
    <w:p w:rsidR="00CF3B1C" w:rsidRDefault="00E65783" w:rsidP="00CF3B1C">
      <w:pPr>
        <w:spacing w:after="240"/>
        <w:jc w:val="both"/>
        <w:rPr>
          <w:lang w:val="sr-Latn-ME"/>
        </w:rPr>
      </w:pPr>
      <w:r>
        <w:rPr>
          <w:lang w:val="sr-Latn-ME"/>
        </w:rPr>
        <w:t>Posmatrajući maj mjesec, i</w:t>
      </w:r>
      <w:r w:rsidR="00CF3B1C" w:rsidRPr="00CF3B1C">
        <w:rPr>
          <w:lang w:val="sr-Latn-ME"/>
        </w:rPr>
        <w:t xml:space="preserve">zdaci iznose 214,8 mil. € i manji su </w:t>
      </w:r>
      <w:r>
        <w:rPr>
          <w:lang w:val="sr-Latn-ME"/>
        </w:rPr>
        <w:t>za 27.1 mil € ili 11.</w:t>
      </w:r>
      <w:r w:rsidR="00CF3B1C" w:rsidRPr="00CF3B1C">
        <w:rPr>
          <w:lang w:val="sr-Latn-ME"/>
        </w:rPr>
        <w:t>2% od plana</w:t>
      </w:r>
      <w:r w:rsidR="001737D7">
        <w:rPr>
          <w:lang w:val="sr-Latn-ME"/>
        </w:rPr>
        <w:t>, a veći za 24.9 mil € ili 13.1% u odnosu na maj prošle godine</w:t>
      </w:r>
      <w:r w:rsidR="00CF3B1C" w:rsidRPr="00CF3B1C">
        <w:rPr>
          <w:lang w:val="sr-Latn-ME"/>
        </w:rPr>
        <w:t>.</w:t>
      </w:r>
    </w:p>
    <w:p w:rsidR="00CF3B1C" w:rsidRPr="00CF3B1C" w:rsidRDefault="00CF3B1C" w:rsidP="00CF3B1C">
      <w:pPr>
        <w:spacing w:after="240"/>
        <w:jc w:val="both"/>
        <w:rPr>
          <w:lang w:val="sr-Latn-ME"/>
        </w:rPr>
      </w:pPr>
      <w:r w:rsidRPr="00CF3B1C">
        <w:rPr>
          <w:lang w:val="sr-Latn-ME"/>
        </w:rPr>
        <w:t xml:space="preserve">U maju mjesecu izdaci za bruto zarade i doprinose na teret poslodavca iznosili su 59,8 mil. € što je za </w:t>
      </w:r>
      <w:r w:rsidR="00E65783">
        <w:rPr>
          <w:lang w:val="sr-Latn-ME"/>
        </w:rPr>
        <w:t>3,2 mil € više od plana, usljed većeg izvršenja poreskih obaveza na zarade koje su evidentirane u maj</w:t>
      </w:r>
      <w:r w:rsidR="001737D7">
        <w:rPr>
          <w:lang w:val="sr-Latn-ME"/>
        </w:rPr>
        <w:t>u</w:t>
      </w:r>
      <w:r w:rsidR="00E65783">
        <w:rPr>
          <w:lang w:val="sr-Latn-ME"/>
        </w:rPr>
        <w:t xml:space="preserve"> a za sličan iznos niže ostvareno i evidentirano u prethodnom mjesecu. Takođe, izdaci za kamate niži su </w:t>
      </w:r>
      <w:r w:rsidR="0089789F">
        <w:rPr>
          <w:lang w:val="sr-Latn-ME"/>
        </w:rPr>
        <w:t xml:space="preserve">u </w:t>
      </w:r>
      <w:r w:rsidR="00E65783">
        <w:rPr>
          <w:lang w:val="sr-Latn-ME"/>
        </w:rPr>
        <w:t xml:space="preserve">maju za 6.6 mil € dok su u prethodnom mjesecu ovi izdaci realizovani u većem iznosu a za 5.1 mil € usljed nešto </w:t>
      </w:r>
      <w:r w:rsidR="00E65783">
        <w:rPr>
          <w:lang w:val="sr-Latn-ME"/>
        </w:rPr>
        <w:lastRenderedPageBreak/>
        <w:t>brže dinamike otplate duga i pripadajućih kamata od inijalno planirane.</w:t>
      </w:r>
      <w:r w:rsidR="0089789F">
        <w:rPr>
          <w:lang w:val="sr-Latn-ME"/>
        </w:rPr>
        <w:t xml:space="preserve"> Dodatno, u maju mjesecu evidentirano je niže izvršenje na budžetskoj poziciji </w:t>
      </w:r>
      <w:r w:rsidR="0089789F" w:rsidRPr="0089789F">
        <w:rPr>
          <w:lang w:val="sr-Latn-ME"/>
        </w:rPr>
        <w:t>Transfer</w:t>
      </w:r>
      <w:r w:rsidR="0089789F">
        <w:rPr>
          <w:lang w:val="sr-Latn-ME"/>
        </w:rPr>
        <w:t>a</w:t>
      </w:r>
      <w:r w:rsidR="0089789F" w:rsidRPr="0089789F">
        <w:rPr>
          <w:lang w:val="sr-Latn-ME"/>
        </w:rPr>
        <w:t xml:space="preserve"> institucijama, pojedincima, nevladinom i javnom sektoru</w:t>
      </w:r>
      <w:r w:rsidR="0089789F">
        <w:rPr>
          <w:lang w:val="sr-Latn-ME"/>
        </w:rPr>
        <w:t xml:space="preserve"> za 13.1 mil €</w:t>
      </w:r>
      <w:r w:rsidR="001737D7">
        <w:rPr>
          <w:lang w:val="sr-Latn-ME"/>
        </w:rPr>
        <w:t>, i to najvećim dijelom kod Fonda zdravstva</w:t>
      </w:r>
      <w:r w:rsidR="0055173B">
        <w:rPr>
          <w:lang w:val="sr-Latn-ME"/>
        </w:rPr>
        <w:t xml:space="preserve"> za oko 4.8 mil € </w:t>
      </w:r>
      <w:r w:rsidR="001737D7">
        <w:rPr>
          <w:lang w:val="sr-Latn-ME"/>
        </w:rPr>
        <w:t xml:space="preserve"> </w:t>
      </w:r>
      <w:r w:rsidR="0055173B">
        <w:rPr>
          <w:lang w:val="sr-Latn-ME"/>
        </w:rPr>
        <w:t xml:space="preserve">niže od plana, </w:t>
      </w:r>
      <w:r w:rsidR="001737D7">
        <w:rPr>
          <w:lang w:val="sr-Latn-ME"/>
        </w:rPr>
        <w:t xml:space="preserve">usljed nižeg izvršenja za potrebe snabdijevanja ljekovima i medicinskim sredstvima, </w:t>
      </w:r>
      <w:r w:rsidR="0055173B">
        <w:rPr>
          <w:lang w:val="sr-Latn-ME"/>
        </w:rPr>
        <w:t>i kod Ministarstva prosvjete, nauke i inovacija 4.1 mil € niže od plana najvećim dijelom usljed neizvršavanja sredstva namjenjenih Fondu za inovacije a koje su usklađene sa dinamikom konkursa i aktivnostima Fonda.</w:t>
      </w:r>
    </w:p>
    <w:p w:rsidR="00F32290" w:rsidRPr="00700A79" w:rsidRDefault="0089789F" w:rsidP="00CF3B1C">
      <w:pPr>
        <w:spacing w:after="240"/>
        <w:jc w:val="both"/>
        <w:rPr>
          <w:u w:val="single"/>
          <w:lang w:val="sr-Latn-ME"/>
        </w:rPr>
      </w:pPr>
      <w:r w:rsidRPr="00700A79">
        <w:rPr>
          <w:u w:val="single"/>
          <w:lang w:val="sr-Latn-ME"/>
        </w:rPr>
        <w:t xml:space="preserve">Uzimajući u obzir ostvarene prihode i rashode u posmatranom periodu, </w:t>
      </w:r>
      <w:r w:rsidR="00F32290" w:rsidRPr="00700A79">
        <w:rPr>
          <w:u w:val="single"/>
          <w:lang w:val="sr-Latn-ME"/>
        </w:rPr>
        <w:t xml:space="preserve">ostvaren je </w:t>
      </w:r>
      <w:r w:rsidR="00F32290" w:rsidRPr="00700A79">
        <w:rPr>
          <w:b/>
          <w:u w:val="single"/>
          <w:lang w:val="sr-Latn-ME"/>
        </w:rPr>
        <w:t>suficit</w:t>
      </w:r>
      <w:r w:rsidR="00F32290" w:rsidRPr="00700A79">
        <w:rPr>
          <w:u w:val="single"/>
          <w:lang w:val="sr-Latn-ME"/>
        </w:rPr>
        <w:t xml:space="preserve"> budžeta u iznosu od 33,1 mil. €, odnosno na nivou od 0,5% procijenjenog BDP-a</w:t>
      </w:r>
      <w:r w:rsidRPr="00700A79">
        <w:rPr>
          <w:u w:val="single"/>
          <w:lang w:val="sr-Latn-ME"/>
        </w:rPr>
        <w:t>, što je u poređenju sa planom, koji predviđa ostvarenje deficita od 141 mil €, za 174.2 mil € bolji rezutat od plana za posmatrani period. U maju mjesecu ostvaren</w:t>
      </w:r>
      <w:bookmarkStart w:id="0" w:name="_GoBack"/>
      <w:bookmarkEnd w:id="0"/>
      <w:r w:rsidRPr="00700A79">
        <w:rPr>
          <w:u w:val="single"/>
          <w:lang w:val="sr-Latn-ME"/>
        </w:rPr>
        <w:t xml:space="preserve"> je deficit budžeta u iznosu od 21.6 mil €, što je niže ostvaren deficit od plana 18 mil €.</w:t>
      </w:r>
    </w:p>
    <w:sectPr w:rsidR="00F32290" w:rsidRPr="00700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066" w:rsidRDefault="00B83066" w:rsidP="00FF65E0">
      <w:pPr>
        <w:spacing w:after="0" w:line="240" w:lineRule="auto"/>
      </w:pPr>
      <w:r>
        <w:separator/>
      </w:r>
    </w:p>
  </w:endnote>
  <w:endnote w:type="continuationSeparator" w:id="0">
    <w:p w:rsidR="00B83066" w:rsidRDefault="00B83066" w:rsidP="00FF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066" w:rsidRDefault="00B83066" w:rsidP="00FF65E0">
      <w:pPr>
        <w:spacing w:after="0" w:line="240" w:lineRule="auto"/>
      </w:pPr>
      <w:r>
        <w:separator/>
      </w:r>
    </w:p>
  </w:footnote>
  <w:footnote w:type="continuationSeparator" w:id="0">
    <w:p w:rsidR="00B83066" w:rsidRDefault="00B83066" w:rsidP="00FF6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737"/>
    <w:multiLevelType w:val="hybridMultilevel"/>
    <w:tmpl w:val="EA06A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6C9B"/>
    <w:multiLevelType w:val="hybridMultilevel"/>
    <w:tmpl w:val="AB5C7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11FAA"/>
    <w:multiLevelType w:val="hybridMultilevel"/>
    <w:tmpl w:val="EA0EC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33A05"/>
    <w:multiLevelType w:val="hybridMultilevel"/>
    <w:tmpl w:val="3C060F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E5827"/>
    <w:multiLevelType w:val="hybridMultilevel"/>
    <w:tmpl w:val="2D22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32"/>
    <w:rsid w:val="00012852"/>
    <w:rsid w:val="00027FDE"/>
    <w:rsid w:val="0003614E"/>
    <w:rsid w:val="00040B4C"/>
    <w:rsid w:val="00051269"/>
    <w:rsid w:val="000607D5"/>
    <w:rsid w:val="0007559D"/>
    <w:rsid w:val="000763FF"/>
    <w:rsid w:val="000A463E"/>
    <w:rsid w:val="000D5F3A"/>
    <w:rsid w:val="00100817"/>
    <w:rsid w:val="001151EB"/>
    <w:rsid w:val="001172CC"/>
    <w:rsid w:val="00141F04"/>
    <w:rsid w:val="001446D9"/>
    <w:rsid w:val="001737D7"/>
    <w:rsid w:val="00177AAE"/>
    <w:rsid w:val="00181D4A"/>
    <w:rsid w:val="00193418"/>
    <w:rsid w:val="001A111C"/>
    <w:rsid w:val="002428D2"/>
    <w:rsid w:val="00272FD7"/>
    <w:rsid w:val="00281D06"/>
    <w:rsid w:val="002A14A1"/>
    <w:rsid w:val="002B52F2"/>
    <w:rsid w:val="002E3824"/>
    <w:rsid w:val="0031686B"/>
    <w:rsid w:val="00382D53"/>
    <w:rsid w:val="003A6AA3"/>
    <w:rsid w:val="003B77C3"/>
    <w:rsid w:val="003C4DA9"/>
    <w:rsid w:val="003D175A"/>
    <w:rsid w:val="003D7399"/>
    <w:rsid w:val="003E763C"/>
    <w:rsid w:val="003E7BFB"/>
    <w:rsid w:val="003E7EE9"/>
    <w:rsid w:val="004058D9"/>
    <w:rsid w:val="00483499"/>
    <w:rsid w:val="0048601D"/>
    <w:rsid w:val="0049444D"/>
    <w:rsid w:val="004A0D48"/>
    <w:rsid w:val="004C1B8F"/>
    <w:rsid w:val="00501020"/>
    <w:rsid w:val="0052256E"/>
    <w:rsid w:val="0055173B"/>
    <w:rsid w:val="0055310C"/>
    <w:rsid w:val="00596560"/>
    <w:rsid w:val="005C4E73"/>
    <w:rsid w:val="005D7219"/>
    <w:rsid w:val="005E3D1F"/>
    <w:rsid w:val="005E5C9D"/>
    <w:rsid w:val="00643360"/>
    <w:rsid w:val="006460B5"/>
    <w:rsid w:val="0065264E"/>
    <w:rsid w:val="00672D8E"/>
    <w:rsid w:val="006754E3"/>
    <w:rsid w:val="00676AF2"/>
    <w:rsid w:val="006B022B"/>
    <w:rsid w:val="006F6D24"/>
    <w:rsid w:val="00700A79"/>
    <w:rsid w:val="00715DFB"/>
    <w:rsid w:val="007466DD"/>
    <w:rsid w:val="0075790A"/>
    <w:rsid w:val="007721A8"/>
    <w:rsid w:val="007A22BD"/>
    <w:rsid w:val="007B605C"/>
    <w:rsid w:val="007B77BF"/>
    <w:rsid w:val="007C63A4"/>
    <w:rsid w:val="007E30C7"/>
    <w:rsid w:val="007F2BC6"/>
    <w:rsid w:val="00810419"/>
    <w:rsid w:val="008201A9"/>
    <w:rsid w:val="00823B83"/>
    <w:rsid w:val="00831BED"/>
    <w:rsid w:val="00833D81"/>
    <w:rsid w:val="00894BC7"/>
    <w:rsid w:val="0089789F"/>
    <w:rsid w:val="008A1F32"/>
    <w:rsid w:val="008A3ECC"/>
    <w:rsid w:val="008D4F14"/>
    <w:rsid w:val="008F054A"/>
    <w:rsid w:val="008F6C88"/>
    <w:rsid w:val="008F6D9E"/>
    <w:rsid w:val="00931957"/>
    <w:rsid w:val="00934E18"/>
    <w:rsid w:val="00935CBE"/>
    <w:rsid w:val="00971CCA"/>
    <w:rsid w:val="00985822"/>
    <w:rsid w:val="009A04B6"/>
    <w:rsid w:val="009A281D"/>
    <w:rsid w:val="009C0F39"/>
    <w:rsid w:val="009D1E9E"/>
    <w:rsid w:val="009E2D6E"/>
    <w:rsid w:val="009E2EF4"/>
    <w:rsid w:val="009E590D"/>
    <w:rsid w:val="009F2D5F"/>
    <w:rsid w:val="00A33967"/>
    <w:rsid w:val="00A73345"/>
    <w:rsid w:val="00AC3A20"/>
    <w:rsid w:val="00AC440E"/>
    <w:rsid w:val="00AD4BEA"/>
    <w:rsid w:val="00B034B1"/>
    <w:rsid w:val="00B25C20"/>
    <w:rsid w:val="00B322D0"/>
    <w:rsid w:val="00B36839"/>
    <w:rsid w:val="00B51A88"/>
    <w:rsid w:val="00B73C9F"/>
    <w:rsid w:val="00B83066"/>
    <w:rsid w:val="00B8344A"/>
    <w:rsid w:val="00BA44A7"/>
    <w:rsid w:val="00BB1B60"/>
    <w:rsid w:val="00C05F6E"/>
    <w:rsid w:val="00C32DAA"/>
    <w:rsid w:val="00C34392"/>
    <w:rsid w:val="00C76D93"/>
    <w:rsid w:val="00C81E8A"/>
    <w:rsid w:val="00C854E4"/>
    <w:rsid w:val="00CB2AF7"/>
    <w:rsid w:val="00CD498E"/>
    <w:rsid w:val="00CD4E3A"/>
    <w:rsid w:val="00CE617F"/>
    <w:rsid w:val="00CF3B1C"/>
    <w:rsid w:val="00D03AC6"/>
    <w:rsid w:val="00D13A14"/>
    <w:rsid w:val="00D27287"/>
    <w:rsid w:val="00D573C0"/>
    <w:rsid w:val="00D87A9A"/>
    <w:rsid w:val="00DA55EA"/>
    <w:rsid w:val="00DE045F"/>
    <w:rsid w:val="00E32663"/>
    <w:rsid w:val="00E44BC7"/>
    <w:rsid w:val="00E65783"/>
    <w:rsid w:val="00E74926"/>
    <w:rsid w:val="00EA06F7"/>
    <w:rsid w:val="00EB1824"/>
    <w:rsid w:val="00EC0456"/>
    <w:rsid w:val="00ED0D1E"/>
    <w:rsid w:val="00EF61D1"/>
    <w:rsid w:val="00F27C04"/>
    <w:rsid w:val="00F32290"/>
    <w:rsid w:val="00F36F86"/>
    <w:rsid w:val="00F41A0E"/>
    <w:rsid w:val="00F52DF5"/>
    <w:rsid w:val="00F545CE"/>
    <w:rsid w:val="00F81216"/>
    <w:rsid w:val="00F8579D"/>
    <w:rsid w:val="00FD170A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04AA"/>
  <w15:chartTrackingRefBased/>
  <w15:docId w15:val="{1F5050C2-F017-42EC-BA0A-23C010C1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EF4"/>
    <w:pPr>
      <w:spacing w:after="0" w:line="240" w:lineRule="auto"/>
      <w:ind w:left="720"/>
    </w:pPr>
    <w:rPr>
      <w:rFonts w:ascii="Calibri" w:hAnsi="Calibri" w:cs="Calibr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43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3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36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5E0"/>
    <w:pPr>
      <w:spacing w:after="0" w:line="240" w:lineRule="auto"/>
    </w:pPr>
    <w:rPr>
      <w:sz w:val="20"/>
      <w:szCs w:val="20"/>
      <w:lang w:val="sr-Latn-M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5E0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FF65E0"/>
    <w:rPr>
      <w:vertAlign w:val="superscript"/>
    </w:rPr>
  </w:style>
  <w:style w:type="table" w:styleId="TableGrid">
    <w:name w:val="Table Grid"/>
    <w:basedOn w:val="TableNormal"/>
    <w:uiPriority w:val="39"/>
    <w:rsid w:val="003D739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 Paunovic</cp:lastModifiedBy>
  <cp:revision>5</cp:revision>
  <dcterms:created xsi:type="dcterms:W3CDTF">2024-06-26T09:45:00Z</dcterms:created>
  <dcterms:modified xsi:type="dcterms:W3CDTF">2024-06-30T10:48:00Z</dcterms:modified>
</cp:coreProperties>
</file>