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33AE" w14:textId="3ADA1145" w:rsidR="00D548DE" w:rsidRPr="007475E4" w:rsidRDefault="00BC3116" w:rsidP="00747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OBRAZAC 6: </w:t>
      </w:r>
      <w:r w:rsidR="005C04A5" w:rsidRPr="003A2315">
        <w:rPr>
          <w:rFonts w:ascii="Times New Roman" w:hAnsi="Times New Roman"/>
          <w:b/>
          <w:sz w:val="24"/>
          <w:szCs w:val="24"/>
        </w:rPr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navesti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ugovor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ili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poziv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učešće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na</w:t>
      </w:r>
      <w:r w:rsidR="005E6A54" w:rsidRPr="00914BD4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C04A5" w:rsidRPr="00914BD4">
        <w:rPr>
          <w:rFonts w:ascii="Times New Roman" w:hAnsi="Times New Roman"/>
          <w:sz w:val="22"/>
          <w:szCs w:val="22"/>
          <w:highlight w:val="lightGray"/>
        </w:rPr>
        <w:t>tenderu</w:t>
      </w:r>
      <w:bookmarkStart w:id="0" w:name="_GoBack"/>
      <w:bookmarkEnd w:id="0"/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8"/>
      <w:footerReference w:type="firs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9926B" w14:textId="77777777" w:rsidR="00E506B4" w:rsidRDefault="00E506B4">
      <w:r>
        <w:separator/>
      </w:r>
    </w:p>
  </w:endnote>
  <w:endnote w:type="continuationSeparator" w:id="0">
    <w:p w14:paraId="47623134" w14:textId="77777777" w:rsidR="00E506B4" w:rsidRDefault="00E5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70741D8B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04807">
            <w:rPr>
              <w:rFonts w:ascii="Roboto" w:hAnsi="Roboto"/>
              <w:lang w:val="sr-Latn-CS"/>
            </w:rPr>
            <w:t>7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F15930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3E388B67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22696C">
            <w:rPr>
              <w:rFonts w:ascii="Roboto" w:hAnsi="Roboto"/>
              <w:lang w:val="sr-Latn-CS"/>
            </w:rPr>
            <w:t>9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22696C">
            <w:rPr>
              <w:rFonts w:ascii="Roboto" w:hAnsi="Roboto"/>
              <w:noProof/>
              <w:lang w:val="sr-Latn-CS"/>
            </w:rPr>
            <w:t>1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9A3C" w14:textId="77777777" w:rsidR="00E506B4" w:rsidRDefault="00E506B4">
      <w:r>
        <w:separator/>
      </w:r>
    </w:p>
  </w:footnote>
  <w:footnote w:type="continuationSeparator" w:id="0">
    <w:p w14:paraId="66E16624" w14:textId="77777777" w:rsidR="00E506B4" w:rsidRDefault="00E5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10BE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2696C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20B4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5488"/>
    <w:rsid w:val="007475E4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4CB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4BD4"/>
    <w:rsid w:val="009166E6"/>
    <w:rsid w:val="0092133D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C3116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06B4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032D"/>
    <w:rsid w:val="00F13BF9"/>
    <w:rsid w:val="00F15930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0C0C0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C2ED-7B1D-414D-9490-F5BE91B7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3577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TA</cp:lastModifiedBy>
  <cp:revision>7</cp:revision>
  <cp:lastPrinted>2015-04-14T10:20:00Z</cp:lastPrinted>
  <dcterms:created xsi:type="dcterms:W3CDTF">2018-03-23T12:50:00Z</dcterms:created>
  <dcterms:modified xsi:type="dcterms:W3CDTF">2020-06-11T17:18:00Z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