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67A70" w:rsidRPr="00D67A70" w:rsidRDefault="00D67A70" w:rsidP="00D67A70">
      <w:pPr>
        <w:pStyle w:val="6naslov"/>
        <w:spacing w:before="60" w:beforeAutospacing="0" w:after="30" w:afterAutospacing="0"/>
        <w:jc w:val="both"/>
        <w:rPr>
          <w:rFonts w:ascii="Tahoma" w:hAnsi="Tahoma" w:cs="Tahoma"/>
          <w:b/>
          <w:bCs/>
          <w:color w:val="000000"/>
          <w:sz w:val="23"/>
          <w:szCs w:val="23"/>
        </w:rPr>
      </w:pPr>
      <w:bookmarkStart w:id="0" w:name="sadrzaj27"/>
      <w:bookmarkEnd w:id="0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Program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stručnog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ispita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za V, VI i VII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nivo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kvalifikacije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obrazovanja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za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predmet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USTAVNO </w:t>
      </w:r>
      <w:proofErr w:type="spellStart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>UREĐENjE</w:t>
      </w:r>
      <w:proofErr w:type="spellEnd"/>
      <w:r w:rsidRPr="00D67A70">
        <w:rPr>
          <w:rFonts w:ascii="Tahoma" w:hAnsi="Tahoma" w:cs="Tahoma"/>
          <w:b/>
          <w:bCs/>
          <w:color w:val="000000"/>
          <w:sz w:val="23"/>
          <w:szCs w:val="23"/>
        </w:rPr>
        <w:t xml:space="preserve"> CRNE GORE</w:t>
      </w:r>
      <w:bookmarkStart w:id="1" w:name="_GoBack"/>
      <w:bookmarkEnd w:id="1"/>
    </w:p>
    <w:p w:rsidR="00D67A70" w:rsidRDefault="00D67A70" w:rsidP="00D67A70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Ustav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Pojam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ustava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67A70" w:rsidRDefault="00D67A70" w:rsidP="00D67A70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Ustav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Crne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Gore: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Struktura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Sadržaj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Usvajanje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promjena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ustava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67A70" w:rsidRDefault="00D67A70" w:rsidP="00D67A70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Osnovni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principi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Suverenost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Demokratija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Vladavina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Podjela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vlasti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simboli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Teritorija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Jezik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pismo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Državljanstvo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Zakonodavstvo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Granice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Diskriminacija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poredak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Odvojenost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vjerskih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zajednica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odnos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državama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međunarodnim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organizacijama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67A70" w:rsidRDefault="00D67A70" w:rsidP="00D67A70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Ljudska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slobode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Osnove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ljudskih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osnov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jednakost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rodna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ravnopravnost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jednaku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lijek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pravnu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pomoć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ravnopravnost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žene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muškarca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zdravu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životnu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sredinu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Ograničenje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ljudskih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Lična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kojima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štiti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fizički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integritet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čovjeka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lična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privatnost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Politička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biračko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kojima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se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štiti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integritet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ličnosti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Ekonomska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socijalna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kulturna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svojine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nasljeđivanja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preduzetništva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rad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vezi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štrajk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socijalna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posebna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invaliditetom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potrošača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braka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porodice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majke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djeteta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djece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školovanje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stvaralaštva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nauka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kultura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umjetnost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prirodna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kulturna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baština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Socijalni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savjet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Posebna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pripadnika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manjinskih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naroda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drugih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manjinskih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nacionalnih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zajednica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Prava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stranaca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Zaštitnik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ljudskih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Crne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Gore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nadležnost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izbor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mandat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).</w:t>
      </w:r>
    </w:p>
    <w:p w:rsidR="00D67A70" w:rsidRDefault="00D67A70" w:rsidP="00D67A70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Uređenje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vlasti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Skupština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Crne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Gore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nadležnost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način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odlučivanja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sastav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način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izbora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mandat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dužnost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poslanika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prestanak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mandata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Imunitet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Predsjednik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Crne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Gore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nadležnost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izbor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mandat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Vlada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Crne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Gore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nadležnost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sastav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način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izbora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prestanak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mandata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vršenje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uprave,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prenošenje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povjeravanje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poslova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Lokalna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samouprava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način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odlučivanja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oblik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lokalne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samouprave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opština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svojinska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ovlašćenja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finansiranje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samostalnost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Sudstvo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načela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sudstva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sudijska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funkcija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Sudski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savjet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);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Vojska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Crne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Gore;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tužilaštvo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(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nadležnost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imenovanje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mandat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Tužilački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savjet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).</w:t>
      </w:r>
    </w:p>
    <w:p w:rsidR="00D67A70" w:rsidRDefault="00D67A70" w:rsidP="00D67A70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Ekonomsko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uređenje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Principi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Ekonomski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prostor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svojina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Poreska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obaveza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Centralna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banka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Crne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Gore;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revizorska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institucija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67A70" w:rsidRDefault="00D67A70" w:rsidP="00D67A70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Ustavnost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zakonitost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Saglasnost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propisa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Objavljivanje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stupanje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snagu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propisa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Zabrana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povratnog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dejstva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propisa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Zakonitost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pojedinačnih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akata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Ustavni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zakon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sprovođenje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ustava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67A70" w:rsidRDefault="00D67A70" w:rsidP="00D67A70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Ustavni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sud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Crne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Gore: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Nadležnost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Odlučivanje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Sastav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izbor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mandat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D67A70" w:rsidRDefault="00D67A70" w:rsidP="00D67A70">
      <w:pPr>
        <w:pStyle w:val="1tekst"/>
        <w:spacing w:before="0" w:beforeAutospacing="0" w:after="0" w:afterAutospacing="0"/>
        <w:ind w:left="150" w:right="150" w:firstLine="240"/>
        <w:jc w:val="both"/>
        <w:rPr>
          <w:rFonts w:ascii="Tahoma" w:hAnsi="Tahoma" w:cs="Tahoma"/>
          <w:color w:val="000000"/>
          <w:sz w:val="23"/>
          <w:szCs w:val="23"/>
        </w:rPr>
      </w:pP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Evropski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sud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ljudska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b/>
          <w:bCs/>
          <w:color w:val="000000"/>
          <w:sz w:val="23"/>
          <w:szCs w:val="23"/>
        </w:rPr>
        <w:t>prava</w:t>
      </w:r>
      <w:proofErr w:type="spellEnd"/>
      <w:r>
        <w:rPr>
          <w:rFonts w:ascii="Tahoma" w:hAnsi="Tahoma" w:cs="Tahoma"/>
          <w:b/>
          <w:bCs/>
          <w:color w:val="000000"/>
          <w:sz w:val="23"/>
          <w:szCs w:val="23"/>
        </w:rPr>
        <w:t>:</w:t>
      </w:r>
      <w:r>
        <w:rPr>
          <w:rFonts w:ascii="Tahoma" w:hAnsi="Tahoma" w:cs="Tahoma"/>
          <w:color w:val="000000"/>
          <w:sz w:val="23"/>
          <w:szCs w:val="23"/>
        </w:rPr>
        <w:t> 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Uspostavljanje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broj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sudija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Uslovi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izbor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izbor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sudija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mandat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Rješenje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Sekretarijat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stručni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saradnici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Opšta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sjednica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Odbori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vijeća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odluke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vijeća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Veliko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vijeće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,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Nadležnost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Međudržavni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sporovi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Pojedinačne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predstavke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brisanje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predstavki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Intervencija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trećeg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lica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Ispitivanje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predmeta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postupak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prijateljskog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poravnanja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Javna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rasprava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uvid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spise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Pravično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zadovoljenje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Presude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vijeća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Savjetodavna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mišljenja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Privilegije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imunitet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sudija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imovine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obrazovanje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slobodne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izbore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Zabrana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kazne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zatvora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dug; Sloboda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kretanja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Zabrana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protjerivanja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sopstvenih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državljana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Zabrana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grupnog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protjerivanja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stranaca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Ukidanje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smrtne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kazne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i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smrtna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kazna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vrijeme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rata;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Zaštita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postupku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protjerivanja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stranaca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Pravo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žalbu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u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krivičnim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stvarima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Naknada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za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pogrešnu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osudu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; Ne bis in idem;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Opšta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zabrana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 xml:space="preserve"> </w:t>
      </w:r>
      <w:proofErr w:type="spellStart"/>
      <w:r>
        <w:rPr>
          <w:rFonts w:ascii="Tahoma" w:hAnsi="Tahoma" w:cs="Tahoma"/>
          <w:color w:val="000000"/>
          <w:sz w:val="23"/>
          <w:szCs w:val="23"/>
        </w:rPr>
        <w:t>diskriminacije</w:t>
      </w:r>
      <w:proofErr w:type="spellEnd"/>
      <w:r>
        <w:rPr>
          <w:rFonts w:ascii="Tahoma" w:hAnsi="Tahoma" w:cs="Tahoma"/>
          <w:color w:val="000000"/>
          <w:sz w:val="23"/>
          <w:szCs w:val="23"/>
        </w:rPr>
        <w:t>.</w:t>
      </w:r>
    </w:p>
    <w:p w:rsidR="00C80100" w:rsidRDefault="00C80100"/>
    <w:sectPr w:rsidR="00C801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7A70"/>
    <w:rsid w:val="00C80100"/>
    <w:rsid w:val="00D6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4A599"/>
  <w15:chartTrackingRefBased/>
  <w15:docId w15:val="{E66A5016-21AC-4EDD-B9A0-64222875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nadnaslov">
    <w:name w:val="_5nadnaslov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naslov">
    <w:name w:val="_6naslov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tekst">
    <w:name w:val="_1tekst"/>
    <w:basedOn w:val="Normal"/>
    <w:rsid w:val="00D67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674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527</Words>
  <Characters>3008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Aleksandra Masonicic</dc:creator>
  <cp:keywords/>
  <dc:description/>
  <cp:lastModifiedBy>mr Aleksandra Masonicic</cp:lastModifiedBy>
  <cp:revision>1</cp:revision>
  <dcterms:created xsi:type="dcterms:W3CDTF">2025-10-14T11:58:00Z</dcterms:created>
  <dcterms:modified xsi:type="dcterms:W3CDTF">2025-10-14T12:00:00Z</dcterms:modified>
</cp:coreProperties>
</file>